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5099D" w14:textId="77777777" w:rsidR="00A72946" w:rsidRPr="00C05D6B" w:rsidRDefault="00A72946" w:rsidP="00A72946">
      <w:pPr>
        <w:rPr>
          <w:rFonts w:ascii="Garamond" w:hAnsi="Garamond" w:cs="Times New Roman"/>
          <w:b/>
          <w:bCs/>
          <w:sz w:val="40"/>
          <w:szCs w:val="40"/>
        </w:rPr>
      </w:pPr>
      <w:r w:rsidRPr="00C05D6B">
        <w:rPr>
          <w:rFonts w:ascii="Garamond" w:hAnsi="Garamond" w:cs="Times New Roman"/>
          <w:b/>
          <w:bCs/>
          <w:sz w:val="40"/>
          <w:szCs w:val="40"/>
        </w:rPr>
        <w:t>Federal Courts in Context</w:t>
      </w:r>
    </w:p>
    <w:p w14:paraId="4D5E7DB6" w14:textId="77777777" w:rsidR="00A72946" w:rsidRPr="00C05D6B" w:rsidRDefault="00A72946" w:rsidP="00A72946">
      <w:pPr>
        <w:rPr>
          <w:rFonts w:ascii="Garamond" w:hAnsi="Garamond" w:cs="Times New Roman"/>
          <w:b/>
          <w:bCs/>
          <w:sz w:val="40"/>
          <w:szCs w:val="40"/>
        </w:rPr>
      </w:pPr>
    </w:p>
    <w:p w14:paraId="3D09995E" w14:textId="77777777" w:rsidR="00A72946" w:rsidRPr="00C05D6B" w:rsidRDefault="00A72946" w:rsidP="00A72946">
      <w:pPr>
        <w:rPr>
          <w:rFonts w:ascii="Garamond" w:hAnsi="Garamond" w:cs="Times New Roman"/>
          <w:b/>
          <w:bCs/>
          <w:sz w:val="40"/>
          <w:szCs w:val="40"/>
        </w:rPr>
      </w:pPr>
      <w:r w:rsidRPr="00C05D6B">
        <w:rPr>
          <w:rFonts w:ascii="Garamond" w:hAnsi="Garamond" w:cs="Times New Roman"/>
          <w:b/>
          <w:bCs/>
          <w:sz w:val="40"/>
          <w:szCs w:val="40"/>
        </w:rPr>
        <w:t>First Edition</w:t>
      </w:r>
    </w:p>
    <w:p w14:paraId="344D745B" w14:textId="77777777" w:rsidR="00A72946" w:rsidRPr="00C05D6B" w:rsidRDefault="00A72946" w:rsidP="00A72946">
      <w:pPr>
        <w:rPr>
          <w:rFonts w:ascii="Garamond" w:hAnsi="Garamond" w:cs="Times New Roman"/>
          <w:b/>
          <w:bCs/>
          <w:sz w:val="40"/>
          <w:szCs w:val="40"/>
        </w:rPr>
      </w:pPr>
    </w:p>
    <w:p w14:paraId="1A758C4C" w14:textId="1FFFB0C0" w:rsidR="00A72946" w:rsidRPr="00C05D6B" w:rsidRDefault="00801767" w:rsidP="00A72946">
      <w:pPr>
        <w:rPr>
          <w:rFonts w:ascii="Garamond" w:hAnsi="Garamond" w:cs="Times New Roman"/>
          <w:b/>
          <w:bCs/>
          <w:sz w:val="40"/>
          <w:szCs w:val="40"/>
        </w:rPr>
      </w:pPr>
      <w:r w:rsidRPr="00C05D6B">
        <w:rPr>
          <w:rFonts w:ascii="Garamond" w:hAnsi="Garamond" w:cs="Times New Roman"/>
          <w:b/>
          <w:bCs/>
          <w:sz w:val="40"/>
          <w:szCs w:val="40"/>
        </w:rPr>
        <w:t xml:space="preserve">2026 </w:t>
      </w:r>
      <w:r w:rsidR="00A72946" w:rsidRPr="00C05D6B">
        <w:rPr>
          <w:rFonts w:ascii="Garamond" w:hAnsi="Garamond" w:cs="Times New Roman"/>
          <w:b/>
          <w:bCs/>
          <w:sz w:val="40"/>
          <w:szCs w:val="40"/>
        </w:rPr>
        <w:t>Supplement</w:t>
      </w:r>
    </w:p>
    <w:p w14:paraId="1B0D77CE" w14:textId="7671DC02" w:rsidR="00FE391A" w:rsidRPr="00C05D6B" w:rsidRDefault="00002E08" w:rsidP="006416C3">
      <w:pPr>
        <w:spacing w:after="160" w:line="278" w:lineRule="auto"/>
        <w:rPr>
          <w:rFonts w:ascii="Garamond" w:hAnsi="Garamond" w:cs="Times New Roman"/>
          <w:b/>
          <w:bCs/>
        </w:rPr>
      </w:pPr>
      <w:r w:rsidRPr="00C05D6B">
        <w:rPr>
          <w:rFonts w:ascii="Garamond" w:hAnsi="Garamond" w:cs="Times New Roman"/>
          <w:b/>
          <w:bCs/>
        </w:rPr>
        <w:br w:type="page"/>
      </w:r>
      <w:bookmarkStart w:id="0" w:name="_Hlk173762300"/>
    </w:p>
    <w:p w14:paraId="5EE7939D" w14:textId="679A5365" w:rsidR="006416C3" w:rsidRPr="00C05D6B" w:rsidRDefault="006416C3" w:rsidP="006416C3">
      <w:pPr>
        <w:pStyle w:val="BodyText"/>
        <w:spacing w:after="0" w:line="240" w:lineRule="auto"/>
        <w:jc w:val="center"/>
        <w:rPr>
          <w:rFonts w:ascii="Garamond" w:hAnsi="Garamond"/>
          <w:sz w:val="24"/>
        </w:rPr>
      </w:pPr>
      <w:r w:rsidRPr="00C05D6B">
        <w:rPr>
          <w:rFonts w:ascii="Garamond" w:eastAsia="Times New Roman" w:hAnsi="Garamond"/>
          <w:b/>
          <w:sz w:val="24"/>
        </w:rPr>
        <w:lastRenderedPageBreak/>
        <w:t>TABLE OF CONTENTS</w:t>
      </w:r>
    </w:p>
    <w:p w14:paraId="7516CBC4" w14:textId="77777777" w:rsidR="006416C3" w:rsidRPr="00C05D6B" w:rsidRDefault="006416C3" w:rsidP="006416C3">
      <w:pPr>
        <w:widowControl w:val="0"/>
        <w:tabs>
          <w:tab w:val="right" w:leader="dot" w:pos="720"/>
          <w:tab w:val="right" w:leader="dot" w:pos="7920"/>
        </w:tabs>
        <w:autoSpaceDE w:val="0"/>
        <w:autoSpaceDN w:val="0"/>
        <w:adjustRightInd w:val="0"/>
        <w:ind w:left="360" w:hanging="360"/>
        <w:rPr>
          <w:rFonts w:ascii="Garamond" w:hAnsi="Garamond"/>
        </w:rPr>
      </w:pPr>
    </w:p>
    <w:p w14:paraId="06942753" w14:textId="77777777" w:rsidR="006416C3" w:rsidRPr="00C05D6B" w:rsidRDefault="006416C3" w:rsidP="006416C3">
      <w:pPr>
        <w:widowControl w:val="0"/>
        <w:tabs>
          <w:tab w:val="right" w:leader="dot" w:pos="720"/>
          <w:tab w:val="right" w:leader="dot" w:pos="8640"/>
        </w:tabs>
        <w:autoSpaceDE w:val="0"/>
        <w:autoSpaceDN w:val="0"/>
        <w:adjustRightInd w:val="0"/>
        <w:ind w:left="360" w:hanging="360"/>
        <w:rPr>
          <w:rFonts w:ascii="Garamond" w:hAnsi="Garamond"/>
        </w:rPr>
      </w:pPr>
    </w:p>
    <w:p w14:paraId="586E33F2" w14:textId="40CB9B5D"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r w:rsidRPr="00C05D6B">
        <w:rPr>
          <w:rFonts w:ascii="Garamond" w:hAnsi="Garamond"/>
        </w:rPr>
        <w:t>Preface</w:t>
      </w:r>
      <w:r w:rsidRPr="00C05D6B">
        <w:rPr>
          <w:rFonts w:ascii="Garamond" w:hAnsi="Garamond"/>
        </w:rPr>
        <w:tab/>
      </w:r>
      <w:r w:rsidRPr="00C05D6B">
        <w:rPr>
          <w:rFonts w:ascii="Garamond" w:hAnsi="Garamond"/>
        </w:rPr>
        <w:tab/>
      </w:r>
      <w:r w:rsidR="002A7593">
        <w:rPr>
          <w:rFonts w:ascii="Garamond" w:hAnsi="Garamond"/>
        </w:rPr>
        <w:t>8</w:t>
      </w:r>
    </w:p>
    <w:p w14:paraId="16CBA548" w14:textId="77777777" w:rsidR="006416C3" w:rsidRPr="00C05D6B" w:rsidRDefault="006416C3" w:rsidP="006416C3">
      <w:pPr>
        <w:widowControl w:val="0"/>
        <w:tabs>
          <w:tab w:val="right" w:leader="dot" w:pos="720"/>
          <w:tab w:val="right" w:leader="dot" w:pos="7920"/>
        </w:tabs>
        <w:autoSpaceDE w:val="0"/>
        <w:autoSpaceDN w:val="0"/>
        <w:adjustRightInd w:val="0"/>
        <w:ind w:left="360" w:hanging="360"/>
        <w:rPr>
          <w:rFonts w:ascii="Garamond" w:hAnsi="Garamond"/>
        </w:rPr>
      </w:pPr>
    </w:p>
    <w:p w14:paraId="1D9070E2" w14:textId="1D660E35"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r w:rsidRPr="00C05D6B">
        <w:rPr>
          <w:rFonts w:ascii="Garamond" w:hAnsi="Garamond"/>
        </w:rPr>
        <w:t>Chapter 2: Invoking the Authority of the Federal Courts</w:t>
      </w:r>
      <w:r w:rsidRPr="00C05D6B">
        <w:rPr>
          <w:rFonts w:ascii="Garamond" w:hAnsi="Garamond"/>
        </w:rPr>
        <w:tab/>
      </w:r>
      <w:r w:rsidR="002A7593">
        <w:rPr>
          <w:rFonts w:ascii="Garamond" w:hAnsi="Garamond"/>
        </w:rPr>
        <w:t>11</w:t>
      </w:r>
    </w:p>
    <w:p w14:paraId="49474AA5" w14:textId="77777777"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p>
    <w:p w14:paraId="6AE55AD8" w14:textId="6670D050"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r w:rsidRPr="00C05D6B">
        <w:rPr>
          <w:rFonts w:ascii="Garamond" w:hAnsi="Garamond"/>
        </w:rPr>
        <w:t xml:space="preserve">Chapter 3: Justiciability: Constitutional and Prudential Limits </w:t>
      </w:r>
      <w:r w:rsidRPr="00C05D6B">
        <w:rPr>
          <w:rFonts w:ascii="Garamond" w:hAnsi="Garamond"/>
        </w:rPr>
        <w:br/>
        <w:t>on Federal Judicial Power</w:t>
      </w:r>
      <w:r w:rsidRPr="00C05D6B">
        <w:rPr>
          <w:rFonts w:ascii="Garamond" w:hAnsi="Garamond"/>
        </w:rPr>
        <w:tab/>
        <w:t>1</w:t>
      </w:r>
      <w:r w:rsidR="002A7593">
        <w:rPr>
          <w:rFonts w:ascii="Garamond" w:hAnsi="Garamond"/>
        </w:rPr>
        <w:t>5</w:t>
      </w:r>
    </w:p>
    <w:p w14:paraId="7BDB0C06" w14:textId="77777777"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p>
    <w:p w14:paraId="1D693040" w14:textId="0D6CA2F4"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r w:rsidRPr="00C05D6B">
        <w:rPr>
          <w:rFonts w:ascii="Garamond" w:hAnsi="Garamond"/>
        </w:rPr>
        <w:t>Chapter 4: Congressional Control of Federal and State Adjudication</w:t>
      </w:r>
      <w:r w:rsidRPr="00C05D6B">
        <w:rPr>
          <w:rFonts w:ascii="Garamond" w:hAnsi="Garamond"/>
        </w:rPr>
        <w:tab/>
      </w:r>
      <w:r w:rsidR="003D2A77" w:rsidRPr="00C05D6B">
        <w:rPr>
          <w:rFonts w:ascii="Garamond" w:hAnsi="Garamond"/>
        </w:rPr>
        <w:t>4</w:t>
      </w:r>
      <w:r w:rsidR="002A7593">
        <w:rPr>
          <w:rFonts w:ascii="Garamond" w:hAnsi="Garamond"/>
        </w:rPr>
        <w:t>8</w:t>
      </w:r>
    </w:p>
    <w:p w14:paraId="676CDAA5" w14:textId="77777777"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p>
    <w:p w14:paraId="560CCC26" w14:textId="657CB396"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r w:rsidRPr="00C05D6B">
        <w:rPr>
          <w:rFonts w:ascii="Garamond" w:hAnsi="Garamond"/>
        </w:rPr>
        <w:t>Chapter 5: Federal Common Law</w:t>
      </w:r>
      <w:r w:rsidRPr="00C05D6B">
        <w:rPr>
          <w:rFonts w:ascii="Garamond" w:hAnsi="Garamond"/>
        </w:rPr>
        <w:tab/>
      </w:r>
      <w:r w:rsidR="002A7593">
        <w:rPr>
          <w:rFonts w:ascii="Garamond" w:hAnsi="Garamond"/>
        </w:rPr>
        <w:t>88</w:t>
      </w:r>
    </w:p>
    <w:p w14:paraId="4400B056" w14:textId="77777777"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p>
    <w:p w14:paraId="7B1FF9BD" w14:textId="75994567"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r w:rsidRPr="00C05D6B">
        <w:rPr>
          <w:rFonts w:ascii="Garamond" w:hAnsi="Garamond"/>
        </w:rPr>
        <w:t xml:space="preserve">Chapter 6: Suits Against State and Local Governments, Native Nations, </w:t>
      </w:r>
      <w:r w:rsidRPr="00C05D6B">
        <w:rPr>
          <w:rFonts w:ascii="Garamond" w:hAnsi="Garamond"/>
        </w:rPr>
        <w:br/>
        <w:t>Foreign Governments, and Their Officers</w:t>
      </w:r>
      <w:r w:rsidRPr="00C05D6B">
        <w:rPr>
          <w:rFonts w:ascii="Garamond" w:hAnsi="Garamond"/>
        </w:rPr>
        <w:tab/>
      </w:r>
      <w:r w:rsidR="002A7593">
        <w:rPr>
          <w:rFonts w:ascii="Garamond" w:hAnsi="Garamond"/>
        </w:rPr>
        <w:t>93</w:t>
      </w:r>
    </w:p>
    <w:p w14:paraId="14BCC159" w14:textId="77777777"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p>
    <w:p w14:paraId="7290A5E7" w14:textId="57ECD717"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r w:rsidRPr="00C05D6B">
        <w:rPr>
          <w:rFonts w:ascii="Garamond" w:hAnsi="Garamond"/>
        </w:rPr>
        <w:t xml:space="preserve">Chapter 7: Federal Court Relief Against the Federal Government </w:t>
      </w:r>
      <w:r w:rsidRPr="00C05D6B">
        <w:rPr>
          <w:rFonts w:ascii="Garamond" w:hAnsi="Garamond"/>
        </w:rPr>
        <w:br/>
        <w:t>and Federal Officers</w:t>
      </w:r>
      <w:r w:rsidRPr="00C05D6B">
        <w:rPr>
          <w:rFonts w:ascii="Garamond" w:hAnsi="Garamond"/>
        </w:rPr>
        <w:tab/>
      </w:r>
      <w:r w:rsidR="002A7593">
        <w:rPr>
          <w:rFonts w:ascii="Garamond" w:hAnsi="Garamond"/>
        </w:rPr>
        <w:t>96</w:t>
      </w:r>
    </w:p>
    <w:p w14:paraId="32398947" w14:textId="77777777"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p>
    <w:p w14:paraId="0D5F6B9E" w14:textId="583FB1FD"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r w:rsidRPr="00C05D6B">
        <w:rPr>
          <w:rFonts w:ascii="Garamond" w:hAnsi="Garamond"/>
        </w:rPr>
        <w:t xml:space="preserve">Chapter 8: The Writ of Habeas Corpus: Relief Against a State or Federal Officer </w:t>
      </w:r>
      <w:r w:rsidRPr="00C05D6B">
        <w:rPr>
          <w:rFonts w:ascii="Garamond" w:hAnsi="Garamond"/>
        </w:rPr>
        <w:br/>
        <w:t>Responsible for Unlawful Detention</w:t>
      </w:r>
      <w:r w:rsidRPr="00C05D6B">
        <w:rPr>
          <w:rFonts w:ascii="Garamond" w:hAnsi="Garamond"/>
        </w:rPr>
        <w:tab/>
      </w:r>
      <w:r w:rsidR="002A7593">
        <w:rPr>
          <w:rFonts w:ascii="Garamond" w:hAnsi="Garamond"/>
        </w:rPr>
        <w:t>111</w:t>
      </w:r>
    </w:p>
    <w:p w14:paraId="20B03948" w14:textId="77777777"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p>
    <w:p w14:paraId="591A3EC9" w14:textId="716C26C2" w:rsidR="006416C3" w:rsidRPr="00C05D6B" w:rsidRDefault="006416C3" w:rsidP="006E3341">
      <w:pPr>
        <w:widowControl w:val="0"/>
        <w:tabs>
          <w:tab w:val="right" w:leader="dot" w:pos="720"/>
          <w:tab w:val="right" w:leader="dot" w:pos="8730"/>
        </w:tabs>
        <w:autoSpaceDE w:val="0"/>
        <w:autoSpaceDN w:val="0"/>
        <w:adjustRightInd w:val="0"/>
        <w:ind w:left="360" w:hanging="360"/>
        <w:rPr>
          <w:rFonts w:ascii="Garamond" w:hAnsi="Garamond"/>
        </w:rPr>
      </w:pPr>
      <w:r w:rsidRPr="00C05D6B">
        <w:rPr>
          <w:rFonts w:ascii="Garamond" w:hAnsi="Garamond"/>
        </w:rPr>
        <w:t>Chapter 9: Supreme Court Review</w:t>
      </w:r>
      <w:r w:rsidRPr="00C05D6B">
        <w:rPr>
          <w:rFonts w:ascii="Garamond" w:hAnsi="Garamond"/>
        </w:rPr>
        <w:tab/>
      </w:r>
      <w:r w:rsidR="002A7593">
        <w:rPr>
          <w:rFonts w:ascii="Garamond" w:hAnsi="Garamond"/>
        </w:rPr>
        <w:t>120</w:t>
      </w:r>
    </w:p>
    <w:p w14:paraId="2B5E8947" w14:textId="77777777" w:rsidR="006416C3" w:rsidRPr="00C05D6B" w:rsidRDefault="006416C3" w:rsidP="006416C3">
      <w:pPr>
        <w:widowControl w:val="0"/>
        <w:tabs>
          <w:tab w:val="right" w:leader="dot" w:pos="720"/>
          <w:tab w:val="right" w:leader="dot" w:pos="7920"/>
        </w:tabs>
        <w:autoSpaceDE w:val="0"/>
        <w:autoSpaceDN w:val="0"/>
        <w:adjustRightInd w:val="0"/>
        <w:ind w:left="360" w:hanging="360"/>
        <w:rPr>
          <w:rFonts w:ascii="Garamond" w:hAnsi="Garamond" w:cs="Times New Roman"/>
        </w:rPr>
      </w:pPr>
    </w:p>
    <w:p w14:paraId="6EB9EA4E" w14:textId="77777777" w:rsidR="00FE391A" w:rsidRPr="00C05D6B" w:rsidRDefault="00FE391A" w:rsidP="00FE391A">
      <w:pPr>
        <w:spacing w:after="160" w:line="259" w:lineRule="auto"/>
        <w:rPr>
          <w:rFonts w:ascii="Garamond" w:hAnsi="Garamond"/>
        </w:rPr>
      </w:pPr>
      <w:r w:rsidRPr="00C05D6B">
        <w:rPr>
          <w:rFonts w:ascii="Garamond" w:hAnsi="Garamond"/>
        </w:rPr>
        <w:br w:type="page"/>
      </w:r>
    </w:p>
    <w:p w14:paraId="0C919F67" w14:textId="76F0A8FD" w:rsidR="00A52D96" w:rsidRPr="00C05D6B" w:rsidRDefault="00A52D96" w:rsidP="00A52D96">
      <w:pPr>
        <w:pStyle w:val="BodyText"/>
        <w:spacing w:after="0" w:line="240" w:lineRule="auto"/>
        <w:jc w:val="center"/>
        <w:rPr>
          <w:rFonts w:ascii="Garamond" w:hAnsi="Garamond"/>
          <w:sz w:val="24"/>
        </w:rPr>
      </w:pPr>
      <w:r w:rsidRPr="00C05D6B">
        <w:rPr>
          <w:rFonts w:ascii="Garamond" w:eastAsia="Times New Roman" w:hAnsi="Garamond"/>
          <w:b/>
          <w:sz w:val="24"/>
        </w:rPr>
        <w:lastRenderedPageBreak/>
        <w:t>TABLE OF AUTHORITIES</w:t>
      </w:r>
    </w:p>
    <w:p w14:paraId="63418D3C" w14:textId="77777777" w:rsidR="002A7593" w:rsidRPr="004E2346" w:rsidRDefault="00BB5731">
      <w:pPr>
        <w:pStyle w:val="TOAHeading"/>
        <w:tabs>
          <w:tab w:val="right" w:leader="hyphen" w:pos="9350"/>
        </w:tabs>
        <w:rPr>
          <w:rFonts w:ascii="Garamond" w:eastAsiaTheme="minorEastAsia" w:hAnsi="Garamond" w:cstheme="minorBidi"/>
          <w:b/>
          <w:bCs/>
          <w:noProof/>
        </w:rPr>
      </w:pPr>
      <w:r w:rsidRPr="004E2346">
        <w:rPr>
          <w:rFonts w:ascii="Garamond" w:hAnsi="Garamond"/>
        </w:rPr>
        <w:fldChar w:fldCharType="begin"/>
      </w:r>
      <w:r w:rsidRPr="004E2346">
        <w:rPr>
          <w:rFonts w:ascii="Garamond" w:hAnsi="Garamond"/>
        </w:rPr>
        <w:instrText xml:space="preserve"> TOA \h \c "1" \p </w:instrText>
      </w:r>
      <w:r w:rsidRPr="004E2346">
        <w:rPr>
          <w:rFonts w:ascii="Garamond" w:hAnsi="Garamond"/>
        </w:rPr>
        <w:fldChar w:fldCharType="separate"/>
      </w:r>
      <w:r w:rsidR="002A7593" w:rsidRPr="004E2346">
        <w:rPr>
          <w:rFonts w:ascii="Garamond" w:hAnsi="Garamond"/>
          <w:noProof/>
        </w:rPr>
        <w:t>Cases</w:t>
      </w:r>
    </w:p>
    <w:p w14:paraId="64D42B75" w14:textId="59C1AD0B"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A.A.R.P. v. Trump</w:t>
      </w:r>
      <w:r w:rsidRPr="004E2346">
        <w:rPr>
          <w:rFonts w:ascii="Garamond" w:hAnsi="Garamond"/>
          <w:noProof/>
        </w:rPr>
        <w:tab/>
        <w:t>11</w:t>
      </w:r>
      <w:r w:rsidR="00BC025C">
        <w:rPr>
          <w:rFonts w:ascii="Garamond" w:hAnsi="Garamond"/>
          <w:noProof/>
        </w:rPr>
        <w:t>1</w:t>
      </w:r>
      <w:r w:rsidRPr="004E2346">
        <w:rPr>
          <w:rFonts w:ascii="Garamond" w:hAnsi="Garamond"/>
          <w:noProof/>
        </w:rPr>
        <w:t>, 11</w:t>
      </w:r>
      <w:r w:rsidR="00BC025C">
        <w:rPr>
          <w:rFonts w:ascii="Garamond" w:hAnsi="Garamond"/>
          <w:noProof/>
        </w:rPr>
        <w:t>2</w:t>
      </w:r>
    </w:p>
    <w:p w14:paraId="3A942097" w14:textId="73FD0578"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Al-Hela v. Biden</w:t>
      </w:r>
      <w:r w:rsidRPr="004E2346">
        <w:rPr>
          <w:rFonts w:ascii="Garamond" w:hAnsi="Garamond"/>
          <w:noProof/>
        </w:rPr>
        <w:tab/>
        <w:t>11</w:t>
      </w:r>
      <w:r w:rsidR="000A6CEE">
        <w:rPr>
          <w:rFonts w:ascii="Garamond" w:hAnsi="Garamond"/>
          <w:noProof/>
        </w:rPr>
        <w:t>0</w:t>
      </w:r>
      <w:bookmarkStart w:id="1" w:name="_GoBack"/>
      <w:bookmarkEnd w:id="1"/>
    </w:p>
    <w:p w14:paraId="5FB308B6"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Andrew v. White</w:t>
      </w:r>
      <w:r w:rsidRPr="004E2346">
        <w:rPr>
          <w:rFonts w:ascii="Garamond" w:hAnsi="Garamond"/>
          <w:noProof/>
        </w:rPr>
        <w:tab/>
        <w:t>118, 119</w:t>
      </w:r>
    </w:p>
    <w:p w14:paraId="72620F5F"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Atlas Roofing Co. v. Occupational Safety and Health Review Commission</w:t>
      </w:r>
      <w:r w:rsidRPr="004E2346">
        <w:rPr>
          <w:rFonts w:ascii="Garamond" w:hAnsi="Garamond"/>
          <w:noProof/>
        </w:rPr>
        <w:tab/>
        <w:t>55</w:t>
      </w:r>
    </w:p>
    <w:p w14:paraId="36F4A6E0" w14:textId="77777777" w:rsidR="002A7593" w:rsidRPr="004E2346" w:rsidRDefault="002A7593">
      <w:pPr>
        <w:pStyle w:val="TableofAuthorities"/>
        <w:tabs>
          <w:tab w:val="right" w:leader="hyphen" w:pos="9350"/>
        </w:tabs>
        <w:rPr>
          <w:rFonts w:ascii="Garamond" w:hAnsi="Garamond"/>
          <w:noProof/>
          <w:lang w:val="fr-FR"/>
        </w:rPr>
      </w:pPr>
      <w:r w:rsidRPr="004E2346">
        <w:rPr>
          <w:rFonts w:ascii="Garamond" w:hAnsi="Garamond"/>
          <w:noProof/>
          <w:lang w:val="fr-FR"/>
        </w:rPr>
        <w:t>Axon Enterprise, Inc. v. FTC</w:t>
      </w:r>
      <w:r w:rsidRPr="004E2346">
        <w:rPr>
          <w:rFonts w:ascii="Garamond" w:hAnsi="Garamond"/>
          <w:noProof/>
          <w:lang w:val="fr-FR"/>
        </w:rPr>
        <w:tab/>
        <w:t>106</w:t>
      </w:r>
    </w:p>
    <w:p w14:paraId="62B2A07C" w14:textId="77777777" w:rsidR="002A7593" w:rsidRPr="004E2346" w:rsidRDefault="002A7593">
      <w:pPr>
        <w:pStyle w:val="TableofAuthorities"/>
        <w:tabs>
          <w:tab w:val="right" w:leader="hyphen" w:pos="9350"/>
        </w:tabs>
        <w:rPr>
          <w:rFonts w:ascii="Garamond" w:hAnsi="Garamond"/>
          <w:noProof/>
          <w:lang w:val="sv-SE"/>
        </w:rPr>
      </w:pPr>
      <w:r w:rsidRPr="004E2346">
        <w:rPr>
          <w:rFonts w:ascii="Garamond" w:hAnsi="Garamond"/>
          <w:noProof/>
          <w:lang w:val="sv-SE"/>
        </w:rPr>
        <w:t>Biden v. Nebraska</w:t>
      </w:r>
      <w:r w:rsidRPr="004E2346">
        <w:rPr>
          <w:rFonts w:ascii="Garamond" w:hAnsi="Garamond"/>
          <w:noProof/>
          <w:lang w:val="sv-SE"/>
        </w:rPr>
        <w:tab/>
        <w:t>34</w:t>
      </w:r>
    </w:p>
    <w:p w14:paraId="79C3AF54" w14:textId="77777777" w:rsidR="002A7593" w:rsidRPr="004E2346" w:rsidRDefault="002A7593">
      <w:pPr>
        <w:pStyle w:val="TableofAuthorities"/>
        <w:tabs>
          <w:tab w:val="right" w:leader="hyphen" w:pos="9350"/>
        </w:tabs>
        <w:rPr>
          <w:rFonts w:ascii="Garamond" w:hAnsi="Garamond"/>
          <w:noProof/>
          <w:lang w:val="sv-SE"/>
        </w:rPr>
      </w:pPr>
      <w:r w:rsidRPr="004E2346">
        <w:rPr>
          <w:rFonts w:ascii="Garamond" w:eastAsia="Garamond" w:hAnsi="Garamond" w:cs="Garamond"/>
          <w:noProof/>
          <w:lang w:val="sv-SE"/>
        </w:rPr>
        <w:t>Birsch v. Tumbleson</w:t>
      </w:r>
      <w:r w:rsidRPr="004E2346">
        <w:rPr>
          <w:rFonts w:ascii="Garamond" w:hAnsi="Garamond"/>
          <w:noProof/>
          <w:lang w:val="sv-SE"/>
        </w:rPr>
        <w:tab/>
        <w:t>86</w:t>
      </w:r>
    </w:p>
    <w:p w14:paraId="632A1423"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Blessing v. Freestone</w:t>
      </w:r>
      <w:r w:rsidRPr="004E2346">
        <w:rPr>
          <w:rFonts w:ascii="Garamond" w:hAnsi="Garamond"/>
          <w:noProof/>
        </w:rPr>
        <w:tab/>
        <w:t>88</w:t>
      </w:r>
    </w:p>
    <w:p w14:paraId="60536ED6"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Boske v. Comingore</w:t>
      </w:r>
      <w:r w:rsidRPr="004E2346">
        <w:rPr>
          <w:rFonts w:ascii="Garamond" w:hAnsi="Garamond"/>
          <w:noProof/>
        </w:rPr>
        <w:tab/>
        <w:t>83, 84</w:t>
      </w:r>
    </w:p>
    <w:p w14:paraId="7BCFE5B3"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Bost v. Illinois State Board of Elections</w:t>
      </w:r>
      <w:r w:rsidRPr="004E2346">
        <w:rPr>
          <w:rFonts w:ascii="Garamond" w:hAnsi="Garamond"/>
          <w:noProof/>
        </w:rPr>
        <w:tab/>
        <w:t>29</w:t>
      </w:r>
    </w:p>
    <w:p w14:paraId="71ABFBAF"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Bouarfa v. Mayorkas</w:t>
      </w:r>
      <w:r w:rsidRPr="004E2346">
        <w:rPr>
          <w:rFonts w:ascii="Garamond" w:hAnsi="Garamond"/>
          <w:noProof/>
        </w:rPr>
        <w:tab/>
        <w:t>47</w:t>
      </w:r>
    </w:p>
    <w:p w14:paraId="6DE36BE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Bowe v. United States</w:t>
      </w:r>
      <w:r w:rsidRPr="004E2346">
        <w:rPr>
          <w:rFonts w:ascii="Garamond" w:hAnsi="Garamond"/>
          <w:noProof/>
        </w:rPr>
        <w:tab/>
        <w:t>118</w:t>
      </w:r>
    </w:p>
    <w:p w14:paraId="48B0269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Boyle v. United Technologies Corp.</w:t>
      </w:r>
      <w:r w:rsidRPr="004E2346">
        <w:rPr>
          <w:rFonts w:ascii="Garamond" w:hAnsi="Garamond"/>
          <w:noProof/>
        </w:rPr>
        <w:tab/>
        <w:t>96</w:t>
      </w:r>
    </w:p>
    <w:p w14:paraId="28C5FB7A"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Brown v. Cain</w:t>
      </w:r>
      <w:r w:rsidRPr="004E2346">
        <w:rPr>
          <w:rFonts w:ascii="Garamond" w:hAnsi="Garamond"/>
          <w:noProof/>
        </w:rPr>
        <w:tab/>
        <w:t>86</w:t>
      </w:r>
    </w:p>
    <w:p w14:paraId="4E4D31C4"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Campbell v. Waite</w:t>
      </w:r>
      <w:r w:rsidRPr="004E2346">
        <w:rPr>
          <w:rFonts w:ascii="Garamond" w:hAnsi="Garamond"/>
          <w:noProof/>
        </w:rPr>
        <w:tab/>
        <w:t>84, 86</w:t>
      </w:r>
    </w:p>
    <w:p w14:paraId="027AF9C2"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Castle v. Lewis</w:t>
      </w:r>
      <w:r w:rsidRPr="004E2346">
        <w:rPr>
          <w:rFonts w:ascii="Garamond" w:hAnsi="Garamond"/>
          <w:noProof/>
        </w:rPr>
        <w:tab/>
        <w:t>85</w:t>
      </w:r>
    </w:p>
    <w:p w14:paraId="42CC3AE1"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Chevron U.S.A. Inc. v. Natural Resources Defense Council, Inc.</w:t>
      </w:r>
      <w:r w:rsidRPr="004E2346">
        <w:rPr>
          <w:rFonts w:ascii="Garamond" w:hAnsi="Garamond"/>
          <w:noProof/>
        </w:rPr>
        <w:tab/>
        <w:t>54</w:t>
      </w:r>
    </w:p>
    <w:p w14:paraId="2FFB9472"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Cisco Systems, Inc. v. Doe I</w:t>
      </w:r>
      <w:r w:rsidRPr="004E2346">
        <w:rPr>
          <w:rFonts w:ascii="Garamond" w:hAnsi="Garamond"/>
          <w:noProof/>
        </w:rPr>
        <w:tab/>
        <w:t>91</w:t>
      </w:r>
    </w:p>
    <w:p w14:paraId="617AA790"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Concrete Pipe &amp; Products of Ca. v. Construction Laborers Pension Trust</w:t>
      </w:r>
      <w:r w:rsidRPr="004E2346">
        <w:rPr>
          <w:rFonts w:ascii="Garamond" w:hAnsi="Garamond"/>
          <w:noProof/>
        </w:rPr>
        <w:tab/>
        <w:t>115, 116</w:t>
      </w:r>
    </w:p>
    <w:p w14:paraId="397B2A76" w14:textId="77777777" w:rsidR="002A7593" w:rsidRPr="004E2346" w:rsidRDefault="002A7593">
      <w:pPr>
        <w:pStyle w:val="TableofAuthorities"/>
        <w:tabs>
          <w:tab w:val="right" w:leader="hyphen" w:pos="9350"/>
        </w:tabs>
        <w:rPr>
          <w:rFonts w:ascii="Garamond" w:hAnsi="Garamond"/>
          <w:noProof/>
          <w:lang w:val="pt-BR"/>
        </w:rPr>
      </w:pPr>
      <w:r w:rsidRPr="004E2346">
        <w:rPr>
          <w:rFonts w:ascii="Garamond" w:eastAsia="Times New Roman" w:hAnsi="Garamond"/>
          <w:noProof/>
          <w:lang w:val="pt-BR"/>
        </w:rPr>
        <w:t>Crowell v. Benson</w:t>
      </w:r>
      <w:r w:rsidRPr="004E2346">
        <w:rPr>
          <w:rFonts w:ascii="Garamond" w:hAnsi="Garamond"/>
          <w:noProof/>
          <w:lang w:val="pt-BR"/>
        </w:rPr>
        <w:tab/>
        <w:t>54</w:t>
      </w:r>
    </w:p>
    <w:p w14:paraId="4518C0F7" w14:textId="77777777" w:rsidR="002A7593" w:rsidRPr="004E2346" w:rsidRDefault="002A7593">
      <w:pPr>
        <w:pStyle w:val="TableofAuthorities"/>
        <w:tabs>
          <w:tab w:val="right" w:leader="hyphen" w:pos="9350"/>
        </w:tabs>
        <w:rPr>
          <w:rFonts w:ascii="Garamond" w:hAnsi="Garamond"/>
          <w:noProof/>
          <w:lang w:val="pt-BR"/>
        </w:rPr>
      </w:pPr>
      <w:r w:rsidRPr="004E2346">
        <w:rPr>
          <w:rFonts w:ascii="Garamond" w:hAnsi="Garamond"/>
          <w:noProof/>
          <w:lang w:val="pt-BR"/>
        </w:rPr>
        <w:t>Cruz v. Arizona</w:t>
      </w:r>
      <w:r w:rsidRPr="004E2346">
        <w:rPr>
          <w:rFonts w:ascii="Garamond" w:hAnsi="Garamond"/>
          <w:noProof/>
          <w:lang w:val="pt-BR"/>
        </w:rPr>
        <w:tab/>
        <w:t>121</w:t>
      </w:r>
    </w:p>
    <w:p w14:paraId="61AFA43D"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Defunis v. Odegaard</w:t>
      </w:r>
      <w:r w:rsidRPr="004E2346">
        <w:rPr>
          <w:rFonts w:ascii="Garamond" w:hAnsi="Garamond"/>
          <w:noProof/>
        </w:rPr>
        <w:tab/>
        <w:t>43</w:t>
      </w:r>
    </w:p>
    <w:p w14:paraId="2A3C9034"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Department of Agriculture v. Kirtz</w:t>
      </w:r>
      <w:r w:rsidRPr="004E2346">
        <w:rPr>
          <w:rFonts w:ascii="Garamond" w:hAnsi="Garamond"/>
          <w:noProof/>
        </w:rPr>
        <w:tab/>
        <w:t>105</w:t>
      </w:r>
    </w:p>
    <w:p w14:paraId="7074DEC6"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Department of Homeland Security v. D.V.D.</w:t>
      </w:r>
      <w:r w:rsidRPr="004E2346">
        <w:rPr>
          <w:rFonts w:ascii="Garamond" w:hAnsi="Garamond"/>
          <w:noProof/>
        </w:rPr>
        <w:tab/>
        <w:t>123</w:t>
      </w:r>
    </w:p>
    <w:p w14:paraId="4E93417F"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Diamond Alternative Energy, LLC v. Environmental Protection Agency</w:t>
      </w:r>
      <w:r w:rsidRPr="004E2346">
        <w:rPr>
          <w:rFonts w:ascii="Garamond" w:hAnsi="Garamond"/>
          <w:noProof/>
        </w:rPr>
        <w:tab/>
        <w:t>21, 22</w:t>
      </w:r>
    </w:p>
    <w:p w14:paraId="024490D0" w14:textId="447F7433"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Dobbs v. Jackson Women’</w:t>
      </w:r>
      <w:r w:rsidR="00277A83">
        <w:rPr>
          <w:rFonts w:ascii="Garamond" w:hAnsi="Garamond"/>
          <w:noProof/>
        </w:rPr>
        <w:t>s</w:t>
      </w:r>
      <w:r w:rsidRPr="004E2346">
        <w:rPr>
          <w:rFonts w:ascii="Garamond" w:hAnsi="Garamond"/>
          <w:noProof/>
        </w:rPr>
        <w:t xml:space="preserve"> Health Org.</w:t>
      </w:r>
      <w:r w:rsidRPr="004E2346">
        <w:rPr>
          <w:rFonts w:ascii="Garamond" w:hAnsi="Garamond"/>
          <w:noProof/>
        </w:rPr>
        <w:tab/>
        <w:t>15</w:t>
      </w:r>
    </w:p>
    <w:p w14:paraId="1B742FB7" w14:textId="63FAE5ED"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Dred Scott v. San</w:t>
      </w:r>
      <w:r w:rsidR="005D54B8">
        <w:rPr>
          <w:rFonts w:ascii="Garamond" w:hAnsi="Garamond"/>
          <w:noProof/>
        </w:rPr>
        <w:t>d</w:t>
      </w:r>
      <w:r w:rsidRPr="004E2346">
        <w:rPr>
          <w:rFonts w:ascii="Garamond" w:hAnsi="Garamond"/>
          <w:noProof/>
        </w:rPr>
        <w:t>ford</w:t>
      </w:r>
      <w:r w:rsidRPr="004E2346">
        <w:rPr>
          <w:rFonts w:ascii="Garamond" w:hAnsi="Garamond"/>
          <w:noProof/>
        </w:rPr>
        <w:tab/>
        <w:t>142</w:t>
      </w:r>
    </w:p>
    <w:p w14:paraId="53574324"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Estelle v. McGuire</w:t>
      </w:r>
      <w:r w:rsidRPr="004E2346">
        <w:rPr>
          <w:rFonts w:ascii="Garamond" w:hAnsi="Garamond"/>
          <w:noProof/>
        </w:rPr>
        <w:tab/>
        <w:t>119</w:t>
      </w:r>
    </w:p>
    <w:p w14:paraId="55B7ADBE" w14:textId="77777777" w:rsidR="002A7593" w:rsidRPr="00AB483D" w:rsidRDefault="002A7593">
      <w:pPr>
        <w:pStyle w:val="TableofAuthorities"/>
        <w:tabs>
          <w:tab w:val="right" w:leader="hyphen" w:pos="9350"/>
        </w:tabs>
        <w:rPr>
          <w:rFonts w:ascii="Garamond" w:hAnsi="Garamond"/>
          <w:noProof/>
          <w:lang w:val="es-ES"/>
        </w:rPr>
      </w:pPr>
      <w:r w:rsidRPr="00AB483D">
        <w:rPr>
          <w:rFonts w:ascii="Garamond" w:eastAsia="Garamond" w:hAnsi="Garamond" w:cs="Garamond"/>
          <w:noProof/>
          <w:lang w:val="es-ES"/>
        </w:rPr>
        <w:t>Ex parte Beach</w:t>
      </w:r>
      <w:r w:rsidRPr="00AB483D">
        <w:rPr>
          <w:rFonts w:ascii="Garamond" w:hAnsi="Garamond"/>
          <w:noProof/>
          <w:lang w:val="es-ES"/>
        </w:rPr>
        <w:tab/>
        <w:t>85</w:t>
      </w:r>
    </w:p>
    <w:p w14:paraId="029140EC" w14:textId="77777777" w:rsidR="002A7593" w:rsidRPr="00AB483D" w:rsidRDefault="002A7593">
      <w:pPr>
        <w:pStyle w:val="TableofAuthorities"/>
        <w:tabs>
          <w:tab w:val="right" w:leader="hyphen" w:pos="9350"/>
        </w:tabs>
        <w:rPr>
          <w:rFonts w:ascii="Garamond" w:hAnsi="Garamond"/>
          <w:noProof/>
          <w:lang w:val="es-ES"/>
        </w:rPr>
      </w:pPr>
      <w:r w:rsidRPr="00AB483D">
        <w:rPr>
          <w:rFonts w:ascii="Garamond" w:eastAsia="Garamond" w:hAnsi="Garamond" w:cs="Garamond"/>
          <w:noProof/>
          <w:lang w:val="es-ES"/>
        </w:rPr>
        <w:t>Ex parte Gillette</w:t>
      </w:r>
      <w:r w:rsidRPr="00AB483D">
        <w:rPr>
          <w:rFonts w:ascii="Garamond" w:hAnsi="Garamond"/>
          <w:noProof/>
          <w:lang w:val="es-ES"/>
        </w:rPr>
        <w:tab/>
        <w:t>84, 85</w:t>
      </w:r>
    </w:p>
    <w:p w14:paraId="19744A9E" w14:textId="77777777" w:rsidR="002A7593" w:rsidRPr="00AB483D" w:rsidRDefault="002A7593">
      <w:pPr>
        <w:pStyle w:val="TableofAuthorities"/>
        <w:tabs>
          <w:tab w:val="right" w:leader="hyphen" w:pos="9350"/>
        </w:tabs>
        <w:rPr>
          <w:rFonts w:ascii="Garamond" w:hAnsi="Garamond"/>
          <w:noProof/>
          <w:lang w:val="es-ES"/>
        </w:rPr>
      </w:pPr>
      <w:r w:rsidRPr="00AB483D">
        <w:rPr>
          <w:rFonts w:ascii="Garamond" w:eastAsia="Garamond" w:hAnsi="Garamond" w:cs="Garamond"/>
          <w:noProof/>
          <w:lang w:val="es-ES"/>
        </w:rPr>
        <w:t>Ex parte Siebold</w:t>
      </w:r>
      <w:r w:rsidRPr="00AB483D">
        <w:rPr>
          <w:rFonts w:ascii="Garamond" w:hAnsi="Garamond"/>
          <w:noProof/>
          <w:lang w:val="es-ES"/>
        </w:rPr>
        <w:tab/>
        <w:t>84</w:t>
      </w:r>
    </w:p>
    <w:p w14:paraId="1D5F61AD" w14:textId="77777777" w:rsidR="002A7593" w:rsidRPr="00AB483D" w:rsidRDefault="002A7593">
      <w:pPr>
        <w:pStyle w:val="TableofAuthorities"/>
        <w:tabs>
          <w:tab w:val="right" w:leader="hyphen" w:pos="9350"/>
        </w:tabs>
        <w:rPr>
          <w:rFonts w:ascii="Garamond" w:hAnsi="Garamond"/>
          <w:noProof/>
          <w:lang w:val="es-ES"/>
        </w:rPr>
      </w:pPr>
      <w:r w:rsidRPr="00AB483D">
        <w:rPr>
          <w:rFonts w:ascii="Garamond" w:eastAsia="Garamond" w:hAnsi="Garamond" w:cs="Garamond"/>
          <w:noProof/>
          <w:lang w:val="es-ES"/>
        </w:rPr>
        <w:t>Ex parte Warner</w:t>
      </w:r>
      <w:r w:rsidRPr="00AB483D">
        <w:rPr>
          <w:rFonts w:ascii="Garamond" w:hAnsi="Garamond"/>
          <w:noProof/>
          <w:lang w:val="es-ES"/>
        </w:rPr>
        <w:tab/>
        <w:t>85</w:t>
      </w:r>
    </w:p>
    <w:p w14:paraId="6F32DEE5"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Ex parte Watkins</w:t>
      </w:r>
      <w:r w:rsidRPr="004E2346">
        <w:rPr>
          <w:rFonts w:ascii="Garamond" w:hAnsi="Garamond"/>
          <w:noProof/>
        </w:rPr>
        <w:tab/>
        <w:t>116</w:t>
      </w:r>
    </w:p>
    <w:p w14:paraId="0D9DE81D"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FCC v. AT&amp;T</w:t>
      </w:r>
      <w:r w:rsidRPr="004E2346">
        <w:rPr>
          <w:rFonts w:ascii="Garamond" w:hAnsi="Garamond"/>
          <w:noProof/>
        </w:rPr>
        <w:tab/>
        <w:t>67</w:t>
      </w:r>
    </w:p>
    <w:p w14:paraId="7DDE49D1"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Fed. Bureau of Investigation v. Fikre</w:t>
      </w:r>
      <w:r w:rsidRPr="004E2346">
        <w:rPr>
          <w:rFonts w:ascii="Garamond" w:hAnsi="Garamond"/>
          <w:noProof/>
        </w:rPr>
        <w:tab/>
        <w:t>44</w:t>
      </w:r>
    </w:p>
    <w:p w14:paraId="53C2DA59"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Felder v. Casey</w:t>
      </w:r>
      <w:r w:rsidRPr="004E2346">
        <w:rPr>
          <w:rFonts w:ascii="Garamond" w:hAnsi="Garamond"/>
          <w:noProof/>
        </w:rPr>
        <w:tab/>
        <w:t>70</w:t>
      </w:r>
    </w:p>
    <w:p w14:paraId="753F7919"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Felker v. Turpin, Warden</w:t>
      </w:r>
      <w:r w:rsidRPr="004E2346">
        <w:rPr>
          <w:rFonts w:ascii="Garamond" w:hAnsi="Garamond"/>
          <w:noProof/>
        </w:rPr>
        <w:tab/>
        <w:t>117</w:t>
      </w:r>
    </w:p>
    <w:p w14:paraId="1F159C16" w14:textId="77777777" w:rsidR="002A7593" w:rsidRPr="00FA4C45" w:rsidRDefault="002A7593">
      <w:pPr>
        <w:pStyle w:val="TableofAuthorities"/>
        <w:tabs>
          <w:tab w:val="right" w:leader="hyphen" w:pos="9350"/>
        </w:tabs>
        <w:rPr>
          <w:rFonts w:ascii="Garamond" w:hAnsi="Garamond"/>
          <w:noProof/>
          <w:lang w:val="es-ES"/>
        </w:rPr>
      </w:pPr>
      <w:r w:rsidRPr="00FA4C45">
        <w:rPr>
          <w:rFonts w:ascii="Garamond" w:hAnsi="Garamond"/>
          <w:noProof/>
          <w:lang w:val="es-ES"/>
        </w:rPr>
        <w:t>Fin. Oversight and Mgmt. Bd. for Puerto Rico v. Centro de Periodismo Investigativo, Inc.</w:t>
      </w:r>
      <w:r w:rsidRPr="00FA4C45">
        <w:rPr>
          <w:rFonts w:ascii="Garamond" w:hAnsi="Garamond"/>
          <w:noProof/>
          <w:lang w:val="es-ES"/>
        </w:rPr>
        <w:tab/>
        <w:t>93, 95</w:t>
      </w:r>
    </w:p>
    <w:p w14:paraId="1B11AFF7"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First Choice Women’s Resource Centers, Inc. v. Davenport</w:t>
      </w:r>
      <w:r w:rsidRPr="004E2346">
        <w:rPr>
          <w:rFonts w:ascii="Garamond" w:hAnsi="Garamond"/>
          <w:noProof/>
        </w:rPr>
        <w:tab/>
        <w:t>43</w:t>
      </w:r>
    </w:p>
    <w:p w14:paraId="10986482"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Fitzgerald v. Barnstable</w:t>
      </w:r>
      <w:r w:rsidRPr="004E2346">
        <w:rPr>
          <w:rFonts w:ascii="Garamond" w:hAnsi="Garamond"/>
          <w:noProof/>
        </w:rPr>
        <w:tab/>
        <w:t>89</w:t>
      </w:r>
    </w:p>
    <w:p w14:paraId="41549788"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Food and Drug Administration v. Alliance for Hippocratic Medicine</w:t>
      </w:r>
      <w:r w:rsidRPr="004E2346">
        <w:rPr>
          <w:rFonts w:ascii="Garamond" w:hAnsi="Garamond"/>
          <w:noProof/>
        </w:rPr>
        <w:tab/>
        <w:t>15, 144</w:t>
      </w:r>
    </w:p>
    <w:p w14:paraId="6546211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Fort Bend County v. Davis</w:t>
      </w:r>
      <w:r w:rsidRPr="004E2346">
        <w:rPr>
          <w:rFonts w:ascii="Garamond" w:hAnsi="Garamond"/>
          <w:noProof/>
        </w:rPr>
        <w:tab/>
        <w:t>11</w:t>
      </w:r>
    </w:p>
    <w:p w14:paraId="4E710DCE"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Free Enterprise Fund v. PCAOB</w:t>
      </w:r>
      <w:r w:rsidRPr="004E2346">
        <w:rPr>
          <w:rFonts w:ascii="Garamond" w:hAnsi="Garamond"/>
          <w:noProof/>
        </w:rPr>
        <w:tab/>
        <w:t>69</w:t>
      </w:r>
    </w:p>
    <w:p w14:paraId="622B817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Friends of the Earth v. Laidlaw Env’t Servs.</w:t>
      </w:r>
      <w:r w:rsidRPr="004E2346">
        <w:rPr>
          <w:rFonts w:ascii="Garamond" w:hAnsi="Garamond"/>
          <w:noProof/>
        </w:rPr>
        <w:tab/>
        <w:t>43</w:t>
      </w:r>
    </w:p>
    <w:p w14:paraId="3A13503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color w:val="000000" w:themeColor="text1"/>
        </w:rPr>
        <w:t>FS Credit Opportunities Corp. v. Saba Capital Master Fund, Ltd.</w:t>
      </w:r>
      <w:r w:rsidRPr="004E2346">
        <w:rPr>
          <w:rFonts w:ascii="Garamond" w:hAnsi="Garamond"/>
          <w:noProof/>
        </w:rPr>
        <w:tab/>
        <w:t>90</w:t>
      </w:r>
    </w:p>
    <w:p w14:paraId="11F9CDA4" w14:textId="77777777" w:rsidR="002A7593" w:rsidRPr="004E2346" w:rsidRDefault="002A7593">
      <w:pPr>
        <w:pStyle w:val="TableofAuthorities"/>
        <w:tabs>
          <w:tab w:val="right" w:leader="hyphen" w:pos="9350"/>
        </w:tabs>
        <w:rPr>
          <w:rFonts w:ascii="Garamond" w:hAnsi="Garamond"/>
          <w:noProof/>
        </w:rPr>
      </w:pPr>
      <w:r w:rsidRPr="004E2346">
        <w:rPr>
          <w:rFonts w:ascii="Garamond" w:eastAsiaTheme="majorEastAsia" w:hAnsi="Garamond"/>
          <w:noProof/>
        </w:rPr>
        <w:t>Glossip v. Oklahoma</w:t>
      </w:r>
      <w:r w:rsidRPr="004E2346">
        <w:rPr>
          <w:rFonts w:ascii="Garamond" w:hAnsi="Garamond"/>
          <w:noProof/>
        </w:rPr>
        <w:tab/>
        <w:t>120</w:t>
      </w:r>
    </w:p>
    <w:p w14:paraId="3752B6C3"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Goldey v. Fields</w:t>
      </w:r>
      <w:r w:rsidRPr="004E2346">
        <w:rPr>
          <w:rFonts w:ascii="Garamond" w:hAnsi="Garamond"/>
          <w:noProof/>
        </w:rPr>
        <w:tab/>
        <w:t>106</w:t>
      </w:r>
    </w:p>
    <w:p w14:paraId="7B3A3ACA" w14:textId="77777777" w:rsidR="002A7593" w:rsidRPr="00FA4C45" w:rsidRDefault="002A7593">
      <w:pPr>
        <w:pStyle w:val="TableofAuthorities"/>
        <w:tabs>
          <w:tab w:val="right" w:leader="hyphen" w:pos="9350"/>
        </w:tabs>
        <w:rPr>
          <w:rFonts w:ascii="Garamond" w:hAnsi="Garamond"/>
          <w:noProof/>
          <w:lang w:val="es-ES"/>
        </w:rPr>
      </w:pPr>
      <w:r w:rsidRPr="00FA4C45">
        <w:rPr>
          <w:rFonts w:ascii="Garamond" w:hAnsi="Garamond"/>
          <w:noProof/>
          <w:lang w:val="es-ES"/>
        </w:rPr>
        <w:t>Gonzaga v. Doe</w:t>
      </w:r>
      <w:r w:rsidRPr="00FA4C45">
        <w:rPr>
          <w:rFonts w:ascii="Garamond" w:hAnsi="Garamond"/>
          <w:noProof/>
          <w:lang w:val="es-ES"/>
        </w:rPr>
        <w:tab/>
        <w:t>89</w:t>
      </w:r>
    </w:p>
    <w:p w14:paraId="03EE636E" w14:textId="77777777" w:rsidR="002A7593" w:rsidRPr="00FA4C45" w:rsidRDefault="002A7593">
      <w:pPr>
        <w:pStyle w:val="TableofAuthorities"/>
        <w:tabs>
          <w:tab w:val="right" w:leader="hyphen" w:pos="9350"/>
        </w:tabs>
        <w:rPr>
          <w:rFonts w:ascii="Garamond" w:hAnsi="Garamond"/>
          <w:noProof/>
          <w:lang w:val="es-ES"/>
        </w:rPr>
      </w:pPr>
      <w:r w:rsidRPr="00FA4C45">
        <w:rPr>
          <w:rFonts w:ascii="Garamond" w:eastAsia="Times New Roman" w:hAnsi="Garamond"/>
          <w:noProof/>
          <w:lang w:val="es-ES"/>
        </w:rPr>
        <w:t>Granfinanciera, S.A. v. Nordberg</w:t>
      </w:r>
      <w:r w:rsidRPr="00FA4C45">
        <w:rPr>
          <w:rFonts w:ascii="Garamond" w:hAnsi="Garamond"/>
          <w:noProof/>
          <w:lang w:val="es-ES"/>
        </w:rPr>
        <w:tab/>
        <w:t>55</w:t>
      </w:r>
    </w:p>
    <w:p w14:paraId="6B6912CE"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Haaland v. Brackeen</w:t>
      </w:r>
      <w:r w:rsidRPr="004E2346">
        <w:rPr>
          <w:rFonts w:ascii="Garamond" w:hAnsi="Garamond"/>
          <w:noProof/>
        </w:rPr>
        <w:tab/>
        <w:t>34, 70</w:t>
      </w:r>
    </w:p>
    <w:p w14:paraId="39034A3E"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Health &amp; Hospital Corporation of Marion County v. Talevski</w:t>
      </w:r>
      <w:r w:rsidRPr="004E2346">
        <w:rPr>
          <w:rFonts w:ascii="Garamond" w:hAnsi="Garamond"/>
          <w:noProof/>
        </w:rPr>
        <w:tab/>
        <w:t>89</w:t>
      </w:r>
    </w:p>
    <w:p w14:paraId="4E440B75"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Hencely v. Fluor Corp.</w:t>
      </w:r>
      <w:r w:rsidRPr="004E2346">
        <w:rPr>
          <w:rFonts w:ascii="Garamond" w:hAnsi="Garamond"/>
          <w:noProof/>
        </w:rPr>
        <w:tab/>
        <w:t>96</w:t>
      </w:r>
    </w:p>
    <w:p w14:paraId="237866AA"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Hirabayashi v. United States</w:t>
      </w:r>
      <w:r w:rsidRPr="004E2346">
        <w:rPr>
          <w:rFonts w:ascii="Garamond" w:hAnsi="Garamond"/>
          <w:noProof/>
        </w:rPr>
        <w:tab/>
        <w:t>143</w:t>
      </w:r>
    </w:p>
    <w:p w14:paraId="5D075575"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lastRenderedPageBreak/>
        <w:t>Hope v. Pelzer</w:t>
      </w:r>
      <w:r w:rsidRPr="004E2346">
        <w:rPr>
          <w:rFonts w:ascii="Garamond" w:hAnsi="Garamond"/>
          <w:noProof/>
        </w:rPr>
        <w:tab/>
        <w:t>119</w:t>
      </w:r>
    </w:p>
    <w:p w14:paraId="7D665134"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Humphrey’s Executor v. United States</w:t>
      </w:r>
      <w:r w:rsidRPr="004E2346">
        <w:rPr>
          <w:rFonts w:ascii="Garamond" w:hAnsi="Garamond"/>
          <w:noProof/>
        </w:rPr>
        <w:tab/>
        <w:t>68, 124</w:t>
      </w:r>
    </w:p>
    <w:p w14:paraId="594620B7"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Hunter v. Wood</w:t>
      </w:r>
      <w:r w:rsidRPr="004E2346">
        <w:rPr>
          <w:rFonts w:ascii="Garamond" w:hAnsi="Garamond"/>
          <w:noProof/>
        </w:rPr>
        <w:tab/>
        <w:t>84</w:t>
      </w:r>
    </w:p>
    <w:p w14:paraId="7261EAD0"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In re Fair</w:t>
      </w:r>
      <w:r w:rsidRPr="004E2346">
        <w:rPr>
          <w:rFonts w:ascii="Garamond" w:hAnsi="Garamond"/>
          <w:noProof/>
        </w:rPr>
        <w:tab/>
        <w:t>85</w:t>
      </w:r>
    </w:p>
    <w:p w14:paraId="317A21B4" w14:textId="77777777" w:rsidR="002A7593" w:rsidRPr="004E2346" w:rsidRDefault="002A7593">
      <w:pPr>
        <w:pStyle w:val="TableofAuthorities"/>
        <w:tabs>
          <w:tab w:val="right" w:leader="hyphen" w:pos="9350"/>
        </w:tabs>
        <w:rPr>
          <w:rFonts w:ascii="Garamond" w:hAnsi="Garamond"/>
          <w:noProof/>
          <w:lang w:val="de-DE"/>
        </w:rPr>
      </w:pPr>
      <w:r w:rsidRPr="004E2346">
        <w:rPr>
          <w:rFonts w:ascii="Garamond" w:eastAsia="Garamond" w:hAnsi="Garamond" w:cs="Garamond"/>
          <w:noProof/>
          <w:lang w:val="de-DE"/>
        </w:rPr>
        <w:t>In re Lewis</w:t>
      </w:r>
      <w:r w:rsidRPr="004E2346">
        <w:rPr>
          <w:rFonts w:ascii="Garamond" w:hAnsi="Garamond"/>
          <w:noProof/>
          <w:lang w:val="de-DE"/>
        </w:rPr>
        <w:tab/>
        <w:t>85</w:t>
      </w:r>
    </w:p>
    <w:p w14:paraId="356BBEB3" w14:textId="77777777" w:rsidR="002A7593" w:rsidRPr="004E2346" w:rsidRDefault="002A7593">
      <w:pPr>
        <w:pStyle w:val="TableofAuthorities"/>
        <w:tabs>
          <w:tab w:val="right" w:leader="hyphen" w:pos="9350"/>
        </w:tabs>
        <w:rPr>
          <w:rFonts w:ascii="Garamond" w:hAnsi="Garamond"/>
          <w:noProof/>
          <w:lang w:val="de-DE"/>
        </w:rPr>
      </w:pPr>
      <w:r w:rsidRPr="004E2346">
        <w:rPr>
          <w:rFonts w:ascii="Garamond" w:hAnsi="Garamond"/>
          <w:noProof/>
          <w:lang w:val="de-DE"/>
        </w:rPr>
        <w:t>In re McShane</w:t>
      </w:r>
      <w:r w:rsidRPr="004E2346">
        <w:rPr>
          <w:rFonts w:ascii="Garamond" w:hAnsi="Garamond"/>
          <w:noProof/>
          <w:lang w:val="de-DE"/>
        </w:rPr>
        <w:tab/>
        <w:t>71, 78</w:t>
      </w:r>
    </w:p>
    <w:p w14:paraId="017F975F" w14:textId="77777777" w:rsidR="002A7593" w:rsidRPr="004E2346" w:rsidRDefault="002A7593">
      <w:pPr>
        <w:pStyle w:val="TableofAuthorities"/>
        <w:tabs>
          <w:tab w:val="right" w:leader="hyphen" w:pos="9350"/>
        </w:tabs>
        <w:rPr>
          <w:rFonts w:ascii="Garamond" w:hAnsi="Garamond"/>
          <w:noProof/>
          <w:lang w:val="de-DE"/>
        </w:rPr>
      </w:pPr>
      <w:r w:rsidRPr="004E2346">
        <w:rPr>
          <w:rFonts w:ascii="Garamond" w:hAnsi="Garamond"/>
          <w:noProof/>
          <w:lang w:val="de-DE"/>
        </w:rPr>
        <w:t>In re Neagle</w:t>
      </w:r>
      <w:r w:rsidRPr="004E2346">
        <w:rPr>
          <w:rFonts w:ascii="Garamond" w:hAnsi="Garamond"/>
          <w:noProof/>
          <w:lang w:val="de-DE"/>
        </w:rPr>
        <w:tab/>
        <w:t>71, 84, 86</w:t>
      </w:r>
    </w:p>
    <w:p w14:paraId="16DECFC9" w14:textId="77777777" w:rsidR="002A7593" w:rsidRPr="004E2346" w:rsidRDefault="002A7593">
      <w:pPr>
        <w:pStyle w:val="TableofAuthorities"/>
        <w:tabs>
          <w:tab w:val="right" w:leader="hyphen" w:pos="9350"/>
        </w:tabs>
        <w:rPr>
          <w:rFonts w:ascii="Garamond" w:hAnsi="Garamond"/>
          <w:noProof/>
          <w:lang w:val="de-DE"/>
        </w:rPr>
      </w:pPr>
      <w:r w:rsidRPr="004E2346">
        <w:rPr>
          <w:rFonts w:ascii="Garamond" w:eastAsia="Garamond" w:hAnsi="Garamond" w:cs="Garamond"/>
          <w:noProof/>
          <w:lang w:val="de-DE"/>
        </w:rPr>
        <w:t>In re Waite</w:t>
      </w:r>
      <w:r w:rsidRPr="004E2346">
        <w:rPr>
          <w:rFonts w:ascii="Garamond" w:hAnsi="Garamond"/>
          <w:noProof/>
          <w:lang w:val="de-DE"/>
        </w:rPr>
        <w:tab/>
        <w:t>86</w:t>
      </w:r>
    </w:p>
    <w:p w14:paraId="7CD6154E" w14:textId="77777777" w:rsidR="002A7593" w:rsidRPr="004E2346" w:rsidRDefault="002A7593">
      <w:pPr>
        <w:pStyle w:val="TableofAuthorities"/>
        <w:tabs>
          <w:tab w:val="right" w:leader="hyphen" w:pos="9350"/>
        </w:tabs>
        <w:rPr>
          <w:rFonts w:ascii="Garamond" w:hAnsi="Garamond"/>
          <w:noProof/>
          <w:lang w:val="de-DE"/>
        </w:rPr>
      </w:pPr>
      <w:r w:rsidRPr="004E2346">
        <w:rPr>
          <w:rFonts w:ascii="Garamond" w:hAnsi="Garamond"/>
          <w:noProof/>
          <w:lang w:val="de-DE"/>
        </w:rPr>
        <w:t>In re Watkins</w:t>
      </w:r>
      <w:r w:rsidRPr="004E2346">
        <w:rPr>
          <w:rFonts w:ascii="Garamond" w:hAnsi="Garamond"/>
          <w:noProof/>
          <w:lang w:val="de-DE"/>
        </w:rPr>
        <w:tab/>
        <w:t>117</w:t>
      </w:r>
    </w:p>
    <w:p w14:paraId="3BFC3B06" w14:textId="77777777" w:rsidR="002A7593" w:rsidRPr="004E2346" w:rsidRDefault="002A7593">
      <w:pPr>
        <w:pStyle w:val="TableofAuthorities"/>
        <w:tabs>
          <w:tab w:val="right" w:leader="hyphen" w:pos="9350"/>
        </w:tabs>
        <w:rPr>
          <w:rFonts w:ascii="Garamond" w:hAnsi="Garamond"/>
          <w:noProof/>
          <w:lang w:val="de-DE"/>
        </w:rPr>
      </w:pPr>
      <w:r w:rsidRPr="004E2346">
        <w:rPr>
          <w:rFonts w:ascii="Garamond" w:eastAsia="Garamond" w:hAnsi="Garamond" w:cs="Garamond"/>
          <w:noProof/>
          <w:lang w:val="de-DE"/>
        </w:rPr>
        <w:t>In re Wulzen</w:t>
      </w:r>
      <w:r w:rsidRPr="004E2346">
        <w:rPr>
          <w:rFonts w:ascii="Garamond" w:hAnsi="Garamond"/>
          <w:noProof/>
          <w:lang w:val="de-DE"/>
        </w:rPr>
        <w:tab/>
        <w:t>84, 85</w:t>
      </w:r>
    </w:p>
    <w:p w14:paraId="567123A1" w14:textId="77777777" w:rsidR="002A7593" w:rsidRPr="004E2346" w:rsidRDefault="002A7593">
      <w:pPr>
        <w:pStyle w:val="TableofAuthorities"/>
        <w:tabs>
          <w:tab w:val="right" w:leader="hyphen" w:pos="9350"/>
        </w:tabs>
        <w:rPr>
          <w:rFonts w:ascii="Garamond" w:hAnsi="Garamond"/>
          <w:noProof/>
          <w:lang w:val="de-DE"/>
        </w:rPr>
      </w:pPr>
      <w:r w:rsidRPr="004E2346">
        <w:rPr>
          <w:rFonts w:ascii="Garamond" w:hAnsi="Garamond"/>
          <w:noProof/>
          <w:lang w:val="de-DE"/>
        </w:rPr>
        <w:t>INS v. Errico</w:t>
      </w:r>
      <w:r w:rsidRPr="004E2346">
        <w:rPr>
          <w:rFonts w:ascii="Garamond" w:hAnsi="Garamond"/>
          <w:noProof/>
          <w:lang w:val="de-DE"/>
        </w:rPr>
        <w:tab/>
        <w:t>143</w:t>
      </w:r>
    </w:p>
    <w:p w14:paraId="4D70B825" w14:textId="77777777" w:rsidR="002A7593" w:rsidRPr="00FA4C45" w:rsidRDefault="002A7593">
      <w:pPr>
        <w:pStyle w:val="TableofAuthorities"/>
        <w:tabs>
          <w:tab w:val="right" w:leader="hyphen" w:pos="9350"/>
        </w:tabs>
        <w:rPr>
          <w:rFonts w:ascii="Garamond" w:hAnsi="Garamond"/>
          <w:noProof/>
          <w:lang w:val="es-ES"/>
        </w:rPr>
      </w:pPr>
      <w:r w:rsidRPr="00FA4C45">
        <w:rPr>
          <w:rFonts w:ascii="Garamond" w:hAnsi="Garamond"/>
          <w:noProof/>
          <w:lang w:val="es-ES"/>
        </w:rPr>
        <w:t>INS v. Rios-Pineda</w:t>
      </w:r>
      <w:r w:rsidRPr="00FA4C45">
        <w:rPr>
          <w:rFonts w:ascii="Garamond" w:hAnsi="Garamond"/>
          <w:noProof/>
          <w:lang w:val="es-ES"/>
        </w:rPr>
        <w:tab/>
        <w:t>143</w:t>
      </w:r>
    </w:p>
    <w:p w14:paraId="7855496A"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color w:val="000000" w:themeColor="text1"/>
          <w:bdr w:val="none" w:sz="0" w:space="0" w:color="auto" w:frame="1"/>
          <w:shd w:val="clear" w:color="auto" w:fill="FFFFFF"/>
        </w:rPr>
        <w:t>Irwin v. Department of Veterans Affairs</w:t>
      </w:r>
      <w:r w:rsidRPr="004E2346">
        <w:rPr>
          <w:rFonts w:ascii="Garamond" w:hAnsi="Garamond"/>
          <w:noProof/>
        </w:rPr>
        <w:tab/>
        <w:t>12</w:t>
      </w:r>
    </w:p>
    <w:p w14:paraId="7AEE6FE0"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Isaac v. Googe</w:t>
      </w:r>
      <w:r w:rsidRPr="004E2346">
        <w:rPr>
          <w:rFonts w:ascii="Garamond" w:hAnsi="Garamond"/>
          <w:noProof/>
        </w:rPr>
        <w:tab/>
        <w:t>84</w:t>
      </w:r>
    </w:p>
    <w:p w14:paraId="2846D4B2"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Jones v. Hendrix</w:t>
      </w:r>
      <w:r w:rsidRPr="004E2346">
        <w:rPr>
          <w:rFonts w:ascii="Garamond" w:hAnsi="Garamond"/>
          <w:noProof/>
        </w:rPr>
        <w:tab/>
        <w:t>116, 117</w:t>
      </w:r>
    </w:p>
    <w:p w14:paraId="405A6EEE"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K.A. v. Fulton County Sch. Dist.</w:t>
      </w:r>
      <w:r w:rsidRPr="004E2346">
        <w:rPr>
          <w:rFonts w:ascii="Garamond" w:hAnsi="Garamond"/>
          <w:noProof/>
        </w:rPr>
        <w:tab/>
        <w:t>88</w:t>
      </w:r>
    </w:p>
    <w:p w14:paraId="685E7820" w14:textId="6A3BA001"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Kansas v. Carr</w:t>
      </w:r>
      <w:r w:rsidRPr="004E2346">
        <w:rPr>
          <w:rFonts w:ascii="Garamond" w:hAnsi="Garamond"/>
          <w:noProof/>
        </w:rPr>
        <w:tab/>
        <w:t>11</w:t>
      </w:r>
      <w:r w:rsidR="00AB483D">
        <w:rPr>
          <w:rFonts w:ascii="Garamond" w:hAnsi="Garamond"/>
          <w:noProof/>
        </w:rPr>
        <w:t>8</w:t>
      </w:r>
    </w:p>
    <w:p w14:paraId="0B335166" w14:textId="294807C1"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Klein v. Martin</w:t>
      </w:r>
      <w:r w:rsidRPr="004E2346">
        <w:rPr>
          <w:rFonts w:ascii="Garamond" w:hAnsi="Garamond"/>
          <w:noProof/>
        </w:rPr>
        <w:tab/>
        <w:t>11</w:t>
      </w:r>
      <w:r w:rsidR="00FA4C45">
        <w:rPr>
          <w:rFonts w:ascii="Garamond" w:hAnsi="Garamond"/>
          <w:noProof/>
        </w:rPr>
        <w:t>7</w:t>
      </w:r>
    </w:p>
    <w:p w14:paraId="4AC66D80" w14:textId="53D66425"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Kohn v. State Bar of Cal.</w:t>
      </w:r>
      <w:r w:rsidRPr="004E2346">
        <w:rPr>
          <w:rFonts w:ascii="Garamond" w:hAnsi="Garamond"/>
          <w:noProof/>
        </w:rPr>
        <w:tab/>
        <w:t>9</w:t>
      </w:r>
      <w:r w:rsidR="00FA4C45">
        <w:rPr>
          <w:rFonts w:ascii="Garamond" w:hAnsi="Garamond"/>
          <w:noProof/>
        </w:rPr>
        <w:t>2</w:t>
      </w:r>
    </w:p>
    <w:p w14:paraId="3963B139"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Lac du Flambeau Band of Lake Superior Chippewa Indians v. Coughlin</w:t>
      </w:r>
      <w:r w:rsidRPr="004E2346">
        <w:rPr>
          <w:rFonts w:ascii="Garamond" w:hAnsi="Garamond"/>
          <w:noProof/>
        </w:rPr>
        <w:tab/>
        <w:t>93, 94</w:t>
      </w:r>
    </w:p>
    <w:p w14:paraId="4092BCD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Landor v. Louisiana Department of Corrections</w:t>
      </w:r>
      <w:r w:rsidRPr="004E2346">
        <w:rPr>
          <w:rFonts w:ascii="Garamond" w:hAnsi="Garamond"/>
          <w:noProof/>
        </w:rPr>
        <w:tab/>
        <w:t>90</w:t>
      </w:r>
    </w:p>
    <w:p w14:paraId="58642600"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Lima v. Lawler</w:t>
      </w:r>
      <w:r w:rsidRPr="004E2346">
        <w:rPr>
          <w:rFonts w:ascii="Garamond" w:hAnsi="Garamond"/>
          <w:noProof/>
        </w:rPr>
        <w:tab/>
        <w:t>84</w:t>
      </w:r>
    </w:p>
    <w:p w14:paraId="1512C54A"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Linda R.S. v. Richard D.</w:t>
      </w:r>
      <w:r w:rsidRPr="004E2346">
        <w:rPr>
          <w:rFonts w:ascii="Garamond" w:hAnsi="Garamond"/>
          <w:noProof/>
        </w:rPr>
        <w:tab/>
        <w:t>35</w:t>
      </w:r>
    </w:p>
    <w:p w14:paraId="0C2761F5"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Loper Bright Enterprises v. Raimondo</w:t>
      </w:r>
      <w:r w:rsidRPr="004E2346">
        <w:rPr>
          <w:rFonts w:ascii="Garamond" w:hAnsi="Garamond"/>
          <w:noProof/>
        </w:rPr>
        <w:tab/>
        <w:t>54</w:t>
      </w:r>
    </w:p>
    <w:p w14:paraId="5DE59EB6"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Ludecke v. Watkins</w:t>
      </w:r>
      <w:r w:rsidRPr="004E2346">
        <w:rPr>
          <w:rFonts w:ascii="Garamond" w:hAnsi="Garamond"/>
          <w:noProof/>
        </w:rPr>
        <w:tab/>
        <w:t>112</w:t>
      </w:r>
    </w:p>
    <w:p w14:paraId="4D069A7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Maine v. Thiboutot</w:t>
      </w:r>
      <w:r w:rsidRPr="004E2346">
        <w:rPr>
          <w:rFonts w:ascii="Garamond" w:hAnsi="Garamond"/>
          <w:noProof/>
        </w:rPr>
        <w:tab/>
        <w:t>88</w:t>
      </w:r>
    </w:p>
    <w:p w14:paraId="1161763E"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Make the Road New York v. Mullin</w:t>
      </w:r>
      <w:r w:rsidRPr="004E2346">
        <w:rPr>
          <w:rFonts w:ascii="Garamond" w:hAnsi="Garamond"/>
          <w:noProof/>
        </w:rPr>
        <w:tab/>
        <w:t>114, 116</w:t>
      </w:r>
    </w:p>
    <w:p w14:paraId="6301F147"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McCarthy v. Hernandez</w:t>
      </w:r>
      <w:r w:rsidRPr="004E2346">
        <w:rPr>
          <w:rFonts w:ascii="Garamond" w:hAnsi="Garamond"/>
          <w:noProof/>
        </w:rPr>
        <w:tab/>
        <w:t>118</w:t>
      </w:r>
    </w:p>
    <w:p w14:paraId="5C9218F1"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McMahon v. New York</w:t>
      </w:r>
      <w:r w:rsidRPr="004E2346">
        <w:rPr>
          <w:rFonts w:ascii="Garamond" w:hAnsi="Garamond"/>
          <w:noProof/>
        </w:rPr>
        <w:tab/>
        <w:t>123</w:t>
      </w:r>
    </w:p>
    <w:p w14:paraId="6BD3C1D2"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Medina v. Planned Parenthood South Atlantic</w:t>
      </w:r>
      <w:r w:rsidRPr="004E2346">
        <w:rPr>
          <w:rFonts w:ascii="Garamond" w:hAnsi="Garamond"/>
          <w:noProof/>
        </w:rPr>
        <w:tab/>
        <w:t>90</w:t>
      </w:r>
    </w:p>
    <w:p w14:paraId="35BF8130" w14:textId="77777777" w:rsidR="002A7593" w:rsidRPr="004E2346" w:rsidRDefault="002A7593">
      <w:pPr>
        <w:pStyle w:val="TableofAuthorities"/>
        <w:tabs>
          <w:tab w:val="right" w:leader="hyphen" w:pos="9350"/>
        </w:tabs>
        <w:rPr>
          <w:rFonts w:ascii="Garamond" w:hAnsi="Garamond"/>
          <w:noProof/>
          <w:lang w:val="it-IT"/>
        </w:rPr>
      </w:pPr>
      <w:r w:rsidRPr="004E2346">
        <w:rPr>
          <w:rFonts w:ascii="Garamond" w:hAnsi="Garamond"/>
          <w:noProof/>
          <w:lang w:val="it-IT"/>
        </w:rPr>
        <w:t>Missouri v. Seibert</w:t>
      </w:r>
      <w:r w:rsidRPr="004E2346">
        <w:rPr>
          <w:rFonts w:ascii="Garamond" w:hAnsi="Garamond"/>
          <w:noProof/>
          <w:lang w:val="it-IT"/>
        </w:rPr>
        <w:tab/>
        <w:t>118</w:t>
      </w:r>
    </w:p>
    <w:p w14:paraId="0ECBD77F" w14:textId="77777777" w:rsidR="002A7593" w:rsidRPr="004E2346" w:rsidRDefault="002A7593">
      <w:pPr>
        <w:pStyle w:val="TableofAuthorities"/>
        <w:tabs>
          <w:tab w:val="right" w:leader="hyphen" w:pos="9350"/>
        </w:tabs>
        <w:rPr>
          <w:rFonts w:ascii="Garamond" w:hAnsi="Garamond"/>
          <w:noProof/>
          <w:lang w:val="it-IT"/>
        </w:rPr>
      </w:pPr>
      <w:r w:rsidRPr="004E2346">
        <w:rPr>
          <w:rFonts w:ascii="Garamond" w:hAnsi="Garamond"/>
          <w:noProof/>
          <w:lang w:val="it-IT"/>
        </w:rPr>
        <w:t>Morrison v. California</w:t>
      </w:r>
      <w:r w:rsidRPr="004E2346">
        <w:rPr>
          <w:rFonts w:ascii="Garamond" w:hAnsi="Garamond"/>
          <w:noProof/>
          <w:lang w:val="it-IT"/>
        </w:rPr>
        <w:tab/>
        <w:t>143</w:t>
      </w:r>
    </w:p>
    <w:p w14:paraId="3D16DA6F" w14:textId="77777777" w:rsidR="002A7593" w:rsidRPr="004E2346" w:rsidRDefault="002A7593">
      <w:pPr>
        <w:pStyle w:val="TableofAuthorities"/>
        <w:tabs>
          <w:tab w:val="right" w:leader="hyphen" w:pos="9350"/>
        </w:tabs>
        <w:rPr>
          <w:rFonts w:ascii="Garamond" w:hAnsi="Garamond"/>
          <w:noProof/>
          <w:lang w:val="it-IT"/>
        </w:rPr>
      </w:pPr>
      <w:r w:rsidRPr="004E2346">
        <w:rPr>
          <w:rFonts w:ascii="Garamond" w:hAnsi="Garamond"/>
          <w:noProof/>
          <w:lang w:val="it-IT"/>
        </w:rPr>
        <w:t>Mullane v. Central Hanover Bank</w:t>
      </w:r>
      <w:r w:rsidRPr="004E2346">
        <w:rPr>
          <w:rFonts w:ascii="Garamond" w:hAnsi="Garamond"/>
          <w:noProof/>
          <w:lang w:val="it-IT"/>
        </w:rPr>
        <w:tab/>
        <w:t>112, 113, 114, 115</w:t>
      </w:r>
    </w:p>
    <w:p w14:paraId="30C6B01D" w14:textId="77777777" w:rsidR="002A7593" w:rsidRPr="004E2346" w:rsidRDefault="002A7593">
      <w:pPr>
        <w:pStyle w:val="TableofAuthorities"/>
        <w:tabs>
          <w:tab w:val="right" w:leader="hyphen" w:pos="9350"/>
        </w:tabs>
        <w:rPr>
          <w:rFonts w:ascii="Garamond" w:hAnsi="Garamond"/>
          <w:noProof/>
          <w:lang w:val="nl-NL"/>
        </w:rPr>
      </w:pPr>
      <w:r w:rsidRPr="004E2346">
        <w:rPr>
          <w:rFonts w:ascii="Garamond" w:eastAsia="Times New Roman" w:hAnsi="Garamond"/>
          <w:noProof/>
          <w:lang w:val="nl-NL"/>
        </w:rPr>
        <w:t>Mullin v. Doe</w:t>
      </w:r>
      <w:r w:rsidRPr="004E2346">
        <w:rPr>
          <w:rFonts w:ascii="Garamond" w:hAnsi="Garamond"/>
          <w:noProof/>
          <w:lang w:val="nl-NL"/>
        </w:rPr>
        <w:tab/>
        <w:t>48</w:t>
      </w:r>
    </w:p>
    <w:p w14:paraId="515F0F91" w14:textId="77777777" w:rsidR="002A7593" w:rsidRPr="004E2346" w:rsidRDefault="002A7593">
      <w:pPr>
        <w:pStyle w:val="TableofAuthorities"/>
        <w:tabs>
          <w:tab w:val="right" w:leader="hyphen" w:pos="9350"/>
        </w:tabs>
        <w:rPr>
          <w:rFonts w:ascii="Garamond" w:hAnsi="Garamond"/>
          <w:noProof/>
          <w:lang w:val="nl-NL"/>
        </w:rPr>
      </w:pPr>
      <w:r w:rsidRPr="004E2346">
        <w:rPr>
          <w:rFonts w:ascii="Garamond" w:hAnsi="Garamond"/>
          <w:noProof/>
          <w:lang w:val="nl-NL"/>
        </w:rPr>
        <w:t>Murphy v. NCAA</w:t>
      </w:r>
      <w:r w:rsidRPr="004E2346">
        <w:rPr>
          <w:rFonts w:ascii="Garamond" w:hAnsi="Garamond"/>
          <w:noProof/>
          <w:lang w:val="nl-NL"/>
        </w:rPr>
        <w:tab/>
        <w:t>70</w:t>
      </w:r>
    </w:p>
    <w:p w14:paraId="46E50F02"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Murthy v. Missouri</w:t>
      </w:r>
      <w:r w:rsidRPr="004E2346">
        <w:rPr>
          <w:rFonts w:ascii="Garamond" w:hAnsi="Garamond"/>
          <w:noProof/>
        </w:rPr>
        <w:tab/>
        <w:t>35</w:t>
      </w:r>
    </w:p>
    <w:p w14:paraId="5C7D97B1"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Nance v. Ward</w:t>
      </w:r>
      <w:r w:rsidRPr="004E2346">
        <w:rPr>
          <w:rFonts w:ascii="Garamond" w:hAnsi="Garamond"/>
          <w:noProof/>
        </w:rPr>
        <w:tab/>
        <w:t>112</w:t>
      </w:r>
    </w:p>
    <w:p w14:paraId="59314494" w14:textId="77777777" w:rsidR="002A7593" w:rsidRPr="004E2346" w:rsidRDefault="002A7593">
      <w:pPr>
        <w:pStyle w:val="TableofAuthorities"/>
        <w:tabs>
          <w:tab w:val="right" w:leader="hyphen" w:pos="9350"/>
        </w:tabs>
        <w:rPr>
          <w:rFonts w:ascii="Garamond" w:hAnsi="Garamond"/>
          <w:noProof/>
        </w:rPr>
      </w:pPr>
      <w:r w:rsidRPr="004E2346">
        <w:rPr>
          <w:rFonts w:ascii="Garamond" w:eastAsiaTheme="majorEastAsia" w:hAnsi="Garamond"/>
          <w:noProof/>
        </w:rPr>
        <w:t>Napue v. Illinois</w:t>
      </w:r>
      <w:r w:rsidRPr="004E2346">
        <w:rPr>
          <w:rFonts w:ascii="Garamond" w:hAnsi="Garamond"/>
          <w:noProof/>
        </w:rPr>
        <w:tab/>
        <w:t>120</w:t>
      </w:r>
    </w:p>
    <w:p w14:paraId="5220D574"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New York v. United States</w:t>
      </w:r>
      <w:r w:rsidRPr="004E2346">
        <w:rPr>
          <w:rFonts w:ascii="Garamond" w:hAnsi="Garamond"/>
          <w:noProof/>
        </w:rPr>
        <w:tab/>
        <w:t>70</w:t>
      </w:r>
    </w:p>
    <w:p w14:paraId="50A9AE5D"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Nixon v. Fitzgerald</w:t>
      </w:r>
      <w:r w:rsidRPr="004E2346">
        <w:rPr>
          <w:rFonts w:ascii="Garamond" w:hAnsi="Garamond"/>
          <w:noProof/>
        </w:rPr>
        <w:tab/>
        <w:t>107</w:t>
      </w:r>
    </w:p>
    <w:p w14:paraId="1892FCDB"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Noem v. Perdomo</w:t>
      </w:r>
      <w:r w:rsidRPr="004E2346">
        <w:rPr>
          <w:rFonts w:ascii="Garamond" w:hAnsi="Garamond"/>
          <w:noProof/>
        </w:rPr>
        <w:tab/>
        <w:t>116</w:t>
      </w:r>
    </w:p>
    <w:p w14:paraId="59FB1395"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Northern Pipeline Construction Co. v. Marathon Pipe Line Co.</w:t>
      </w:r>
      <w:r w:rsidRPr="004E2346">
        <w:rPr>
          <w:rFonts w:ascii="Garamond" w:hAnsi="Garamond"/>
          <w:noProof/>
        </w:rPr>
        <w:tab/>
        <w:t>54</w:t>
      </w:r>
    </w:p>
    <w:p w14:paraId="102B138C" w14:textId="77777777" w:rsidR="002A7593" w:rsidRPr="004E2346" w:rsidRDefault="002A7593">
      <w:pPr>
        <w:pStyle w:val="TableofAuthorities"/>
        <w:tabs>
          <w:tab w:val="right" w:leader="hyphen" w:pos="9350"/>
        </w:tabs>
        <w:rPr>
          <w:rFonts w:ascii="Garamond" w:hAnsi="Garamond"/>
          <w:noProof/>
          <w:lang w:val="fi-FI"/>
        </w:rPr>
      </w:pPr>
      <w:r w:rsidRPr="004E2346">
        <w:rPr>
          <w:rFonts w:ascii="Garamond" w:eastAsia="Garamond" w:hAnsi="Garamond" w:cs="Garamond"/>
          <w:noProof/>
          <w:lang w:val="fi-FI"/>
        </w:rPr>
        <w:t>Ohio v. Thomas</w:t>
      </w:r>
      <w:r w:rsidRPr="004E2346">
        <w:rPr>
          <w:rFonts w:ascii="Garamond" w:hAnsi="Garamond"/>
          <w:noProof/>
          <w:lang w:val="fi-FI"/>
        </w:rPr>
        <w:tab/>
        <w:t>84</w:t>
      </w:r>
    </w:p>
    <w:p w14:paraId="5F99A239" w14:textId="77777777" w:rsidR="002A7593" w:rsidRPr="004E2346" w:rsidRDefault="002A7593">
      <w:pPr>
        <w:pStyle w:val="TableofAuthorities"/>
        <w:tabs>
          <w:tab w:val="right" w:leader="hyphen" w:pos="9350"/>
        </w:tabs>
        <w:rPr>
          <w:rFonts w:ascii="Garamond" w:hAnsi="Garamond"/>
          <w:noProof/>
          <w:lang w:val="fi-FI"/>
        </w:rPr>
      </w:pPr>
      <w:r w:rsidRPr="004E2346">
        <w:rPr>
          <w:rFonts w:ascii="Garamond" w:hAnsi="Garamond"/>
          <w:noProof/>
          <w:lang w:val="fi-FI"/>
        </w:rPr>
        <w:t>Payne v. Tennessee</w:t>
      </w:r>
      <w:r w:rsidRPr="004E2346">
        <w:rPr>
          <w:rFonts w:ascii="Garamond" w:hAnsi="Garamond"/>
          <w:noProof/>
          <w:lang w:val="fi-FI"/>
        </w:rPr>
        <w:tab/>
        <w:t>119</w:t>
      </w:r>
    </w:p>
    <w:p w14:paraId="23F13FAC" w14:textId="77777777" w:rsidR="002A7593" w:rsidRPr="004E2346" w:rsidRDefault="002A7593">
      <w:pPr>
        <w:pStyle w:val="TableofAuthorities"/>
        <w:tabs>
          <w:tab w:val="right" w:leader="hyphen" w:pos="9350"/>
        </w:tabs>
        <w:rPr>
          <w:rFonts w:ascii="Garamond" w:hAnsi="Garamond"/>
          <w:noProof/>
          <w:lang w:val="fi-FI"/>
        </w:rPr>
      </w:pPr>
      <w:r w:rsidRPr="004E2346">
        <w:rPr>
          <w:rFonts w:ascii="Garamond" w:hAnsi="Garamond"/>
          <w:noProof/>
          <w:lang w:val="fi-FI"/>
        </w:rPr>
        <w:t>Peyton v. Rowe</w:t>
      </w:r>
      <w:r w:rsidRPr="004E2346">
        <w:rPr>
          <w:rFonts w:ascii="Garamond" w:hAnsi="Garamond"/>
          <w:noProof/>
          <w:lang w:val="fi-FI"/>
        </w:rPr>
        <w:tab/>
        <w:t>112</w:t>
      </w:r>
    </w:p>
    <w:p w14:paraId="79247097"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Puerto Rico Ports Authority v. Fed. Maritime Com’n</w:t>
      </w:r>
      <w:r w:rsidRPr="004E2346">
        <w:rPr>
          <w:rFonts w:ascii="Garamond" w:hAnsi="Garamond"/>
          <w:noProof/>
        </w:rPr>
        <w:tab/>
        <w:t>93</w:t>
      </w:r>
    </w:p>
    <w:p w14:paraId="06003929"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Reed v. Goertz</w:t>
      </w:r>
      <w:r w:rsidRPr="004E2346">
        <w:rPr>
          <w:rFonts w:ascii="Garamond" w:hAnsi="Garamond"/>
          <w:noProof/>
        </w:rPr>
        <w:tab/>
        <w:t>94</w:t>
      </w:r>
    </w:p>
    <w:p w14:paraId="519D8760" w14:textId="77777777" w:rsidR="002A7593" w:rsidRPr="00FA4C45" w:rsidRDefault="002A7593">
      <w:pPr>
        <w:pStyle w:val="TableofAuthorities"/>
        <w:tabs>
          <w:tab w:val="right" w:leader="hyphen" w:pos="9350"/>
        </w:tabs>
        <w:rPr>
          <w:rFonts w:ascii="Garamond" w:hAnsi="Garamond"/>
          <w:noProof/>
          <w:lang w:val="es-ES"/>
        </w:rPr>
      </w:pPr>
      <w:r w:rsidRPr="00FA4C45">
        <w:rPr>
          <w:rFonts w:ascii="Garamond" w:hAnsi="Garamond"/>
          <w:noProof/>
          <w:lang w:val="es-ES"/>
        </w:rPr>
        <w:t>Rivers v. Guerrero</w:t>
      </w:r>
      <w:r w:rsidRPr="00FA4C45">
        <w:rPr>
          <w:rFonts w:ascii="Garamond" w:hAnsi="Garamond"/>
          <w:noProof/>
          <w:lang w:val="es-ES"/>
        </w:rPr>
        <w:tab/>
        <w:t>117</w:t>
      </w:r>
    </w:p>
    <w:p w14:paraId="235F5188" w14:textId="77777777" w:rsidR="002A7593" w:rsidRPr="00FA4C45" w:rsidRDefault="002A7593">
      <w:pPr>
        <w:pStyle w:val="TableofAuthorities"/>
        <w:tabs>
          <w:tab w:val="right" w:leader="hyphen" w:pos="9350"/>
        </w:tabs>
        <w:rPr>
          <w:rFonts w:ascii="Garamond" w:hAnsi="Garamond"/>
          <w:noProof/>
          <w:lang w:val="es-ES"/>
        </w:rPr>
      </w:pPr>
      <w:r w:rsidRPr="00FA4C45">
        <w:rPr>
          <w:rFonts w:ascii="Garamond" w:hAnsi="Garamond"/>
          <w:noProof/>
          <w:lang w:val="es-ES"/>
        </w:rPr>
        <w:t>Roe v. Wade</w:t>
      </w:r>
      <w:r w:rsidRPr="00FA4C45">
        <w:rPr>
          <w:rFonts w:ascii="Garamond" w:hAnsi="Garamond"/>
          <w:noProof/>
          <w:lang w:val="es-ES"/>
        </w:rPr>
        <w:tab/>
        <w:t>15</w:t>
      </w:r>
    </w:p>
    <w:p w14:paraId="1AC79837"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Romano v. Oklahoma</w:t>
      </w:r>
      <w:r w:rsidRPr="004E2346">
        <w:rPr>
          <w:rFonts w:ascii="Garamond" w:hAnsi="Garamond"/>
          <w:noProof/>
        </w:rPr>
        <w:tab/>
        <w:t>119</w:t>
      </w:r>
    </w:p>
    <w:p w14:paraId="7627263B"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color w:val="000000" w:themeColor="text1"/>
          <w:bdr w:val="none" w:sz="0" w:space="0" w:color="auto" w:frame="1"/>
          <w:shd w:val="clear" w:color="auto" w:fill="FFFFFF"/>
        </w:rPr>
        <w:t>Scarborough v. Principi</w:t>
      </w:r>
      <w:r w:rsidRPr="004E2346">
        <w:rPr>
          <w:rFonts w:ascii="Garamond" w:hAnsi="Garamond"/>
          <w:noProof/>
        </w:rPr>
        <w:tab/>
        <w:t>12</w:t>
      </w:r>
    </w:p>
    <w:p w14:paraId="56F2A4BC"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SEC v. Jarkesy</w:t>
      </w:r>
      <w:r w:rsidRPr="004E2346">
        <w:rPr>
          <w:rFonts w:ascii="Garamond" w:hAnsi="Garamond"/>
          <w:noProof/>
        </w:rPr>
        <w:tab/>
        <w:t>55</w:t>
      </w:r>
    </w:p>
    <w:p w14:paraId="35A6B184"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Seila Law v. CFPB</w:t>
      </w:r>
      <w:r w:rsidRPr="004E2346">
        <w:rPr>
          <w:rFonts w:ascii="Garamond" w:hAnsi="Garamond"/>
          <w:noProof/>
        </w:rPr>
        <w:tab/>
        <w:t>69</w:t>
      </w:r>
    </w:p>
    <w:p w14:paraId="56F4DA09"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Shoop v. Twyford</w:t>
      </w:r>
      <w:r w:rsidRPr="004E2346">
        <w:rPr>
          <w:rFonts w:ascii="Garamond" w:hAnsi="Garamond"/>
          <w:noProof/>
        </w:rPr>
        <w:tab/>
        <w:t>118</w:t>
      </w:r>
    </w:p>
    <w:p w14:paraId="0A5D773F"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Simmons v. South Carolina</w:t>
      </w:r>
      <w:r w:rsidRPr="004E2346">
        <w:rPr>
          <w:rFonts w:ascii="Garamond" w:hAnsi="Garamond"/>
          <w:noProof/>
        </w:rPr>
        <w:tab/>
        <w:t>121, 122</w:t>
      </w:r>
    </w:p>
    <w:p w14:paraId="3EB4558C"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Social Security Administration v. American Federation of State, County, and Municipal Employees</w:t>
      </w:r>
      <w:r w:rsidRPr="004E2346">
        <w:rPr>
          <w:rFonts w:ascii="Garamond" w:hAnsi="Garamond"/>
          <w:noProof/>
        </w:rPr>
        <w:tab/>
        <w:t>122</w:t>
      </w:r>
    </w:p>
    <w:p w14:paraId="2742B567"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St. Joseph Stock Yards Co. v. United States</w:t>
      </w:r>
      <w:r w:rsidRPr="004E2346">
        <w:rPr>
          <w:rFonts w:ascii="Garamond" w:hAnsi="Garamond"/>
          <w:noProof/>
        </w:rPr>
        <w:tab/>
        <w:t>54</w:t>
      </w:r>
    </w:p>
    <w:p w14:paraId="4535E637"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lastRenderedPageBreak/>
        <w:t>Students for Fair Admissions v. President and Fellows of Harvard College</w:t>
      </w:r>
      <w:r w:rsidRPr="004E2346">
        <w:rPr>
          <w:rFonts w:ascii="Garamond" w:hAnsi="Garamond"/>
          <w:noProof/>
        </w:rPr>
        <w:tab/>
        <w:t>28, 43</w:t>
      </w:r>
    </w:p>
    <w:p w14:paraId="3FCDB5DB"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T.M. v. Univ. of Md. Med. Sys. Corp.</w:t>
      </w:r>
      <w:r w:rsidRPr="004E2346">
        <w:rPr>
          <w:rFonts w:ascii="Garamond" w:hAnsi="Garamond"/>
          <w:noProof/>
        </w:rPr>
        <w:tab/>
        <w:t>120</w:t>
      </w:r>
    </w:p>
    <w:p w14:paraId="51C65F49"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Taylor v. Riojas</w:t>
      </w:r>
      <w:r w:rsidRPr="004E2346">
        <w:rPr>
          <w:rFonts w:ascii="Garamond" w:hAnsi="Garamond"/>
          <w:noProof/>
        </w:rPr>
        <w:tab/>
        <w:t>119</w:t>
      </w:r>
    </w:p>
    <w:p w14:paraId="42424D5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Tennessee v. Davis</w:t>
      </w:r>
      <w:r w:rsidRPr="004E2346">
        <w:rPr>
          <w:rFonts w:ascii="Garamond" w:hAnsi="Garamond"/>
          <w:noProof/>
        </w:rPr>
        <w:tab/>
        <w:t>70, 83</w:t>
      </w:r>
    </w:p>
    <w:p w14:paraId="049E9419"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The Japanese Immigrant Case</w:t>
      </w:r>
      <w:r w:rsidRPr="004E2346">
        <w:rPr>
          <w:rFonts w:ascii="Garamond" w:hAnsi="Garamond"/>
          <w:noProof/>
        </w:rPr>
        <w:tab/>
        <w:t>113</w:t>
      </w:r>
    </w:p>
    <w:p w14:paraId="52A4361B"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Thunder Basin Coal Co. v. Reich</w:t>
      </w:r>
      <w:r w:rsidRPr="004E2346">
        <w:rPr>
          <w:rFonts w:ascii="Garamond" w:hAnsi="Garamond"/>
          <w:noProof/>
        </w:rPr>
        <w:tab/>
        <w:t>106</w:t>
      </w:r>
    </w:p>
    <w:p w14:paraId="00BC9E67"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Trump v. American Federation of Government Employees</w:t>
      </w:r>
      <w:r w:rsidRPr="004E2346">
        <w:rPr>
          <w:rFonts w:ascii="Garamond" w:hAnsi="Garamond"/>
          <w:noProof/>
        </w:rPr>
        <w:tab/>
        <w:t>123</w:t>
      </w:r>
    </w:p>
    <w:p w14:paraId="5F157ACE" w14:textId="77777777" w:rsidR="002A7593" w:rsidRPr="004E2346" w:rsidRDefault="002A7593">
      <w:pPr>
        <w:pStyle w:val="TableofAuthorities"/>
        <w:tabs>
          <w:tab w:val="right" w:leader="hyphen" w:pos="9350"/>
        </w:tabs>
        <w:rPr>
          <w:rFonts w:ascii="Garamond" w:hAnsi="Garamond"/>
          <w:noProof/>
          <w:lang w:val="sv-SE"/>
        </w:rPr>
      </w:pPr>
      <w:r w:rsidRPr="004E2346">
        <w:rPr>
          <w:rFonts w:ascii="Garamond" w:eastAsia="Times New Roman" w:hAnsi="Garamond"/>
          <w:noProof/>
          <w:lang w:val="sv-SE"/>
        </w:rPr>
        <w:t>Trump v. Barbara</w:t>
      </w:r>
      <w:r w:rsidRPr="004E2346">
        <w:rPr>
          <w:rFonts w:ascii="Garamond" w:hAnsi="Garamond"/>
          <w:noProof/>
          <w:lang w:val="sv-SE"/>
        </w:rPr>
        <w:tab/>
        <w:t>144</w:t>
      </w:r>
    </w:p>
    <w:p w14:paraId="5615232D" w14:textId="77777777" w:rsidR="002A7593" w:rsidRPr="004E2346" w:rsidRDefault="002A7593">
      <w:pPr>
        <w:pStyle w:val="TableofAuthorities"/>
        <w:tabs>
          <w:tab w:val="right" w:leader="hyphen" w:pos="9350"/>
        </w:tabs>
        <w:rPr>
          <w:rFonts w:ascii="Garamond" w:hAnsi="Garamond"/>
          <w:noProof/>
          <w:lang w:val="sv-SE"/>
        </w:rPr>
      </w:pPr>
      <w:r w:rsidRPr="004E2346">
        <w:rPr>
          <w:rFonts w:ascii="Garamond" w:eastAsia="Times New Roman" w:hAnsi="Garamond"/>
          <w:noProof/>
          <w:lang w:val="sv-SE"/>
        </w:rPr>
        <w:t>Trump v. Boyle</w:t>
      </w:r>
      <w:r w:rsidRPr="004E2346">
        <w:rPr>
          <w:rFonts w:ascii="Garamond" w:hAnsi="Garamond"/>
          <w:noProof/>
          <w:lang w:val="sv-SE"/>
        </w:rPr>
        <w:tab/>
        <w:t>123, 124, 125</w:t>
      </w:r>
    </w:p>
    <w:p w14:paraId="03F361B3" w14:textId="77777777" w:rsidR="002A7593" w:rsidRPr="004E2346" w:rsidRDefault="002A7593">
      <w:pPr>
        <w:pStyle w:val="TableofAuthorities"/>
        <w:tabs>
          <w:tab w:val="right" w:leader="hyphen" w:pos="9350"/>
        </w:tabs>
        <w:rPr>
          <w:rFonts w:ascii="Garamond" w:hAnsi="Garamond"/>
          <w:noProof/>
          <w:lang w:val="sv-SE"/>
        </w:rPr>
      </w:pPr>
      <w:r w:rsidRPr="004E2346">
        <w:rPr>
          <w:rFonts w:ascii="Garamond" w:eastAsia="Times New Roman" w:hAnsi="Garamond"/>
          <w:smallCaps/>
          <w:noProof/>
          <w:lang w:val="sv-SE"/>
        </w:rPr>
        <w:t>Trump v. CASA</w:t>
      </w:r>
      <w:r w:rsidRPr="004E2346">
        <w:rPr>
          <w:rFonts w:ascii="Garamond" w:hAnsi="Garamond"/>
          <w:noProof/>
          <w:lang w:val="sv-SE"/>
        </w:rPr>
        <w:tab/>
        <w:t>123, 125, 143, 144</w:t>
      </w:r>
    </w:p>
    <w:p w14:paraId="2AF7B62B" w14:textId="77777777" w:rsidR="002A7593" w:rsidRPr="004E2346" w:rsidRDefault="002A7593">
      <w:pPr>
        <w:pStyle w:val="TableofAuthorities"/>
        <w:tabs>
          <w:tab w:val="right" w:leader="hyphen" w:pos="9350"/>
        </w:tabs>
        <w:rPr>
          <w:rFonts w:ascii="Garamond" w:hAnsi="Garamond"/>
          <w:noProof/>
          <w:lang w:val="sv-SE"/>
        </w:rPr>
      </w:pPr>
      <w:r w:rsidRPr="004E2346">
        <w:rPr>
          <w:rFonts w:ascii="Garamond" w:hAnsi="Garamond"/>
          <w:noProof/>
          <w:lang w:val="sv-SE"/>
        </w:rPr>
        <w:t>Trump v. Cook</w:t>
      </w:r>
      <w:r w:rsidRPr="004E2346">
        <w:rPr>
          <w:rFonts w:ascii="Garamond" w:hAnsi="Garamond"/>
          <w:noProof/>
          <w:lang w:val="sv-SE"/>
        </w:rPr>
        <w:tab/>
        <w:t>68</w:t>
      </w:r>
    </w:p>
    <w:p w14:paraId="7C14548D" w14:textId="77777777" w:rsidR="002A7593" w:rsidRPr="004E2346" w:rsidRDefault="002A7593">
      <w:pPr>
        <w:pStyle w:val="TableofAuthorities"/>
        <w:tabs>
          <w:tab w:val="right" w:leader="hyphen" w:pos="9350"/>
        </w:tabs>
        <w:rPr>
          <w:rFonts w:ascii="Garamond" w:hAnsi="Garamond"/>
          <w:noProof/>
          <w:lang w:val="sv-SE"/>
        </w:rPr>
      </w:pPr>
      <w:r w:rsidRPr="004E2346">
        <w:rPr>
          <w:rFonts w:ascii="Garamond" w:hAnsi="Garamond"/>
          <w:noProof/>
          <w:lang w:val="sv-SE"/>
        </w:rPr>
        <w:t>Trump v. J.G.G.</w:t>
      </w:r>
      <w:r w:rsidRPr="004E2346">
        <w:rPr>
          <w:rFonts w:ascii="Garamond" w:hAnsi="Garamond"/>
          <w:noProof/>
          <w:lang w:val="sv-SE"/>
        </w:rPr>
        <w:tab/>
        <w:t>96, 111, 113, 115</w:t>
      </w:r>
    </w:p>
    <w:p w14:paraId="32FCA99F"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Trump v. Slaughter</w:t>
      </w:r>
      <w:r w:rsidRPr="004E2346">
        <w:rPr>
          <w:rFonts w:ascii="Garamond" w:hAnsi="Garamond"/>
          <w:noProof/>
        </w:rPr>
        <w:tab/>
        <w:t>68, 124</w:t>
      </w:r>
    </w:p>
    <w:p w14:paraId="2204111B"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Trump v. United States</w:t>
      </w:r>
      <w:r w:rsidRPr="004E2346">
        <w:rPr>
          <w:rFonts w:ascii="Garamond" w:hAnsi="Garamond"/>
          <w:noProof/>
        </w:rPr>
        <w:tab/>
        <w:t>107</w:t>
      </w:r>
    </w:p>
    <w:p w14:paraId="1110F235"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Trump v. Wilcox</w:t>
      </w:r>
      <w:r w:rsidRPr="004E2346">
        <w:rPr>
          <w:rFonts w:ascii="Garamond" w:hAnsi="Garamond"/>
          <w:noProof/>
        </w:rPr>
        <w:tab/>
        <w:t>122, 124</w:t>
      </w:r>
    </w:p>
    <w:p w14:paraId="522893F9"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Tull v. United States</w:t>
      </w:r>
      <w:r w:rsidRPr="004E2346">
        <w:rPr>
          <w:rFonts w:ascii="Garamond" w:hAnsi="Garamond"/>
          <w:noProof/>
        </w:rPr>
        <w:tab/>
        <w:t>55</w:t>
      </w:r>
    </w:p>
    <w:p w14:paraId="79C1A48D"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Turkiye Halk Bankasi A.S. v. United States</w:t>
      </w:r>
      <w:r w:rsidRPr="004E2346">
        <w:rPr>
          <w:rFonts w:ascii="Garamond" w:hAnsi="Garamond"/>
          <w:noProof/>
        </w:rPr>
        <w:tab/>
        <w:t>95</w:t>
      </w:r>
    </w:p>
    <w:p w14:paraId="14D2A10C"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United States ex rel. Drury v. Lewis</w:t>
      </w:r>
      <w:r w:rsidRPr="004E2346">
        <w:rPr>
          <w:rFonts w:ascii="Garamond" w:hAnsi="Garamond"/>
          <w:noProof/>
        </w:rPr>
        <w:tab/>
        <w:t>85</w:t>
      </w:r>
    </w:p>
    <w:p w14:paraId="6F790B85"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United States ex rel. Hintopoulos v. Shaughnessy</w:t>
      </w:r>
      <w:r w:rsidRPr="004E2346">
        <w:rPr>
          <w:rFonts w:ascii="Garamond" w:hAnsi="Garamond"/>
          <w:noProof/>
        </w:rPr>
        <w:tab/>
        <w:t>143</w:t>
      </w:r>
    </w:p>
    <w:p w14:paraId="11BBD612"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United States ex rel. McSweeney v. Fullhart</w:t>
      </w:r>
      <w:r w:rsidRPr="004E2346">
        <w:rPr>
          <w:rFonts w:ascii="Garamond" w:hAnsi="Garamond"/>
          <w:noProof/>
        </w:rPr>
        <w:tab/>
        <w:t>84, 85</w:t>
      </w:r>
    </w:p>
    <w:p w14:paraId="6E102177"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United States Postal Service v. Konan</w:t>
      </w:r>
      <w:r w:rsidRPr="004E2346">
        <w:rPr>
          <w:rFonts w:ascii="Garamond" w:hAnsi="Garamond"/>
          <w:noProof/>
        </w:rPr>
        <w:tab/>
        <w:t>97</w:t>
      </w:r>
    </w:p>
    <w:p w14:paraId="7BE0C385"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United States v. Bormes</w:t>
      </w:r>
      <w:r w:rsidRPr="004E2346">
        <w:rPr>
          <w:rFonts w:ascii="Garamond" w:hAnsi="Garamond"/>
          <w:noProof/>
        </w:rPr>
        <w:tab/>
        <w:t>105</w:t>
      </w:r>
    </w:p>
    <w:p w14:paraId="78B9B7BB" w14:textId="77777777" w:rsidR="002A7593" w:rsidRPr="004E2346" w:rsidRDefault="002A7593">
      <w:pPr>
        <w:pStyle w:val="TableofAuthorities"/>
        <w:tabs>
          <w:tab w:val="right" w:leader="hyphen" w:pos="9350"/>
        </w:tabs>
        <w:rPr>
          <w:rFonts w:ascii="Garamond" w:hAnsi="Garamond"/>
          <w:noProof/>
        </w:rPr>
      </w:pPr>
      <w:r w:rsidRPr="004E2346">
        <w:rPr>
          <w:rFonts w:ascii="Garamond" w:eastAsia="Times New Roman" w:hAnsi="Garamond"/>
          <w:noProof/>
        </w:rPr>
        <w:t>United States v. Miller</w:t>
      </w:r>
      <w:r w:rsidRPr="004E2346">
        <w:rPr>
          <w:rFonts w:ascii="Garamond" w:hAnsi="Garamond"/>
          <w:noProof/>
        </w:rPr>
        <w:tab/>
        <w:t>105</w:t>
      </w:r>
    </w:p>
    <w:p w14:paraId="07CA68DD"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United States v. Perkins</w:t>
      </w:r>
      <w:r w:rsidRPr="004E2346">
        <w:rPr>
          <w:rFonts w:ascii="Garamond" w:hAnsi="Garamond"/>
          <w:noProof/>
        </w:rPr>
        <w:tab/>
        <w:t>69</w:t>
      </w:r>
    </w:p>
    <w:p w14:paraId="7B25975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United States v. Texas</w:t>
      </w:r>
      <w:r w:rsidRPr="004E2346">
        <w:rPr>
          <w:rFonts w:ascii="Garamond" w:hAnsi="Garamond"/>
          <w:noProof/>
        </w:rPr>
        <w:tab/>
        <w:t>35</w:t>
      </w:r>
    </w:p>
    <w:p w14:paraId="6C2CA3A6"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United States v. W.T. Grant Co.</w:t>
      </w:r>
      <w:r w:rsidRPr="004E2346">
        <w:rPr>
          <w:rFonts w:ascii="Garamond" w:hAnsi="Garamond"/>
          <w:noProof/>
        </w:rPr>
        <w:tab/>
        <w:t>43</w:t>
      </w:r>
    </w:p>
    <w:p w14:paraId="078F017B"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United States v. Wong Kim Ark</w:t>
      </w:r>
      <w:r w:rsidRPr="004E2346">
        <w:rPr>
          <w:rFonts w:ascii="Garamond" w:hAnsi="Garamond"/>
          <w:noProof/>
        </w:rPr>
        <w:tab/>
        <w:t>142, 143</w:t>
      </w:r>
    </w:p>
    <w:p w14:paraId="14388E00"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Virginia v. Paul</w:t>
      </w:r>
      <w:r w:rsidRPr="004E2346">
        <w:rPr>
          <w:rFonts w:ascii="Garamond" w:hAnsi="Garamond"/>
          <w:noProof/>
        </w:rPr>
        <w:tab/>
        <w:t>83</w:t>
      </w:r>
    </w:p>
    <w:p w14:paraId="58AC3FF5"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Webster v. Doe</w:t>
      </w:r>
      <w:r w:rsidRPr="004E2346">
        <w:rPr>
          <w:rFonts w:ascii="Garamond" w:hAnsi="Garamond"/>
          <w:noProof/>
        </w:rPr>
        <w:tab/>
        <w:t>47</w:t>
      </w:r>
    </w:p>
    <w:p w14:paraId="631E8F6A" w14:textId="77777777" w:rsidR="002A7593" w:rsidRPr="004E2346" w:rsidRDefault="002A7593">
      <w:pPr>
        <w:pStyle w:val="TableofAuthorities"/>
        <w:tabs>
          <w:tab w:val="right" w:leader="hyphen" w:pos="9350"/>
        </w:tabs>
        <w:rPr>
          <w:rFonts w:ascii="Garamond" w:hAnsi="Garamond"/>
          <w:noProof/>
        </w:rPr>
      </w:pPr>
      <w:r w:rsidRPr="004E2346">
        <w:rPr>
          <w:rFonts w:ascii="Garamond" w:eastAsia="Garamond" w:hAnsi="Garamond" w:cs="Garamond"/>
          <w:noProof/>
        </w:rPr>
        <w:t>West Virginia v. Laing</w:t>
      </w:r>
      <w:r w:rsidRPr="004E2346">
        <w:rPr>
          <w:rFonts w:ascii="Garamond" w:hAnsi="Garamond"/>
          <w:noProof/>
        </w:rPr>
        <w:tab/>
        <w:t>84, 85</w:t>
      </w:r>
    </w:p>
    <w:p w14:paraId="2670C78D"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Wilder v. Virginia Hospital Assn.</w:t>
      </w:r>
      <w:r w:rsidRPr="004E2346">
        <w:rPr>
          <w:rFonts w:ascii="Garamond" w:hAnsi="Garamond"/>
          <w:noProof/>
        </w:rPr>
        <w:tab/>
        <w:t>89</w:t>
      </w:r>
    </w:p>
    <w:p w14:paraId="4FA4313B"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Wilkins v. United States</w:t>
      </w:r>
      <w:r w:rsidRPr="004E2346">
        <w:rPr>
          <w:rFonts w:ascii="Garamond" w:hAnsi="Garamond"/>
          <w:noProof/>
        </w:rPr>
        <w:tab/>
        <w:t>11</w:t>
      </w:r>
    </w:p>
    <w:p w14:paraId="6901896F"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Wilkinson v. Dotson</w:t>
      </w:r>
      <w:r w:rsidRPr="004E2346">
        <w:rPr>
          <w:rFonts w:ascii="Garamond" w:hAnsi="Garamond"/>
          <w:noProof/>
        </w:rPr>
        <w:tab/>
        <w:t>94</w:t>
      </w:r>
    </w:p>
    <w:p w14:paraId="7B0261D4"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Williams v. Reed</w:t>
      </w:r>
      <w:r w:rsidRPr="004E2346">
        <w:rPr>
          <w:rFonts w:ascii="Garamond" w:hAnsi="Garamond"/>
          <w:noProof/>
        </w:rPr>
        <w:tab/>
        <w:t>69</w:t>
      </w:r>
    </w:p>
    <w:p w14:paraId="2570018C"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Wolff v. McDonnell</w:t>
      </w:r>
      <w:r w:rsidRPr="004E2346">
        <w:rPr>
          <w:rFonts w:ascii="Garamond" w:hAnsi="Garamond"/>
          <w:noProof/>
        </w:rPr>
        <w:tab/>
        <w:t>94</w:t>
      </w:r>
    </w:p>
    <w:p w14:paraId="54F8112E"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Wright v. Roanoke Redevelopment and Housing Authority</w:t>
      </w:r>
      <w:r w:rsidRPr="004E2346">
        <w:rPr>
          <w:rFonts w:ascii="Garamond" w:hAnsi="Garamond"/>
          <w:noProof/>
        </w:rPr>
        <w:tab/>
        <w:t>88</w:t>
      </w:r>
    </w:p>
    <w:p w14:paraId="4BB7E9D4" w14:textId="77777777" w:rsidR="002A7593" w:rsidRPr="004E2346" w:rsidRDefault="002A7593">
      <w:pPr>
        <w:pStyle w:val="TableofAuthorities"/>
        <w:tabs>
          <w:tab w:val="right" w:leader="hyphen" w:pos="9350"/>
        </w:tabs>
        <w:rPr>
          <w:rFonts w:ascii="Garamond" w:hAnsi="Garamond"/>
          <w:noProof/>
        </w:rPr>
      </w:pPr>
      <w:r w:rsidRPr="004E2346">
        <w:rPr>
          <w:rFonts w:ascii="Garamond" w:hAnsi="Garamond"/>
          <w:noProof/>
        </w:rPr>
        <w:t>Wyoming v. Livingston</w:t>
      </w:r>
      <w:r w:rsidRPr="004E2346">
        <w:rPr>
          <w:rFonts w:ascii="Garamond" w:hAnsi="Garamond"/>
          <w:noProof/>
        </w:rPr>
        <w:tab/>
        <w:t>86</w:t>
      </w:r>
    </w:p>
    <w:p w14:paraId="1036D8BC" w14:textId="699234DE" w:rsidR="002670B9" w:rsidRPr="004E2346" w:rsidRDefault="00BB5731">
      <w:pPr>
        <w:pStyle w:val="TOAHeading"/>
        <w:tabs>
          <w:tab w:val="right" w:leader="dot" w:pos="9350"/>
        </w:tabs>
        <w:rPr>
          <w:rFonts w:ascii="Garamond" w:eastAsiaTheme="minorEastAsia" w:hAnsi="Garamond" w:cstheme="minorBidi"/>
          <w:b/>
          <w:bCs/>
          <w:noProof/>
        </w:rPr>
      </w:pPr>
      <w:r w:rsidRPr="004E2346">
        <w:rPr>
          <w:rFonts w:ascii="Garamond" w:hAnsi="Garamond"/>
        </w:rPr>
        <w:fldChar w:fldCharType="end"/>
      </w:r>
      <w:r w:rsidR="00756097" w:rsidRPr="004E2346">
        <w:rPr>
          <w:rFonts w:ascii="Garamond" w:hAnsi="Garamond"/>
        </w:rPr>
        <w:fldChar w:fldCharType="begin"/>
      </w:r>
      <w:r w:rsidR="00756097" w:rsidRPr="004E2346">
        <w:rPr>
          <w:rFonts w:ascii="Garamond" w:hAnsi="Garamond"/>
        </w:rPr>
        <w:instrText xml:space="preserve"> TOA \h \c "2" </w:instrText>
      </w:r>
      <w:r w:rsidR="00756097" w:rsidRPr="004E2346">
        <w:rPr>
          <w:rFonts w:ascii="Garamond" w:hAnsi="Garamond"/>
        </w:rPr>
        <w:fldChar w:fldCharType="separate"/>
      </w:r>
      <w:r w:rsidR="002670B9" w:rsidRPr="004E2346">
        <w:rPr>
          <w:rFonts w:ascii="Garamond" w:hAnsi="Garamond"/>
          <w:noProof/>
        </w:rPr>
        <w:t>Statutes</w:t>
      </w:r>
    </w:p>
    <w:p w14:paraId="232557ED" w14:textId="77777777" w:rsidR="002670B9" w:rsidRPr="004E2346" w:rsidRDefault="002670B9">
      <w:pPr>
        <w:pStyle w:val="TableofAuthorities"/>
        <w:tabs>
          <w:tab w:val="right" w:leader="dot" w:pos="9350"/>
        </w:tabs>
        <w:rPr>
          <w:rFonts w:ascii="Garamond" w:hAnsi="Garamond"/>
          <w:noProof/>
        </w:rPr>
      </w:pPr>
      <w:r w:rsidRPr="004E2346">
        <w:rPr>
          <w:rFonts w:ascii="Garamond" w:eastAsia="Times New Roman" w:hAnsi="Garamond"/>
          <w:noProof/>
        </w:rPr>
        <w:t>15 U.S.C. §1681a(b).</w:t>
      </w:r>
      <w:r w:rsidRPr="004E2346">
        <w:rPr>
          <w:rFonts w:ascii="Garamond" w:hAnsi="Garamond"/>
          <w:noProof/>
        </w:rPr>
        <w:tab/>
        <w:t>105</w:t>
      </w:r>
    </w:p>
    <w:p w14:paraId="6AAAD857" w14:textId="77777777" w:rsidR="002670B9" w:rsidRPr="004E2346" w:rsidRDefault="002670B9">
      <w:pPr>
        <w:pStyle w:val="TableofAuthorities"/>
        <w:tabs>
          <w:tab w:val="right" w:leader="dot" w:pos="9350"/>
        </w:tabs>
        <w:rPr>
          <w:rFonts w:ascii="Garamond" w:hAnsi="Garamond"/>
          <w:noProof/>
          <w:lang w:val="fr-FR"/>
        </w:rPr>
      </w:pPr>
      <w:r w:rsidRPr="004E2346">
        <w:rPr>
          <w:rFonts w:ascii="Garamond" w:hAnsi="Garamond"/>
          <w:noProof/>
          <w:lang w:val="fr-FR"/>
        </w:rPr>
        <w:t>20 U.S.C. §</w:t>
      </w:r>
      <w:r w:rsidRPr="004E2346">
        <w:rPr>
          <w:rFonts w:ascii="Times New Roman" w:hAnsi="Times New Roman"/>
          <w:noProof/>
          <w:lang w:val="fr-FR"/>
        </w:rPr>
        <w:t> </w:t>
      </w:r>
      <w:r w:rsidRPr="004E2346">
        <w:rPr>
          <w:rFonts w:ascii="Garamond" w:hAnsi="Garamond"/>
          <w:noProof/>
          <w:lang w:val="fr-FR"/>
        </w:rPr>
        <w:t>1400 et seq.</w:t>
      </w:r>
      <w:r w:rsidRPr="004E2346">
        <w:rPr>
          <w:rFonts w:ascii="Garamond" w:hAnsi="Garamond"/>
          <w:noProof/>
          <w:lang w:val="fr-FR"/>
        </w:rPr>
        <w:tab/>
        <w:t>88</w:t>
      </w:r>
    </w:p>
    <w:p w14:paraId="373A791E" w14:textId="77777777" w:rsidR="002670B9" w:rsidRPr="004E2346" w:rsidRDefault="002670B9">
      <w:pPr>
        <w:pStyle w:val="TableofAuthorities"/>
        <w:tabs>
          <w:tab w:val="right" w:leader="dot" w:pos="9350"/>
        </w:tabs>
        <w:rPr>
          <w:rFonts w:ascii="Garamond" w:hAnsi="Garamond"/>
          <w:noProof/>
          <w:lang w:val="fr-FR"/>
        </w:rPr>
      </w:pPr>
      <w:r w:rsidRPr="004E2346">
        <w:rPr>
          <w:rFonts w:ascii="Garamond" w:hAnsi="Garamond"/>
          <w:noProof/>
          <w:lang w:val="fr-FR"/>
        </w:rPr>
        <w:t>28 U.S.C. §  2254</w:t>
      </w:r>
      <w:r w:rsidRPr="004E2346">
        <w:rPr>
          <w:rFonts w:ascii="Garamond" w:hAnsi="Garamond"/>
          <w:noProof/>
          <w:lang w:val="fr-FR"/>
        </w:rPr>
        <w:tab/>
        <w:t>118</w:t>
      </w:r>
    </w:p>
    <w:p w14:paraId="594542DF"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28 U.S.C. § 1442(a)(1)</w:t>
      </w:r>
      <w:r w:rsidRPr="004E2346">
        <w:rPr>
          <w:rFonts w:ascii="Garamond" w:hAnsi="Garamond"/>
          <w:noProof/>
        </w:rPr>
        <w:tab/>
        <w:t>83</w:t>
      </w:r>
    </w:p>
    <w:p w14:paraId="51235015"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28 U.S.C. § 1442(a)(3)</w:t>
      </w:r>
      <w:r w:rsidRPr="004E2346">
        <w:rPr>
          <w:rFonts w:ascii="Garamond" w:hAnsi="Garamond"/>
          <w:noProof/>
        </w:rPr>
        <w:tab/>
        <w:t>83</w:t>
      </w:r>
    </w:p>
    <w:p w14:paraId="52C4251F"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28 U.S.C. § 2241</w:t>
      </w:r>
      <w:r w:rsidRPr="004E2346">
        <w:rPr>
          <w:rFonts w:ascii="Garamond" w:hAnsi="Garamond"/>
          <w:noProof/>
        </w:rPr>
        <w:tab/>
        <w:t>116, 117</w:t>
      </w:r>
    </w:p>
    <w:p w14:paraId="49D0FAE4" w14:textId="77777777" w:rsidR="002670B9" w:rsidRPr="004E2346" w:rsidRDefault="002670B9">
      <w:pPr>
        <w:pStyle w:val="TableofAuthorities"/>
        <w:tabs>
          <w:tab w:val="right" w:leader="dot" w:pos="9350"/>
        </w:tabs>
        <w:rPr>
          <w:rFonts w:ascii="Garamond" w:hAnsi="Garamond"/>
          <w:noProof/>
        </w:rPr>
      </w:pPr>
      <w:r w:rsidRPr="004E2346">
        <w:rPr>
          <w:rFonts w:ascii="Garamond" w:eastAsia="Garamond" w:hAnsi="Garamond" w:cs="Garamond"/>
          <w:noProof/>
        </w:rPr>
        <w:t>28 U.S.C. § 2241(c)(2)</w:t>
      </w:r>
      <w:r w:rsidRPr="004E2346">
        <w:rPr>
          <w:rFonts w:ascii="Garamond" w:hAnsi="Garamond"/>
          <w:noProof/>
        </w:rPr>
        <w:tab/>
        <w:t>84</w:t>
      </w:r>
    </w:p>
    <w:p w14:paraId="7135D47E"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28 U.S.C. § 2244</w:t>
      </w:r>
      <w:r w:rsidRPr="004E2346">
        <w:rPr>
          <w:rFonts w:ascii="Garamond" w:hAnsi="Garamond"/>
          <w:noProof/>
        </w:rPr>
        <w:tab/>
        <w:t>117, 118</w:t>
      </w:r>
    </w:p>
    <w:p w14:paraId="3925D38B"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28 U.S.C. § 2244(b)</w:t>
      </w:r>
      <w:r w:rsidRPr="004E2346">
        <w:rPr>
          <w:rFonts w:ascii="Garamond" w:hAnsi="Garamond"/>
          <w:noProof/>
        </w:rPr>
        <w:tab/>
        <w:t>117</w:t>
      </w:r>
    </w:p>
    <w:p w14:paraId="7B315961"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28 U.S.C. § 2244(b)(1)</w:t>
      </w:r>
      <w:r w:rsidRPr="004E2346">
        <w:rPr>
          <w:rFonts w:ascii="Garamond" w:hAnsi="Garamond"/>
          <w:noProof/>
        </w:rPr>
        <w:tab/>
        <w:t>118</w:t>
      </w:r>
    </w:p>
    <w:p w14:paraId="2F3ECEEF"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28 U.S.C. § 2244(b)(3)(E)</w:t>
      </w:r>
      <w:r w:rsidRPr="004E2346">
        <w:rPr>
          <w:rFonts w:ascii="Garamond" w:hAnsi="Garamond"/>
          <w:noProof/>
        </w:rPr>
        <w:tab/>
        <w:t>118</w:t>
      </w:r>
    </w:p>
    <w:p w14:paraId="1795617F"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28 U.S.C. § 2254</w:t>
      </w:r>
      <w:r w:rsidRPr="004E2346">
        <w:rPr>
          <w:rFonts w:ascii="Garamond" w:hAnsi="Garamond"/>
          <w:noProof/>
        </w:rPr>
        <w:tab/>
        <w:t>117, 118</w:t>
      </w:r>
    </w:p>
    <w:p w14:paraId="58CA013A" w14:textId="0C661100" w:rsidR="002670B9" w:rsidRPr="00FA4C45" w:rsidRDefault="002670B9">
      <w:pPr>
        <w:pStyle w:val="TableofAuthorities"/>
        <w:tabs>
          <w:tab w:val="right" w:leader="dot" w:pos="9350"/>
        </w:tabs>
        <w:rPr>
          <w:rFonts w:ascii="Garamond" w:hAnsi="Garamond"/>
          <w:noProof/>
          <w:lang w:val="es-ES"/>
        </w:rPr>
      </w:pPr>
      <w:r w:rsidRPr="00FA4C45">
        <w:rPr>
          <w:rFonts w:ascii="Garamond" w:hAnsi="Garamond"/>
          <w:noProof/>
          <w:lang w:val="es-ES"/>
        </w:rPr>
        <w:t>28 U.S.C. § 22</w:t>
      </w:r>
      <w:r w:rsidR="00255A8F" w:rsidRPr="00FA4C45">
        <w:rPr>
          <w:rFonts w:ascii="Garamond" w:hAnsi="Garamond"/>
          <w:noProof/>
          <w:lang w:val="es-ES"/>
        </w:rPr>
        <w:t>4</w:t>
      </w:r>
      <w:r w:rsidRPr="00FA4C45">
        <w:rPr>
          <w:rFonts w:ascii="Garamond" w:hAnsi="Garamond"/>
          <w:noProof/>
          <w:lang w:val="es-ES"/>
        </w:rPr>
        <w:t>4(b)(3)(E)</w:t>
      </w:r>
      <w:r w:rsidRPr="00FA4C45">
        <w:rPr>
          <w:rFonts w:ascii="Garamond" w:hAnsi="Garamond"/>
          <w:noProof/>
          <w:lang w:val="es-ES"/>
        </w:rPr>
        <w:tab/>
        <w:t>118</w:t>
      </w:r>
    </w:p>
    <w:p w14:paraId="589E01D5" w14:textId="77777777" w:rsidR="002670B9" w:rsidRPr="00FA4C45" w:rsidRDefault="002670B9">
      <w:pPr>
        <w:pStyle w:val="TableofAuthorities"/>
        <w:tabs>
          <w:tab w:val="right" w:leader="dot" w:pos="9350"/>
        </w:tabs>
        <w:rPr>
          <w:rFonts w:ascii="Garamond" w:hAnsi="Garamond"/>
          <w:noProof/>
          <w:lang w:val="es-ES"/>
        </w:rPr>
      </w:pPr>
      <w:r w:rsidRPr="00FA4C45">
        <w:rPr>
          <w:rFonts w:ascii="Garamond" w:hAnsi="Garamond"/>
          <w:noProof/>
          <w:lang w:val="es-ES"/>
        </w:rPr>
        <w:t>28 U.S.C. § 2254(d)</w:t>
      </w:r>
      <w:r w:rsidRPr="00FA4C45">
        <w:rPr>
          <w:rFonts w:ascii="Garamond" w:hAnsi="Garamond"/>
          <w:noProof/>
          <w:lang w:val="es-ES"/>
        </w:rPr>
        <w:tab/>
        <w:t>118</w:t>
      </w:r>
    </w:p>
    <w:p w14:paraId="40B93A92" w14:textId="77777777" w:rsidR="002670B9" w:rsidRPr="00FA4C45" w:rsidRDefault="002670B9">
      <w:pPr>
        <w:pStyle w:val="TableofAuthorities"/>
        <w:tabs>
          <w:tab w:val="right" w:leader="dot" w:pos="9350"/>
        </w:tabs>
        <w:rPr>
          <w:rFonts w:ascii="Garamond" w:hAnsi="Garamond"/>
          <w:noProof/>
          <w:lang w:val="es-ES"/>
        </w:rPr>
      </w:pPr>
      <w:r w:rsidRPr="00FA4C45">
        <w:rPr>
          <w:rFonts w:ascii="Garamond" w:hAnsi="Garamond"/>
          <w:noProof/>
          <w:lang w:val="es-ES"/>
        </w:rPr>
        <w:t>28 U.S.C. § 2254(e)</w:t>
      </w:r>
      <w:r w:rsidRPr="00FA4C45">
        <w:rPr>
          <w:rFonts w:ascii="Garamond" w:hAnsi="Garamond"/>
          <w:noProof/>
          <w:lang w:val="es-ES"/>
        </w:rPr>
        <w:tab/>
        <w:t>118</w:t>
      </w:r>
    </w:p>
    <w:p w14:paraId="1D08C5FD" w14:textId="77777777" w:rsidR="002670B9" w:rsidRPr="00FA4C45" w:rsidRDefault="002670B9">
      <w:pPr>
        <w:pStyle w:val="TableofAuthorities"/>
        <w:tabs>
          <w:tab w:val="right" w:leader="dot" w:pos="9350"/>
        </w:tabs>
        <w:rPr>
          <w:rFonts w:ascii="Garamond" w:hAnsi="Garamond"/>
          <w:noProof/>
          <w:lang w:val="es-ES"/>
        </w:rPr>
      </w:pPr>
      <w:r w:rsidRPr="00FA4C45">
        <w:rPr>
          <w:rFonts w:ascii="Garamond" w:hAnsi="Garamond"/>
          <w:noProof/>
          <w:lang w:val="es-ES"/>
        </w:rPr>
        <w:t>28 U.S.C. § 2255</w:t>
      </w:r>
      <w:r w:rsidRPr="00FA4C45">
        <w:rPr>
          <w:rFonts w:ascii="Garamond" w:hAnsi="Garamond"/>
          <w:noProof/>
          <w:lang w:val="es-ES"/>
        </w:rPr>
        <w:tab/>
        <w:t>116, 117, 118</w:t>
      </w:r>
    </w:p>
    <w:p w14:paraId="74A0314E" w14:textId="77777777" w:rsidR="002670B9" w:rsidRPr="00FA4C45" w:rsidRDefault="002670B9">
      <w:pPr>
        <w:pStyle w:val="TableofAuthorities"/>
        <w:tabs>
          <w:tab w:val="right" w:leader="dot" w:pos="9350"/>
        </w:tabs>
        <w:rPr>
          <w:rFonts w:ascii="Garamond" w:hAnsi="Garamond"/>
          <w:noProof/>
          <w:lang w:val="es-ES"/>
        </w:rPr>
      </w:pPr>
      <w:r w:rsidRPr="00FA4C45">
        <w:rPr>
          <w:rFonts w:ascii="Garamond" w:hAnsi="Garamond"/>
          <w:noProof/>
          <w:lang w:val="es-ES"/>
        </w:rPr>
        <w:t>28 U.S.C. § 2255(e).</w:t>
      </w:r>
      <w:r w:rsidRPr="00FA4C45">
        <w:rPr>
          <w:rFonts w:ascii="Garamond" w:hAnsi="Garamond"/>
          <w:noProof/>
          <w:lang w:val="es-ES"/>
        </w:rPr>
        <w:tab/>
        <w:t>116, 117</w:t>
      </w:r>
    </w:p>
    <w:p w14:paraId="40907898" w14:textId="77777777" w:rsidR="002670B9" w:rsidRPr="00FA4C45" w:rsidRDefault="002670B9">
      <w:pPr>
        <w:pStyle w:val="TableofAuthorities"/>
        <w:tabs>
          <w:tab w:val="right" w:leader="dot" w:pos="9350"/>
        </w:tabs>
        <w:rPr>
          <w:rFonts w:ascii="Garamond" w:hAnsi="Garamond"/>
          <w:noProof/>
          <w:lang w:val="es-ES"/>
        </w:rPr>
      </w:pPr>
      <w:r w:rsidRPr="00FA4C45">
        <w:rPr>
          <w:rFonts w:ascii="Garamond" w:hAnsi="Garamond"/>
          <w:noProof/>
          <w:lang w:val="es-ES"/>
        </w:rPr>
        <w:lastRenderedPageBreak/>
        <w:t>28 U.S.C. § 2255(h)</w:t>
      </w:r>
      <w:r w:rsidRPr="00FA4C45">
        <w:rPr>
          <w:rFonts w:ascii="Garamond" w:hAnsi="Garamond"/>
          <w:noProof/>
          <w:lang w:val="es-ES"/>
        </w:rPr>
        <w:tab/>
        <w:t>116, 117, 118</w:t>
      </w:r>
    </w:p>
    <w:p w14:paraId="016F316B"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28 U.S.C. § 2680(b)</w:t>
      </w:r>
      <w:r w:rsidRPr="004E2346">
        <w:rPr>
          <w:rFonts w:ascii="Garamond" w:hAnsi="Garamond"/>
          <w:noProof/>
        </w:rPr>
        <w:tab/>
        <w:t>97</w:t>
      </w:r>
    </w:p>
    <w:p w14:paraId="21C79351"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42 U.S.C. § 1983</w:t>
      </w:r>
      <w:r w:rsidRPr="004E2346">
        <w:rPr>
          <w:rFonts w:ascii="Garamond" w:hAnsi="Garamond"/>
          <w:noProof/>
        </w:rPr>
        <w:tab/>
        <w:t>69, 88, 89, 90, 94</w:t>
      </w:r>
    </w:p>
    <w:p w14:paraId="006B3BCF"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5 U.S.C. § 705</w:t>
      </w:r>
      <w:r w:rsidRPr="004E2346">
        <w:rPr>
          <w:rFonts w:ascii="Garamond" w:hAnsi="Garamond"/>
          <w:noProof/>
        </w:rPr>
        <w:tab/>
        <w:t>114</w:t>
      </w:r>
    </w:p>
    <w:p w14:paraId="2CE227B7"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8 U.S.C. § 1225(b)(1)(A)(iii)</w:t>
      </w:r>
      <w:r w:rsidRPr="004E2346">
        <w:rPr>
          <w:rFonts w:ascii="Garamond" w:hAnsi="Garamond"/>
          <w:noProof/>
        </w:rPr>
        <w:tab/>
        <w:t>113</w:t>
      </w:r>
    </w:p>
    <w:p w14:paraId="7B1A5974"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8 U.S.C. § 1252(e)(3)</w:t>
      </w:r>
      <w:r w:rsidRPr="004E2346">
        <w:rPr>
          <w:rFonts w:ascii="Garamond" w:hAnsi="Garamond"/>
          <w:noProof/>
        </w:rPr>
        <w:tab/>
        <w:t>114</w:t>
      </w:r>
    </w:p>
    <w:p w14:paraId="3CE6AD27" w14:textId="77777777" w:rsidR="002670B9" w:rsidRPr="004E2346" w:rsidRDefault="002670B9">
      <w:pPr>
        <w:pStyle w:val="TableofAuthorities"/>
        <w:tabs>
          <w:tab w:val="right" w:leader="dot" w:pos="9350"/>
        </w:tabs>
        <w:rPr>
          <w:rFonts w:ascii="Garamond" w:hAnsi="Garamond"/>
          <w:noProof/>
        </w:rPr>
      </w:pPr>
      <w:r w:rsidRPr="004E2346">
        <w:rPr>
          <w:rFonts w:ascii="Garamond" w:eastAsia="Times New Roman" w:hAnsi="Garamond"/>
          <w:noProof/>
        </w:rPr>
        <w:t>8 U.S.C. § 1254a(b)(5)(A)</w:t>
      </w:r>
      <w:r w:rsidRPr="004E2346">
        <w:rPr>
          <w:rFonts w:ascii="Garamond" w:hAnsi="Garamond"/>
          <w:noProof/>
        </w:rPr>
        <w:tab/>
        <w:t>48</w:t>
      </w:r>
    </w:p>
    <w:p w14:paraId="788D8E4D"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Administrative Procedure Act</w:t>
      </w:r>
      <w:r w:rsidRPr="004E2346">
        <w:rPr>
          <w:rFonts w:ascii="Garamond" w:hAnsi="Garamond"/>
          <w:noProof/>
        </w:rPr>
        <w:tab/>
        <w:t>114</w:t>
      </w:r>
    </w:p>
    <w:p w14:paraId="699917B5"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Alien Tort Statute</w:t>
      </w:r>
      <w:r w:rsidRPr="004E2346">
        <w:rPr>
          <w:rFonts w:ascii="Garamond" w:hAnsi="Garamond"/>
          <w:noProof/>
        </w:rPr>
        <w:tab/>
        <w:t>91</w:t>
      </w:r>
    </w:p>
    <w:p w14:paraId="312F5EA2"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All Writs Act</w:t>
      </w:r>
      <w:r w:rsidRPr="004E2346">
        <w:rPr>
          <w:rFonts w:ascii="Garamond" w:hAnsi="Garamond"/>
          <w:noProof/>
        </w:rPr>
        <w:tab/>
        <w:t>118</w:t>
      </w:r>
    </w:p>
    <w:p w14:paraId="014E4B91"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Bankruptcy Code</w:t>
      </w:r>
      <w:r w:rsidRPr="004E2346">
        <w:rPr>
          <w:rFonts w:ascii="Garamond" w:hAnsi="Garamond"/>
          <w:noProof/>
        </w:rPr>
        <w:tab/>
        <w:t>94, 105</w:t>
      </w:r>
    </w:p>
    <w:p w14:paraId="33B59D91"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Civil Rights Act</w:t>
      </w:r>
      <w:r w:rsidRPr="004E2346">
        <w:rPr>
          <w:rFonts w:ascii="Garamond" w:hAnsi="Garamond"/>
          <w:noProof/>
        </w:rPr>
        <w:tab/>
        <w:t>93</w:t>
      </w:r>
    </w:p>
    <w:p w14:paraId="596A9DBD" w14:textId="77777777" w:rsidR="002670B9" w:rsidRPr="004E2346" w:rsidRDefault="002670B9">
      <w:pPr>
        <w:pStyle w:val="TableofAuthorities"/>
        <w:tabs>
          <w:tab w:val="right" w:leader="dot" w:pos="9350"/>
        </w:tabs>
        <w:rPr>
          <w:rFonts w:ascii="Garamond" w:hAnsi="Garamond"/>
          <w:noProof/>
        </w:rPr>
      </w:pPr>
      <w:r w:rsidRPr="004E2346">
        <w:rPr>
          <w:rFonts w:ascii="Garamond" w:eastAsia="Times New Roman" w:hAnsi="Garamond"/>
          <w:noProof/>
        </w:rPr>
        <w:t>Clean Water Act</w:t>
      </w:r>
      <w:r w:rsidRPr="004E2346">
        <w:rPr>
          <w:rFonts w:ascii="Garamond" w:hAnsi="Garamond"/>
          <w:noProof/>
        </w:rPr>
        <w:tab/>
        <w:t>55</w:t>
      </w:r>
    </w:p>
    <w:p w14:paraId="6A324DBC" w14:textId="13D56E1D" w:rsidR="002670B9" w:rsidRPr="004E2346" w:rsidRDefault="002670B9">
      <w:pPr>
        <w:pStyle w:val="TableofAuthorities"/>
        <w:tabs>
          <w:tab w:val="right" w:leader="dot" w:pos="9350"/>
        </w:tabs>
        <w:rPr>
          <w:rFonts w:ascii="Garamond" w:hAnsi="Garamond"/>
          <w:noProof/>
        </w:rPr>
      </w:pPr>
      <w:r w:rsidRPr="004E2346">
        <w:rPr>
          <w:rFonts w:ascii="Garamond" w:hAnsi="Garamond"/>
          <w:noProof/>
        </w:rPr>
        <w:t>Alien</w:t>
      </w:r>
      <w:r w:rsidR="00954F6C">
        <w:rPr>
          <w:rFonts w:ascii="Garamond" w:hAnsi="Garamond"/>
          <w:noProof/>
        </w:rPr>
        <w:t xml:space="preserve"> Enemies</w:t>
      </w:r>
      <w:r w:rsidRPr="004E2346">
        <w:rPr>
          <w:rFonts w:ascii="Garamond" w:hAnsi="Garamond"/>
          <w:noProof/>
        </w:rPr>
        <w:t xml:space="preserve"> Act</w:t>
      </w:r>
      <w:r w:rsidRPr="004E2346">
        <w:rPr>
          <w:rFonts w:ascii="Garamond" w:hAnsi="Garamond"/>
          <w:noProof/>
        </w:rPr>
        <w:tab/>
        <w:t>96, 111, 112</w:t>
      </w:r>
    </w:p>
    <w:p w14:paraId="26DD2760" w14:textId="2E81FC1E" w:rsidR="002670B9" w:rsidRPr="004E2346" w:rsidRDefault="002670B9">
      <w:pPr>
        <w:pStyle w:val="TableofAuthorities"/>
        <w:tabs>
          <w:tab w:val="right" w:leader="dot" w:pos="9350"/>
        </w:tabs>
        <w:rPr>
          <w:rFonts w:ascii="Garamond" w:hAnsi="Garamond"/>
          <w:noProof/>
        </w:rPr>
      </w:pPr>
      <w:r w:rsidRPr="004E2346">
        <w:rPr>
          <w:rFonts w:ascii="Garamond" w:hAnsi="Garamond"/>
          <w:noProof/>
        </w:rPr>
        <w:t>English Habeas Corpus Act of 16</w:t>
      </w:r>
      <w:r w:rsidR="00DC2D35">
        <w:rPr>
          <w:rFonts w:ascii="Garamond" w:hAnsi="Garamond"/>
          <w:noProof/>
        </w:rPr>
        <w:t>7</w:t>
      </w:r>
      <w:r w:rsidRPr="004E2346">
        <w:rPr>
          <w:rFonts w:ascii="Garamond" w:hAnsi="Garamond"/>
          <w:noProof/>
        </w:rPr>
        <w:t>9</w:t>
      </w:r>
      <w:r w:rsidRPr="004E2346">
        <w:rPr>
          <w:rFonts w:ascii="Garamond" w:hAnsi="Garamond"/>
          <w:noProof/>
        </w:rPr>
        <w:tab/>
        <w:t>113</w:t>
      </w:r>
    </w:p>
    <w:p w14:paraId="0D3C4DF1"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Fair Credit Reporting Act</w:t>
      </w:r>
      <w:r w:rsidRPr="004E2346">
        <w:rPr>
          <w:rFonts w:ascii="Garamond" w:hAnsi="Garamond"/>
          <w:noProof/>
        </w:rPr>
        <w:tab/>
        <w:t>105</w:t>
      </w:r>
    </w:p>
    <w:p w14:paraId="5D86D5A4"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Family Educational Rights and Privacy Act</w:t>
      </w:r>
      <w:r w:rsidRPr="004E2346">
        <w:rPr>
          <w:rFonts w:ascii="Garamond" w:hAnsi="Garamond"/>
          <w:noProof/>
        </w:rPr>
        <w:tab/>
        <w:t>89</w:t>
      </w:r>
    </w:p>
    <w:p w14:paraId="18BECC2C"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Federal Nursing Home Reform Act</w:t>
      </w:r>
      <w:r w:rsidRPr="004E2346">
        <w:rPr>
          <w:rFonts w:ascii="Garamond" w:hAnsi="Garamond"/>
          <w:noProof/>
        </w:rPr>
        <w:tab/>
        <w:t>89</w:t>
      </w:r>
    </w:p>
    <w:p w14:paraId="6AAB746C"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Federal Trade Commission Act</w:t>
      </w:r>
      <w:r w:rsidRPr="004E2346">
        <w:rPr>
          <w:rFonts w:ascii="Garamond" w:hAnsi="Garamond"/>
          <w:noProof/>
        </w:rPr>
        <w:tab/>
        <w:t>106, 124</w:t>
      </w:r>
    </w:p>
    <w:p w14:paraId="4E9E352A"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Indian Child Welfare Act</w:t>
      </w:r>
      <w:r w:rsidRPr="004E2346">
        <w:rPr>
          <w:rFonts w:ascii="Garamond" w:hAnsi="Garamond"/>
          <w:noProof/>
        </w:rPr>
        <w:tab/>
        <w:t>70</w:t>
      </w:r>
    </w:p>
    <w:p w14:paraId="266A759C"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Individuals With Disabilities Education Act</w:t>
      </w:r>
      <w:r w:rsidRPr="004E2346">
        <w:rPr>
          <w:rFonts w:ascii="Garamond" w:hAnsi="Garamond"/>
          <w:noProof/>
        </w:rPr>
        <w:tab/>
        <w:t>88</w:t>
      </w:r>
    </w:p>
    <w:p w14:paraId="5D2EA3FB"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color w:val="000000" w:themeColor="text1"/>
        </w:rPr>
        <w:t>Investment Company Act</w:t>
      </w:r>
      <w:r w:rsidRPr="004E2346">
        <w:rPr>
          <w:rFonts w:ascii="Garamond" w:hAnsi="Garamond"/>
          <w:noProof/>
        </w:rPr>
        <w:tab/>
        <w:t>90</w:t>
      </w:r>
    </w:p>
    <w:p w14:paraId="6155CADE"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Little Tucker Act</w:t>
      </w:r>
      <w:r w:rsidRPr="004E2346">
        <w:rPr>
          <w:rFonts w:ascii="Garamond" w:hAnsi="Garamond"/>
          <w:noProof/>
        </w:rPr>
        <w:tab/>
        <w:t>105</w:t>
      </w:r>
    </w:p>
    <w:p w14:paraId="33549C10"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Medicaid Act</w:t>
      </w:r>
      <w:r w:rsidRPr="004E2346">
        <w:rPr>
          <w:rFonts w:ascii="Garamond" w:hAnsi="Garamond"/>
          <w:noProof/>
        </w:rPr>
        <w:tab/>
        <w:t>89</w:t>
      </w:r>
    </w:p>
    <w:p w14:paraId="4FF3DD7D"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Nationality Act of 1940</w:t>
      </w:r>
      <w:r w:rsidRPr="004E2346">
        <w:rPr>
          <w:rFonts w:ascii="Garamond" w:hAnsi="Garamond"/>
          <w:noProof/>
        </w:rPr>
        <w:tab/>
        <w:t>125, 143</w:t>
      </w:r>
    </w:p>
    <w:p w14:paraId="5984EFC8"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Public Housing Act</w:t>
      </w:r>
      <w:r w:rsidRPr="004E2346">
        <w:rPr>
          <w:rFonts w:ascii="Garamond" w:hAnsi="Garamond"/>
          <w:noProof/>
        </w:rPr>
        <w:tab/>
        <w:t>88</w:t>
      </w:r>
    </w:p>
    <w:p w14:paraId="5BEFB0A9"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Religious Land Use and Institutionalized Persons Act</w:t>
      </w:r>
      <w:r w:rsidRPr="004E2346">
        <w:rPr>
          <w:rFonts w:ascii="Garamond" w:hAnsi="Garamond"/>
          <w:noProof/>
        </w:rPr>
        <w:tab/>
        <w:t>90, 91</w:t>
      </w:r>
    </w:p>
    <w:p w14:paraId="1559178B" w14:textId="77777777" w:rsidR="002670B9" w:rsidRPr="004E2346" w:rsidRDefault="002670B9">
      <w:pPr>
        <w:pStyle w:val="TableofAuthorities"/>
        <w:tabs>
          <w:tab w:val="right" w:leader="dot" w:pos="9350"/>
        </w:tabs>
        <w:rPr>
          <w:rFonts w:ascii="Garamond" w:hAnsi="Garamond"/>
          <w:noProof/>
        </w:rPr>
      </w:pPr>
      <w:r w:rsidRPr="004E2346">
        <w:rPr>
          <w:rFonts w:ascii="Garamond" w:hAnsi="Garamond"/>
          <w:noProof/>
        </w:rPr>
        <w:t>Securities Exchange Act</w:t>
      </w:r>
      <w:r w:rsidRPr="004E2346">
        <w:rPr>
          <w:rFonts w:ascii="Garamond" w:hAnsi="Garamond"/>
          <w:noProof/>
        </w:rPr>
        <w:tab/>
        <w:t>106</w:t>
      </w:r>
    </w:p>
    <w:p w14:paraId="15E8E24D" w14:textId="77777777" w:rsidR="002670B9" w:rsidRPr="004E2346" w:rsidRDefault="002670B9">
      <w:pPr>
        <w:pStyle w:val="TableofAuthorities"/>
        <w:tabs>
          <w:tab w:val="right" w:leader="dot" w:pos="9350"/>
        </w:tabs>
        <w:rPr>
          <w:rFonts w:ascii="Garamond" w:hAnsi="Garamond"/>
          <w:noProof/>
        </w:rPr>
      </w:pPr>
      <w:r w:rsidRPr="004E2346">
        <w:rPr>
          <w:rFonts w:ascii="Garamond" w:eastAsia="Times New Roman" w:hAnsi="Garamond"/>
          <w:iCs/>
          <w:noProof/>
        </w:rPr>
        <w:t>Torture Victim Protection Act</w:t>
      </w:r>
      <w:r w:rsidRPr="004E2346">
        <w:rPr>
          <w:rFonts w:ascii="Garamond" w:hAnsi="Garamond"/>
          <w:noProof/>
        </w:rPr>
        <w:tab/>
        <w:t>91</w:t>
      </w:r>
    </w:p>
    <w:p w14:paraId="223E5D4C" w14:textId="77777777" w:rsidR="002670B9" w:rsidRPr="004E2346" w:rsidRDefault="002670B9">
      <w:pPr>
        <w:pStyle w:val="TableofAuthorities"/>
        <w:tabs>
          <w:tab w:val="right" w:leader="dot" w:pos="9350"/>
        </w:tabs>
        <w:rPr>
          <w:rFonts w:ascii="Garamond" w:hAnsi="Garamond"/>
          <w:noProof/>
        </w:rPr>
      </w:pPr>
      <w:r w:rsidRPr="004E2346">
        <w:rPr>
          <w:rFonts w:ascii="Garamond" w:eastAsia="Times New Roman" w:hAnsi="Garamond"/>
          <w:iCs/>
          <w:noProof/>
        </w:rPr>
        <w:t>Torture Victims Protection Act</w:t>
      </w:r>
      <w:r w:rsidRPr="004E2346">
        <w:rPr>
          <w:rFonts w:ascii="Garamond" w:hAnsi="Garamond"/>
          <w:noProof/>
        </w:rPr>
        <w:tab/>
        <w:t>91</w:t>
      </w:r>
    </w:p>
    <w:p w14:paraId="7C40241D" w14:textId="4D8DDE5C" w:rsidR="00756097" w:rsidRPr="004E2346" w:rsidRDefault="00756097">
      <w:pPr>
        <w:pStyle w:val="TOAHeading"/>
        <w:tabs>
          <w:tab w:val="right" w:leader="hyphen" w:pos="9350"/>
        </w:tabs>
        <w:rPr>
          <w:rFonts w:ascii="Garamond" w:eastAsiaTheme="minorEastAsia" w:hAnsi="Garamond" w:cstheme="minorBidi"/>
          <w:b/>
          <w:bCs/>
          <w:noProof/>
        </w:rPr>
      </w:pPr>
      <w:r w:rsidRPr="004E2346">
        <w:rPr>
          <w:rFonts w:ascii="Garamond" w:hAnsi="Garamond"/>
        </w:rPr>
        <w:fldChar w:fldCharType="end"/>
      </w:r>
      <w:r w:rsidR="00BB5731" w:rsidRPr="004E2346">
        <w:rPr>
          <w:rFonts w:ascii="Garamond" w:hAnsi="Garamond"/>
        </w:rPr>
        <w:fldChar w:fldCharType="begin"/>
      </w:r>
      <w:r w:rsidR="00BB5731" w:rsidRPr="004E2346">
        <w:rPr>
          <w:rFonts w:ascii="Garamond" w:hAnsi="Garamond"/>
        </w:rPr>
        <w:instrText xml:space="preserve"> TOA \h \c "3" \p </w:instrText>
      </w:r>
      <w:r w:rsidR="00BB5731" w:rsidRPr="004E2346">
        <w:rPr>
          <w:rFonts w:ascii="Garamond" w:hAnsi="Garamond"/>
        </w:rPr>
        <w:fldChar w:fldCharType="separate"/>
      </w:r>
      <w:r w:rsidRPr="004E2346">
        <w:rPr>
          <w:rFonts w:ascii="Garamond" w:hAnsi="Garamond"/>
          <w:noProof/>
        </w:rPr>
        <w:t>Other Authorities</w:t>
      </w:r>
    </w:p>
    <w:p w14:paraId="43B65E5A" w14:textId="77777777" w:rsidR="00756097" w:rsidRPr="004E2346" w:rsidRDefault="00756097">
      <w:pPr>
        <w:pStyle w:val="TableofAuthorities"/>
        <w:tabs>
          <w:tab w:val="right" w:leader="hyphen" w:pos="9350"/>
        </w:tabs>
        <w:rPr>
          <w:rFonts w:ascii="Garamond" w:hAnsi="Garamond"/>
          <w:noProof/>
        </w:rPr>
      </w:pPr>
      <w:r w:rsidRPr="004E2346">
        <w:rPr>
          <w:rFonts w:ascii="Garamond" w:hAnsi="Garamond"/>
          <w:noProof/>
        </w:rPr>
        <w:t xml:space="preserve">Chas Danner, </w:t>
      </w:r>
      <w:r w:rsidRPr="004E2346">
        <w:rPr>
          <w:rFonts w:ascii="Garamond" w:hAnsi="Garamond"/>
          <w:i/>
          <w:iCs/>
          <w:noProof/>
        </w:rPr>
        <w:t>All the U.S. Citizens Who’ve Been Caught Up in Trump’s Immigration Crackdown</w:t>
      </w:r>
      <w:r w:rsidRPr="004E2346">
        <w:rPr>
          <w:rFonts w:ascii="Garamond" w:hAnsi="Garamond"/>
          <w:noProof/>
        </w:rPr>
        <w:t>, New York Magazine, May 3, 2025</w:t>
      </w:r>
      <w:r w:rsidRPr="004E2346">
        <w:rPr>
          <w:rFonts w:ascii="Garamond" w:hAnsi="Garamond"/>
          <w:noProof/>
        </w:rPr>
        <w:tab/>
        <w:t>115</w:t>
      </w:r>
    </w:p>
    <w:p w14:paraId="464E793D" w14:textId="77777777" w:rsidR="00756097" w:rsidRPr="004E2346" w:rsidRDefault="00756097">
      <w:pPr>
        <w:pStyle w:val="TableofAuthorities"/>
        <w:tabs>
          <w:tab w:val="right" w:leader="hyphen" w:pos="9350"/>
        </w:tabs>
        <w:rPr>
          <w:rFonts w:ascii="Garamond" w:hAnsi="Garamond"/>
          <w:noProof/>
        </w:rPr>
      </w:pPr>
      <w:r w:rsidRPr="004E2346">
        <w:rPr>
          <w:rFonts w:ascii="Garamond" w:hAnsi="Garamond"/>
          <w:noProof/>
        </w:rPr>
        <w:t xml:space="preserve">Financial Oversight and Management Board for Puerto Rico v. Centro de Periodismo Investigativo, Inc., 137 </w:t>
      </w:r>
      <w:r w:rsidRPr="004E2346">
        <w:rPr>
          <w:rFonts w:ascii="Garamond" w:hAnsi="Garamond"/>
          <w:smallCaps/>
          <w:noProof/>
        </w:rPr>
        <w:t>Harv. L. Rev.</w:t>
      </w:r>
      <w:r w:rsidRPr="004E2346">
        <w:rPr>
          <w:rFonts w:ascii="Garamond" w:hAnsi="Garamond"/>
          <w:noProof/>
        </w:rPr>
        <w:t xml:space="preserve"> 460</w:t>
      </w:r>
      <w:r w:rsidRPr="004E2346">
        <w:rPr>
          <w:rFonts w:ascii="Garamond" w:hAnsi="Garamond"/>
          <w:noProof/>
        </w:rPr>
        <w:tab/>
        <w:t>94</w:t>
      </w:r>
    </w:p>
    <w:p w14:paraId="4B8DEB22" w14:textId="77777777" w:rsidR="00756097" w:rsidRPr="004E2346" w:rsidRDefault="00756097">
      <w:pPr>
        <w:pStyle w:val="TableofAuthorities"/>
        <w:tabs>
          <w:tab w:val="right" w:leader="hyphen" w:pos="9350"/>
        </w:tabs>
        <w:rPr>
          <w:rFonts w:ascii="Garamond" w:hAnsi="Garamond"/>
          <w:noProof/>
        </w:rPr>
      </w:pPr>
      <w:r w:rsidRPr="004E2346">
        <w:rPr>
          <w:rFonts w:ascii="Garamond" w:hAnsi="Garamond"/>
          <w:noProof/>
        </w:rPr>
        <w:t xml:space="preserve">Hamed Aleaziz, </w:t>
      </w:r>
      <w:r w:rsidRPr="004E2346">
        <w:rPr>
          <w:rFonts w:ascii="Garamond" w:hAnsi="Garamond"/>
          <w:i/>
          <w:iCs/>
          <w:noProof/>
        </w:rPr>
        <w:t>Immigration Arrests Surge to 10,000 in Five Days as ICE Clamps Down</w:t>
      </w:r>
      <w:r w:rsidRPr="004E2346">
        <w:rPr>
          <w:rFonts w:ascii="Garamond" w:hAnsi="Garamond"/>
          <w:noProof/>
        </w:rPr>
        <w:t>, N.Y. Times, July 1, 2026</w:t>
      </w:r>
      <w:r w:rsidRPr="004E2346">
        <w:rPr>
          <w:rFonts w:ascii="Garamond" w:hAnsi="Garamond"/>
          <w:noProof/>
        </w:rPr>
        <w:tab/>
        <w:t>115</w:t>
      </w:r>
    </w:p>
    <w:p w14:paraId="1E824641" w14:textId="77777777" w:rsidR="00756097" w:rsidRPr="004E2346" w:rsidRDefault="00756097">
      <w:pPr>
        <w:pStyle w:val="TableofAuthorities"/>
        <w:tabs>
          <w:tab w:val="right" w:leader="hyphen" w:pos="9350"/>
        </w:tabs>
        <w:rPr>
          <w:rFonts w:ascii="Garamond" w:hAnsi="Garamond"/>
          <w:noProof/>
        </w:rPr>
      </w:pPr>
      <w:r w:rsidRPr="004E2346">
        <w:rPr>
          <w:rFonts w:ascii="Garamond" w:hAnsi="Garamond"/>
          <w:noProof/>
        </w:rPr>
        <w:t>James T. Campbell, Aurelius</w:t>
      </w:r>
      <w:r w:rsidRPr="004E2346">
        <w:rPr>
          <w:rFonts w:ascii="Garamond" w:hAnsi="Garamond"/>
          <w:i/>
          <w:iCs/>
          <w:noProof/>
        </w:rPr>
        <w:t xml:space="preserve">’s Article III Revisionism: Reimagining Judicial Engagement with the </w:t>
      </w:r>
      <w:r w:rsidRPr="004E2346">
        <w:rPr>
          <w:rFonts w:ascii="Garamond" w:hAnsi="Garamond"/>
          <w:noProof/>
        </w:rPr>
        <w:t>Insular Cases</w:t>
      </w:r>
      <w:r w:rsidRPr="004E2346">
        <w:rPr>
          <w:rFonts w:ascii="Garamond" w:hAnsi="Garamond"/>
          <w:i/>
          <w:iCs/>
          <w:noProof/>
        </w:rPr>
        <w:t xml:space="preserve"> and “The Law of the Territories,”</w:t>
      </w:r>
      <w:r w:rsidRPr="004E2346">
        <w:rPr>
          <w:rFonts w:ascii="Garamond" w:hAnsi="Garamond"/>
          <w:noProof/>
        </w:rPr>
        <w:t xml:space="preserve"> 131 </w:t>
      </w:r>
      <w:r w:rsidRPr="004E2346">
        <w:rPr>
          <w:rFonts w:ascii="Garamond" w:hAnsi="Garamond"/>
          <w:smallCaps/>
          <w:noProof/>
        </w:rPr>
        <w:t>Yale L.J.</w:t>
      </w:r>
      <w:r w:rsidRPr="004E2346">
        <w:rPr>
          <w:rFonts w:ascii="Garamond" w:hAnsi="Garamond"/>
          <w:noProof/>
        </w:rPr>
        <w:t xml:space="preserve"> 2542</w:t>
      </w:r>
      <w:r w:rsidRPr="004E2346">
        <w:rPr>
          <w:rFonts w:ascii="Garamond" w:hAnsi="Garamond"/>
          <w:noProof/>
        </w:rPr>
        <w:tab/>
        <w:t>94</w:t>
      </w:r>
    </w:p>
    <w:p w14:paraId="06CDE95C" w14:textId="77777777" w:rsidR="00756097" w:rsidRPr="004E2346" w:rsidRDefault="00756097">
      <w:pPr>
        <w:pStyle w:val="TableofAuthorities"/>
        <w:tabs>
          <w:tab w:val="right" w:leader="hyphen" w:pos="9350"/>
        </w:tabs>
        <w:rPr>
          <w:rFonts w:ascii="Garamond" w:hAnsi="Garamond"/>
          <w:noProof/>
        </w:rPr>
      </w:pPr>
      <w:r w:rsidRPr="004E2346">
        <w:rPr>
          <w:rFonts w:ascii="Garamond" w:hAnsi="Garamond"/>
          <w:noProof/>
        </w:rPr>
        <w:t xml:space="preserve">Michael J. Zydney Mannheimer, </w:t>
      </w:r>
      <w:r w:rsidRPr="004E2346">
        <w:rPr>
          <w:rFonts w:ascii="Garamond" w:hAnsi="Garamond"/>
          <w:i/>
          <w:iCs/>
          <w:noProof/>
        </w:rPr>
        <w:t>Unpacking Supremacy Clause Immunity</w:t>
      </w:r>
      <w:r w:rsidRPr="004E2346">
        <w:rPr>
          <w:rFonts w:ascii="Garamond" w:hAnsi="Garamond"/>
          <w:noProof/>
        </w:rPr>
        <w:t>, 76 Am. U. L. Rev. ___ (forthcoming 2026)</w:t>
      </w:r>
      <w:r w:rsidRPr="004E2346">
        <w:rPr>
          <w:rFonts w:ascii="Garamond" w:hAnsi="Garamond"/>
          <w:noProof/>
        </w:rPr>
        <w:tab/>
        <w:t>86</w:t>
      </w:r>
    </w:p>
    <w:p w14:paraId="247E1550" w14:textId="77777777" w:rsidR="00756097" w:rsidRPr="004E2346" w:rsidRDefault="00756097">
      <w:pPr>
        <w:pStyle w:val="TableofAuthorities"/>
        <w:tabs>
          <w:tab w:val="right" w:leader="hyphen" w:pos="9350"/>
        </w:tabs>
        <w:rPr>
          <w:rFonts w:ascii="Garamond" w:hAnsi="Garamond"/>
          <w:noProof/>
        </w:rPr>
      </w:pPr>
      <w:r w:rsidRPr="004E2346">
        <w:rPr>
          <w:rFonts w:ascii="Garamond" w:hAnsi="Garamond"/>
          <w:noProof/>
        </w:rPr>
        <w:t xml:space="preserve">Nehmas, McCann, Rich, Ulloa, and Aleaziz, </w:t>
      </w:r>
      <w:r w:rsidRPr="004E2346">
        <w:rPr>
          <w:rFonts w:ascii="Garamond" w:hAnsi="Garamond"/>
          <w:i/>
          <w:iCs/>
          <w:noProof/>
        </w:rPr>
        <w:t>How Trump Purged Immigration Judges to Speed up Deportations</w:t>
      </w:r>
      <w:r w:rsidRPr="004E2346">
        <w:rPr>
          <w:rFonts w:ascii="Garamond" w:hAnsi="Garamond"/>
          <w:noProof/>
        </w:rPr>
        <w:t>, N.Y. Times, April 9, 2026</w:t>
      </w:r>
      <w:r w:rsidRPr="004E2346">
        <w:rPr>
          <w:rFonts w:ascii="Garamond" w:hAnsi="Garamond"/>
          <w:noProof/>
        </w:rPr>
        <w:tab/>
        <w:t>114</w:t>
      </w:r>
    </w:p>
    <w:p w14:paraId="14045BF5" w14:textId="77777777" w:rsidR="00756097" w:rsidRPr="004E2346" w:rsidRDefault="00756097">
      <w:pPr>
        <w:pStyle w:val="TableofAuthorities"/>
        <w:tabs>
          <w:tab w:val="right" w:leader="hyphen" w:pos="9350"/>
        </w:tabs>
        <w:rPr>
          <w:rFonts w:ascii="Garamond" w:hAnsi="Garamond"/>
          <w:noProof/>
        </w:rPr>
      </w:pPr>
      <w:r w:rsidRPr="004E2346">
        <w:rPr>
          <w:rFonts w:ascii="Garamond" w:hAnsi="Garamond"/>
          <w:noProof/>
        </w:rPr>
        <w:t xml:space="preserve">Presa Johnson, and Pratt, </w:t>
      </w:r>
      <w:r w:rsidRPr="004E2346">
        <w:rPr>
          <w:rFonts w:ascii="Garamond" w:hAnsi="Garamond"/>
          <w:i/>
          <w:iCs/>
          <w:noProof/>
        </w:rPr>
        <w:t>Latino US Citizens Racially Profiled by Federal Immigration Agents in Chicago</w:t>
      </w:r>
      <w:r w:rsidRPr="004E2346">
        <w:rPr>
          <w:rFonts w:ascii="Garamond" w:hAnsi="Garamond"/>
          <w:noProof/>
        </w:rPr>
        <w:t>, Nov. 15, 2025</w:t>
      </w:r>
      <w:r w:rsidRPr="004E2346">
        <w:rPr>
          <w:rFonts w:ascii="Garamond" w:hAnsi="Garamond"/>
          <w:noProof/>
        </w:rPr>
        <w:tab/>
        <w:t>115</w:t>
      </w:r>
    </w:p>
    <w:p w14:paraId="06487AD5" w14:textId="77777777" w:rsidR="00756097" w:rsidRPr="004E2346" w:rsidRDefault="00756097">
      <w:pPr>
        <w:pStyle w:val="TableofAuthorities"/>
        <w:tabs>
          <w:tab w:val="right" w:leader="hyphen" w:pos="9350"/>
        </w:tabs>
        <w:rPr>
          <w:rFonts w:ascii="Garamond" w:hAnsi="Garamond"/>
          <w:noProof/>
        </w:rPr>
      </w:pPr>
      <w:r w:rsidRPr="004E2346">
        <w:rPr>
          <w:rFonts w:ascii="Garamond" w:eastAsia="Times New Roman" w:hAnsi="Garamond"/>
          <w:noProof/>
        </w:rPr>
        <w:t xml:space="preserve">Robin Kundis Craig, </w:t>
      </w:r>
      <w:r w:rsidRPr="004E2346">
        <w:rPr>
          <w:rFonts w:ascii="Garamond" w:eastAsia="Times New Roman" w:hAnsi="Garamond"/>
          <w:i/>
          <w:iCs/>
          <w:noProof/>
        </w:rPr>
        <w:t>The Impact of</w:t>
      </w:r>
      <w:r w:rsidRPr="004E2346">
        <w:rPr>
          <w:rFonts w:ascii="Garamond" w:eastAsia="Times New Roman" w:hAnsi="Garamond"/>
          <w:noProof/>
        </w:rPr>
        <w:t xml:space="preserve"> Loper Bright v. Raimondo</w:t>
      </w:r>
      <w:r w:rsidRPr="004E2346">
        <w:rPr>
          <w:rFonts w:ascii="Garamond" w:eastAsia="Times New Roman" w:hAnsi="Garamond"/>
          <w:i/>
          <w:iCs/>
          <w:noProof/>
        </w:rPr>
        <w:t>: An Empirical Review of the First Six Months</w:t>
      </w:r>
      <w:r w:rsidRPr="004E2346">
        <w:rPr>
          <w:rFonts w:ascii="Garamond" w:eastAsia="Times New Roman" w:hAnsi="Garamond"/>
          <w:noProof/>
        </w:rPr>
        <w:t>, 109 Minn. L. Rev. 2671</w:t>
      </w:r>
      <w:r w:rsidRPr="004E2346">
        <w:rPr>
          <w:rFonts w:ascii="Garamond" w:hAnsi="Garamond"/>
          <w:noProof/>
        </w:rPr>
        <w:tab/>
        <w:t>53</w:t>
      </w:r>
    </w:p>
    <w:p w14:paraId="259CF308" w14:textId="77777777" w:rsidR="00756097" w:rsidRPr="004E2346" w:rsidRDefault="00756097">
      <w:pPr>
        <w:pStyle w:val="TableofAuthorities"/>
        <w:tabs>
          <w:tab w:val="right" w:leader="hyphen" w:pos="9350"/>
        </w:tabs>
        <w:rPr>
          <w:rFonts w:ascii="Garamond" w:hAnsi="Garamond"/>
          <w:noProof/>
        </w:rPr>
      </w:pPr>
      <w:r w:rsidRPr="004E2346">
        <w:rPr>
          <w:rFonts w:ascii="Garamond" w:hAnsi="Garamond"/>
          <w:noProof/>
        </w:rPr>
        <w:t xml:space="preserve">Stephen Vladeck, </w:t>
      </w:r>
      <w:r w:rsidRPr="004E2346">
        <w:rPr>
          <w:rFonts w:ascii="Garamond" w:eastAsia="Times New Roman" w:hAnsi="Garamond"/>
          <w:i/>
          <w:iCs/>
          <w:noProof/>
        </w:rPr>
        <w:t>The Shadow Docket</w:t>
      </w:r>
      <w:r w:rsidRPr="004E2346">
        <w:rPr>
          <w:rFonts w:ascii="Garamond" w:hAnsi="Garamond"/>
          <w:noProof/>
        </w:rPr>
        <w:tab/>
        <w:t>121</w:t>
      </w:r>
    </w:p>
    <w:p w14:paraId="5CF69C3C" w14:textId="77777777" w:rsidR="007B7806" w:rsidRPr="004E2346" w:rsidRDefault="00BB5731">
      <w:pPr>
        <w:pStyle w:val="TOAHeading"/>
        <w:tabs>
          <w:tab w:val="right" w:leader="hyphen" w:pos="9350"/>
        </w:tabs>
        <w:rPr>
          <w:rFonts w:ascii="Garamond" w:eastAsiaTheme="minorEastAsia" w:hAnsi="Garamond" w:cstheme="minorBidi"/>
          <w:b/>
          <w:bCs/>
          <w:noProof/>
        </w:rPr>
      </w:pPr>
      <w:r w:rsidRPr="004E2346">
        <w:rPr>
          <w:rFonts w:ascii="Garamond" w:hAnsi="Garamond"/>
        </w:rPr>
        <w:fldChar w:fldCharType="end"/>
      </w:r>
      <w:r w:rsidRPr="004E2346">
        <w:rPr>
          <w:rFonts w:ascii="Garamond" w:hAnsi="Garamond"/>
        </w:rPr>
        <w:fldChar w:fldCharType="begin"/>
      </w:r>
      <w:r w:rsidRPr="004E2346">
        <w:rPr>
          <w:rFonts w:ascii="Garamond" w:hAnsi="Garamond"/>
        </w:rPr>
        <w:instrText xml:space="preserve"> TOA \h \c "4" \p </w:instrText>
      </w:r>
      <w:r w:rsidRPr="004E2346">
        <w:rPr>
          <w:rFonts w:ascii="Garamond" w:hAnsi="Garamond"/>
        </w:rPr>
        <w:fldChar w:fldCharType="separate"/>
      </w:r>
      <w:r w:rsidR="007B7806" w:rsidRPr="004E2346">
        <w:rPr>
          <w:rFonts w:ascii="Garamond" w:hAnsi="Garamond"/>
          <w:noProof/>
        </w:rPr>
        <w:t>Rules</w:t>
      </w:r>
    </w:p>
    <w:p w14:paraId="7BD49ED5" w14:textId="77777777" w:rsidR="007B7806" w:rsidRPr="004E2346" w:rsidRDefault="007B7806">
      <w:pPr>
        <w:pStyle w:val="TableofAuthorities"/>
        <w:tabs>
          <w:tab w:val="right" w:leader="hyphen" w:pos="9350"/>
        </w:tabs>
        <w:rPr>
          <w:rFonts w:ascii="Garamond" w:hAnsi="Garamond"/>
          <w:noProof/>
        </w:rPr>
      </w:pPr>
      <w:r w:rsidRPr="004E2346">
        <w:rPr>
          <w:rFonts w:ascii="Garamond" w:hAnsi="Garamond"/>
          <w:noProof/>
        </w:rPr>
        <w:t>Fed. R. Civ. P.12(b)(1)</w:t>
      </w:r>
      <w:r w:rsidRPr="004E2346">
        <w:rPr>
          <w:rFonts w:ascii="Garamond" w:hAnsi="Garamond"/>
          <w:noProof/>
        </w:rPr>
        <w:tab/>
        <w:t>11</w:t>
      </w:r>
    </w:p>
    <w:p w14:paraId="26DE46F1" w14:textId="77777777" w:rsidR="007B7806" w:rsidRPr="004E2346" w:rsidRDefault="007B7806">
      <w:pPr>
        <w:pStyle w:val="TableofAuthorities"/>
        <w:tabs>
          <w:tab w:val="right" w:leader="hyphen" w:pos="9350"/>
        </w:tabs>
        <w:rPr>
          <w:rFonts w:ascii="Garamond" w:hAnsi="Garamond"/>
          <w:noProof/>
        </w:rPr>
      </w:pPr>
      <w:r w:rsidRPr="004E2346">
        <w:rPr>
          <w:rFonts w:ascii="Garamond" w:hAnsi="Garamond" w:cs="Arial"/>
          <w:noProof/>
          <w:color w:val="222222"/>
          <w:shd w:val="clear" w:color="auto" w:fill="FFFFFF"/>
        </w:rPr>
        <w:t>Fed. R. Civ. P.</w:t>
      </w:r>
      <w:r w:rsidRPr="004E2346">
        <w:rPr>
          <w:rFonts w:ascii="Garamond" w:hAnsi="Garamond"/>
          <w:noProof/>
        </w:rPr>
        <w:t>12(b)(6)</w:t>
      </w:r>
      <w:r w:rsidRPr="004E2346">
        <w:rPr>
          <w:rFonts w:ascii="Garamond" w:hAnsi="Garamond"/>
          <w:noProof/>
        </w:rPr>
        <w:tab/>
        <w:t>11</w:t>
      </w:r>
    </w:p>
    <w:p w14:paraId="1D84DC95" w14:textId="3854653E" w:rsidR="00FE391A" w:rsidRPr="00C05D6B" w:rsidRDefault="00BB5731" w:rsidP="00FE391A">
      <w:pPr>
        <w:widowControl w:val="0"/>
        <w:tabs>
          <w:tab w:val="right" w:leader="dot" w:pos="720"/>
          <w:tab w:val="right" w:leader="dot" w:pos="8640"/>
        </w:tabs>
        <w:autoSpaceDE w:val="0"/>
        <w:autoSpaceDN w:val="0"/>
        <w:adjustRightInd w:val="0"/>
        <w:ind w:left="360" w:hanging="360"/>
        <w:rPr>
          <w:rFonts w:ascii="Garamond" w:hAnsi="Garamond"/>
        </w:rPr>
      </w:pPr>
      <w:r w:rsidRPr="004E2346">
        <w:rPr>
          <w:rFonts w:ascii="Garamond" w:hAnsi="Garamond"/>
        </w:rPr>
        <w:fldChar w:fldCharType="end"/>
      </w:r>
    </w:p>
    <w:p w14:paraId="12C84C03" w14:textId="27BAC328" w:rsidR="00FE391A" w:rsidRPr="00C05D6B" w:rsidRDefault="00FE391A" w:rsidP="00FE391A">
      <w:pPr>
        <w:widowControl w:val="0"/>
        <w:tabs>
          <w:tab w:val="right" w:leader="dot" w:pos="720"/>
          <w:tab w:val="right" w:leader="dot" w:pos="8640"/>
        </w:tabs>
        <w:autoSpaceDE w:val="0"/>
        <w:autoSpaceDN w:val="0"/>
        <w:adjustRightInd w:val="0"/>
        <w:ind w:left="360" w:hanging="360"/>
        <w:rPr>
          <w:rFonts w:ascii="Garamond" w:hAnsi="Garamond" w:cs="Times New Roman"/>
        </w:rPr>
      </w:pPr>
    </w:p>
    <w:p w14:paraId="54924E87" w14:textId="0BDB7BAB" w:rsidR="00D33288" w:rsidRPr="00C05D6B" w:rsidRDefault="00D33288">
      <w:pPr>
        <w:spacing w:after="160" w:line="278" w:lineRule="auto"/>
        <w:rPr>
          <w:rFonts w:ascii="Garamond" w:hAnsi="Garamond" w:cs="Times New Roman"/>
          <w:b/>
          <w:bCs/>
        </w:rPr>
      </w:pPr>
      <w:r w:rsidRPr="00C05D6B">
        <w:rPr>
          <w:rFonts w:ascii="Garamond" w:hAnsi="Garamond" w:cs="Times New Roman"/>
          <w:b/>
          <w:bCs/>
        </w:rPr>
        <w:br w:type="page"/>
      </w:r>
    </w:p>
    <w:bookmarkEnd w:id="0"/>
    <w:p w14:paraId="7E2414CD" w14:textId="25790241" w:rsidR="00D33288" w:rsidRPr="00C05D6B" w:rsidRDefault="00D33288" w:rsidP="003125BF">
      <w:pPr>
        <w:rPr>
          <w:rFonts w:ascii="Garamond" w:hAnsi="Garamond" w:cs="Times New Roman"/>
          <w:b/>
          <w:bCs/>
        </w:rPr>
      </w:pPr>
      <w:r w:rsidRPr="00C05D6B">
        <w:rPr>
          <w:rFonts w:ascii="Garamond" w:hAnsi="Garamond" w:cs="Times New Roman"/>
          <w:b/>
          <w:bCs/>
        </w:rPr>
        <w:lastRenderedPageBreak/>
        <w:t>Preface</w:t>
      </w:r>
    </w:p>
    <w:p w14:paraId="0A8A9FBA" w14:textId="77777777" w:rsidR="00D33288" w:rsidRPr="00C05D6B" w:rsidRDefault="00D33288" w:rsidP="003125BF">
      <w:pPr>
        <w:rPr>
          <w:rFonts w:ascii="Garamond" w:hAnsi="Garamond" w:cs="Times New Roman"/>
          <w:b/>
          <w:bCs/>
        </w:rPr>
      </w:pPr>
    </w:p>
    <w:p w14:paraId="63DB7597" w14:textId="72983EA5" w:rsidR="004E67CA" w:rsidRPr="00C05D6B" w:rsidRDefault="00D33288" w:rsidP="003125BF">
      <w:pPr>
        <w:rPr>
          <w:rFonts w:ascii="Garamond" w:hAnsi="Garamond" w:cs="Times New Roman"/>
        </w:rPr>
      </w:pPr>
      <w:r w:rsidRPr="00C05D6B">
        <w:rPr>
          <w:rFonts w:ascii="Garamond" w:hAnsi="Garamond" w:cs="Times New Roman"/>
        </w:rPr>
        <w:tab/>
        <w:t xml:space="preserve">The First Edition of </w:t>
      </w:r>
      <w:r w:rsidRPr="00C05D6B">
        <w:rPr>
          <w:rFonts w:ascii="Garamond" w:hAnsi="Garamond" w:cs="Times New Roman"/>
          <w:i/>
          <w:iCs/>
        </w:rPr>
        <w:t xml:space="preserve">Federal Courts in Context </w:t>
      </w:r>
      <w:r w:rsidRPr="00C05D6B">
        <w:rPr>
          <w:rFonts w:ascii="Garamond" w:hAnsi="Garamond" w:cs="Times New Roman"/>
        </w:rPr>
        <w:t xml:space="preserve">was published in </w:t>
      </w:r>
      <w:r w:rsidR="006D79DB" w:rsidRPr="00C05D6B">
        <w:rPr>
          <w:rFonts w:ascii="Garamond" w:hAnsi="Garamond" w:cs="Times New Roman"/>
        </w:rPr>
        <w:t xml:space="preserve">early </w:t>
      </w:r>
      <w:r w:rsidRPr="00C05D6B">
        <w:rPr>
          <w:rFonts w:ascii="Garamond" w:hAnsi="Garamond" w:cs="Times New Roman"/>
        </w:rPr>
        <w:t xml:space="preserve">2023 </w:t>
      </w:r>
      <w:r w:rsidR="006D79DB" w:rsidRPr="00C05D6B">
        <w:rPr>
          <w:rFonts w:ascii="Garamond" w:hAnsi="Garamond" w:cs="Times New Roman"/>
        </w:rPr>
        <w:t>and included discussion of significant cases decided by the Supreme Court in 2022</w:t>
      </w:r>
      <w:r w:rsidRPr="00C05D6B">
        <w:rPr>
          <w:rFonts w:ascii="Garamond" w:hAnsi="Garamond" w:cs="Times New Roman"/>
        </w:rPr>
        <w:t xml:space="preserve">. This Supplement </w:t>
      </w:r>
      <w:r w:rsidR="006D79DB" w:rsidRPr="00C05D6B">
        <w:rPr>
          <w:rFonts w:ascii="Garamond" w:hAnsi="Garamond" w:cs="Times New Roman"/>
        </w:rPr>
        <w:t xml:space="preserve">addresses new developments in federal courts doctrine </w:t>
      </w:r>
      <w:r w:rsidR="004E67CA" w:rsidRPr="00C05D6B">
        <w:rPr>
          <w:rFonts w:ascii="Garamond" w:hAnsi="Garamond" w:cs="Times New Roman"/>
        </w:rPr>
        <w:t>as well as</w:t>
      </w:r>
      <w:r w:rsidR="006D79DB" w:rsidRPr="00C05D6B">
        <w:rPr>
          <w:rFonts w:ascii="Garamond" w:hAnsi="Garamond" w:cs="Times New Roman"/>
        </w:rPr>
        <w:t xml:space="preserve"> important</w:t>
      </w:r>
      <w:r w:rsidR="004E67CA" w:rsidRPr="00C05D6B">
        <w:rPr>
          <w:rFonts w:ascii="Garamond" w:hAnsi="Garamond" w:cs="Times New Roman"/>
        </w:rPr>
        <w:t xml:space="preserve"> developments in closely related fields, such as administrative law.</w:t>
      </w:r>
      <w:r w:rsidR="006F7CF5" w:rsidRPr="00C05D6B">
        <w:rPr>
          <w:rFonts w:ascii="Garamond" w:hAnsi="Garamond" w:cs="Times New Roman"/>
        </w:rPr>
        <w:t xml:space="preserve"> This Supplement covers the cases from October Term</w:t>
      </w:r>
      <w:r w:rsidR="00521096" w:rsidRPr="00C05D6B">
        <w:rPr>
          <w:rFonts w:ascii="Garamond" w:hAnsi="Garamond" w:cs="Times New Roman"/>
        </w:rPr>
        <w:t>s</w:t>
      </w:r>
      <w:r w:rsidR="006F7CF5" w:rsidRPr="00C05D6B">
        <w:rPr>
          <w:rFonts w:ascii="Garamond" w:hAnsi="Garamond" w:cs="Times New Roman"/>
        </w:rPr>
        <w:t xml:space="preserve"> 2022</w:t>
      </w:r>
      <w:r w:rsidR="00521096" w:rsidRPr="00C05D6B">
        <w:rPr>
          <w:rFonts w:ascii="Garamond" w:hAnsi="Garamond" w:cs="Times New Roman"/>
        </w:rPr>
        <w:t>-2025</w:t>
      </w:r>
      <w:r w:rsidR="006F7CF5" w:rsidRPr="00C05D6B">
        <w:rPr>
          <w:rFonts w:ascii="Garamond" w:hAnsi="Garamond" w:cs="Times New Roman"/>
        </w:rPr>
        <w:t>.</w:t>
      </w:r>
      <w:r w:rsidR="00486457" w:rsidRPr="00C05D6B">
        <w:rPr>
          <w:rFonts w:ascii="Garamond" w:hAnsi="Garamond" w:cs="Times New Roman"/>
        </w:rPr>
        <w:t xml:space="preserve"> </w:t>
      </w:r>
      <w:r w:rsidR="006D79DB" w:rsidRPr="00C05D6B">
        <w:rPr>
          <w:rFonts w:ascii="Garamond" w:hAnsi="Garamond" w:cs="Times New Roman"/>
        </w:rPr>
        <w:t>The materials are incorporated by reference to the chapter and page of the casebook so you can decide whether to add them to your coverage, but the supplement can also simply be read as an update in preparation for teaching.</w:t>
      </w:r>
    </w:p>
    <w:p w14:paraId="0AF543DE" w14:textId="77777777" w:rsidR="004E67CA" w:rsidRPr="00C05D6B" w:rsidRDefault="004E67CA" w:rsidP="003125BF">
      <w:pPr>
        <w:rPr>
          <w:rFonts w:ascii="Garamond" w:hAnsi="Garamond" w:cs="Times New Roman"/>
        </w:rPr>
      </w:pPr>
    </w:p>
    <w:p w14:paraId="75615588" w14:textId="32EC0EE3" w:rsidR="004E67CA" w:rsidRPr="00C05D6B" w:rsidRDefault="004E67CA" w:rsidP="003125BF">
      <w:pPr>
        <w:rPr>
          <w:rFonts w:ascii="Garamond" w:hAnsi="Garamond" w:cs="Times New Roman"/>
        </w:rPr>
      </w:pPr>
      <w:r w:rsidRPr="00C05D6B">
        <w:rPr>
          <w:rFonts w:ascii="Garamond" w:hAnsi="Garamond" w:cs="Times New Roman"/>
        </w:rPr>
        <w:tab/>
      </w:r>
      <w:r w:rsidRPr="00C05D6B">
        <w:rPr>
          <w:rFonts w:ascii="Garamond" w:hAnsi="Garamond" w:cs="Times New Roman"/>
          <w:i/>
          <w:iCs/>
        </w:rPr>
        <w:t>Chapter 2</w:t>
      </w:r>
      <w:r w:rsidRPr="00C05D6B">
        <w:rPr>
          <w:rFonts w:ascii="Garamond" w:hAnsi="Garamond" w:cs="Times New Roman"/>
        </w:rPr>
        <w:t xml:space="preserve"> includes the Court</w:t>
      </w:r>
      <w:r w:rsidR="00414B99" w:rsidRPr="00C05D6B">
        <w:rPr>
          <w:rFonts w:ascii="Garamond" w:hAnsi="Garamond" w:cs="Times New Roman"/>
        </w:rPr>
        <w:t>’</w:t>
      </w:r>
      <w:r w:rsidRPr="00C05D6B">
        <w:rPr>
          <w:rFonts w:ascii="Garamond" w:hAnsi="Garamond" w:cs="Times New Roman"/>
        </w:rPr>
        <w:t xml:space="preserve">s decision in </w:t>
      </w:r>
      <w:r w:rsidRPr="00C05D6B">
        <w:rPr>
          <w:rFonts w:ascii="Garamond" w:hAnsi="Garamond" w:cs="Times New Roman"/>
          <w:i/>
          <w:iCs/>
        </w:rPr>
        <w:t>Wilkins v. United States</w:t>
      </w:r>
      <w:r w:rsidRPr="00C05D6B">
        <w:rPr>
          <w:rFonts w:ascii="Garamond" w:hAnsi="Garamond" w:cs="Times New Roman"/>
        </w:rPr>
        <w:t xml:space="preserve">, which </w:t>
      </w:r>
      <w:r w:rsidR="00611A04" w:rsidRPr="00C05D6B">
        <w:rPr>
          <w:rFonts w:ascii="Garamond" w:hAnsi="Garamond" w:cs="Times New Roman"/>
        </w:rPr>
        <w:t xml:space="preserve">addressed the thorny question of when a procedural rule operates as a jurisdictional bar. The Court held that the Quiet Title Act’s 12-year statute of limitations was </w:t>
      </w:r>
      <w:proofErr w:type="spellStart"/>
      <w:r w:rsidR="00611A04" w:rsidRPr="00C05D6B">
        <w:rPr>
          <w:rFonts w:ascii="Garamond" w:hAnsi="Garamond" w:cs="Times New Roman"/>
        </w:rPr>
        <w:t>nonjurisdictional</w:t>
      </w:r>
      <w:proofErr w:type="spellEnd"/>
      <w:r w:rsidR="006D79DB" w:rsidRPr="00C05D6B">
        <w:rPr>
          <w:rFonts w:ascii="Garamond" w:hAnsi="Garamond" w:cs="Times New Roman"/>
        </w:rPr>
        <w:t xml:space="preserve"> in accordance with the rule that Congress must make a clear statement if it </w:t>
      </w:r>
      <w:r w:rsidR="00191C8C" w:rsidRPr="00C05D6B">
        <w:rPr>
          <w:rFonts w:ascii="Garamond" w:hAnsi="Garamond" w:cs="Times New Roman"/>
        </w:rPr>
        <w:t>intends for</w:t>
      </w:r>
      <w:r w:rsidR="006D79DB" w:rsidRPr="00C05D6B">
        <w:rPr>
          <w:rFonts w:ascii="Garamond" w:hAnsi="Garamond" w:cs="Times New Roman"/>
        </w:rPr>
        <w:t xml:space="preserve"> a procedural rule to have jurisdictional effect</w:t>
      </w:r>
      <w:r w:rsidR="00611A04" w:rsidRPr="00C05D6B">
        <w:rPr>
          <w:rFonts w:ascii="Garamond" w:hAnsi="Garamond" w:cs="Times New Roman"/>
        </w:rPr>
        <w:t>.</w:t>
      </w:r>
    </w:p>
    <w:p w14:paraId="46F3860F" w14:textId="77777777" w:rsidR="004E67CA" w:rsidRPr="00C05D6B" w:rsidRDefault="004E67CA" w:rsidP="003125BF">
      <w:pPr>
        <w:rPr>
          <w:rFonts w:ascii="Garamond" w:hAnsi="Garamond" w:cs="Times New Roman"/>
        </w:rPr>
      </w:pPr>
    </w:p>
    <w:p w14:paraId="559FF97B" w14:textId="53B9EB6E" w:rsidR="00414B99" w:rsidRPr="00C05D6B" w:rsidRDefault="004E67CA" w:rsidP="003125BF">
      <w:pPr>
        <w:rPr>
          <w:rFonts w:ascii="Garamond" w:hAnsi="Garamond" w:cs="Times New Roman"/>
        </w:rPr>
      </w:pPr>
      <w:r w:rsidRPr="00C05D6B">
        <w:rPr>
          <w:rFonts w:ascii="Garamond" w:hAnsi="Garamond" w:cs="Times New Roman"/>
        </w:rPr>
        <w:tab/>
      </w:r>
      <w:r w:rsidRPr="00C05D6B">
        <w:rPr>
          <w:rFonts w:ascii="Garamond" w:hAnsi="Garamond" w:cs="Times New Roman"/>
          <w:i/>
          <w:iCs/>
        </w:rPr>
        <w:t>Chapter 3</w:t>
      </w:r>
      <w:r w:rsidR="00611A04" w:rsidRPr="00C05D6B">
        <w:rPr>
          <w:rFonts w:ascii="Garamond" w:hAnsi="Garamond" w:cs="Times New Roman"/>
        </w:rPr>
        <w:t xml:space="preserve"> includes several new cases that address standing and mootness</w:t>
      </w:r>
      <w:r w:rsidR="006D79DB" w:rsidRPr="00C05D6B">
        <w:rPr>
          <w:rFonts w:ascii="Garamond" w:hAnsi="Garamond" w:cs="Times New Roman"/>
        </w:rPr>
        <w:t>, areas in which the Court has been particularly active</w:t>
      </w:r>
      <w:r w:rsidR="00611A04" w:rsidRPr="00C05D6B">
        <w:rPr>
          <w:rFonts w:ascii="Garamond" w:hAnsi="Garamond" w:cs="Times New Roman"/>
        </w:rPr>
        <w:t>. These cases include</w:t>
      </w:r>
      <w:r w:rsidR="00414B99" w:rsidRPr="00C05D6B">
        <w:rPr>
          <w:rFonts w:ascii="Garamond" w:hAnsi="Garamond" w:cs="Times New Roman"/>
        </w:rPr>
        <w:t xml:space="preserve"> </w:t>
      </w:r>
      <w:r w:rsidR="00414B99" w:rsidRPr="00C05D6B">
        <w:rPr>
          <w:rFonts w:ascii="Garamond" w:hAnsi="Garamond" w:cs="Times New Roman"/>
          <w:i/>
          <w:iCs/>
        </w:rPr>
        <w:t>Food and Drug Administration v. Alliance for Hippocratic Medicine</w:t>
      </w:r>
      <w:r w:rsidR="00414B99" w:rsidRPr="00C05D6B">
        <w:rPr>
          <w:rFonts w:ascii="Garamond" w:hAnsi="Garamond" w:cs="Times New Roman"/>
        </w:rPr>
        <w:t xml:space="preserve"> and </w:t>
      </w:r>
      <w:r w:rsidR="00414B99" w:rsidRPr="00C05D6B">
        <w:rPr>
          <w:rFonts w:ascii="Garamond" w:hAnsi="Garamond" w:cs="Times New Roman"/>
          <w:i/>
          <w:iCs/>
        </w:rPr>
        <w:t>Murthy v. Missouri</w:t>
      </w:r>
      <w:r w:rsidR="00414B99" w:rsidRPr="00C05D6B">
        <w:rPr>
          <w:rFonts w:ascii="Garamond" w:hAnsi="Garamond" w:cs="Times New Roman"/>
        </w:rPr>
        <w:t xml:space="preserve">, which involve access to abortion medication and online speech on social media platforms, respectively. In both cases, the Court held that the plaintiffs lacked standing to sue, with the Court reasoning in </w:t>
      </w:r>
      <w:r w:rsidR="00414B99" w:rsidRPr="00C05D6B">
        <w:rPr>
          <w:rFonts w:ascii="Garamond" w:hAnsi="Garamond" w:cs="Times New Roman"/>
          <w:i/>
          <w:iCs/>
        </w:rPr>
        <w:t xml:space="preserve">Alliance for Hippocratic Medicine </w:t>
      </w:r>
      <w:r w:rsidR="00414B99" w:rsidRPr="00C05D6B">
        <w:rPr>
          <w:rFonts w:ascii="Garamond" w:hAnsi="Garamond" w:cs="Times New Roman"/>
        </w:rPr>
        <w:t xml:space="preserve">that “some issues may be left to the political and democratic processes.” Yet in other </w:t>
      </w:r>
      <w:r w:rsidR="006D79DB" w:rsidRPr="00C05D6B">
        <w:rPr>
          <w:rFonts w:ascii="Garamond" w:hAnsi="Garamond" w:cs="Times New Roman"/>
        </w:rPr>
        <w:t xml:space="preserve">politically charged </w:t>
      </w:r>
      <w:r w:rsidR="00414B99" w:rsidRPr="00C05D6B">
        <w:rPr>
          <w:rFonts w:ascii="Garamond" w:hAnsi="Garamond" w:cs="Times New Roman"/>
        </w:rPr>
        <w:t xml:space="preserve">cases, including </w:t>
      </w:r>
      <w:r w:rsidR="00521096" w:rsidRPr="00C05D6B">
        <w:rPr>
          <w:rFonts w:ascii="Garamond" w:hAnsi="Garamond" w:cs="Times New Roman"/>
          <w:i/>
          <w:iCs/>
        </w:rPr>
        <w:t>Bost v. Illinois State Board of Elections</w:t>
      </w:r>
      <w:r w:rsidR="00521096" w:rsidRPr="00C05D6B">
        <w:rPr>
          <w:rFonts w:ascii="Garamond" w:hAnsi="Garamond" w:cs="Times New Roman"/>
        </w:rPr>
        <w:t>,</w:t>
      </w:r>
      <w:r w:rsidR="00521096" w:rsidRPr="00C05D6B">
        <w:rPr>
          <w:rFonts w:ascii="Garamond" w:hAnsi="Garamond" w:cs="Times New Roman"/>
          <w:i/>
          <w:iCs/>
        </w:rPr>
        <w:t xml:space="preserve"> </w:t>
      </w:r>
      <w:r w:rsidR="00414B99" w:rsidRPr="00C05D6B">
        <w:rPr>
          <w:rFonts w:ascii="Garamond" w:hAnsi="Garamond" w:cs="Times New Roman"/>
        </w:rPr>
        <w:t>the Court held that there was standing to sue.</w:t>
      </w:r>
      <w:r w:rsidR="00521096" w:rsidRPr="00C05D6B">
        <w:rPr>
          <w:rFonts w:ascii="Garamond" w:hAnsi="Garamond" w:cs="Times New Roman"/>
        </w:rPr>
        <w:t xml:space="preserve"> The supplement also includes recent cases addressing redressability (</w:t>
      </w:r>
      <w:r w:rsidR="00521096" w:rsidRPr="00C05D6B">
        <w:rPr>
          <w:rFonts w:ascii="Garamond" w:hAnsi="Garamond" w:cs="Times New Roman"/>
          <w:i/>
          <w:iCs/>
        </w:rPr>
        <w:t>Diamond Alternative Energy LLC v. Environmental Protection Agency</w:t>
      </w:r>
      <w:r w:rsidR="00521096" w:rsidRPr="00C05D6B">
        <w:rPr>
          <w:rFonts w:ascii="Garamond" w:hAnsi="Garamond" w:cs="Times New Roman"/>
        </w:rPr>
        <w:t>)</w:t>
      </w:r>
      <w:r w:rsidR="00521096" w:rsidRPr="00C05D6B">
        <w:rPr>
          <w:rFonts w:ascii="Garamond" w:hAnsi="Garamond" w:cs="Times New Roman"/>
          <w:i/>
          <w:iCs/>
        </w:rPr>
        <w:t xml:space="preserve"> </w:t>
      </w:r>
      <w:r w:rsidR="00521096" w:rsidRPr="00C05D6B">
        <w:rPr>
          <w:rFonts w:ascii="Garamond" w:hAnsi="Garamond" w:cs="Times New Roman"/>
        </w:rPr>
        <w:t>and mootness (</w:t>
      </w:r>
      <w:r w:rsidR="00414B99" w:rsidRPr="00C05D6B">
        <w:rPr>
          <w:rFonts w:ascii="Garamond" w:hAnsi="Garamond" w:cs="Times New Roman"/>
          <w:i/>
          <w:iCs/>
        </w:rPr>
        <w:t xml:space="preserve">Federal Bureau of Investigation v. </w:t>
      </w:r>
      <w:proofErr w:type="spellStart"/>
      <w:r w:rsidR="00414B99" w:rsidRPr="00C05D6B">
        <w:rPr>
          <w:rFonts w:ascii="Garamond" w:hAnsi="Garamond" w:cs="Times New Roman"/>
          <w:i/>
          <w:iCs/>
        </w:rPr>
        <w:t>Fikre</w:t>
      </w:r>
      <w:proofErr w:type="spellEnd"/>
      <w:r w:rsidR="00521096" w:rsidRPr="00C05D6B">
        <w:rPr>
          <w:rFonts w:ascii="Garamond" w:hAnsi="Garamond" w:cs="Times New Roman"/>
        </w:rPr>
        <w:t>).</w:t>
      </w:r>
    </w:p>
    <w:p w14:paraId="7AA341D2" w14:textId="77777777" w:rsidR="00414B99" w:rsidRPr="00C05D6B" w:rsidRDefault="00414B99" w:rsidP="003125BF">
      <w:pPr>
        <w:rPr>
          <w:rFonts w:ascii="Garamond" w:hAnsi="Garamond" w:cs="Times New Roman"/>
        </w:rPr>
      </w:pPr>
    </w:p>
    <w:p w14:paraId="6932A2C4" w14:textId="34CA758F" w:rsidR="00B73D2A" w:rsidRPr="00C05D6B" w:rsidRDefault="00414B99" w:rsidP="00B73D2A">
      <w:pPr>
        <w:rPr>
          <w:rFonts w:ascii="Garamond" w:hAnsi="Garamond"/>
        </w:rPr>
      </w:pPr>
      <w:r w:rsidRPr="00C05D6B">
        <w:rPr>
          <w:rFonts w:ascii="Garamond" w:hAnsi="Garamond" w:cs="Times New Roman"/>
        </w:rPr>
        <w:tab/>
        <w:t xml:space="preserve">The centerpiece of </w:t>
      </w:r>
      <w:r w:rsidRPr="00C05D6B">
        <w:rPr>
          <w:rFonts w:ascii="Garamond" w:hAnsi="Garamond" w:cs="Times New Roman"/>
          <w:i/>
          <w:iCs/>
        </w:rPr>
        <w:t xml:space="preserve">Chapter 4 </w:t>
      </w:r>
      <w:r w:rsidRPr="00C05D6B">
        <w:rPr>
          <w:rFonts w:ascii="Garamond" w:hAnsi="Garamond" w:cs="Times New Roman"/>
        </w:rPr>
        <w:t xml:space="preserve">is the Court’s major separation-of-powers decision in </w:t>
      </w:r>
      <w:r w:rsidRPr="00C05D6B">
        <w:rPr>
          <w:rFonts w:ascii="Garamond" w:hAnsi="Garamond" w:cs="Times New Roman"/>
          <w:i/>
          <w:iCs/>
        </w:rPr>
        <w:t xml:space="preserve">SEC v. </w:t>
      </w:r>
      <w:proofErr w:type="spellStart"/>
      <w:r w:rsidRPr="00C05D6B">
        <w:rPr>
          <w:rFonts w:ascii="Garamond" w:hAnsi="Garamond" w:cs="Times New Roman"/>
          <w:i/>
          <w:iCs/>
        </w:rPr>
        <w:t>Jarkesy</w:t>
      </w:r>
      <w:proofErr w:type="spellEnd"/>
      <w:r w:rsidRPr="00C05D6B">
        <w:rPr>
          <w:rFonts w:ascii="Garamond" w:hAnsi="Garamond" w:cs="Times New Roman"/>
        </w:rPr>
        <w:t xml:space="preserve">, which has implications for the structure of the administrative state. </w:t>
      </w:r>
      <w:r w:rsidR="006D79DB" w:rsidRPr="00C05D6B">
        <w:rPr>
          <w:rFonts w:ascii="Garamond" w:hAnsi="Garamond" w:cs="Times New Roman"/>
        </w:rPr>
        <w:t xml:space="preserve">Relying on its decision in </w:t>
      </w:r>
      <w:proofErr w:type="spellStart"/>
      <w:r w:rsidR="006D79DB" w:rsidRPr="00C05D6B">
        <w:rPr>
          <w:rFonts w:ascii="Garamond" w:hAnsi="Garamond" w:cs="Times New Roman"/>
          <w:i/>
          <w:iCs/>
        </w:rPr>
        <w:t>Granfinanciera</w:t>
      </w:r>
      <w:proofErr w:type="spellEnd"/>
      <w:r w:rsidR="006D79DB" w:rsidRPr="00C05D6B">
        <w:rPr>
          <w:rFonts w:ascii="Garamond" w:hAnsi="Garamond" w:cs="Times New Roman"/>
          <w:i/>
          <w:iCs/>
        </w:rPr>
        <w:t>, S.A. v. Nordberg</w:t>
      </w:r>
      <w:r w:rsidR="006D79DB" w:rsidRPr="00C05D6B">
        <w:rPr>
          <w:rFonts w:ascii="Garamond" w:hAnsi="Garamond" w:cs="Times New Roman"/>
        </w:rPr>
        <w:t xml:space="preserve"> (1989), the </w:t>
      </w:r>
      <w:r w:rsidRPr="00C05D6B">
        <w:rPr>
          <w:rFonts w:ascii="Garamond" w:hAnsi="Garamond" w:cs="Times New Roman"/>
        </w:rPr>
        <w:t xml:space="preserve">Court held that the Seventh Amendment </w:t>
      </w:r>
      <w:r w:rsidR="006D79DB" w:rsidRPr="00C05D6B">
        <w:rPr>
          <w:rFonts w:ascii="Garamond" w:hAnsi="Garamond" w:cs="Times New Roman"/>
        </w:rPr>
        <w:t xml:space="preserve">guarantees </w:t>
      </w:r>
      <w:r w:rsidRPr="00C05D6B">
        <w:rPr>
          <w:rFonts w:ascii="Garamond" w:hAnsi="Garamond" w:cs="Times New Roman"/>
        </w:rPr>
        <w:t xml:space="preserve">a jury trial in an Article III court for actions brought by the SEC to enforce securities fraud laws that resemble common law fraud actions. </w:t>
      </w:r>
      <w:r w:rsidR="007B5EE9" w:rsidRPr="00C05D6B">
        <w:rPr>
          <w:rFonts w:ascii="Garamond" w:hAnsi="Garamond" w:cs="Times New Roman"/>
        </w:rPr>
        <w:t>In so holding, the Court distinguish</w:t>
      </w:r>
      <w:r w:rsidR="006D79DB" w:rsidRPr="00C05D6B">
        <w:rPr>
          <w:rFonts w:ascii="Garamond" w:hAnsi="Garamond" w:cs="Times New Roman"/>
        </w:rPr>
        <w:t>ed</w:t>
      </w:r>
      <w:r w:rsidR="007B5EE9" w:rsidRPr="00C05D6B">
        <w:rPr>
          <w:rFonts w:ascii="Garamond" w:hAnsi="Garamond" w:cs="Times New Roman"/>
        </w:rPr>
        <w:t xml:space="preserve"> </w:t>
      </w:r>
      <w:r w:rsidR="006D79DB" w:rsidRPr="00C05D6B">
        <w:rPr>
          <w:rFonts w:ascii="Garamond" w:hAnsi="Garamond" w:cs="Times New Roman"/>
        </w:rPr>
        <w:t>a series of earlier cases</w:t>
      </w:r>
      <w:r w:rsidR="007B5EE9" w:rsidRPr="00C05D6B">
        <w:rPr>
          <w:rFonts w:ascii="Garamond" w:hAnsi="Garamond" w:cs="Times New Roman"/>
        </w:rPr>
        <w:t xml:space="preserve"> permitting the government to enforce </w:t>
      </w:r>
      <w:r w:rsidR="006D79DB" w:rsidRPr="00C05D6B">
        <w:rPr>
          <w:rFonts w:ascii="Garamond" w:hAnsi="Garamond" w:cs="Times New Roman"/>
        </w:rPr>
        <w:t>civil penalties</w:t>
      </w:r>
      <w:r w:rsidR="007B5EE9" w:rsidRPr="00C05D6B">
        <w:rPr>
          <w:rFonts w:ascii="Garamond" w:hAnsi="Garamond" w:cs="Times New Roman"/>
        </w:rPr>
        <w:t xml:space="preserve"> in </w:t>
      </w:r>
      <w:r w:rsidR="006D79DB" w:rsidRPr="00C05D6B">
        <w:rPr>
          <w:rFonts w:ascii="Garamond" w:hAnsi="Garamond" w:cs="Times New Roman"/>
        </w:rPr>
        <w:t xml:space="preserve">non-Article III </w:t>
      </w:r>
      <w:r w:rsidR="007B5EE9" w:rsidRPr="00C05D6B">
        <w:rPr>
          <w:rFonts w:ascii="Garamond" w:hAnsi="Garamond" w:cs="Times New Roman"/>
        </w:rPr>
        <w:t>courts</w:t>
      </w:r>
      <w:r w:rsidR="006D79DB" w:rsidRPr="00C05D6B">
        <w:rPr>
          <w:rFonts w:ascii="Garamond" w:hAnsi="Garamond" w:cs="Times New Roman"/>
        </w:rPr>
        <w:t xml:space="preserve"> where the cause of action had no common law integument (e.g., immigration, tariffs, and OSHA penalties)</w:t>
      </w:r>
      <w:r w:rsidR="007B5EE9" w:rsidRPr="00C05D6B">
        <w:rPr>
          <w:rFonts w:ascii="Garamond" w:hAnsi="Garamond" w:cs="Times New Roman"/>
        </w:rPr>
        <w:t xml:space="preserve">. The </w:t>
      </w:r>
      <w:r w:rsidR="006D79DB" w:rsidRPr="00C05D6B">
        <w:rPr>
          <w:rFonts w:ascii="Garamond" w:hAnsi="Garamond" w:cs="Times New Roman"/>
        </w:rPr>
        <w:t>decision draws into question the use of non-Article III courts where the remedy sounds at common law (as is the case for civil penalties) and the underlying claim derives from or is otherwise analogous to a common law cause of action.</w:t>
      </w:r>
      <w:r w:rsidR="000B1228" w:rsidRPr="00C05D6B">
        <w:rPr>
          <w:rFonts w:ascii="Garamond" w:hAnsi="Garamond" w:cs="Times New Roman"/>
        </w:rPr>
        <w:t xml:space="preserve"> </w:t>
      </w:r>
      <w:r w:rsidR="006D27AB" w:rsidRPr="00C05D6B">
        <w:rPr>
          <w:rFonts w:ascii="Garamond" w:hAnsi="Garamond" w:cs="Times New Roman"/>
        </w:rPr>
        <w:t xml:space="preserve">In connection with </w:t>
      </w:r>
      <w:proofErr w:type="spellStart"/>
      <w:r w:rsidR="006D27AB" w:rsidRPr="00C05D6B">
        <w:rPr>
          <w:rFonts w:ascii="Garamond" w:hAnsi="Garamond" w:cs="Times New Roman"/>
          <w:i/>
          <w:iCs/>
        </w:rPr>
        <w:t>Jarkesy</w:t>
      </w:r>
      <w:proofErr w:type="spellEnd"/>
      <w:r w:rsidR="006D27AB" w:rsidRPr="00C05D6B">
        <w:rPr>
          <w:rFonts w:ascii="Garamond" w:hAnsi="Garamond" w:cs="Times New Roman"/>
        </w:rPr>
        <w:t>, the supplement discusses other developments in administrative law that are relevant to federal courts law, includ</w:t>
      </w:r>
      <w:r w:rsidR="00B07726" w:rsidRPr="00C05D6B">
        <w:rPr>
          <w:rFonts w:ascii="Garamond" w:hAnsi="Garamond" w:cs="Times New Roman"/>
        </w:rPr>
        <w:t>ing</w:t>
      </w:r>
      <w:r w:rsidR="006D27AB" w:rsidRPr="00C05D6B">
        <w:rPr>
          <w:rFonts w:ascii="Garamond" w:hAnsi="Garamond" w:cs="Times New Roman"/>
        </w:rPr>
        <w:t xml:space="preserve"> </w:t>
      </w:r>
      <w:r w:rsidR="006D27AB" w:rsidRPr="00C05D6B">
        <w:rPr>
          <w:rFonts w:ascii="Garamond" w:hAnsi="Garamond" w:cs="Times New Roman"/>
          <w:i/>
          <w:iCs/>
        </w:rPr>
        <w:t xml:space="preserve">Trump v. Slaughter </w:t>
      </w:r>
      <w:r w:rsidR="00744A0A">
        <w:rPr>
          <w:rFonts w:ascii="Garamond" w:hAnsi="Garamond" w:cs="Times New Roman"/>
        </w:rPr>
        <w:t>(</w:t>
      </w:r>
      <w:r w:rsidR="006D27AB" w:rsidRPr="00C05D6B">
        <w:rPr>
          <w:rFonts w:ascii="Garamond" w:hAnsi="Garamond" w:cs="Times New Roman"/>
        </w:rPr>
        <w:t xml:space="preserve">2026), which overruled </w:t>
      </w:r>
      <w:r w:rsidR="006D27AB" w:rsidRPr="00C05D6B">
        <w:rPr>
          <w:rFonts w:ascii="Garamond" w:hAnsi="Garamond" w:cs="Times New Roman"/>
          <w:i/>
          <w:iCs/>
        </w:rPr>
        <w:t xml:space="preserve">Humphrey’s Executor v. United States </w:t>
      </w:r>
      <w:r w:rsidR="006D27AB" w:rsidRPr="00C05D6B">
        <w:rPr>
          <w:rFonts w:ascii="Garamond" w:hAnsi="Garamond" w:cs="Times New Roman"/>
        </w:rPr>
        <w:t>(1935).</w:t>
      </w:r>
      <w:r w:rsidR="006D27AB" w:rsidRPr="00C05D6B">
        <w:rPr>
          <w:rFonts w:ascii="Garamond" w:hAnsi="Garamond" w:cs="Times New Roman"/>
          <w:i/>
          <w:iCs/>
        </w:rPr>
        <w:t xml:space="preserve"> </w:t>
      </w:r>
      <w:r w:rsidR="000B1228" w:rsidRPr="00C05D6B">
        <w:rPr>
          <w:rFonts w:ascii="Garamond" w:hAnsi="Garamond" w:cs="Times New Roman"/>
        </w:rPr>
        <w:t xml:space="preserve">The supplement also summarizes </w:t>
      </w:r>
      <w:proofErr w:type="spellStart"/>
      <w:r w:rsidR="000B1228" w:rsidRPr="00C05D6B">
        <w:rPr>
          <w:rFonts w:ascii="Garamond" w:hAnsi="Garamond" w:cs="Times New Roman"/>
          <w:i/>
          <w:iCs/>
        </w:rPr>
        <w:t>Bouarfa</w:t>
      </w:r>
      <w:proofErr w:type="spellEnd"/>
      <w:r w:rsidR="000B1228" w:rsidRPr="00C05D6B">
        <w:rPr>
          <w:rFonts w:ascii="Garamond" w:hAnsi="Garamond" w:cs="Times New Roman"/>
          <w:i/>
          <w:iCs/>
        </w:rPr>
        <w:t xml:space="preserve"> v. Mayorkas</w:t>
      </w:r>
      <w:r w:rsidR="000B1228" w:rsidRPr="00C05D6B">
        <w:rPr>
          <w:rFonts w:ascii="Garamond" w:hAnsi="Garamond" w:cs="Times New Roman"/>
        </w:rPr>
        <w:t xml:space="preserve">, which applied the Immigration and Nationality Act’s jurisdiction-stripping provision to a case with no constitutional claims, and </w:t>
      </w:r>
      <w:r w:rsidR="000B1228" w:rsidRPr="00C05D6B">
        <w:rPr>
          <w:rFonts w:ascii="Garamond" w:hAnsi="Garamond" w:cs="Times New Roman"/>
          <w:i/>
          <w:iCs/>
        </w:rPr>
        <w:t>Williams v. Reed</w:t>
      </w:r>
      <w:r w:rsidR="000B1228" w:rsidRPr="00C05D6B">
        <w:rPr>
          <w:rFonts w:ascii="Garamond" w:hAnsi="Garamond" w:cs="Times New Roman"/>
        </w:rPr>
        <w:t>, which reaffirmed the rule that states may not unduly obstruct the enforcement of Section 1983 claims.</w:t>
      </w:r>
      <w:r w:rsidR="0045159D" w:rsidRPr="00C05D6B">
        <w:rPr>
          <w:rFonts w:ascii="Garamond" w:hAnsi="Garamond" w:cs="Times New Roman"/>
        </w:rPr>
        <w:t xml:space="preserve"> </w:t>
      </w:r>
      <w:r w:rsidR="009150F1" w:rsidRPr="00C05D6B">
        <w:rPr>
          <w:rFonts w:ascii="Garamond" w:hAnsi="Garamond" w:cs="Times New Roman"/>
        </w:rPr>
        <w:t xml:space="preserve">The supplement also discusses </w:t>
      </w:r>
      <w:proofErr w:type="spellStart"/>
      <w:r w:rsidR="009150F1" w:rsidRPr="00C05D6B">
        <w:rPr>
          <w:rFonts w:ascii="Garamond" w:hAnsi="Garamond" w:cs="Times New Roman"/>
          <w:i/>
          <w:iCs/>
        </w:rPr>
        <w:t>Loper</w:t>
      </w:r>
      <w:proofErr w:type="spellEnd"/>
      <w:r w:rsidR="009150F1" w:rsidRPr="00C05D6B">
        <w:rPr>
          <w:rFonts w:ascii="Garamond" w:hAnsi="Garamond" w:cs="Times New Roman"/>
          <w:i/>
          <w:iCs/>
        </w:rPr>
        <w:t xml:space="preserve"> Bright Enterprises v. Raimondo</w:t>
      </w:r>
      <w:r w:rsidR="009150F1" w:rsidRPr="00C05D6B">
        <w:rPr>
          <w:rFonts w:ascii="Garamond" w:hAnsi="Garamond" w:cs="Times New Roman"/>
        </w:rPr>
        <w:t xml:space="preserve"> (2024), which overruled </w:t>
      </w:r>
      <w:r w:rsidR="009150F1" w:rsidRPr="00C05D6B">
        <w:rPr>
          <w:rFonts w:ascii="Garamond" w:hAnsi="Garamond" w:cs="Times New Roman"/>
          <w:i/>
          <w:iCs/>
        </w:rPr>
        <w:t>Chevron</w:t>
      </w:r>
      <w:r w:rsidR="009150F1" w:rsidRPr="00C05D6B">
        <w:rPr>
          <w:rFonts w:ascii="Garamond" w:hAnsi="Garamond" w:cs="Times New Roman"/>
        </w:rPr>
        <w:t xml:space="preserve"> deference and restored independent judicial interpretation of statutes—a development in tension with decades of settled practice in judicial review of agency action but consistent, in broad outline, with </w:t>
      </w:r>
      <w:r w:rsidR="009150F1" w:rsidRPr="00C05D6B">
        <w:rPr>
          <w:rFonts w:ascii="Garamond" w:hAnsi="Garamond" w:cs="Times New Roman"/>
          <w:i/>
          <w:iCs/>
        </w:rPr>
        <w:t>Crowell</w:t>
      </w:r>
      <w:r w:rsidR="009150F1" w:rsidRPr="00C05D6B">
        <w:rPr>
          <w:rFonts w:ascii="Garamond" w:hAnsi="Garamond" w:cs="Times New Roman"/>
        </w:rPr>
        <w:t xml:space="preserve">’s principle that reviewing courts must decide legal questions de novo. And it presents </w:t>
      </w:r>
      <w:r w:rsidR="009150F1" w:rsidRPr="00C05D6B">
        <w:rPr>
          <w:rFonts w:ascii="Garamond" w:hAnsi="Garamond" w:cs="Times New Roman"/>
          <w:i/>
          <w:iCs/>
        </w:rPr>
        <w:t xml:space="preserve">FCC v. AT&amp;T </w:t>
      </w:r>
      <w:r w:rsidR="009150F1" w:rsidRPr="00C05D6B">
        <w:rPr>
          <w:rFonts w:ascii="Garamond" w:hAnsi="Garamond" w:cs="Times New Roman"/>
        </w:rPr>
        <w:t xml:space="preserve">(2026), which distinguished </w:t>
      </w:r>
      <w:proofErr w:type="spellStart"/>
      <w:r w:rsidR="009150F1" w:rsidRPr="004E2346">
        <w:rPr>
          <w:rFonts w:ascii="Garamond" w:hAnsi="Garamond" w:cs="Times New Roman"/>
          <w:i/>
          <w:iCs/>
        </w:rPr>
        <w:t>Jarkesy</w:t>
      </w:r>
      <w:proofErr w:type="spellEnd"/>
      <w:r w:rsidR="009150F1" w:rsidRPr="00C05D6B">
        <w:rPr>
          <w:rFonts w:ascii="Garamond" w:hAnsi="Garamond" w:cs="Times New Roman"/>
        </w:rPr>
        <w:t xml:space="preserve"> and upheld the FCC's forfeiture adjudications on the ground that the regulated entity retains the right to a de novo jury trial in federal court before any obligation to pay arises. </w:t>
      </w:r>
      <w:r w:rsidR="0045159D" w:rsidRPr="00C05D6B">
        <w:rPr>
          <w:rFonts w:ascii="Garamond" w:hAnsi="Garamond" w:cs="Times New Roman"/>
        </w:rPr>
        <w:t xml:space="preserve">In addition, the supplement presents </w:t>
      </w:r>
      <w:r w:rsidR="0045159D" w:rsidRPr="00C05D6B">
        <w:rPr>
          <w:rFonts w:ascii="Garamond" w:hAnsi="Garamond" w:cs="Times New Roman"/>
          <w:i/>
          <w:iCs/>
        </w:rPr>
        <w:t>Mullin v. Doe</w:t>
      </w:r>
      <w:r w:rsidR="0045159D" w:rsidRPr="00C05D6B">
        <w:rPr>
          <w:rFonts w:ascii="Garamond" w:hAnsi="Garamond" w:cs="Times New Roman"/>
        </w:rPr>
        <w:t xml:space="preserve">, in which the Justices considered the clear statement rule from </w:t>
      </w:r>
      <w:r w:rsidR="0045159D" w:rsidRPr="00C05D6B">
        <w:rPr>
          <w:rFonts w:ascii="Garamond" w:hAnsi="Garamond" w:cs="Times New Roman"/>
          <w:i/>
          <w:iCs/>
        </w:rPr>
        <w:t xml:space="preserve">Webster v. Doe </w:t>
      </w:r>
      <w:r w:rsidR="0045159D" w:rsidRPr="00C05D6B">
        <w:rPr>
          <w:rFonts w:ascii="Garamond" w:hAnsi="Garamond" w:cs="Times New Roman"/>
        </w:rPr>
        <w:t xml:space="preserve">(1988), which preserves access to a judicial determination of </w:t>
      </w:r>
      <w:r w:rsidR="0045159D" w:rsidRPr="00C05D6B">
        <w:rPr>
          <w:rFonts w:ascii="Garamond" w:hAnsi="Garamond" w:cs="Times New Roman"/>
        </w:rPr>
        <w:lastRenderedPageBreak/>
        <w:t>constitutional claims.</w:t>
      </w:r>
      <w:r w:rsidR="00B73D2A" w:rsidRPr="00C05D6B">
        <w:rPr>
          <w:rFonts w:ascii="Garamond" w:hAnsi="Garamond" w:cs="Times New Roman"/>
        </w:rPr>
        <w:t xml:space="preserve"> Finally, the supplement includes a new section on state criminal prosecution of federal officers, which connects </w:t>
      </w:r>
      <w:proofErr w:type="spellStart"/>
      <w:r w:rsidR="00B73D2A" w:rsidRPr="00C05D6B">
        <w:rPr>
          <w:rFonts w:ascii="Garamond" w:hAnsi="Garamond"/>
          <w:i/>
          <w:iCs/>
        </w:rPr>
        <w:t>Tarble’s</w:t>
      </w:r>
      <w:proofErr w:type="spellEnd"/>
      <w:r w:rsidR="00B73D2A" w:rsidRPr="00C05D6B">
        <w:rPr>
          <w:rFonts w:ascii="Garamond" w:hAnsi="Garamond"/>
          <w:i/>
          <w:iCs/>
        </w:rPr>
        <w:t xml:space="preserve"> Case</w:t>
      </w:r>
      <w:r w:rsidR="00B73D2A" w:rsidRPr="00C05D6B">
        <w:rPr>
          <w:rFonts w:ascii="Garamond" w:hAnsi="Garamond"/>
        </w:rPr>
        <w:t xml:space="preserve">, </w:t>
      </w:r>
      <w:r w:rsidR="00B73D2A" w:rsidRPr="00C05D6B">
        <w:rPr>
          <w:rFonts w:ascii="Garamond" w:hAnsi="Garamond"/>
          <w:i/>
          <w:iCs/>
        </w:rPr>
        <w:t>Slocum</w:t>
      </w:r>
      <w:r w:rsidR="00B73D2A" w:rsidRPr="00C05D6B">
        <w:rPr>
          <w:rFonts w:ascii="Garamond" w:hAnsi="Garamond"/>
        </w:rPr>
        <w:t xml:space="preserve"> and </w:t>
      </w:r>
      <w:r w:rsidR="00B73D2A" w:rsidRPr="00C05D6B">
        <w:rPr>
          <w:rFonts w:ascii="Garamond" w:hAnsi="Garamond"/>
          <w:i/>
          <w:iCs/>
        </w:rPr>
        <w:t>McClung</w:t>
      </w:r>
      <w:r w:rsidR="00B73D2A" w:rsidRPr="00C05D6B">
        <w:rPr>
          <w:rFonts w:ascii="Garamond" w:hAnsi="Garamond"/>
        </w:rPr>
        <w:t xml:space="preserve"> to </w:t>
      </w:r>
      <w:r w:rsidR="00B73D2A" w:rsidRPr="00C05D6B">
        <w:rPr>
          <w:rFonts w:ascii="Garamond" w:hAnsi="Garamond"/>
          <w:i/>
          <w:iCs/>
        </w:rPr>
        <w:t xml:space="preserve">In re </w:t>
      </w:r>
      <w:proofErr w:type="spellStart"/>
      <w:r w:rsidR="00B73D2A" w:rsidRPr="00C05D6B">
        <w:rPr>
          <w:rFonts w:ascii="Garamond" w:hAnsi="Garamond"/>
          <w:i/>
          <w:iCs/>
        </w:rPr>
        <w:t>Neagle</w:t>
      </w:r>
      <w:proofErr w:type="spellEnd"/>
      <w:r w:rsidR="00B73D2A" w:rsidRPr="00C05D6B">
        <w:rPr>
          <w:rFonts w:ascii="Garamond" w:hAnsi="Garamond"/>
          <w:i/>
          <w:iCs/>
        </w:rPr>
        <w:t xml:space="preserve"> </w:t>
      </w:r>
      <w:r w:rsidR="00B73D2A" w:rsidRPr="00C05D6B">
        <w:rPr>
          <w:rFonts w:ascii="Garamond" w:hAnsi="Garamond"/>
        </w:rPr>
        <w:t xml:space="preserve">and questions about federal officer immunity from state criminal prosecution. </w:t>
      </w:r>
    </w:p>
    <w:p w14:paraId="4A69AE9D" w14:textId="77777777" w:rsidR="00414B99" w:rsidRPr="00C05D6B" w:rsidRDefault="00414B99" w:rsidP="003125BF">
      <w:pPr>
        <w:rPr>
          <w:rFonts w:ascii="Garamond" w:hAnsi="Garamond" w:cs="Times New Roman"/>
        </w:rPr>
      </w:pPr>
    </w:p>
    <w:p w14:paraId="5ECEE0E7" w14:textId="5A20B58E" w:rsidR="00437F36" w:rsidRPr="00C05D6B" w:rsidRDefault="007B5EE9" w:rsidP="007B5EE9">
      <w:pPr>
        <w:ind w:firstLine="720"/>
        <w:rPr>
          <w:rFonts w:ascii="Garamond" w:hAnsi="Garamond" w:cs="Times New Roman"/>
        </w:rPr>
      </w:pPr>
      <w:r w:rsidRPr="00C05D6B">
        <w:rPr>
          <w:rFonts w:ascii="Garamond" w:hAnsi="Garamond" w:cs="Times New Roman"/>
          <w:i/>
          <w:iCs/>
        </w:rPr>
        <w:t>Chapter 5</w:t>
      </w:r>
      <w:r w:rsidRPr="00C05D6B">
        <w:rPr>
          <w:rFonts w:ascii="Garamond" w:hAnsi="Garamond" w:cs="Times New Roman"/>
        </w:rPr>
        <w:t xml:space="preserve"> presents </w:t>
      </w:r>
      <w:r w:rsidRPr="00C05D6B">
        <w:rPr>
          <w:rFonts w:ascii="Garamond" w:hAnsi="Garamond" w:cs="Times New Roman"/>
          <w:i/>
          <w:iCs/>
        </w:rPr>
        <w:t xml:space="preserve">Health &amp; Hospital Corporation of Marion County v. </w:t>
      </w:r>
      <w:proofErr w:type="spellStart"/>
      <w:r w:rsidRPr="00C05D6B">
        <w:rPr>
          <w:rFonts w:ascii="Garamond" w:hAnsi="Garamond" w:cs="Times New Roman"/>
          <w:i/>
          <w:iCs/>
        </w:rPr>
        <w:t>Talevski</w:t>
      </w:r>
      <w:proofErr w:type="spellEnd"/>
      <w:r w:rsidRPr="00C05D6B">
        <w:rPr>
          <w:rFonts w:ascii="Garamond" w:hAnsi="Garamond" w:cs="Times New Roman"/>
        </w:rPr>
        <w:t xml:space="preserve">, which held that a federal statute creating rights for nursing home residents </w:t>
      </w:r>
      <w:r w:rsidR="006D79DB" w:rsidRPr="00C05D6B">
        <w:rPr>
          <w:rFonts w:ascii="Garamond" w:hAnsi="Garamond" w:cs="Times New Roman"/>
        </w:rPr>
        <w:t xml:space="preserve">is </w:t>
      </w:r>
      <w:r w:rsidRPr="00C05D6B">
        <w:rPr>
          <w:rFonts w:ascii="Garamond" w:hAnsi="Garamond" w:cs="Times New Roman"/>
        </w:rPr>
        <w:t xml:space="preserve">enforceable through 42 U.S.C. § 1983. </w:t>
      </w:r>
      <w:proofErr w:type="spellStart"/>
      <w:r w:rsidRPr="00C05D6B">
        <w:rPr>
          <w:rFonts w:ascii="Garamond" w:hAnsi="Garamond" w:cs="Times New Roman"/>
          <w:i/>
          <w:iCs/>
        </w:rPr>
        <w:t>Talevski</w:t>
      </w:r>
      <w:proofErr w:type="spellEnd"/>
      <w:r w:rsidRPr="00C05D6B">
        <w:rPr>
          <w:rFonts w:ascii="Garamond" w:hAnsi="Garamond" w:cs="Times New Roman"/>
          <w:i/>
          <w:iCs/>
        </w:rPr>
        <w:t xml:space="preserve"> </w:t>
      </w:r>
      <w:r w:rsidRPr="00C05D6B">
        <w:rPr>
          <w:rFonts w:ascii="Garamond" w:hAnsi="Garamond" w:cs="Times New Roman"/>
        </w:rPr>
        <w:t>reaffirmed that statutes explicitly creating federal rights are enforceable through Section 1983, even when they were enacted under the Spending Clause.</w:t>
      </w:r>
      <w:r w:rsidR="000B1228" w:rsidRPr="00C05D6B">
        <w:rPr>
          <w:rFonts w:ascii="Garamond" w:hAnsi="Garamond" w:cs="Times New Roman"/>
        </w:rPr>
        <w:t xml:space="preserve"> It also includes </w:t>
      </w:r>
      <w:r w:rsidR="000B1228" w:rsidRPr="00C05D6B">
        <w:rPr>
          <w:rFonts w:ascii="Garamond" w:hAnsi="Garamond" w:cs="Times New Roman"/>
          <w:i/>
          <w:iCs/>
        </w:rPr>
        <w:t>Medina v. Planned Parenthood South Atlantic</w:t>
      </w:r>
      <w:r w:rsidR="000B1228" w:rsidRPr="00C05D6B">
        <w:rPr>
          <w:rFonts w:ascii="Garamond" w:hAnsi="Garamond" w:cs="Times New Roman"/>
        </w:rPr>
        <w:t xml:space="preserve">, which distinguished </w:t>
      </w:r>
      <w:proofErr w:type="spellStart"/>
      <w:r w:rsidR="000B1228" w:rsidRPr="00C05D6B">
        <w:rPr>
          <w:rFonts w:ascii="Garamond" w:hAnsi="Garamond" w:cs="Times New Roman"/>
          <w:i/>
          <w:iCs/>
        </w:rPr>
        <w:t>Talevski</w:t>
      </w:r>
      <w:proofErr w:type="spellEnd"/>
      <w:r w:rsidR="000B1228" w:rsidRPr="00C05D6B">
        <w:rPr>
          <w:rFonts w:ascii="Garamond" w:hAnsi="Garamond" w:cs="Times New Roman"/>
          <w:i/>
          <w:iCs/>
        </w:rPr>
        <w:t xml:space="preserve"> </w:t>
      </w:r>
      <w:r w:rsidR="000B1228" w:rsidRPr="00C05D6B">
        <w:rPr>
          <w:rFonts w:ascii="Garamond" w:hAnsi="Garamond" w:cs="Times New Roman"/>
        </w:rPr>
        <w:t>and evinced the Court’s pattern of resistance to enforcing many Spending Clause statutes through Section 1983.</w:t>
      </w:r>
      <w:r w:rsidR="00980ED8" w:rsidRPr="00C05D6B">
        <w:rPr>
          <w:rFonts w:ascii="Garamond" w:hAnsi="Garamond" w:cs="Times New Roman"/>
        </w:rPr>
        <w:t xml:space="preserve">  Also, in Chapter 5 is discussion of the Supreme Court’s decision in </w:t>
      </w:r>
      <w:r w:rsidR="00980ED8" w:rsidRPr="00C05D6B">
        <w:rPr>
          <w:rFonts w:ascii="Garamond" w:hAnsi="Garamond" w:cs="Times New Roman"/>
          <w:i/>
          <w:iCs/>
        </w:rPr>
        <w:t>Cisco Systems, Inc. v. Doe</w:t>
      </w:r>
      <w:r w:rsidR="00980ED8" w:rsidRPr="00C05D6B">
        <w:rPr>
          <w:rFonts w:ascii="Garamond" w:hAnsi="Garamond" w:cs="Times New Roman"/>
        </w:rPr>
        <w:t xml:space="preserve">, which effectively overrules </w:t>
      </w:r>
      <w:r w:rsidR="00980ED8" w:rsidRPr="00C05D6B">
        <w:rPr>
          <w:rFonts w:ascii="Garamond" w:hAnsi="Garamond" w:cs="Times New Roman"/>
          <w:i/>
          <w:iCs/>
        </w:rPr>
        <w:t>Sosa v. Alvarez-</w:t>
      </w:r>
      <w:proofErr w:type="spellStart"/>
      <w:r w:rsidR="00980ED8" w:rsidRPr="00C05D6B">
        <w:rPr>
          <w:rFonts w:ascii="Garamond" w:hAnsi="Garamond" w:cs="Times New Roman"/>
          <w:i/>
          <w:iCs/>
        </w:rPr>
        <w:t>Machain</w:t>
      </w:r>
      <w:r w:rsidR="00F217B2">
        <w:rPr>
          <w:rFonts w:ascii="Garamond" w:hAnsi="Garamond" w:cs="Times New Roman"/>
          <w:i/>
          <w:iCs/>
        </w:rPr>
        <w:t>’</w:t>
      </w:r>
      <w:r w:rsidR="00F217B2" w:rsidRPr="00F217B2">
        <w:rPr>
          <w:rFonts w:ascii="Garamond" w:hAnsi="Garamond" w:cs="Times New Roman"/>
        </w:rPr>
        <w:t>s</w:t>
      </w:r>
      <w:proofErr w:type="spellEnd"/>
      <w:r w:rsidR="00F217B2" w:rsidRPr="00F217B2">
        <w:rPr>
          <w:rFonts w:ascii="Garamond" w:hAnsi="Garamond" w:cs="Times New Roman"/>
        </w:rPr>
        <w:t xml:space="preserve"> </w:t>
      </w:r>
      <w:r w:rsidR="00F217B2">
        <w:rPr>
          <w:rFonts w:ascii="Garamond" w:hAnsi="Garamond" w:cs="Times New Roman"/>
        </w:rPr>
        <w:t xml:space="preserve">allowance of suits under the </w:t>
      </w:r>
      <w:r w:rsidR="00980ED8" w:rsidRPr="00C05D6B">
        <w:rPr>
          <w:rFonts w:ascii="Garamond" w:hAnsi="Garamond" w:cs="Times New Roman"/>
        </w:rPr>
        <w:t>Alien Tort Statute.</w:t>
      </w:r>
    </w:p>
    <w:p w14:paraId="4EB915E2" w14:textId="77777777" w:rsidR="00437F36" w:rsidRPr="00C05D6B" w:rsidRDefault="00437F36" w:rsidP="007B5EE9">
      <w:pPr>
        <w:ind w:firstLine="720"/>
        <w:rPr>
          <w:rFonts w:ascii="Garamond" w:hAnsi="Garamond" w:cs="Times New Roman"/>
        </w:rPr>
      </w:pPr>
    </w:p>
    <w:p w14:paraId="61D49980" w14:textId="5126AD17" w:rsidR="00437F36" w:rsidRPr="00C05D6B" w:rsidRDefault="00437F36" w:rsidP="007B5EE9">
      <w:pPr>
        <w:ind w:firstLine="720"/>
        <w:rPr>
          <w:rFonts w:ascii="Garamond" w:hAnsi="Garamond" w:cs="Times New Roman"/>
        </w:rPr>
      </w:pPr>
      <w:r w:rsidRPr="00C05D6B">
        <w:rPr>
          <w:rFonts w:ascii="Garamond" w:hAnsi="Garamond" w:cs="Times New Roman"/>
          <w:i/>
          <w:iCs/>
        </w:rPr>
        <w:t xml:space="preserve">Chapter 6 </w:t>
      </w:r>
      <w:r w:rsidRPr="00C05D6B">
        <w:rPr>
          <w:rFonts w:ascii="Garamond" w:hAnsi="Garamond" w:cs="Times New Roman"/>
        </w:rPr>
        <w:t xml:space="preserve">contains updates on sovereign immunity and the relationship between Section 1983 and the habeas remedy. The Court applied the </w:t>
      </w:r>
      <w:r w:rsidR="006D79DB" w:rsidRPr="00C05D6B">
        <w:rPr>
          <w:rFonts w:ascii="Garamond" w:hAnsi="Garamond" w:cs="Times New Roman"/>
        </w:rPr>
        <w:t>clear statement</w:t>
      </w:r>
      <w:r w:rsidRPr="00C05D6B">
        <w:rPr>
          <w:rFonts w:ascii="Garamond" w:hAnsi="Garamond" w:cs="Times New Roman"/>
        </w:rPr>
        <w:t xml:space="preserve"> rule in </w:t>
      </w:r>
      <w:r w:rsidRPr="00C05D6B">
        <w:rPr>
          <w:rFonts w:ascii="Garamond" w:hAnsi="Garamond" w:cs="Times New Roman"/>
          <w:i/>
          <w:iCs/>
        </w:rPr>
        <w:t>Lac du Flambeau Band of Lake Superior Chippewa Indians v. Coughlin</w:t>
      </w:r>
      <w:r w:rsidRPr="00C05D6B">
        <w:rPr>
          <w:rFonts w:ascii="Garamond" w:hAnsi="Garamond" w:cs="Times New Roman"/>
        </w:rPr>
        <w:t xml:space="preserve">, which </w:t>
      </w:r>
      <w:r w:rsidR="006D79DB" w:rsidRPr="00C05D6B">
        <w:rPr>
          <w:rFonts w:ascii="Garamond" w:hAnsi="Garamond" w:cs="Times New Roman"/>
        </w:rPr>
        <w:t xml:space="preserve">held that </w:t>
      </w:r>
      <w:r w:rsidRPr="00C05D6B">
        <w:rPr>
          <w:rFonts w:ascii="Garamond" w:hAnsi="Garamond" w:cs="Times New Roman"/>
        </w:rPr>
        <w:t>tribal sovereign immunity</w:t>
      </w:r>
      <w:r w:rsidR="006D79DB" w:rsidRPr="00C05D6B">
        <w:rPr>
          <w:rFonts w:ascii="Garamond" w:hAnsi="Garamond" w:cs="Times New Roman"/>
        </w:rPr>
        <w:t xml:space="preserve"> is abrogated by a clear statement in the Bankruptcy Code, allowing a debtor to obtain a stay against the Band’s enforcement of a high interest, short-term loan</w:t>
      </w:r>
      <w:r w:rsidRPr="00C05D6B">
        <w:rPr>
          <w:rFonts w:ascii="Garamond" w:hAnsi="Garamond" w:cs="Times New Roman"/>
        </w:rPr>
        <w:t xml:space="preserve">, and </w:t>
      </w:r>
      <w:r w:rsidRPr="00C05D6B">
        <w:rPr>
          <w:rFonts w:ascii="Garamond" w:hAnsi="Garamond" w:cs="Times New Roman"/>
          <w:i/>
          <w:iCs/>
        </w:rPr>
        <w:t xml:space="preserve">Financial Oversight Management Board for Puerto Rico v. Centro de </w:t>
      </w:r>
      <w:proofErr w:type="spellStart"/>
      <w:r w:rsidRPr="00C05D6B">
        <w:rPr>
          <w:rFonts w:ascii="Garamond" w:hAnsi="Garamond" w:cs="Times New Roman"/>
          <w:i/>
          <w:iCs/>
        </w:rPr>
        <w:t>Periodismo</w:t>
      </w:r>
      <w:proofErr w:type="spellEnd"/>
      <w:r w:rsidRPr="00C05D6B">
        <w:rPr>
          <w:rFonts w:ascii="Garamond" w:hAnsi="Garamond" w:cs="Times New Roman"/>
          <w:i/>
          <w:iCs/>
        </w:rPr>
        <w:t xml:space="preserve"> </w:t>
      </w:r>
      <w:proofErr w:type="spellStart"/>
      <w:r w:rsidRPr="00C05D6B">
        <w:rPr>
          <w:rFonts w:ascii="Garamond" w:hAnsi="Garamond" w:cs="Times New Roman"/>
          <w:i/>
          <w:iCs/>
        </w:rPr>
        <w:t>Investigativo</w:t>
      </w:r>
      <w:proofErr w:type="spellEnd"/>
      <w:r w:rsidRPr="00C05D6B">
        <w:rPr>
          <w:rFonts w:ascii="Garamond" w:hAnsi="Garamond" w:cs="Times New Roman"/>
          <w:i/>
          <w:iCs/>
        </w:rPr>
        <w:t xml:space="preserve"> Inc.</w:t>
      </w:r>
      <w:r w:rsidRPr="00C05D6B">
        <w:rPr>
          <w:rFonts w:ascii="Garamond" w:hAnsi="Garamond" w:cs="Times New Roman"/>
        </w:rPr>
        <w:t xml:space="preserve">, which </w:t>
      </w:r>
      <w:r w:rsidR="006D79DB" w:rsidRPr="00C05D6B">
        <w:rPr>
          <w:rFonts w:ascii="Garamond" w:hAnsi="Garamond" w:cs="Times New Roman"/>
        </w:rPr>
        <w:t xml:space="preserve">held that Puerto Rico’s financial management oversight board was entitled to </w:t>
      </w:r>
      <w:r w:rsidRPr="00C05D6B">
        <w:rPr>
          <w:rFonts w:ascii="Garamond" w:hAnsi="Garamond" w:cs="Times New Roman"/>
        </w:rPr>
        <w:t xml:space="preserve">territorial sovereign immunity. </w:t>
      </w:r>
      <w:r w:rsidR="006D79DB" w:rsidRPr="00C05D6B">
        <w:rPr>
          <w:rFonts w:ascii="Garamond" w:hAnsi="Garamond" w:cs="Times New Roman"/>
        </w:rPr>
        <w:t>With respect to</w:t>
      </w:r>
      <w:r w:rsidRPr="00C05D6B">
        <w:rPr>
          <w:rFonts w:ascii="Garamond" w:hAnsi="Garamond" w:cs="Times New Roman"/>
        </w:rPr>
        <w:t xml:space="preserve"> </w:t>
      </w:r>
      <w:r w:rsidR="006D79DB" w:rsidRPr="00C05D6B">
        <w:rPr>
          <w:rFonts w:ascii="Garamond" w:hAnsi="Garamond" w:cs="Times New Roman"/>
        </w:rPr>
        <w:t xml:space="preserve">the relationship between </w:t>
      </w:r>
      <w:r w:rsidRPr="00C05D6B">
        <w:rPr>
          <w:rFonts w:ascii="Garamond" w:hAnsi="Garamond" w:cs="Times New Roman"/>
        </w:rPr>
        <w:t>Section 1983 and habeas</w:t>
      </w:r>
      <w:r w:rsidR="006D79DB" w:rsidRPr="00C05D6B">
        <w:rPr>
          <w:rFonts w:ascii="Garamond" w:hAnsi="Garamond" w:cs="Times New Roman"/>
        </w:rPr>
        <w:t xml:space="preserve"> in challenging constitutional errors in the administration of criminal justice</w:t>
      </w:r>
      <w:r w:rsidRPr="00C05D6B">
        <w:rPr>
          <w:rFonts w:ascii="Garamond" w:hAnsi="Garamond" w:cs="Times New Roman"/>
        </w:rPr>
        <w:t xml:space="preserve">, in </w:t>
      </w:r>
      <w:r w:rsidRPr="00C05D6B">
        <w:rPr>
          <w:rFonts w:ascii="Garamond" w:hAnsi="Garamond" w:cs="Times New Roman"/>
          <w:i/>
          <w:iCs/>
        </w:rPr>
        <w:t>Reed v. Goertz</w:t>
      </w:r>
      <w:r w:rsidRPr="00C05D6B">
        <w:rPr>
          <w:rFonts w:ascii="Garamond" w:hAnsi="Garamond" w:cs="Times New Roman"/>
        </w:rPr>
        <w:t xml:space="preserve"> the Court reaffirmed that the former is the vehicle for a due process claim challenging the state’s failure to provide an opportunity to</w:t>
      </w:r>
      <w:r w:rsidR="007A4277" w:rsidRPr="00C05D6B">
        <w:rPr>
          <w:rFonts w:ascii="Garamond" w:hAnsi="Garamond" w:cs="Times New Roman"/>
        </w:rPr>
        <w:t xml:space="preserve"> forensically</w:t>
      </w:r>
      <w:r w:rsidRPr="00C05D6B">
        <w:rPr>
          <w:rFonts w:ascii="Garamond" w:hAnsi="Garamond" w:cs="Times New Roman"/>
        </w:rPr>
        <w:t xml:space="preserve"> test</w:t>
      </w:r>
      <w:r w:rsidR="004B4139" w:rsidRPr="00C05D6B">
        <w:rPr>
          <w:rFonts w:ascii="Garamond" w:hAnsi="Garamond" w:cs="Times New Roman"/>
        </w:rPr>
        <w:t xml:space="preserve"> </w:t>
      </w:r>
      <w:r w:rsidRPr="00C05D6B">
        <w:rPr>
          <w:rFonts w:ascii="Garamond" w:hAnsi="Garamond" w:cs="Times New Roman"/>
        </w:rPr>
        <w:t xml:space="preserve">its </w:t>
      </w:r>
      <w:r w:rsidR="004B4139" w:rsidRPr="00C05D6B">
        <w:rPr>
          <w:rFonts w:ascii="Garamond" w:hAnsi="Garamond" w:cs="Times New Roman"/>
        </w:rPr>
        <w:t xml:space="preserve">physical </w:t>
      </w:r>
      <w:r w:rsidRPr="00C05D6B">
        <w:rPr>
          <w:rFonts w:ascii="Garamond" w:hAnsi="Garamond" w:cs="Times New Roman"/>
        </w:rPr>
        <w:t>evidence.</w:t>
      </w:r>
      <w:r w:rsidR="004B4139" w:rsidRPr="00C05D6B">
        <w:rPr>
          <w:rFonts w:ascii="Garamond" w:hAnsi="Garamond" w:cs="Times New Roman"/>
        </w:rPr>
        <w:t xml:space="preserve"> </w:t>
      </w:r>
      <w:r w:rsidRPr="00C05D6B">
        <w:rPr>
          <w:rFonts w:ascii="Garamond" w:hAnsi="Garamond" w:cs="Times New Roman"/>
        </w:rPr>
        <w:t xml:space="preserve"> </w:t>
      </w:r>
      <w:r w:rsidR="004B4139" w:rsidRPr="00C05D6B">
        <w:rPr>
          <w:rFonts w:ascii="Garamond" w:hAnsi="Garamond" w:cs="Times New Roman"/>
        </w:rPr>
        <w:t xml:space="preserve">The Court also </w:t>
      </w:r>
      <w:r w:rsidR="00191C8C" w:rsidRPr="00C05D6B">
        <w:rPr>
          <w:rFonts w:ascii="Garamond" w:hAnsi="Garamond" w:cs="Times New Roman"/>
        </w:rPr>
        <w:t>clarified when the statute</w:t>
      </w:r>
      <w:r w:rsidR="005F0E78" w:rsidRPr="00C05D6B">
        <w:rPr>
          <w:rFonts w:ascii="Garamond" w:hAnsi="Garamond" w:cs="Times New Roman"/>
        </w:rPr>
        <w:t xml:space="preserve"> </w:t>
      </w:r>
      <w:r w:rsidR="00191C8C" w:rsidRPr="00C05D6B">
        <w:rPr>
          <w:rFonts w:ascii="Garamond" w:hAnsi="Garamond" w:cs="Times New Roman"/>
        </w:rPr>
        <w:t>of</w:t>
      </w:r>
      <w:r w:rsidR="005F0E78" w:rsidRPr="00C05D6B">
        <w:rPr>
          <w:rFonts w:ascii="Garamond" w:hAnsi="Garamond" w:cs="Times New Roman"/>
        </w:rPr>
        <w:t xml:space="preserve"> </w:t>
      </w:r>
      <w:r w:rsidR="00191C8C" w:rsidRPr="00C05D6B">
        <w:rPr>
          <w:rFonts w:ascii="Garamond" w:hAnsi="Garamond" w:cs="Times New Roman"/>
        </w:rPr>
        <w:t xml:space="preserve">limitations begins to </w:t>
      </w:r>
      <w:r w:rsidR="005F0E78" w:rsidRPr="00C05D6B">
        <w:rPr>
          <w:rFonts w:ascii="Garamond" w:hAnsi="Garamond" w:cs="Times New Roman"/>
        </w:rPr>
        <w:t>run</w:t>
      </w:r>
      <w:r w:rsidR="00AF76FE" w:rsidRPr="00C05D6B">
        <w:rPr>
          <w:rFonts w:ascii="Garamond" w:hAnsi="Garamond" w:cs="Times New Roman"/>
        </w:rPr>
        <w:t xml:space="preserve"> </w:t>
      </w:r>
      <w:r w:rsidR="00191C8C" w:rsidRPr="00C05D6B">
        <w:rPr>
          <w:rFonts w:ascii="Garamond" w:hAnsi="Garamond" w:cs="Times New Roman"/>
        </w:rPr>
        <w:t>for such claims.</w:t>
      </w:r>
      <w:r w:rsidR="0009035D" w:rsidRPr="00C05D6B">
        <w:rPr>
          <w:rFonts w:ascii="Garamond" w:hAnsi="Garamond" w:cs="Times New Roman"/>
        </w:rPr>
        <w:t xml:space="preserve"> And in </w:t>
      </w:r>
      <w:r w:rsidR="0009035D" w:rsidRPr="00C05D6B">
        <w:rPr>
          <w:rFonts w:ascii="Garamond" w:hAnsi="Garamond" w:cs="Times New Roman"/>
          <w:i/>
          <w:iCs/>
        </w:rPr>
        <w:t>Olivier v. City of Brandon,</w:t>
      </w:r>
      <w:r w:rsidR="0009035D" w:rsidRPr="00C05D6B">
        <w:rPr>
          <w:rFonts w:ascii="Garamond" w:hAnsi="Garamond" w:cs="Times New Roman"/>
        </w:rPr>
        <w:t xml:space="preserve"> the Court unanimously held that </w:t>
      </w:r>
      <w:r w:rsidR="0009035D" w:rsidRPr="00C05D6B">
        <w:rPr>
          <w:rFonts w:ascii="Garamond" w:hAnsi="Garamond" w:cs="Times New Roman"/>
          <w:i/>
          <w:iCs/>
        </w:rPr>
        <w:t>Heck v. Humphrey</w:t>
      </w:r>
      <w:r w:rsidR="0009035D" w:rsidRPr="00C05D6B">
        <w:rPr>
          <w:rFonts w:ascii="Garamond" w:hAnsi="Garamond" w:cs="Times New Roman"/>
        </w:rPr>
        <w:t>’s favorable-termination bar does not extend to Section 1983 suits seeking purely prospective relief against future enforcement.</w:t>
      </w:r>
    </w:p>
    <w:p w14:paraId="0529781D" w14:textId="77777777" w:rsidR="00437F36" w:rsidRPr="00C05D6B" w:rsidRDefault="00437F36" w:rsidP="007B5EE9">
      <w:pPr>
        <w:ind w:firstLine="720"/>
        <w:rPr>
          <w:rFonts w:ascii="Garamond" w:hAnsi="Garamond" w:cs="Times New Roman"/>
        </w:rPr>
      </w:pPr>
    </w:p>
    <w:p w14:paraId="32E8FEA3" w14:textId="2CC9858F" w:rsidR="00437F36" w:rsidRPr="00C05D6B" w:rsidRDefault="00437F36" w:rsidP="007B5EE9">
      <w:pPr>
        <w:ind w:firstLine="720"/>
        <w:rPr>
          <w:rFonts w:ascii="Garamond" w:hAnsi="Garamond" w:cs="Times New Roman"/>
        </w:rPr>
      </w:pPr>
      <w:r w:rsidRPr="00C05D6B">
        <w:rPr>
          <w:rFonts w:ascii="Garamond" w:hAnsi="Garamond" w:cs="Times New Roman"/>
          <w:i/>
          <w:iCs/>
        </w:rPr>
        <w:t xml:space="preserve">Chapter 7 </w:t>
      </w:r>
      <w:r w:rsidRPr="00C05D6B">
        <w:rPr>
          <w:rFonts w:ascii="Garamond" w:hAnsi="Garamond" w:cs="Times New Roman"/>
        </w:rPr>
        <w:t xml:space="preserve">includes </w:t>
      </w:r>
      <w:r w:rsidRPr="00C05D6B">
        <w:rPr>
          <w:rFonts w:ascii="Garamond" w:hAnsi="Garamond" w:cs="Times New Roman"/>
          <w:i/>
          <w:iCs/>
        </w:rPr>
        <w:t xml:space="preserve">Department of Agriculture v. </w:t>
      </w:r>
      <w:proofErr w:type="spellStart"/>
      <w:r w:rsidRPr="00C05D6B">
        <w:rPr>
          <w:rFonts w:ascii="Garamond" w:hAnsi="Garamond" w:cs="Times New Roman"/>
          <w:i/>
          <w:iCs/>
        </w:rPr>
        <w:t>Kirtz</w:t>
      </w:r>
      <w:proofErr w:type="spellEnd"/>
      <w:r w:rsidRPr="00C05D6B">
        <w:rPr>
          <w:rFonts w:ascii="Garamond" w:hAnsi="Garamond" w:cs="Times New Roman"/>
        </w:rPr>
        <w:t>, in which the Court held that a federal consumer protection statute unequivocally waived federal sovereign immunity</w:t>
      </w:r>
      <w:r w:rsidR="000B1228" w:rsidRPr="00C05D6B">
        <w:rPr>
          <w:rFonts w:ascii="Garamond" w:hAnsi="Garamond" w:cs="Times New Roman"/>
        </w:rPr>
        <w:t xml:space="preserve">, and </w:t>
      </w:r>
      <w:r w:rsidR="000B1228" w:rsidRPr="00C05D6B">
        <w:rPr>
          <w:rFonts w:ascii="Garamond" w:hAnsi="Garamond" w:cs="Times New Roman"/>
          <w:i/>
          <w:iCs/>
        </w:rPr>
        <w:t>United States v. Miller</w:t>
      </w:r>
      <w:r w:rsidR="000B1228" w:rsidRPr="00C05D6B">
        <w:rPr>
          <w:rFonts w:ascii="Garamond" w:hAnsi="Garamond" w:cs="Times New Roman"/>
        </w:rPr>
        <w:t>, which held that the Bankruptcy Code’s waiver of federal sovereign immunity did not authorize state-law claims against the United States in connection with one provision of the Code</w:t>
      </w:r>
      <w:r w:rsidRPr="00C05D6B">
        <w:rPr>
          <w:rFonts w:ascii="Garamond" w:hAnsi="Garamond" w:cs="Times New Roman"/>
        </w:rPr>
        <w:t xml:space="preserve">. </w:t>
      </w:r>
      <w:r w:rsidR="00521096" w:rsidRPr="00C05D6B">
        <w:rPr>
          <w:rFonts w:ascii="Garamond" w:hAnsi="Garamond" w:cs="Times New Roman"/>
        </w:rPr>
        <w:t xml:space="preserve">As for the Federal Tort Claims Act’s waiver of sovereign immunity, the Court’s recent decision in </w:t>
      </w:r>
      <w:r w:rsidR="00521096" w:rsidRPr="00C05D6B">
        <w:rPr>
          <w:rFonts w:ascii="Garamond" w:hAnsi="Garamond" w:cs="Times New Roman"/>
          <w:i/>
          <w:iCs/>
        </w:rPr>
        <w:t xml:space="preserve">United States Postal Service v. Konan </w:t>
      </w:r>
      <w:r w:rsidR="00521096" w:rsidRPr="00C05D6B">
        <w:rPr>
          <w:rFonts w:ascii="Garamond" w:hAnsi="Garamond" w:cs="Times New Roman"/>
        </w:rPr>
        <w:t>is a good introduction to interpretation of the Act and the Justices’ competing visions of the Act’s purpose and scope.</w:t>
      </w:r>
      <w:r w:rsidR="00521096" w:rsidRPr="00C05D6B">
        <w:rPr>
          <w:rFonts w:ascii="Garamond" w:hAnsi="Garamond" w:cs="Times New Roman"/>
          <w:i/>
          <w:iCs/>
        </w:rPr>
        <w:t xml:space="preserve"> </w:t>
      </w:r>
      <w:r w:rsidR="00521096" w:rsidRPr="00C05D6B">
        <w:rPr>
          <w:rFonts w:ascii="Garamond" w:hAnsi="Garamond" w:cs="Times New Roman"/>
        </w:rPr>
        <w:t>The supplement</w:t>
      </w:r>
      <w:r w:rsidRPr="00C05D6B">
        <w:rPr>
          <w:rFonts w:ascii="Garamond" w:hAnsi="Garamond" w:cs="Times New Roman"/>
        </w:rPr>
        <w:t xml:space="preserve"> also presents </w:t>
      </w:r>
      <w:r w:rsidRPr="00C05D6B">
        <w:rPr>
          <w:rFonts w:ascii="Garamond" w:hAnsi="Garamond" w:cs="Times New Roman"/>
          <w:i/>
          <w:iCs/>
        </w:rPr>
        <w:t>Axon Enterprise</w:t>
      </w:r>
      <w:r w:rsidR="007F489F" w:rsidRPr="00C05D6B">
        <w:rPr>
          <w:rFonts w:ascii="Garamond" w:hAnsi="Garamond" w:cs="Times New Roman"/>
          <w:i/>
          <w:iCs/>
        </w:rPr>
        <w:t>,</w:t>
      </w:r>
      <w:r w:rsidRPr="00C05D6B">
        <w:rPr>
          <w:rFonts w:ascii="Garamond" w:hAnsi="Garamond" w:cs="Times New Roman"/>
          <w:i/>
          <w:iCs/>
        </w:rPr>
        <w:t xml:space="preserve"> Inc. v. FTC</w:t>
      </w:r>
      <w:r w:rsidRPr="00C05D6B">
        <w:rPr>
          <w:rFonts w:ascii="Garamond" w:hAnsi="Garamond" w:cs="Times New Roman"/>
        </w:rPr>
        <w:t xml:space="preserve">, which held that specific statutory provisions for </w:t>
      </w:r>
      <w:r w:rsidR="006D79DB" w:rsidRPr="00C05D6B">
        <w:rPr>
          <w:rFonts w:ascii="Garamond" w:hAnsi="Garamond" w:cs="Times New Roman"/>
        </w:rPr>
        <w:t>challenging</w:t>
      </w:r>
      <w:r w:rsidRPr="00C05D6B">
        <w:rPr>
          <w:rFonts w:ascii="Garamond" w:hAnsi="Garamond" w:cs="Times New Roman"/>
        </w:rPr>
        <w:t xml:space="preserve"> agency actions </w:t>
      </w:r>
      <w:r w:rsidR="006D79DB" w:rsidRPr="00C05D6B">
        <w:rPr>
          <w:rFonts w:ascii="Garamond" w:hAnsi="Garamond" w:cs="Times New Roman"/>
        </w:rPr>
        <w:t>before the FTC itself did not preclude the filing of direct constitutional challenges in federal court</w:t>
      </w:r>
      <w:r w:rsidRPr="00C05D6B">
        <w:rPr>
          <w:rFonts w:ascii="Garamond" w:hAnsi="Garamond" w:cs="Times New Roman"/>
        </w:rPr>
        <w:t xml:space="preserve">. </w:t>
      </w:r>
      <w:r w:rsidRPr="00C05D6B">
        <w:rPr>
          <w:rFonts w:ascii="Garamond" w:hAnsi="Garamond" w:cs="Times New Roman"/>
          <w:i/>
          <w:iCs/>
        </w:rPr>
        <w:t xml:space="preserve">Chapter 7 </w:t>
      </w:r>
      <w:r w:rsidRPr="00C05D6B">
        <w:rPr>
          <w:rFonts w:ascii="Garamond" w:hAnsi="Garamond" w:cs="Times New Roman"/>
        </w:rPr>
        <w:t xml:space="preserve">contains a discussion of </w:t>
      </w:r>
      <w:r w:rsidRPr="00C05D6B">
        <w:rPr>
          <w:rFonts w:ascii="Garamond" w:hAnsi="Garamond" w:cs="Times New Roman"/>
          <w:i/>
          <w:iCs/>
        </w:rPr>
        <w:t>Trump v. United States</w:t>
      </w:r>
      <w:r w:rsidRPr="00C05D6B">
        <w:rPr>
          <w:rFonts w:ascii="Garamond" w:hAnsi="Garamond" w:cs="Times New Roman"/>
        </w:rPr>
        <w:t>, a decision that expanded presidential immunity by holding that a president is immune from criminal prosecution for official actions. This decision has major consequences for presidential power and the rule of law.</w:t>
      </w:r>
      <w:r w:rsidR="000B1228" w:rsidRPr="00C05D6B">
        <w:rPr>
          <w:rFonts w:ascii="Garamond" w:hAnsi="Garamond" w:cs="Times New Roman"/>
        </w:rPr>
        <w:t xml:space="preserve"> It also summarizes </w:t>
      </w:r>
      <w:proofErr w:type="spellStart"/>
      <w:r w:rsidR="000B1228" w:rsidRPr="00C05D6B">
        <w:rPr>
          <w:rFonts w:ascii="Garamond" w:hAnsi="Garamond" w:cs="Times New Roman"/>
          <w:i/>
          <w:iCs/>
        </w:rPr>
        <w:t>Goldey</w:t>
      </w:r>
      <w:proofErr w:type="spellEnd"/>
      <w:r w:rsidR="000B1228" w:rsidRPr="00C05D6B">
        <w:rPr>
          <w:rFonts w:ascii="Garamond" w:hAnsi="Garamond" w:cs="Times New Roman"/>
          <w:i/>
          <w:iCs/>
        </w:rPr>
        <w:t xml:space="preserve"> v. Fields</w:t>
      </w:r>
      <w:r w:rsidR="000B1228" w:rsidRPr="00C05D6B">
        <w:rPr>
          <w:rFonts w:ascii="Garamond" w:hAnsi="Garamond" w:cs="Times New Roman"/>
        </w:rPr>
        <w:t xml:space="preserve">, which again shows that the Court means to strictly limit </w:t>
      </w:r>
      <w:r w:rsidR="000B1228" w:rsidRPr="00C05D6B">
        <w:rPr>
          <w:rFonts w:ascii="Garamond" w:hAnsi="Garamond" w:cs="Times New Roman"/>
          <w:i/>
          <w:iCs/>
        </w:rPr>
        <w:t xml:space="preserve">Bivens </w:t>
      </w:r>
      <w:r w:rsidR="000B1228" w:rsidRPr="00C05D6B">
        <w:rPr>
          <w:rFonts w:ascii="Garamond" w:hAnsi="Garamond" w:cs="Times New Roman"/>
        </w:rPr>
        <w:t>causes of action.</w:t>
      </w:r>
    </w:p>
    <w:p w14:paraId="4191A7DA" w14:textId="77777777" w:rsidR="00437F36" w:rsidRPr="00C05D6B" w:rsidRDefault="00437F36" w:rsidP="007B5EE9">
      <w:pPr>
        <w:ind w:firstLine="720"/>
        <w:rPr>
          <w:rFonts w:ascii="Garamond" w:hAnsi="Garamond" w:cs="Times New Roman"/>
        </w:rPr>
      </w:pPr>
    </w:p>
    <w:p w14:paraId="14CA731F" w14:textId="6A41A940" w:rsidR="00002E08" w:rsidRPr="00C05D6B" w:rsidRDefault="00437F36" w:rsidP="00FB227B">
      <w:pPr>
        <w:ind w:firstLine="720"/>
        <w:rPr>
          <w:rFonts w:ascii="Garamond" w:hAnsi="Garamond" w:cs="Times New Roman"/>
        </w:rPr>
      </w:pPr>
      <w:r w:rsidRPr="00C05D6B">
        <w:rPr>
          <w:rFonts w:ascii="Garamond" w:hAnsi="Garamond" w:cs="Times New Roman"/>
          <w:i/>
          <w:iCs/>
        </w:rPr>
        <w:t xml:space="preserve">Chapter 8 </w:t>
      </w:r>
      <w:r w:rsidR="000B1228" w:rsidRPr="00C05D6B">
        <w:rPr>
          <w:rFonts w:ascii="Garamond" w:hAnsi="Garamond" w:cs="Times New Roman"/>
        </w:rPr>
        <w:t xml:space="preserve">includes new </w:t>
      </w:r>
      <w:r w:rsidRPr="00C05D6B">
        <w:rPr>
          <w:rFonts w:ascii="Garamond" w:hAnsi="Garamond" w:cs="Times New Roman"/>
        </w:rPr>
        <w:t>cases on executive detention</w:t>
      </w:r>
      <w:r w:rsidR="000B1228" w:rsidRPr="00C05D6B">
        <w:rPr>
          <w:rFonts w:ascii="Garamond" w:hAnsi="Garamond" w:cs="Times New Roman"/>
        </w:rPr>
        <w:t xml:space="preserve"> and</w:t>
      </w:r>
      <w:r w:rsidRPr="00C05D6B">
        <w:rPr>
          <w:rFonts w:ascii="Garamond" w:hAnsi="Garamond" w:cs="Times New Roman"/>
        </w:rPr>
        <w:t xml:space="preserve"> collateral attacks on state criminal convictions.</w:t>
      </w:r>
      <w:r w:rsidR="000B1228" w:rsidRPr="00C05D6B">
        <w:rPr>
          <w:rFonts w:ascii="Garamond" w:hAnsi="Garamond" w:cs="Times New Roman"/>
        </w:rPr>
        <w:t xml:space="preserve"> The supplement describes how a series of emergency appeals involving the Trump Administration’s detention of undocumented immigrants has tested the outer boundaries of executive power and the relationship between habeas, due process, and equity jurisdiction. These include </w:t>
      </w:r>
      <w:r w:rsidR="000B1228" w:rsidRPr="00C05D6B">
        <w:rPr>
          <w:rFonts w:ascii="Garamond" w:hAnsi="Garamond" w:cs="Times New Roman"/>
          <w:i/>
          <w:iCs/>
        </w:rPr>
        <w:t xml:space="preserve">Trump v. J.G.G. </w:t>
      </w:r>
      <w:r w:rsidR="000B1228" w:rsidRPr="00C05D6B">
        <w:rPr>
          <w:rFonts w:ascii="Garamond" w:hAnsi="Garamond" w:cs="Times New Roman"/>
        </w:rPr>
        <w:t>(which we also note in Chapter 7)</w:t>
      </w:r>
      <w:r w:rsidR="000B1228" w:rsidRPr="00C05D6B">
        <w:rPr>
          <w:rFonts w:ascii="Garamond" w:hAnsi="Garamond" w:cs="Times New Roman"/>
          <w:i/>
          <w:iCs/>
        </w:rPr>
        <w:t xml:space="preserve"> </w:t>
      </w:r>
      <w:r w:rsidR="000B1228" w:rsidRPr="00C05D6B">
        <w:rPr>
          <w:rFonts w:ascii="Garamond" w:hAnsi="Garamond" w:cs="Times New Roman"/>
        </w:rPr>
        <w:t xml:space="preserve">and </w:t>
      </w:r>
      <w:r w:rsidR="000B1228" w:rsidRPr="00C05D6B">
        <w:rPr>
          <w:rFonts w:ascii="Garamond" w:hAnsi="Garamond" w:cs="Times New Roman"/>
          <w:i/>
          <w:iCs/>
        </w:rPr>
        <w:t>A.A.R.P. v. Trump</w:t>
      </w:r>
      <w:r w:rsidR="000B1228" w:rsidRPr="00C05D6B">
        <w:rPr>
          <w:rFonts w:ascii="Garamond" w:hAnsi="Garamond" w:cs="Times New Roman"/>
        </w:rPr>
        <w:t xml:space="preserve">. Chapter 8 also includes </w:t>
      </w:r>
      <w:r w:rsidR="000B1228" w:rsidRPr="00C05D6B">
        <w:rPr>
          <w:rFonts w:ascii="Garamond" w:hAnsi="Garamond" w:cs="Times New Roman"/>
          <w:i/>
          <w:iCs/>
        </w:rPr>
        <w:t>Andrew v. White</w:t>
      </w:r>
      <w:r w:rsidR="00486457" w:rsidRPr="00C05D6B">
        <w:rPr>
          <w:rFonts w:ascii="Garamond" w:hAnsi="Garamond" w:cs="Times New Roman"/>
        </w:rPr>
        <w:t>, a decision</w:t>
      </w:r>
      <w:r w:rsidR="000B1228" w:rsidRPr="00C05D6B">
        <w:rPr>
          <w:rFonts w:ascii="Garamond" w:hAnsi="Garamond" w:cs="Times New Roman"/>
        </w:rPr>
        <w:t xml:space="preserve"> on prejudicial evidence and due process in the habeas context. </w:t>
      </w:r>
      <w:r w:rsidR="003974E9" w:rsidRPr="00C05D6B">
        <w:rPr>
          <w:rFonts w:ascii="Garamond" w:hAnsi="Garamond" w:cs="Times New Roman"/>
        </w:rPr>
        <w:t xml:space="preserve">On collateral review, the chapter presents </w:t>
      </w:r>
      <w:r w:rsidR="003974E9" w:rsidRPr="00C05D6B">
        <w:rPr>
          <w:rFonts w:ascii="Garamond" w:hAnsi="Garamond" w:cs="Times New Roman"/>
          <w:i/>
          <w:iCs/>
        </w:rPr>
        <w:t>Jones v. Hendrix</w:t>
      </w:r>
      <w:r w:rsidR="003974E9" w:rsidRPr="00C05D6B">
        <w:rPr>
          <w:rFonts w:ascii="Garamond" w:hAnsi="Garamond" w:cs="Times New Roman"/>
        </w:rPr>
        <w:t xml:space="preserve"> (2023), which held that the Suspension </w:t>
      </w:r>
      <w:r w:rsidR="003974E9" w:rsidRPr="00C05D6B">
        <w:rPr>
          <w:rFonts w:ascii="Garamond" w:hAnsi="Garamond" w:cs="Times New Roman"/>
        </w:rPr>
        <w:lastRenderedPageBreak/>
        <w:t>Clause does not require a Section 2241 forum for a federal prisoner’s successive petition resting on a new rule of statutory construction, as well as recent decisions addressing successive petitions and the limits of AEDPA deference.</w:t>
      </w:r>
    </w:p>
    <w:p w14:paraId="2DDD3DA8" w14:textId="77777777" w:rsidR="000B1228" w:rsidRPr="00C05D6B" w:rsidRDefault="000B1228" w:rsidP="00FB227B">
      <w:pPr>
        <w:ind w:firstLine="720"/>
        <w:rPr>
          <w:rFonts w:ascii="Garamond" w:hAnsi="Garamond" w:cs="Times New Roman"/>
        </w:rPr>
      </w:pPr>
    </w:p>
    <w:p w14:paraId="1BCAD9B8" w14:textId="38B28BB8" w:rsidR="0071600C" w:rsidRPr="00C05D6B" w:rsidRDefault="000B1228" w:rsidP="0071600C">
      <w:pPr>
        <w:ind w:firstLine="720"/>
        <w:rPr>
          <w:rFonts w:ascii="Garamond" w:hAnsi="Garamond" w:cs="Times New Roman"/>
        </w:rPr>
      </w:pPr>
      <w:r w:rsidRPr="00C05D6B">
        <w:rPr>
          <w:rFonts w:ascii="Garamond" w:hAnsi="Garamond" w:cs="Times New Roman"/>
          <w:i/>
          <w:iCs/>
        </w:rPr>
        <w:t xml:space="preserve">Chapter 9 </w:t>
      </w:r>
      <w:r w:rsidRPr="00C05D6B">
        <w:rPr>
          <w:rFonts w:ascii="Garamond" w:hAnsi="Garamond" w:cs="Times New Roman"/>
        </w:rPr>
        <w:t xml:space="preserve">concludes with a new treatment of emergency applications and the Court’s “shadow docket” as well as cases on the independent and adequate state ground doctrine. It presents </w:t>
      </w:r>
      <w:r w:rsidRPr="00C05D6B">
        <w:rPr>
          <w:rFonts w:ascii="Garamond" w:hAnsi="Garamond" w:cs="Times New Roman"/>
          <w:i/>
          <w:iCs/>
        </w:rPr>
        <w:t>Trump v. CASA</w:t>
      </w:r>
      <w:r w:rsidRPr="00C05D6B">
        <w:rPr>
          <w:rFonts w:ascii="Garamond" w:hAnsi="Garamond" w:cs="Times New Roman"/>
        </w:rPr>
        <w:t>, a major development that eliminated so-called universal or nationwide injunctions from the Article III remedial toolkit, identifying the issues of the rule of law that the case raises.</w:t>
      </w:r>
      <w:r w:rsidR="0071600C" w:rsidRPr="00C05D6B">
        <w:rPr>
          <w:rFonts w:ascii="Garamond" w:hAnsi="Garamond" w:cs="Times New Roman"/>
        </w:rPr>
        <w:t xml:space="preserve"> The chapter also includes </w:t>
      </w:r>
      <w:r w:rsidR="0071600C" w:rsidRPr="00C05D6B">
        <w:rPr>
          <w:rFonts w:ascii="Garamond" w:hAnsi="Garamond" w:cs="Times New Roman"/>
          <w:i/>
          <w:iCs/>
        </w:rPr>
        <w:t>T.M. v. University of Maryland Medical System Corp</w:t>
      </w:r>
      <w:r w:rsidR="0071600C" w:rsidRPr="00C05D6B">
        <w:rPr>
          <w:rFonts w:ascii="Garamond" w:hAnsi="Garamond" w:cs="Times New Roman"/>
        </w:rPr>
        <w:t xml:space="preserve">. (2026), which held that the </w:t>
      </w:r>
      <w:proofErr w:type="spellStart"/>
      <w:r w:rsidR="0071600C" w:rsidRPr="00C05D6B">
        <w:rPr>
          <w:rFonts w:ascii="Garamond" w:hAnsi="Garamond" w:cs="Times New Roman"/>
        </w:rPr>
        <w:t>Rooker</w:t>
      </w:r>
      <w:proofErr w:type="spellEnd"/>
      <w:r w:rsidR="0071600C" w:rsidRPr="00C05D6B">
        <w:rPr>
          <w:rFonts w:ascii="Garamond" w:hAnsi="Garamond" w:cs="Times New Roman"/>
        </w:rPr>
        <w:t>-Feldman doctrine bars federal district court review of a state court judgment even while state appellate proceedings remain pending.</w:t>
      </w:r>
    </w:p>
    <w:p w14:paraId="404AEF8A" w14:textId="77777777" w:rsidR="004E67CA" w:rsidRPr="00C05D6B" w:rsidRDefault="004E67CA" w:rsidP="003125BF">
      <w:pPr>
        <w:rPr>
          <w:rFonts w:ascii="Garamond" w:hAnsi="Garamond" w:cs="Times New Roman"/>
        </w:rPr>
      </w:pPr>
    </w:p>
    <w:p w14:paraId="0FAFC8C0" w14:textId="3D022F90" w:rsidR="004E67CA" w:rsidRPr="00C05D6B" w:rsidRDefault="004E67CA" w:rsidP="003125BF">
      <w:pPr>
        <w:rPr>
          <w:rFonts w:ascii="Garamond" w:hAnsi="Garamond" w:cs="Times New Roman"/>
        </w:rPr>
      </w:pPr>
      <w:r w:rsidRPr="00C05D6B">
        <w:rPr>
          <w:rFonts w:ascii="Garamond" w:hAnsi="Garamond" w:cs="Times New Roman"/>
        </w:rPr>
        <w:tab/>
        <w:t xml:space="preserve">As always, we </w:t>
      </w:r>
      <w:r w:rsidR="006D79DB" w:rsidRPr="00C05D6B">
        <w:rPr>
          <w:rFonts w:ascii="Garamond" w:hAnsi="Garamond" w:cs="Times New Roman"/>
        </w:rPr>
        <w:t>are deeply grateful for your</w:t>
      </w:r>
      <w:r w:rsidRPr="00C05D6B">
        <w:rPr>
          <w:rFonts w:ascii="Garamond" w:hAnsi="Garamond" w:cs="Times New Roman"/>
        </w:rPr>
        <w:t xml:space="preserve"> comments and suggestions</w:t>
      </w:r>
      <w:r w:rsidR="006D79DB" w:rsidRPr="00C05D6B">
        <w:rPr>
          <w:rFonts w:ascii="Garamond" w:hAnsi="Garamond" w:cs="Times New Roman"/>
        </w:rPr>
        <w:t>.</w:t>
      </w:r>
      <w:r w:rsidR="00980ED8" w:rsidRPr="00C05D6B">
        <w:rPr>
          <w:rFonts w:ascii="Garamond" w:hAnsi="Garamond" w:cs="Times New Roman"/>
        </w:rPr>
        <w:t xml:space="preserve">  </w:t>
      </w:r>
    </w:p>
    <w:p w14:paraId="6B181355" w14:textId="77777777" w:rsidR="004E67CA" w:rsidRPr="00C05D6B" w:rsidRDefault="004E67CA" w:rsidP="003125BF">
      <w:pPr>
        <w:rPr>
          <w:rFonts w:ascii="Garamond" w:hAnsi="Garamond" w:cs="Times New Roman"/>
        </w:rPr>
      </w:pPr>
    </w:p>
    <w:p w14:paraId="52514DE9" w14:textId="7F10F99F" w:rsidR="004E67CA" w:rsidRPr="00C05D6B" w:rsidRDefault="004E67CA" w:rsidP="00002E08">
      <w:pPr>
        <w:ind w:left="6480"/>
        <w:rPr>
          <w:rFonts w:ascii="Garamond" w:hAnsi="Garamond" w:cs="Times New Roman"/>
        </w:rPr>
      </w:pPr>
      <w:r w:rsidRPr="00C05D6B">
        <w:rPr>
          <w:rFonts w:ascii="Garamond" w:hAnsi="Garamond" w:cs="Times New Roman"/>
        </w:rPr>
        <w:t>Erwin Chemerinsky</w:t>
      </w:r>
    </w:p>
    <w:p w14:paraId="01B3E16A" w14:textId="6D17AFDE" w:rsidR="004E67CA" w:rsidRPr="00C05D6B" w:rsidRDefault="004E67CA" w:rsidP="00002E08">
      <w:pPr>
        <w:ind w:left="6480"/>
        <w:rPr>
          <w:rFonts w:ascii="Garamond" w:hAnsi="Garamond" w:cs="Times New Roman"/>
        </w:rPr>
      </w:pPr>
      <w:r w:rsidRPr="00C05D6B">
        <w:rPr>
          <w:rFonts w:ascii="Garamond" w:hAnsi="Garamond" w:cs="Times New Roman"/>
        </w:rPr>
        <w:t>Berkeley, California</w:t>
      </w:r>
    </w:p>
    <w:p w14:paraId="0E63D1FF" w14:textId="77777777" w:rsidR="004E67CA" w:rsidRPr="00C05D6B" w:rsidRDefault="004E67CA" w:rsidP="00002E08">
      <w:pPr>
        <w:ind w:left="6480"/>
        <w:rPr>
          <w:rFonts w:ascii="Garamond" w:hAnsi="Garamond" w:cs="Times New Roman"/>
        </w:rPr>
      </w:pPr>
    </w:p>
    <w:p w14:paraId="3BEB43A2" w14:textId="77777777" w:rsidR="004E67CA" w:rsidRPr="00C05D6B" w:rsidRDefault="004E67CA" w:rsidP="00002E08">
      <w:pPr>
        <w:ind w:left="6480"/>
        <w:rPr>
          <w:rFonts w:ascii="Garamond" w:hAnsi="Garamond" w:cs="Times New Roman"/>
        </w:rPr>
      </w:pPr>
      <w:r w:rsidRPr="00C05D6B">
        <w:rPr>
          <w:rFonts w:ascii="Garamond" w:hAnsi="Garamond" w:cs="Times New Roman"/>
        </w:rPr>
        <w:t>Seth Davis</w:t>
      </w:r>
    </w:p>
    <w:p w14:paraId="79489613" w14:textId="4B8E6C9A" w:rsidR="004E67CA" w:rsidRPr="00C05D6B" w:rsidRDefault="004E67CA" w:rsidP="00002E08">
      <w:pPr>
        <w:ind w:left="6480"/>
        <w:rPr>
          <w:rFonts w:ascii="Garamond" w:hAnsi="Garamond" w:cs="Times New Roman"/>
          <w:lang w:val="it-IT"/>
        </w:rPr>
      </w:pPr>
      <w:r w:rsidRPr="00C05D6B">
        <w:rPr>
          <w:rFonts w:ascii="Garamond" w:hAnsi="Garamond" w:cs="Times New Roman"/>
          <w:lang w:val="it-IT"/>
        </w:rPr>
        <w:t>Berkeley, California</w:t>
      </w:r>
    </w:p>
    <w:p w14:paraId="4E39ACBE" w14:textId="77777777" w:rsidR="00486457" w:rsidRPr="00C05D6B" w:rsidRDefault="00486457" w:rsidP="000B38A4">
      <w:pPr>
        <w:rPr>
          <w:rFonts w:ascii="Garamond" w:hAnsi="Garamond" w:cs="Times New Roman"/>
          <w:lang w:val="it-IT"/>
        </w:rPr>
      </w:pPr>
    </w:p>
    <w:p w14:paraId="336FBA97" w14:textId="0E2C22A4" w:rsidR="004E67CA" w:rsidRPr="00C05D6B" w:rsidRDefault="004E67CA" w:rsidP="00002E08">
      <w:pPr>
        <w:ind w:left="6480"/>
        <w:rPr>
          <w:rFonts w:ascii="Garamond" w:hAnsi="Garamond" w:cs="Times New Roman"/>
          <w:lang w:val="it-IT"/>
        </w:rPr>
      </w:pPr>
      <w:r w:rsidRPr="00C05D6B">
        <w:rPr>
          <w:rFonts w:ascii="Garamond" w:hAnsi="Garamond" w:cs="Times New Roman"/>
          <w:lang w:val="it-IT"/>
        </w:rPr>
        <w:t>Fred Smith</w:t>
      </w:r>
    </w:p>
    <w:p w14:paraId="7BD4A734" w14:textId="17B87222" w:rsidR="004E67CA" w:rsidRPr="00C05D6B" w:rsidRDefault="00521096" w:rsidP="00002E08">
      <w:pPr>
        <w:ind w:left="6480"/>
        <w:rPr>
          <w:rFonts w:ascii="Garamond" w:hAnsi="Garamond" w:cs="Times New Roman"/>
          <w:lang w:val="it-IT"/>
        </w:rPr>
      </w:pPr>
      <w:r w:rsidRPr="00C05D6B">
        <w:rPr>
          <w:rFonts w:ascii="Garamond" w:hAnsi="Garamond" w:cs="Times New Roman"/>
          <w:lang w:val="it-IT"/>
        </w:rPr>
        <w:t>Palo Alto, California</w:t>
      </w:r>
    </w:p>
    <w:p w14:paraId="0F19F26A" w14:textId="77777777" w:rsidR="004E67CA" w:rsidRPr="00C05D6B" w:rsidRDefault="004E67CA" w:rsidP="00002E08">
      <w:pPr>
        <w:ind w:left="6480"/>
        <w:rPr>
          <w:rFonts w:ascii="Garamond" w:hAnsi="Garamond" w:cs="Times New Roman"/>
          <w:lang w:val="it-IT"/>
        </w:rPr>
      </w:pPr>
    </w:p>
    <w:p w14:paraId="439C19A4" w14:textId="170FB7A9" w:rsidR="004E67CA" w:rsidRPr="00C05D6B" w:rsidRDefault="004E67CA" w:rsidP="00002E08">
      <w:pPr>
        <w:ind w:left="6480"/>
        <w:rPr>
          <w:rFonts w:ascii="Garamond" w:hAnsi="Garamond" w:cs="Times New Roman"/>
          <w:lang w:val="it-IT"/>
        </w:rPr>
      </w:pPr>
      <w:r w:rsidRPr="00C05D6B">
        <w:rPr>
          <w:rFonts w:ascii="Garamond" w:hAnsi="Garamond" w:cs="Times New Roman"/>
          <w:lang w:val="it-IT"/>
        </w:rPr>
        <w:t>Norman Spaulding</w:t>
      </w:r>
    </w:p>
    <w:p w14:paraId="5D67E1C2" w14:textId="5A0B9FC4" w:rsidR="004E67CA" w:rsidRPr="00C05D6B" w:rsidRDefault="004E67CA" w:rsidP="00002E08">
      <w:pPr>
        <w:ind w:left="6480"/>
        <w:rPr>
          <w:rFonts w:ascii="Garamond" w:hAnsi="Garamond" w:cs="Times New Roman"/>
          <w:lang w:val="it-IT"/>
        </w:rPr>
      </w:pPr>
      <w:r w:rsidRPr="00C05D6B">
        <w:rPr>
          <w:rFonts w:ascii="Garamond" w:hAnsi="Garamond" w:cs="Times New Roman"/>
          <w:lang w:val="it-IT"/>
        </w:rPr>
        <w:t xml:space="preserve">Palo Alto, California </w:t>
      </w:r>
    </w:p>
    <w:p w14:paraId="4D5D1746" w14:textId="77777777" w:rsidR="004E67CA" w:rsidRPr="00C05D6B" w:rsidRDefault="004E67CA" w:rsidP="003125BF">
      <w:pPr>
        <w:rPr>
          <w:rFonts w:ascii="Garamond" w:hAnsi="Garamond" w:cs="Times New Roman"/>
          <w:lang w:val="it-IT"/>
        </w:rPr>
      </w:pPr>
    </w:p>
    <w:p w14:paraId="4D8AD4A9" w14:textId="77777777" w:rsidR="004E67CA" w:rsidRPr="00C05D6B" w:rsidRDefault="004E67CA" w:rsidP="003125BF">
      <w:pPr>
        <w:rPr>
          <w:rFonts w:ascii="Garamond" w:hAnsi="Garamond" w:cs="Times New Roman"/>
          <w:lang w:val="it-IT"/>
        </w:rPr>
      </w:pPr>
    </w:p>
    <w:p w14:paraId="2E21083D" w14:textId="77777777" w:rsidR="004E67CA" w:rsidRPr="00C05D6B" w:rsidRDefault="004E67CA" w:rsidP="003125BF">
      <w:pPr>
        <w:rPr>
          <w:rFonts w:ascii="Garamond" w:hAnsi="Garamond" w:cs="Times New Roman"/>
          <w:lang w:val="it-IT"/>
        </w:rPr>
      </w:pPr>
    </w:p>
    <w:p w14:paraId="26A020B2" w14:textId="77777777" w:rsidR="004E67CA" w:rsidRPr="00C05D6B" w:rsidRDefault="004E67CA">
      <w:pPr>
        <w:pBdr>
          <w:bottom w:val="single" w:sz="12" w:space="1" w:color="auto"/>
        </w:pBdr>
        <w:spacing w:after="160" w:line="278" w:lineRule="auto"/>
        <w:rPr>
          <w:rFonts w:ascii="Garamond" w:hAnsi="Garamond" w:cs="Times New Roman"/>
          <w:b/>
          <w:bCs/>
          <w:lang w:val="it-IT"/>
        </w:rPr>
      </w:pPr>
      <w:r w:rsidRPr="00C05D6B">
        <w:rPr>
          <w:rFonts w:ascii="Garamond" w:hAnsi="Garamond" w:cs="Times New Roman"/>
          <w:b/>
          <w:bCs/>
          <w:lang w:val="it-IT"/>
        </w:rPr>
        <w:br w:type="page"/>
      </w:r>
    </w:p>
    <w:p w14:paraId="674CA6CB" w14:textId="3B518CB9" w:rsidR="004E67CA" w:rsidRPr="00C05D6B" w:rsidRDefault="005A7FEA" w:rsidP="005A7FEA">
      <w:pPr>
        <w:jc w:val="center"/>
        <w:rPr>
          <w:rFonts w:ascii="Garamond" w:hAnsi="Garamond" w:cs="Times New Roman"/>
          <w:b/>
          <w:bCs/>
          <w:lang w:val="it-IT"/>
        </w:rPr>
      </w:pPr>
      <w:r w:rsidRPr="00C05D6B">
        <w:rPr>
          <w:rFonts w:ascii="Garamond" w:hAnsi="Garamond" w:cs="Times New Roman"/>
          <w:b/>
          <w:bCs/>
          <w:lang w:val="it-IT"/>
        </w:rPr>
        <w:lastRenderedPageBreak/>
        <w:t>______________________________________________________________________________</w:t>
      </w:r>
    </w:p>
    <w:p w14:paraId="25FC8F8E" w14:textId="77777777" w:rsidR="00926DEE" w:rsidRPr="00C05D6B" w:rsidRDefault="00926DEE" w:rsidP="00926DEE">
      <w:pPr>
        <w:jc w:val="center"/>
        <w:rPr>
          <w:rFonts w:ascii="Garamond" w:hAnsi="Garamond" w:cs="Times New Roman"/>
          <w:b/>
          <w:bCs/>
          <w:lang w:val="it-IT"/>
        </w:rPr>
      </w:pPr>
    </w:p>
    <w:p w14:paraId="651C1339"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Chapter 2</w:t>
      </w:r>
    </w:p>
    <w:p w14:paraId="011A6D58" w14:textId="77777777" w:rsidR="00926DEE" w:rsidRPr="00C05D6B" w:rsidRDefault="00926DEE" w:rsidP="00926DEE">
      <w:pPr>
        <w:jc w:val="center"/>
        <w:rPr>
          <w:rFonts w:ascii="Garamond" w:hAnsi="Garamond" w:cs="Times New Roman"/>
          <w:b/>
          <w:bCs/>
          <w:i/>
          <w:iCs/>
          <w:sz w:val="40"/>
          <w:szCs w:val="40"/>
        </w:rPr>
      </w:pPr>
    </w:p>
    <w:p w14:paraId="6DE17134" w14:textId="77777777" w:rsidR="00926DEE" w:rsidRPr="00C05D6B" w:rsidRDefault="00926DEE" w:rsidP="00926DEE">
      <w:pPr>
        <w:pBdr>
          <w:bottom w:val="single" w:sz="12" w:space="1" w:color="auto"/>
        </w:pBdr>
        <w:jc w:val="center"/>
        <w:rPr>
          <w:rFonts w:ascii="Garamond" w:hAnsi="Garamond" w:cs="Times New Roman"/>
          <w:b/>
          <w:bCs/>
          <w:i/>
          <w:iCs/>
          <w:sz w:val="40"/>
          <w:szCs w:val="40"/>
        </w:rPr>
      </w:pPr>
      <w:r w:rsidRPr="00C05D6B">
        <w:rPr>
          <w:rFonts w:ascii="Garamond" w:hAnsi="Garamond" w:cs="Times New Roman"/>
          <w:b/>
          <w:bCs/>
          <w:i/>
          <w:iCs/>
          <w:sz w:val="40"/>
          <w:szCs w:val="40"/>
        </w:rPr>
        <w:t>Invoking the Authority of the Federal Courts</w:t>
      </w:r>
    </w:p>
    <w:p w14:paraId="42421039" w14:textId="77777777" w:rsidR="004E67CA" w:rsidRPr="00C05D6B" w:rsidRDefault="004E67CA" w:rsidP="004E67CA">
      <w:pPr>
        <w:jc w:val="center"/>
        <w:rPr>
          <w:rFonts w:ascii="Garamond" w:hAnsi="Garamond" w:cs="Times New Roman"/>
          <w:b/>
          <w:bCs/>
          <w:i/>
          <w:iCs/>
        </w:rPr>
      </w:pPr>
    </w:p>
    <w:p w14:paraId="590F004F" w14:textId="77777777" w:rsidR="004E67CA" w:rsidRPr="00C05D6B" w:rsidRDefault="004E67CA" w:rsidP="004E67CA">
      <w:pPr>
        <w:jc w:val="center"/>
        <w:rPr>
          <w:rFonts w:ascii="Garamond" w:hAnsi="Garamond" w:cs="Times New Roman"/>
          <w:b/>
          <w:bCs/>
          <w:i/>
          <w:iCs/>
        </w:rPr>
      </w:pPr>
    </w:p>
    <w:p w14:paraId="0F78A4A5" w14:textId="3F70B91A" w:rsidR="004E67CA" w:rsidRPr="00C05D6B" w:rsidRDefault="004E67CA" w:rsidP="003125BF">
      <w:pPr>
        <w:rPr>
          <w:rFonts w:ascii="Garamond" w:hAnsi="Garamond" w:cs="Times New Roman"/>
          <w:b/>
          <w:bCs/>
          <w:i/>
          <w:iCs/>
        </w:rPr>
      </w:pPr>
      <w:r w:rsidRPr="00C05D6B">
        <w:rPr>
          <w:rFonts w:ascii="Garamond" w:hAnsi="Garamond" w:cs="Times New Roman"/>
          <w:b/>
          <w:bCs/>
          <w:i/>
          <w:iCs/>
        </w:rPr>
        <w:t>A.</w:t>
      </w:r>
      <w:r w:rsidRPr="00C05D6B">
        <w:rPr>
          <w:rFonts w:ascii="Garamond" w:hAnsi="Garamond" w:cs="Times New Roman"/>
          <w:b/>
          <w:bCs/>
          <w:i/>
          <w:iCs/>
        </w:rPr>
        <w:tab/>
        <w:t>The Subject Matter Jurisdiction of the Federal District Courts</w:t>
      </w:r>
    </w:p>
    <w:p w14:paraId="7B302B1A" w14:textId="77777777" w:rsidR="004E67CA" w:rsidRPr="00C05D6B" w:rsidRDefault="004E67CA" w:rsidP="003125BF">
      <w:pPr>
        <w:rPr>
          <w:rFonts w:ascii="Garamond" w:hAnsi="Garamond" w:cs="Times New Roman"/>
          <w:b/>
          <w:bCs/>
          <w:i/>
          <w:iCs/>
        </w:rPr>
      </w:pPr>
    </w:p>
    <w:p w14:paraId="4342F8EF" w14:textId="4B779C7F" w:rsidR="003125BF" w:rsidRPr="00C05D6B" w:rsidRDefault="003125BF" w:rsidP="003125BF">
      <w:pPr>
        <w:rPr>
          <w:rFonts w:ascii="Garamond" w:hAnsi="Garamond" w:cs="Times New Roman"/>
          <w:b/>
          <w:bCs/>
        </w:rPr>
      </w:pPr>
      <w:r w:rsidRPr="00C05D6B">
        <w:rPr>
          <w:rFonts w:ascii="Garamond" w:hAnsi="Garamond" w:cs="Times New Roman"/>
          <w:b/>
          <w:bCs/>
        </w:rPr>
        <w:t xml:space="preserve">(CB p. 141, after </w:t>
      </w:r>
      <w:r w:rsidR="004E67CA" w:rsidRPr="00C05D6B">
        <w:rPr>
          <w:rFonts w:ascii="Garamond" w:hAnsi="Garamond" w:cs="Times New Roman"/>
          <w:b/>
          <w:bCs/>
        </w:rPr>
        <w:t xml:space="preserve">Subsection </w:t>
      </w:r>
      <w:r w:rsidRPr="00C05D6B">
        <w:rPr>
          <w:rFonts w:ascii="Garamond" w:hAnsi="Garamond" w:cs="Times New Roman"/>
          <w:b/>
          <w:bCs/>
        </w:rPr>
        <w:t>6)</w:t>
      </w:r>
    </w:p>
    <w:p w14:paraId="7B54C32F" w14:textId="77777777" w:rsidR="003125BF" w:rsidRPr="00C05D6B" w:rsidRDefault="003125BF" w:rsidP="003125BF">
      <w:pPr>
        <w:rPr>
          <w:rFonts w:ascii="Garamond" w:hAnsi="Garamond" w:cs="Times New Roman"/>
        </w:rPr>
      </w:pPr>
    </w:p>
    <w:p w14:paraId="7DD0E485" w14:textId="21FD99D7" w:rsidR="003125BF" w:rsidRPr="00C05D6B" w:rsidRDefault="003125BF" w:rsidP="003125BF">
      <w:pPr>
        <w:ind w:firstLine="720"/>
        <w:rPr>
          <w:rFonts w:ascii="Garamond" w:hAnsi="Garamond" w:cs="Times New Roman"/>
        </w:rPr>
      </w:pPr>
      <w:r w:rsidRPr="00C05D6B">
        <w:rPr>
          <w:rFonts w:ascii="Garamond" w:hAnsi="Garamond" w:cs="Times New Roman"/>
        </w:rPr>
        <w:t>With a grasp of basic subject matter principles in hand, consider how courts go about distinguishing subject matter jurisdiction rules from other procedural rules that can affect whether a claim proceeds</w:t>
      </w:r>
      <w:r w:rsidR="00C61DAD" w:rsidRPr="00C05D6B">
        <w:rPr>
          <w:rFonts w:ascii="Garamond" w:hAnsi="Garamond" w:cs="Times New Roman"/>
        </w:rPr>
        <w:t>—</w:t>
      </w:r>
      <w:r w:rsidR="006D79DB" w:rsidRPr="00C05D6B">
        <w:rPr>
          <w:rFonts w:ascii="Garamond" w:hAnsi="Garamond" w:cs="Times New Roman"/>
        </w:rPr>
        <w:t>so-called</w:t>
      </w:r>
      <w:r w:rsidRPr="00C05D6B">
        <w:rPr>
          <w:rFonts w:ascii="Garamond" w:hAnsi="Garamond" w:cs="Times New Roman"/>
        </w:rPr>
        <w:t xml:space="preserve"> “claim processing rules, which seek to promote the orderly progress of litigation by requiring that the parties take certain procedural steps at certain specified times.” Fort Bend County v. Davis</w:t>
      </w:r>
      <w:r w:rsidR="00B941CF" w:rsidRPr="00C05D6B">
        <w:rPr>
          <w:rFonts w:ascii="Garamond" w:hAnsi="Garamond" w:cs="Times New Roman"/>
        </w:rPr>
        <w:fldChar w:fldCharType="begin"/>
      </w:r>
      <w:r w:rsidR="00B941CF" w:rsidRPr="00C05D6B">
        <w:rPr>
          <w:rFonts w:ascii="Garamond" w:hAnsi="Garamond"/>
        </w:rPr>
        <w:instrText xml:space="preserve"> TA \l "</w:instrText>
      </w:r>
      <w:r w:rsidR="00B941CF" w:rsidRPr="00C05D6B">
        <w:rPr>
          <w:rFonts w:ascii="Garamond" w:hAnsi="Garamond" w:cs="Times New Roman"/>
        </w:rPr>
        <w:instrText>Fort Bend County v. Davis</w:instrText>
      </w:r>
      <w:r w:rsidR="00B941CF" w:rsidRPr="00C05D6B">
        <w:rPr>
          <w:rFonts w:ascii="Garamond" w:hAnsi="Garamond"/>
        </w:rPr>
        <w:instrText xml:space="preserve">" \s "Fort Bend County v. Davis" \c 1 </w:instrText>
      </w:r>
      <w:r w:rsidR="00B941CF" w:rsidRPr="00C05D6B">
        <w:rPr>
          <w:rFonts w:ascii="Garamond" w:hAnsi="Garamond" w:cs="Times New Roman"/>
        </w:rPr>
        <w:fldChar w:fldCharType="end"/>
      </w:r>
      <w:r w:rsidRPr="00C05D6B">
        <w:rPr>
          <w:rFonts w:ascii="Garamond" w:hAnsi="Garamond" w:cs="Times New Roman"/>
        </w:rPr>
        <w:t xml:space="preserve"> (2019). The distinction matters because, as we have seen, subject matter jurisdiction defects are non-waivable, may be raised at any time, and the action of a court without subject matter jurisdiction is void. Mechanically, a subject matter jurisdiction defect is raised by a motion under Rule 12(b)(1)</w:t>
      </w:r>
      <w:r w:rsidR="00B941CF" w:rsidRPr="00C05D6B">
        <w:rPr>
          <w:rFonts w:ascii="Garamond" w:hAnsi="Garamond" w:cs="Times New Roman"/>
        </w:rPr>
        <w:fldChar w:fldCharType="begin"/>
      </w:r>
      <w:r w:rsidR="00B941CF"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Fed. R. Civ. P.</w:instrText>
      </w:r>
      <w:r w:rsidR="00B941CF" w:rsidRPr="00C05D6B">
        <w:rPr>
          <w:rFonts w:ascii="Garamond" w:hAnsi="Garamond" w:cs="Times New Roman"/>
        </w:rPr>
        <w:instrText>12(b)(1)</w:instrText>
      </w:r>
      <w:r w:rsidR="00B941CF" w:rsidRPr="00C05D6B">
        <w:rPr>
          <w:rFonts w:ascii="Garamond" w:hAnsi="Garamond"/>
        </w:rPr>
        <w:instrText>" \s "</w:instrText>
      </w:r>
      <w:r w:rsidR="00756097" w:rsidRPr="00756097">
        <w:instrText xml:space="preserve"> </w:instrText>
      </w:r>
      <w:r w:rsidR="00756097" w:rsidRPr="00756097">
        <w:rPr>
          <w:rFonts w:ascii="Garamond" w:hAnsi="Garamond"/>
        </w:rPr>
        <w:instrText>Fed. R. Civ. P.</w:instrText>
      </w:r>
      <w:r w:rsidR="00B941CF" w:rsidRPr="00C05D6B">
        <w:rPr>
          <w:rFonts w:ascii="Garamond" w:hAnsi="Garamond"/>
        </w:rPr>
        <w:instrText xml:space="preserve">12(b)(1)" \c 4 </w:instrText>
      </w:r>
      <w:r w:rsidR="00B941CF" w:rsidRPr="00C05D6B">
        <w:rPr>
          <w:rFonts w:ascii="Garamond" w:hAnsi="Garamond" w:cs="Times New Roman"/>
        </w:rPr>
        <w:fldChar w:fldCharType="end"/>
      </w:r>
      <w:r w:rsidRPr="00C05D6B">
        <w:rPr>
          <w:rFonts w:ascii="Garamond" w:hAnsi="Garamond" w:cs="Times New Roman"/>
        </w:rPr>
        <w:t>, whereas other defects are generally litigated through a motion under Rule 12(b)(6)</w:t>
      </w:r>
      <w:r w:rsidR="00B941CF" w:rsidRPr="00756097">
        <w:rPr>
          <w:rFonts w:ascii="Garamond" w:hAnsi="Garamond" w:cs="Times New Roman"/>
        </w:rPr>
        <w:fldChar w:fldCharType="begin"/>
      </w:r>
      <w:r w:rsidR="00B941CF" w:rsidRPr="00756097">
        <w:rPr>
          <w:rFonts w:ascii="Garamond" w:hAnsi="Garamond"/>
        </w:rPr>
        <w:instrText xml:space="preserve"> TA \l "</w:instrText>
      </w:r>
      <w:r w:rsidR="00756097" w:rsidRPr="00756097">
        <w:rPr>
          <w:rFonts w:ascii="Garamond" w:hAnsi="Garamond" w:cs="Arial"/>
          <w:color w:val="222222"/>
          <w:shd w:val="clear" w:color="auto" w:fill="FFFFFF"/>
        </w:rPr>
        <w:instrText xml:space="preserve"> Fed. R. Civ. P.</w:instrText>
      </w:r>
      <w:r w:rsidR="00B941CF" w:rsidRPr="00756097">
        <w:rPr>
          <w:rFonts w:ascii="Garamond" w:hAnsi="Garamond" w:cs="Times New Roman"/>
        </w:rPr>
        <w:instrText>12(b)(6)</w:instrText>
      </w:r>
      <w:r w:rsidR="00B941CF" w:rsidRPr="00756097">
        <w:rPr>
          <w:rFonts w:ascii="Garamond" w:hAnsi="Garamond"/>
        </w:rPr>
        <w:instrText>" \s "</w:instrText>
      </w:r>
      <w:r w:rsidR="00756097" w:rsidRPr="00756097">
        <w:rPr>
          <w:rFonts w:ascii="Garamond" w:hAnsi="Garamond" w:cs="Arial"/>
          <w:color w:val="222222"/>
          <w:shd w:val="clear" w:color="auto" w:fill="FFFFFF"/>
        </w:rPr>
        <w:instrText xml:space="preserve"> Fed. R. Civ. P.</w:instrText>
      </w:r>
      <w:r w:rsidR="00B941CF" w:rsidRPr="00756097">
        <w:rPr>
          <w:rFonts w:ascii="Garamond" w:hAnsi="Garamond"/>
        </w:rPr>
        <w:instrText xml:space="preserve">12(b)(6)" \c 4 </w:instrText>
      </w:r>
      <w:r w:rsidR="00B941CF" w:rsidRPr="00756097">
        <w:rPr>
          <w:rFonts w:ascii="Garamond" w:hAnsi="Garamond" w:cs="Times New Roman"/>
        </w:rPr>
        <w:fldChar w:fldCharType="end"/>
      </w:r>
      <w:r w:rsidRPr="00756097">
        <w:rPr>
          <w:rFonts w:ascii="Garamond" w:hAnsi="Garamond" w:cs="Times New Roman"/>
        </w:rPr>
        <w:t>. But sometimes it is not obvious</w:t>
      </w:r>
      <w:r w:rsidRPr="00C05D6B">
        <w:rPr>
          <w:rFonts w:ascii="Garamond" w:hAnsi="Garamond" w:cs="Times New Roman"/>
        </w:rPr>
        <w:t xml:space="preserve"> whether Congress intends a procedural rule, particularly one that can lead to dismissal, to operate as a rule of jurisdiction. In</w:t>
      </w:r>
      <w:r w:rsidR="001D6E83" w:rsidRPr="00C05D6B">
        <w:rPr>
          <w:rFonts w:ascii="Garamond" w:hAnsi="Garamond" w:cs="Times New Roman"/>
        </w:rPr>
        <w:t xml:space="preserve"> the</w:t>
      </w:r>
      <w:r w:rsidRPr="00C05D6B">
        <w:rPr>
          <w:rFonts w:ascii="Garamond" w:hAnsi="Garamond" w:cs="Times New Roman"/>
        </w:rPr>
        <w:t xml:space="preserve"> following case, a property dispute between private landowners and the federal government, the Supreme Court </w:t>
      </w:r>
      <w:r w:rsidR="00521096" w:rsidRPr="00C05D6B">
        <w:rPr>
          <w:rFonts w:ascii="Garamond" w:hAnsi="Garamond" w:cs="Times New Roman"/>
        </w:rPr>
        <w:t xml:space="preserve">took </w:t>
      </w:r>
      <w:r w:rsidRPr="00C05D6B">
        <w:rPr>
          <w:rFonts w:ascii="Garamond" w:hAnsi="Garamond" w:cs="Times New Roman"/>
        </w:rPr>
        <w:t>up this problem.</w:t>
      </w:r>
    </w:p>
    <w:p w14:paraId="51DBCBA9" w14:textId="77777777" w:rsidR="003125BF" w:rsidRPr="00C05D6B" w:rsidRDefault="003125BF" w:rsidP="003125BF">
      <w:pPr>
        <w:rPr>
          <w:rFonts w:ascii="Garamond" w:hAnsi="Garamond" w:cs="Times New Roman"/>
        </w:rPr>
      </w:pPr>
    </w:p>
    <w:p w14:paraId="7820EA48" w14:textId="41CF2419" w:rsidR="003125BF" w:rsidRPr="00C05D6B" w:rsidRDefault="003125BF" w:rsidP="00002E08">
      <w:pPr>
        <w:rPr>
          <w:rFonts w:ascii="Garamond" w:hAnsi="Garamond" w:cs="Times New Roman"/>
          <w:b/>
          <w:bCs/>
          <w:smallCaps/>
        </w:rPr>
      </w:pPr>
      <w:r w:rsidRPr="00C05D6B">
        <w:rPr>
          <w:rFonts w:ascii="Garamond" w:hAnsi="Garamond" w:cs="Times New Roman"/>
          <w:b/>
          <w:bCs/>
          <w:smallCaps/>
        </w:rPr>
        <w:t>Wilkins v. United States</w:t>
      </w:r>
      <w:r w:rsidR="005A7FEA" w:rsidRPr="00C05D6B">
        <w:rPr>
          <w:rFonts w:ascii="Garamond" w:hAnsi="Garamond" w:cs="Times New Roman"/>
          <w:b/>
          <w:bCs/>
          <w:smallCaps/>
        </w:rPr>
        <w:fldChar w:fldCharType="begin"/>
      </w:r>
      <w:r w:rsidR="005A7FEA" w:rsidRPr="00C05D6B">
        <w:rPr>
          <w:rFonts w:ascii="Garamond" w:hAnsi="Garamond"/>
        </w:rPr>
        <w:instrText xml:space="preserve"> TA \l "</w:instrText>
      </w:r>
      <w:r w:rsidR="005A7FEA" w:rsidRPr="00372F61">
        <w:rPr>
          <w:rFonts w:ascii="Garamond" w:hAnsi="Garamond" w:cs="Times New Roman"/>
        </w:rPr>
        <w:instrText>Wilkins v. United States</w:instrText>
      </w:r>
      <w:r w:rsidR="005A7FEA" w:rsidRPr="00C05D6B">
        <w:rPr>
          <w:rFonts w:ascii="Garamond" w:hAnsi="Garamond"/>
        </w:rPr>
        <w:instrText xml:space="preserve">" \s "Wilkins v. United States" \c 1 </w:instrText>
      </w:r>
      <w:r w:rsidR="005A7FEA" w:rsidRPr="00C05D6B">
        <w:rPr>
          <w:rFonts w:ascii="Garamond" w:hAnsi="Garamond" w:cs="Times New Roman"/>
          <w:b/>
          <w:bCs/>
          <w:smallCaps/>
        </w:rPr>
        <w:fldChar w:fldCharType="end"/>
      </w:r>
    </w:p>
    <w:p w14:paraId="21C8CED5" w14:textId="77777777" w:rsidR="003125BF" w:rsidRPr="00C05D6B" w:rsidRDefault="003125BF" w:rsidP="003125BF">
      <w:pPr>
        <w:rPr>
          <w:rFonts w:ascii="Garamond" w:hAnsi="Garamond" w:cs="Times New Roman"/>
        </w:rPr>
      </w:pPr>
      <w:r w:rsidRPr="00C05D6B">
        <w:rPr>
          <w:rFonts w:ascii="Garamond" w:hAnsi="Garamond" w:cs="Times New Roman"/>
          <w:bdr w:val="none" w:sz="0" w:space="0" w:color="auto" w:frame="1"/>
        </w:rPr>
        <w:t>598 U.S. 152 (2023)</w:t>
      </w:r>
    </w:p>
    <w:p w14:paraId="2FB392D4" w14:textId="77777777" w:rsidR="003125BF" w:rsidRPr="00C05D6B" w:rsidRDefault="003125BF" w:rsidP="003125BF">
      <w:pPr>
        <w:shd w:val="clear" w:color="auto" w:fill="FFFFFF"/>
        <w:textAlignment w:val="baseline"/>
        <w:rPr>
          <w:rFonts w:ascii="Garamond" w:eastAsia="Times New Roman" w:hAnsi="Garamond" w:cs="Times New Roman"/>
        </w:rPr>
      </w:pPr>
    </w:p>
    <w:p w14:paraId="17149381" w14:textId="77777777" w:rsidR="003125BF" w:rsidRPr="00C05D6B" w:rsidRDefault="003125BF" w:rsidP="003125BF">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Justice </w:t>
      </w:r>
      <w:r w:rsidRPr="00C05D6B">
        <w:rPr>
          <w:rFonts w:ascii="Garamond" w:eastAsia="Times New Roman" w:hAnsi="Garamond" w:cs="Times New Roman"/>
          <w:bdr w:val="none" w:sz="0" w:space="0" w:color="auto" w:frame="1"/>
        </w:rPr>
        <w:t>Sotomayor</w:t>
      </w:r>
      <w:r w:rsidRPr="00C05D6B">
        <w:rPr>
          <w:rFonts w:ascii="Garamond" w:eastAsia="Times New Roman" w:hAnsi="Garamond" w:cs="Times New Roman"/>
        </w:rPr>
        <w:t> delivered the opinion of the Court.</w:t>
      </w:r>
    </w:p>
    <w:p w14:paraId="0B6B7018" w14:textId="77777777" w:rsidR="003125BF" w:rsidRPr="00C05D6B" w:rsidRDefault="003125BF" w:rsidP="003125BF">
      <w:pPr>
        <w:shd w:val="clear" w:color="auto" w:fill="FFFFFF"/>
        <w:textAlignment w:val="baseline"/>
        <w:rPr>
          <w:rFonts w:ascii="Garamond" w:eastAsia="Times New Roman" w:hAnsi="Garamond" w:cs="Times New Roman"/>
        </w:rPr>
      </w:pPr>
    </w:p>
    <w:p w14:paraId="33B7ECFC" w14:textId="5F36AA58"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Wilkins and Stanton, the petitioners here, both live alongside Robbins Gulch Road in rural Montana. The United States has</w:t>
      </w:r>
      <w:r w:rsidR="00C61DAD" w:rsidRPr="00C05D6B">
        <w:rPr>
          <w:rFonts w:ascii="Garamond" w:eastAsia="Times New Roman" w:hAnsi="Garamond" w:cs="Times New Roman"/>
        </w:rPr>
        <w:t xml:space="preserve"> </w:t>
      </w:r>
      <w:r w:rsidRPr="00C05D6B">
        <w:rPr>
          <w:rFonts w:ascii="Garamond" w:eastAsia="Times New Roman" w:hAnsi="Garamond" w:cs="Times New Roman"/>
        </w:rPr>
        <w:t>an easement, for use of the road, which the Government interprets to include making the road available for public use. Petitioners allege that the road</w:t>
      </w:r>
      <w:r w:rsidR="00080FBD" w:rsidRPr="00C05D6B">
        <w:rPr>
          <w:rFonts w:ascii="Garamond" w:eastAsia="Times New Roman" w:hAnsi="Garamond" w:cs="Times New Roman"/>
        </w:rPr>
        <w:t>’</w:t>
      </w:r>
      <w:r w:rsidRPr="00C05D6B">
        <w:rPr>
          <w:rFonts w:ascii="Garamond" w:eastAsia="Times New Roman" w:hAnsi="Garamond" w:cs="Times New Roman"/>
        </w:rPr>
        <w:t>s public use has intruded upon their private lives, with strangers trespassing, stealing, and even shooting Wilkins’ cat.</w:t>
      </w:r>
    </w:p>
    <w:p w14:paraId="320B5617"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77F28253" w14:textId="4F31E728"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Petitioners sued over the scope of the easement under the Quiet Title Act, which allows challenges to the United States’ rights in real property. Invoking the Act</w:t>
      </w:r>
      <w:r w:rsidR="00080FBD" w:rsidRPr="00C05D6B">
        <w:rPr>
          <w:rFonts w:ascii="Garamond" w:eastAsia="Times New Roman" w:hAnsi="Garamond" w:cs="Times New Roman"/>
        </w:rPr>
        <w:t>’</w:t>
      </w:r>
      <w:r w:rsidRPr="00C05D6B">
        <w:rPr>
          <w:rFonts w:ascii="Garamond" w:eastAsia="Times New Roman" w:hAnsi="Garamond" w:cs="Times New Roman"/>
        </w:rPr>
        <w:t>s 12-year time limit, </w:t>
      </w:r>
      <w:r w:rsidRPr="00C05D6B">
        <w:rPr>
          <w:rFonts w:ascii="Garamond" w:eastAsia="Times New Roman" w:hAnsi="Garamond" w:cs="Times New Roman"/>
          <w:bdr w:val="none" w:sz="0" w:space="0" w:color="auto" w:frame="1"/>
        </w:rPr>
        <w:t>28 U.S.C. § 2409a(g)</w:t>
      </w:r>
      <w:r w:rsidRPr="00C05D6B">
        <w:rPr>
          <w:rFonts w:ascii="Garamond" w:eastAsia="Times New Roman" w:hAnsi="Garamond" w:cs="Times New Roman"/>
        </w:rPr>
        <w:t>, the Government maintains that the suit is jurisdictionally barred. Petitioners counter, and the Court holds, that </w:t>
      </w:r>
      <w:r w:rsidRPr="00C05D6B">
        <w:rPr>
          <w:rFonts w:ascii="Garamond" w:eastAsia="Times New Roman" w:hAnsi="Garamond" w:cs="Times New Roman"/>
          <w:bdr w:val="none" w:sz="0" w:space="0" w:color="auto" w:frame="1"/>
        </w:rPr>
        <w:t>§ 2409a(g)</w:t>
      </w:r>
      <w:r w:rsidRPr="00C05D6B">
        <w:rPr>
          <w:rFonts w:ascii="Garamond" w:eastAsia="Times New Roman" w:hAnsi="Garamond" w:cs="Times New Roman"/>
        </w:rPr>
        <w:t xml:space="preserve"> is a </w:t>
      </w:r>
      <w:proofErr w:type="spellStart"/>
      <w:r w:rsidRPr="00C05D6B">
        <w:rPr>
          <w:rFonts w:ascii="Garamond" w:eastAsia="Times New Roman" w:hAnsi="Garamond" w:cs="Times New Roman"/>
        </w:rPr>
        <w:t>nonjurisdictional</w:t>
      </w:r>
      <w:proofErr w:type="spellEnd"/>
      <w:r w:rsidRPr="00C05D6B">
        <w:rPr>
          <w:rFonts w:ascii="Garamond" w:eastAsia="Times New Roman" w:hAnsi="Garamond" w:cs="Times New Roman"/>
        </w:rPr>
        <w:t xml:space="preserve"> claims-processing rule.</w:t>
      </w:r>
    </w:p>
    <w:p w14:paraId="23734791"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188D3D20" w14:textId="77777777" w:rsidR="003125BF" w:rsidRPr="00C05D6B" w:rsidRDefault="003125BF" w:rsidP="00002E08">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II</w:t>
      </w:r>
    </w:p>
    <w:p w14:paraId="5B534576" w14:textId="77777777" w:rsidR="00002E08" w:rsidRPr="00C05D6B" w:rsidRDefault="00002E08" w:rsidP="00002E08">
      <w:pPr>
        <w:shd w:val="clear" w:color="auto" w:fill="FFFFFF"/>
        <w:textAlignment w:val="baseline"/>
        <w:rPr>
          <w:rFonts w:ascii="Garamond" w:eastAsia="Times New Roman" w:hAnsi="Garamond" w:cs="Times New Roman"/>
        </w:rPr>
      </w:pPr>
    </w:p>
    <w:p w14:paraId="7D6EB7FB" w14:textId="77777777" w:rsidR="003125BF" w:rsidRPr="00C05D6B" w:rsidRDefault="003125BF" w:rsidP="00002E08">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A</w:t>
      </w:r>
    </w:p>
    <w:p w14:paraId="1B9523B4" w14:textId="77777777" w:rsidR="003125BF" w:rsidRPr="00C05D6B" w:rsidRDefault="003125BF" w:rsidP="003125BF">
      <w:pPr>
        <w:shd w:val="clear" w:color="auto" w:fill="FFFFFF"/>
        <w:textAlignment w:val="baseline"/>
        <w:rPr>
          <w:rFonts w:ascii="Garamond" w:eastAsia="Times New Roman" w:hAnsi="Garamond" w:cs="Times New Roman"/>
        </w:rPr>
      </w:pPr>
    </w:p>
    <w:p w14:paraId="43876C42" w14:textId="7CA346FA"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“Jurisdiction, this Court has observed, is a word of many, too many, meanings.” </w:t>
      </w:r>
      <w:proofErr w:type="spellStart"/>
      <w:r w:rsidRPr="00C05D6B">
        <w:rPr>
          <w:rFonts w:ascii="Garamond" w:eastAsia="Times New Roman" w:hAnsi="Garamond" w:cs="Times New Roman"/>
          <w:bdr w:val="none" w:sz="0" w:space="0" w:color="auto" w:frame="1"/>
        </w:rPr>
        <w:t>Arbaugh</w:t>
      </w:r>
      <w:proofErr w:type="spellEnd"/>
      <w:r w:rsidRPr="00C05D6B">
        <w:rPr>
          <w:rFonts w:ascii="Garamond" w:eastAsia="Times New Roman" w:hAnsi="Garamond" w:cs="Times New Roman"/>
          <w:bdr w:val="none" w:sz="0" w:space="0" w:color="auto" w:frame="1"/>
        </w:rPr>
        <w:t xml:space="preserve"> v. Y &amp; H Corp. (2006)</w:t>
      </w:r>
      <w:r w:rsidRPr="00C05D6B">
        <w:rPr>
          <w:rFonts w:ascii="Garamond" w:eastAsia="Times New Roman" w:hAnsi="Garamond" w:cs="Times New Roman"/>
        </w:rPr>
        <w:t xml:space="preserve">. In particular, this Court has emphasized the distinction between limits on “the </w:t>
      </w:r>
      <w:r w:rsidRPr="00C05D6B">
        <w:rPr>
          <w:rFonts w:ascii="Garamond" w:eastAsia="Times New Roman" w:hAnsi="Garamond" w:cs="Times New Roman"/>
        </w:rPr>
        <w:lastRenderedPageBreak/>
        <w:t>classes of cases a court may entertain (subject-matter jurisdiction)” and “</w:t>
      </w:r>
      <w:proofErr w:type="spellStart"/>
      <w:r w:rsidRPr="00C05D6B">
        <w:rPr>
          <w:rFonts w:ascii="Garamond" w:eastAsia="Times New Roman" w:hAnsi="Garamond" w:cs="Times New Roman"/>
        </w:rPr>
        <w:t>nonjurisdictional</w:t>
      </w:r>
      <w:proofErr w:type="spellEnd"/>
      <w:r w:rsidRPr="00C05D6B">
        <w:rPr>
          <w:rFonts w:ascii="Garamond" w:eastAsia="Times New Roman" w:hAnsi="Garamond" w:cs="Times New Roman"/>
        </w:rPr>
        <w:t> claim-processing rules, which seek to promote the orderly progress of litigation by requiring that the parties take certain procedural steps at certain specified times.” </w:t>
      </w:r>
      <w:r w:rsidRPr="00C05D6B">
        <w:rPr>
          <w:rFonts w:ascii="Garamond" w:eastAsia="Times New Roman" w:hAnsi="Garamond" w:cs="Times New Roman"/>
          <w:bdr w:val="none" w:sz="0" w:space="0" w:color="auto" w:frame="1"/>
        </w:rPr>
        <w:t>Fort Bend County v. Davis (2019)</w:t>
      </w:r>
      <w:r w:rsidRPr="00C05D6B">
        <w:rPr>
          <w:rFonts w:ascii="Garamond" w:eastAsia="Times New Roman" w:hAnsi="Garamond" w:cs="Times New Roman"/>
        </w:rPr>
        <w:t>. The latter category generally includes a range of “threshold requirements that claimants must complete, or exhaust, before filing a lawsuit.” </w:t>
      </w:r>
      <w:r w:rsidRPr="00C05D6B">
        <w:rPr>
          <w:rFonts w:ascii="Garamond" w:eastAsia="Times New Roman" w:hAnsi="Garamond" w:cs="Times New Roman"/>
          <w:bdr w:val="none" w:sz="0" w:space="0" w:color="auto" w:frame="1"/>
        </w:rPr>
        <w:t xml:space="preserve">Reed Elsevier, Inc. v. </w:t>
      </w:r>
      <w:proofErr w:type="spellStart"/>
      <w:r w:rsidRPr="00C05D6B">
        <w:rPr>
          <w:rFonts w:ascii="Garamond" w:eastAsia="Times New Roman" w:hAnsi="Garamond" w:cs="Times New Roman"/>
          <w:bdr w:val="none" w:sz="0" w:space="0" w:color="auto" w:frame="1"/>
        </w:rPr>
        <w:t>Muchnick</w:t>
      </w:r>
      <w:proofErr w:type="spellEnd"/>
      <w:r w:rsidRPr="00C05D6B">
        <w:rPr>
          <w:rFonts w:ascii="Garamond" w:eastAsia="Times New Roman" w:hAnsi="Garamond" w:cs="Times New Roman"/>
          <w:bdr w:val="none" w:sz="0" w:space="0" w:color="auto" w:frame="1"/>
        </w:rPr>
        <w:t xml:space="preserve"> (2010)</w:t>
      </w:r>
      <w:r w:rsidRPr="00C05D6B">
        <w:rPr>
          <w:rFonts w:ascii="Garamond" w:eastAsia="Times New Roman" w:hAnsi="Garamond" w:cs="Times New Roman"/>
        </w:rPr>
        <w:t>.</w:t>
      </w:r>
    </w:p>
    <w:p w14:paraId="3D50FED6" w14:textId="77777777" w:rsidR="003125BF" w:rsidRPr="00C05D6B" w:rsidRDefault="003125BF" w:rsidP="003125BF">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ab/>
      </w:r>
    </w:p>
    <w:p w14:paraId="674D2FEE" w14:textId="1EE6E613"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To police this jurisdictional line, this Court will “treat a procedural requirement as jurisdictional only if Congress ‘clearly states’ that it is.” </w:t>
      </w:r>
      <w:proofErr w:type="spellStart"/>
      <w:r w:rsidRPr="00C05D6B">
        <w:rPr>
          <w:rFonts w:ascii="Garamond" w:eastAsia="Times New Roman" w:hAnsi="Garamond" w:cs="Times New Roman"/>
          <w:bdr w:val="none" w:sz="0" w:space="0" w:color="auto" w:frame="1"/>
        </w:rPr>
        <w:t>Boechler</w:t>
      </w:r>
      <w:proofErr w:type="spellEnd"/>
      <w:r w:rsidRPr="00C05D6B">
        <w:rPr>
          <w:rFonts w:ascii="Garamond" w:eastAsia="Times New Roman" w:hAnsi="Garamond" w:cs="Times New Roman"/>
          <w:bdr w:val="none" w:sz="0" w:space="0" w:color="auto" w:frame="1"/>
        </w:rPr>
        <w:t> v. Commissioner (2022)</w:t>
      </w:r>
      <w:r w:rsidRPr="00C05D6B">
        <w:rPr>
          <w:rFonts w:ascii="Garamond" w:eastAsia="Times New Roman" w:hAnsi="Garamond" w:cs="Times New Roman"/>
        </w:rPr>
        <w:t xml:space="preserve">. This principle of construction is not a burden courts impose on Congress. To the contrary, this principle seeks to avoid judicial interpretations that undermine Congress’ judgment. </w:t>
      </w:r>
    </w:p>
    <w:p w14:paraId="2B4AD22E" w14:textId="77777777" w:rsidR="00002E08" w:rsidRPr="00C05D6B" w:rsidRDefault="00002E08" w:rsidP="003125BF">
      <w:pPr>
        <w:shd w:val="clear" w:color="auto" w:fill="FFFFFF"/>
        <w:ind w:firstLine="720"/>
        <w:textAlignment w:val="baseline"/>
        <w:rPr>
          <w:rFonts w:ascii="Garamond" w:eastAsia="Times New Roman" w:hAnsi="Garamond" w:cs="Times New Roman"/>
        </w:rPr>
      </w:pPr>
    </w:p>
    <w:p w14:paraId="1734B5A6" w14:textId="7C013172"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Procedural rules often “seek to promote the orderly progress of litigation” within our adversarial system. </w:t>
      </w:r>
      <w:r w:rsidRPr="00C05D6B">
        <w:rPr>
          <w:rFonts w:ascii="Garamond" w:eastAsia="Times New Roman" w:hAnsi="Garamond" w:cs="Times New Roman"/>
          <w:bdr w:val="none" w:sz="0" w:space="0" w:color="auto" w:frame="1"/>
        </w:rPr>
        <w:t>Henderson v. Shinseki (2011)</w:t>
      </w:r>
      <w:r w:rsidRPr="00C05D6B">
        <w:rPr>
          <w:rFonts w:ascii="Garamond" w:eastAsia="Times New Roman" w:hAnsi="Garamond" w:cs="Times New Roman"/>
        </w:rPr>
        <w:t>. Limits on subject-matter jurisdiction, in contrast, have a unique potential to disrupt the orderly course of litigation. “Branding a rule as going to a court</w:t>
      </w:r>
      <w:r w:rsidR="00080FBD" w:rsidRPr="00C05D6B">
        <w:rPr>
          <w:rFonts w:ascii="Garamond" w:eastAsia="Times New Roman" w:hAnsi="Garamond" w:cs="Times New Roman"/>
        </w:rPr>
        <w:t>’</w:t>
      </w:r>
      <w:r w:rsidRPr="00C05D6B">
        <w:rPr>
          <w:rFonts w:ascii="Garamond" w:eastAsia="Times New Roman" w:hAnsi="Garamond" w:cs="Times New Roman"/>
        </w:rPr>
        <w:t>s subject-matter jurisdiction alters the normal operation of our adversarial system.”  “For purposes of efficiency and fairness, our legal system is replete with rules” like forfeiture, which require parties to raise arguments themselves and to do so at certain times.  Jurisdictional bars, however, “may be raised at any time” and courts have a duty to consider them </w:t>
      </w:r>
      <w:proofErr w:type="spellStart"/>
      <w:r w:rsidRPr="00C05D6B">
        <w:rPr>
          <w:rFonts w:ascii="Garamond" w:eastAsia="Times New Roman" w:hAnsi="Garamond" w:cs="Times New Roman"/>
          <w:bdr w:val="none" w:sz="0" w:space="0" w:color="auto" w:frame="1"/>
        </w:rPr>
        <w:t>sua</w:t>
      </w:r>
      <w:proofErr w:type="spellEnd"/>
      <w:r w:rsidRPr="00C05D6B">
        <w:rPr>
          <w:rFonts w:ascii="Garamond" w:eastAsia="Times New Roman" w:hAnsi="Garamond" w:cs="Times New Roman"/>
          <w:bdr w:val="none" w:sz="0" w:space="0" w:color="auto" w:frame="1"/>
        </w:rPr>
        <w:t xml:space="preserve"> sponte</w:t>
      </w:r>
      <w:r w:rsidRPr="00C05D6B">
        <w:rPr>
          <w:rFonts w:ascii="Garamond" w:eastAsia="Times New Roman" w:hAnsi="Garamond" w:cs="Times New Roman"/>
        </w:rPr>
        <w:t>. When such eleventh-hour jurisdictional objections prevail post-trial or on appeal, “many months of work on the part of the attorneys and the court may be wasted.”  Similarly, doctrines like waiver and estoppel ensure efficiency and fairness by precluding parties from raising arguments they had previously disavowed. Because these doctrines do not apply to jurisdictional objections, parties can disclaim such an objection, only to resurrect it when things go poorly for them on the merits. </w:t>
      </w:r>
    </w:p>
    <w:p w14:paraId="5C296244" w14:textId="77777777" w:rsidR="003125BF" w:rsidRPr="00C05D6B" w:rsidRDefault="003125BF" w:rsidP="003125BF">
      <w:pPr>
        <w:shd w:val="clear" w:color="auto" w:fill="FFFFFF"/>
        <w:textAlignment w:val="baseline"/>
        <w:rPr>
          <w:rFonts w:ascii="Garamond" w:eastAsia="Times New Roman" w:hAnsi="Garamond" w:cs="Times New Roman"/>
        </w:rPr>
      </w:pPr>
    </w:p>
    <w:p w14:paraId="3AABB70D" w14:textId="7777777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Given this risk of disruption and waste that accompanies the jurisdictional label, courts will not lightly apply it to procedures Congress enacted to keep things running smoothly and efficiently. Courts will also not assume that in creating a mundane claims-processing rule, Congress made it “unique in our adversarial system” by allowing parties to raise it at any time and requiring courts to consider it </w:t>
      </w:r>
      <w:proofErr w:type="spellStart"/>
      <w:r w:rsidRPr="00C05D6B">
        <w:rPr>
          <w:rFonts w:ascii="Garamond" w:eastAsia="Times New Roman" w:hAnsi="Garamond" w:cs="Times New Roman"/>
          <w:bdr w:val="none" w:sz="0" w:space="0" w:color="auto" w:frame="1"/>
        </w:rPr>
        <w:t>sua</w:t>
      </w:r>
      <w:proofErr w:type="spellEnd"/>
      <w:r w:rsidRPr="00C05D6B">
        <w:rPr>
          <w:rFonts w:ascii="Garamond" w:eastAsia="Times New Roman" w:hAnsi="Garamond" w:cs="Times New Roman"/>
          <w:bdr w:val="none" w:sz="0" w:space="0" w:color="auto" w:frame="1"/>
        </w:rPr>
        <w:t xml:space="preserve"> sponte</w:t>
      </w:r>
      <w:r w:rsidRPr="00C05D6B">
        <w:rPr>
          <w:rFonts w:ascii="Garamond" w:eastAsia="Times New Roman" w:hAnsi="Garamond" w:cs="Times New Roman"/>
        </w:rPr>
        <w:t>. </w:t>
      </w:r>
      <w:r w:rsidRPr="00C05D6B">
        <w:rPr>
          <w:rFonts w:ascii="Garamond" w:eastAsia="Times New Roman" w:hAnsi="Garamond" w:cs="Times New Roman"/>
          <w:bdr w:val="none" w:sz="0" w:space="0" w:color="auto" w:frame="1"/>
        </w:rPr>
        <w:t>Sebelius v. Auburn Regional Medical Center (2013)</w:t>
      </w:r>
      <w:r w:rsidRPr="00C05D6B">
        <w:rPr>
          <w:rFonts w:ascii="Garamond" w:eastAsia="Times New Roman" w:hAnsi="Garamond" w:cs="Times New Roman"/>
        </w:rPr>
        <w:t>. Instead, “traditional tools of statutory construction must plainly show that Congress imbued a procedural bar with jurisdictional consequences.” </w:t>
      </w:r>
      <w:r w:rsidRPr="00C05D6B">
        <w:rPr>
          <w:rFonts w:ascii="Garamond" w:eastAsia="Times New Roman" w:hAnsi="Garamond" w:cs="Times New Roman"/>
          <w:bdr w:val="none" w:sz="0" w:space="0" w:color="auto" w:frame="1"/>
        </w:rPr>
        <w:t xml:space="preserve">United States v. </w:t>
      </w:r>
      <w:proofErr w:type="spellStart"/>
      <w:r w:rsidRPr="00C05D6B">
        <w:rPr>
          <w:rFonts w:ascii="Garamond" w:eastAsia="Times New Roman" w:hAnsi="Garamond" w:cs="Times New Roman"/>
          <w:bdr w:val="none" w:sz="0" w:space="0" w:color="auto" w:frame="1"/>
        </w:rPr>
        <w:t>Kwai</w:t>
      </w:r>
      <w:proofErr w:type="spellEnd"/>
      <w:r w:rsidRPr="00C05D6B">
        <w:rPr>
          <w:rFonts w:ascii="Garamond" w:eastAsia="Times New Roman" w:hAnsi="Garamond" w:cs="Times New Roman"/>
          <w:bdr w:val="none" w:sz="0" w:space="0" w:color="auto" w:frame="1"/>
        </w:rPr>
        <w:t xml:space="preserve"> Fun Wong (2015)</w:t>
      </w:r>
      <w:r w:rsidRPr="00C05D6B">
        <w:rPr>
          <w:rFonts w:ascii="Garamond" w:eastAsia="Times New Roman" w:hAnsi="Garamond" w:cs="Times New Roman"/>
        </w:rPr>
        <w:t>.</w:t>
      </w:r>
    </w:p>
    <w:p w14:paraId="689A3A39" w14:textId="77777777" w:rsidR="003125BF" w:rsidRPr="00C05D6B" w:rsidRDefault="003125BF" w:rsidP="003125BF">
      <w:pPr>
        <w:shd w:val="clear" w:color="auto" w:fill="FFFFFF"/>
        <w:textAlignment w:val="baseline"/>
        <w:rPr>
          <w:rFonts w:ascii="Garamond" w:eastAsia="Times New Roman" w:hAnsi="Garamond" w:cs="Times New Roman"/>
        </w:rPr>
      </w:pPr>
    </w:p>
    <w:p w14:paraId="7FB88800" w14:textId="2E13DD9D" w:rsidR="003125BF" w:rsidRPr="00C05D6B" w:rsidRDefault="003125BF" w:rsidP="002E331E">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Under this clear statement rule, the analysis of </w:t>
      </w:r>
      <w:r w:rsidRPr="00C05D6B">
        <w:rPr>
          <w:rFonts w:ascii="Garamond" w:eastAsia="Times New Roman" w:hAnsi="Garamond" w:cs="Times New Roman"/>
          <w:bdr w:val="none" w:sz="0" w:space="0" w:color="auto" w:frame="1"/>
        </w:rPr>
        <w:t>§ 2409a(g)</w:t>
      </w:r>
      <w:r w:rsidRPr="00C05D6B">
        <w:rPr>
          <w:rFonts w:ascii="Garamond" w:eastAsia="Times New Roman" w:hAnsi="Garamond" w:cs="Times New Roman"/>
        </w:rPr>
        <w:t> is straightforward.</w:t>
      </w:r>
      <w:r w:rsidRPr="00C05D6B">
        <w:rPr>
          <w:rStyle w:val="FootnoteReference"/>
          <w:rFonts w:ascii="Garamond" w:eastAsia="Times New Roman" w:hAnsi="Garamond" w:cs="Times New Roman"/>
        </w:rPr>
        <w:footnoteReference w:customMarkFollows="1" w:id="1"/>
        <w:t>3</w:t>
      </w:r>
      <w:r w:rsidRPr="00C05D6B">
        <w:rPr>
          <w:rFonts w:ascii="Garamond" w:eastAsia="Times New Roman" w:hAnsi="Garamond" w:cs="Times New Roman"/>
        </w:rPr>
        <w:t xml:space="preserve"> “[I]n applying </w:t>
      </w:r>
      <w:proofErr w:type="spellStart"/>
      <w:r w:rsidRPr="00C05D6B">
        <w:rPr>
          <w:rFonts w:ascii="Garamond" w:eastAsia="Times New Roman" w:hAnsi="Garamond" w:cs="Times New Roman"/>
        </w:rPr>
        <w:t>th</w:t>
      </w:r>
      <w:proofErr w:type="spellEnd"/>
      <w:r w:rsidRPr="00C05D6B">
        <w:rPr>
          <w:rFonts w:ascii="Garamond" w:eastAsia="Times New Roman" w:hAnsi="Garamond" w:cs="Times New Roman"/>
        </w:rPr>
        <w:t>[e] clear statement rule, we have made plain that most time bars are</w:t>
      </w:r>
      <w:r w:rsidR="00002E08" w:rsidRPr="00C05D6B">
        <w:rPr>
          <w:rFonts w:ascii="Garamond" w:eastAsia="Times New Roman" w:hAnsi="Garamond" w:cs="Times New Roman"/>
        </w:rPr>
        <w:t xml:space="preserve"> </w:t>
      </w:r>
      <w:proofErr w:type="spellStart"/>
      <w:r w:rsidR="00002E08" w:rsidRPr="00C05D6B">
        <w:rPr>
          <w:rFonts w:ascii="Garamond" w:eastAsia="Times New Roman" w:hAnsi="Garamond" w:cs="Times New Roman"/>
        </w:rPr>
        <w:t>nonjurisdictional</w:t>
      </w:r>
      <w:proofErr w:type="spellEnd"/>
      <w:r w:rsidR="00002E08" w:rsidRPr="00C05D6B">
        <w:rPr>
          <w:rFonts w:ascii="Garamond" w:eastAsia="Times New Roman" w:hAnsi="Garamond" w:cs="Times New Roman"/>
        </w:rPr>
        <w:t>.</w:t>
      </w:r>
      <w:r w:rsidRPr="00C05D6B">
        <w:rPr>
          <w:rFonts w:ascii="Garamond" w:eastAsia="Times New Roman" w:hAnsi="Garamond" w:cs="Times New Roman"/>
        </w:rPr>
        <w:t>” </w:t>
      </w:r>
      <w:r w:rsidR="00080FBD" w:rsidRPr="00C05D6B">
        <w:rPr>
          <w:rFonts w:ascii="Garamond" w:eastAsia="Times New Roman" w:hAnsi="Garamond" w:cs="Times New Roman"/>
          <w:i/>
          <w:iCs/>
          <w:bdr w:val="none" w:sz="0" w:space="0" w:color="auto" w:frame="1"/>
        </w:rPr>
        <w:t xml:space="preserve">Wong. </w:t>
      </w:r>
      <w:r w:rsidRPr="00C05D6B">
        <w:rPr>
          <w:rFonts w:ascii="Garamond" w:eastAsia="Times New Roman" w:hAnsi="Garamond" w:cs="Times New Roman"/>
        </w:rPr>
        <w:t>Nothing about </w:t>
      </w:r>
      <w:r w:rsidRPr="00C05D6B">
        <w:rPr>
          <w:rFonts w:ascii="Garamond" w:eastAsia="Times New Roman" w:hAnsi="Garamond" w:cs="Times New Roman"/>
          <w:bdr w:val="none" w:sz="0" w:space="0" w:color="auto" w:frame="1"/>
        </w:rPr>
        <w:t>§ 2409a(g)</w:t>
      </w:r>
      <w:r w:rsidRPr="00C05D6B">
        <w:rPr>
          <w:rFonts w:ascii="Garamond" w:eastAsia="Times New Roman" w:hAnsi="Garamond" w:cs="Times New Roman"/>
        </w:rPr>
        <w:t>’s text or context gives reason to depart from this beaten path. </w:t>
      </w:r>
      <w:r w:rsidRPr="00C05D6B">
        <w:rPr>
          <w:rFonts w:ascii="Garamond" w:eastAsia="Times New Roman" w:hAnsi="Garamond" w:cs="Times New Roman"/>
          <w:bdr w:val="none" w:sz="0" w:space="0" w:color="auto" w:frame="1"/>
        </w:rPr>
        <w:t>Section 2409a(g)</w:t>
      </w:r>
      <w:r w:rsidRPr="00C05D6B">
        <w:rPr>
          <w:rFonts w:ascii="Garamond" w:eastAsia="Times New Roman" w:hAnsi="Garamond" w:cs="Times New Roman"/>
        </w:rPr>
        <w:t> states that an action “shall be barred unless it is commenced within twelve years of the date upon which it accrued.” This “text speaks only to a claim</w:t>
      </w:r>
      <w:r w:rsidR="00080FBD" w:rsidRPr="00C05D6B">
        <w:rPr>
          <w:rFonts w:ascii="Garamond" w:eastAsia="Times New Roman" w:hAnsi="Garamond" w:cs="Times New Roman"/>
        </w:rPr>
        <w:t>’</w:t>
      </w:r>
      <w:r w:rsidRPr="00C05D6B">
        <w:rPr>
          <w:rFonts w:ascii="Garamond" w:eastAsia="Times New Roman" w:hAnsi="Garamond" w:cs="Times New Roman"/>
        </w:rPr>
        <w:t xml:space="preserve">s timeliness,” and its “mundane statute-of-limitations language say[s] only what every time bar, by definition, must: that after a certain time a </w:t>
      </w:r>
      <w:r w:rsidRPr="00C05D6B">
        <w:rPr>
          <w:rFonts w:ascii="Garamond" w:eastAsia="Times New Roman" w:hAnsi="Garamond" w:cs="Times New Roman"/>
        </w:rPr>
        <w:lastRenderedPageBreak/>
        <w:t>claim is barred.” </w:t>
      </w:r>
      <w:r w:rsidR="00080FBD" w:rsidRPr="00C05D6B">
        <w:rPr>
          <w:rFonts w:ascii="Garamond" w:eastAsia="Times New Roman" w:hAnsi="Garamond" w:cs="Times New Roman"/>
          <w:i/>
          <w:iCs/>
          <w:bdr w:val="none" w:sz="0" w:space="0" w:color="auto" w:frame="1"/>
        </w:rPr>
        <w:t>Wong</w:t>
      </w:r>
      <w:r w:rsidR="00080FBD" w:rsidRPr="00C05D6B">
        <w:rPr>
          <w:rFonts w:ascii="Garamond" w:eastAsia="Times New Roman" w:hAnsi="Garamond" w:cs="Times New Roman"/>
          <w:bdr w:val="none" w:sz="0" w:space="0" w:color="auto" w:frame="1"/>
        </w:rPr>
        <w:t>.</w:t>
      </w:r>
      <w:r w:rsidRPr="00C05D6B">
        <w:rPr>
          <w:rFonts w:ascii="Garamond" w:eastAsia="Times New Roman" w:hAnsi="Garamond" w:cs="Times New Roman"/>
        </w:rPr>
        <w:t xml:space="preserve"> Further, “[t]his Court has often explained that Congress</w:t>
      </w:r>
      <w:r w:rsidR="00080FBD" w:rsidRPr="00C05D6B">
        <w:rPr>
          <w:rFonts w:ascii="Garamond" w:eastAsia="Times New Roman" w:hAnsi="Garamond" w:cs="Times New Roman"/>
        </w:rPr>
        <w:t>’</w:t>
      </w:r>
      <w:r w:rsidRPr="00C05D6B">
        <w:rPr>
          <w:rFonts w:ascii="Garamond" w:eastAsia="Times New Roman" w:hAnsi="Garamond" w:cs="Times New Roman"/>
        </w:rPr>
        <w:t>s separation of a filing deadline from a jurisdictional grant indicates that the time bar is not jurisdictional.” The Quiet Title Act</w:t>
      </w:r>
      <w:r w:rsidR="00080FBD" w:rsidRPr="00C05D6B">
        <w:rPr>
          <w:rFonts w:ascii="Garamond" w:eastAsia="Times New Roman" w:hAnsi="Garamond" w:cs="Times New Roman"/>
        </w:rPr>
        <w:t>’</w:t>
      </w:r>
      <w:r w:rsidRPr="00C05D6B">
        <w:rPr>
          <w:rFonts w:ascii="Garamond" w:eastAsia="Times New Roman" w:hAnsi="Garamond" w:cs="Times New Roman"/>
        </w:rPr>
        <w:t>s jurisdictional grant is in </w:t>
      </w:r>
      <w:r w:rsidRPr="00C05D6B">
        <w:rPr>
          <w:rFonts w:ascii="Garamond" w:eastAsia="Times New Roman" w:hAnsi="Garamond" w:cs="Times New Roman"/>
          <w:bdr w:val="none" w:sz="0" w:space="0" w:color="auto" w:frame="1"/>
        </w:rPr>
        <w:t>28 U.S.C. § 1346(f)</w:t>
      </w:r>
      <w:r w:rsidRPr="00C05D6B">
        <w:rPr>
          <w:rFonts w:ascii="Garamond" w:eastAsia="Times New Roman" w:hAnsi="Garamond" w:cs="Times New Roman"/>
        </w:rPr>
        <w:t>, well afield of </w:t>
      </w:r>
      <w:r w:rsidRPr="00C05D6B">
        <w:rPr>
          <w:rFonts w:ascii="Garamond" w:eastAsia="Times New Roman" w:hAnsi="Garamond" w:cs="Times New Roman"/>
          <w:bdr w:val="none" w:sz="0" w:space="0" w:color="auto" w:frame="1"/>
        </w:rPr>
        <w:t>§ 2409a(g)</w:t>
      </w:r>
      <w:r w:rsidRPr="00C05D6B">
        <w:rPr>
          <w:rFonts w:ascii="Garamond" w:eastAsia="Times New Roman" w:hAnsi="Garamond" w:cs="Times New Roman"/>
        </w:rPr>
        <w:t>. And “[n]</w:t>
      </w:r>
      <w:proofErr w:type="spellStart"/>
      <w:r w:rsidRPr="00C05D6B">
        <w:rPr>
          <w:rFonts w:ascii="Garamond" w:eastAsia="Times New Roman" w:hAnsi="Garamond" w:cs="Times New Roman"/>
        </w:rPr>
        <w:t>othing</w:t>
      </w:r>
      <w:proofErr w:type="spellEnd"/>
      <w:r w:rsidRPr="00C05D6B">
        <w:rPr>
          <w:rFonts w:ascii="Garamond" w:eastAsia="Times New Roman" w:hAnsi="Garamond" w:cs="Times New Roman"/>
        </w:rPr>
        <w:t xml:space="preserve"> conditions the jurisdictional grant on the limitations </w:t>
      </w:r>
      <w:proofErr w:type="spellStart"/>
      <w:r w:rsidRPr="00C05D6B">
        <w:rPr>
          <w:rFonts w:ascii="Garamond" w:eastAsia="Times New Roman" w:hAnsi="Garamond" w:cs="Times New Roman"/>
        </w:rPr>
        <w:t>perio</w:t>
      </w:r>
      <w:proofErr w:type="spellEnd"/>
      <w:r w:rsidRPr="00C05D6B">
        <w:rPr>
          <w:rFonts w:ascii="Garamond" w:eastAsia="Times New Roman" w:hAnsi="Garamond" w:cs="Times New Roman"/>
        </w:rPr>
        <w:t>[d], or otherwise links those separate provisions.” </w:t>
      </w:r>
      <w:r w:rsidRPr="00C05D6B">
        <w:rPr>
          <w:rFonts w:ascii="Garamond" w:eastAsia="Times New Roman" w:hAnsi="Garamond" w:cs="Times New Roman"/>
          <w:i/>
          <w:iCs/>
          <w:bdr w:val="none" w:sz="0" w:space="0" w:color="auto" w:frame="1"/>
        </w:rPr>
        <w:t>Wong</w:t>
      </w:r>
      <w:r w:rsidRPr="00C05D6B">
        <w:rPr>
          <w:rFonts w:ascii="Garamond" w:eastAsia="Times New Roman" w:hAnsi="Garamond" w:cs="Times New Roman"/>
        </w:rPr>
        <w:t>. </w:t>
      </w:r>
      <w:r w:rsidRPr="00C05D6B">
        <w:rPr>
          <w:rFonts w:ascii="Garamond" w:eastAsia="Times New Roman" w:hAnsi="Garamond" w:cs="Times New Roman"/>
          <w:bdr w:val="none" w:sz="0" w:space="0" w:color="auto" w:frame="1"/>
        </w:rPr>
        <w:t>Section 2409a(g)</w:t>
      </w:r>
      <w:r w:rsidRPr="00C05D6B">
        <w:rPr>
          <w:rFonts w:ascii="Garamond" w:eastAsia="Times New Roman" w:hAnsi="Garamond" w:cs="Times New Roman"/>
        </w:rPr>
        <w:t> therefore lacks a jurisdictional clear statement.</w:t>
      </w:r>
    </w:p>
    <w:p w14:paraId="3C7B5706" w14:textId="77777777" w:rsidR="00BA7FE1" w:rsidRPr="00C05D6B" w:rsidRDefault="00BA7FE1" w:rsidP="00BA7FE1">
      <w:pPr>
        <w:shd w:val="clear" w:color="auto" w:fill="FFFFFF"/>
        <w:textAlignment w:val="baseline"/>
        <w:rPr>
          <w:rFonts w:ascii="Garamond" w:eastAsia="Times New Roman" w:hAnsi="Garamond" w:cs="Times New Roman"/>
        </w:rPr>
      </w:pPr>
    </w:p>
    <w:p w14:paraId="65466C65" w14:textId="2846BADC" w:rsidR="003125BF" w:rsidRPr="00C05D6B" w:rsidRDefault="003125BF" w:rsidP="00BA7FE1">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B</w:t>
      </w:r>
    </w:p>
    <w:p w14:paraId="59B95D65" w14:textId="77777777" w:rsidR="003125BF" w:rsidRPr="00C05D6B" w:rsidRDefault="003125BF" w:rsidP="003125BF">
      <w:pPr>
        <w:shd w:val="clear" w:color="auto" w:fill="FFFFFF"/>
        <w:textAlignment w:val="baseline"/>
        <w:rPr>
          <w:rFonts w:ascii="Garamond" w:eastAsia="Times New Roman" w:hAnsi="Garamond" w:cs="Times New Roman"/>
        </w:rPr>
      </w:pPr>
    </w:p>
    <w:p w14:paraId="6C1C8E50" w14:textId="47B6E21C" w:rsidR="006D79DB" w:rsidRPr="00C05D6B" w:rsidRDefault="006D79DB"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 xml:space="preserve">[The Court then addressed the question how it should read prior cases that appeared to treat a statutory requirement as jurisdictional]. </w:t>
      </w:r>
    </w:p>
    <w:p w14:paraId="4F7C795A" w14:textId="77777777" w:rsidR="006D79DB" w:rsidRPr="00C05D6B" w:rsidRDefault="006D79DB" w:rsidP="003125BF">
      <w:pPr>
        <w:shd w:val="clear" w:color="auto" w:fill="FFFFFF"/>
        <w:ind w:firstLine="720"/>
        <w:textAlignment w:val="baseline"/>
        <w:rPr>
          <w:rFonts w:ascii="Garamond" w:eastAsia="Times New Roman" w:hAnsi="Garamond" w:cs="Times New Roman"/>
        </w:rPr>
      </w:pPr>
    </w:p>
    <w:p w14:paraId="3740CB73" w14:textId="0188E610" w:rsidR="003125BF" w:rsidRPr="00C05D6B" w:rsidRDefault="003125BF" w:rsidP="003125BF">
      <w:pPr>
        <w:shd w:val="clear" w:color="auto" w:fill="FFFFFF"/>
        <w:ind w:firstLine="720"/>
        <w:textAlignment w:val="baseline"/>
        <w:rPr>
          <w:rFonts w:ascii="Garamond" w:eastAsia="Times New Roman" w:hAnsi="Garamond" w:cs="Times New Roman"/>
          <w:bdr w:val="none" w:sz="0" w:space="0" w:color="auto" w:frame="1"/>
        </w:rPr>
      </w:pPr>
      <w:r w:rsidRPr="00C05D6B">
        <w:rPr>
          <w:rFonts w:ascii="Garamond" w:eastAsia="Times New Roman" w:hAnsi="Garamond" w:cs="Times New Roman"/>
        </w:rPr>
        <w:t>To separate the wheat from the chaff, this Court has asked if the prior decision addressed whether a provision is “‘technically jurisdictional’”—whether it truly operates as a limit on a court</w:t>
      </w:r>
      <w:r w:rsidR="00080FBD" w:rsidRPr="00C05D6B">
        <w:rPr>
          <w:rFonts w:ascii="Garamond" w:eastAsia="Times New Roman" w:hAnsi="Garamond" w:cs="Times New Roman"/>
        </w:rPr>
        <w:t>’</w:t>
      </w:r>
      <w:r w:rsidRPr="00C05D6B">
        <w:rPr>
          <w:rFonts w:ascii="Garamond" w:eastAsia="Times New Roman" w:hAnsi="Garamond" w:cs="Times New Roman"/>
        </w:rPr>
        <w:t>s subject-matter jurisdiction—and whether anything in the decision “turn[ed] on that characterization.” </w:t>
      </w:r>
      <w:proofErr w:type="spellStart"/>
      <w:r w:rsidRPr="00C05D6B">
        <w:rPr>
          <w:rFonts w:ascii="Garamond" w:eastAsia="Times New Roman" w:hAnsi="Garamond" w:cs="Times New Roman"/>
          <w:i/>
          <w:iCs/>
          <w:bdr w:val="none" w:sz="0" w:space="0" w:color="auto" w:frame="1"/>
        </w:rPr>
        <w:t>Arbaugh</w:t>
      </w:r>
      <w:proofErr w:type="spellEnd"/>
      <w:r w:rsidRPr="00C05D6B">
        <w:rPr>
          <w:rFonts w:ascii="Garamond" w:eastAsia="Times New Roman" w:hAnsi="Garamond" w:cs="Times New Roman"/>
          <w:bdr w:val="none" w:sz="0" w:space="0" w:color="auto" w:frame="1"/>
        </w:rPr>
        <w:t xml:space="preserve"> </w:t>
      </w:r>
      <w:r w:rsidRPr="00C05D6B">
        <w:rPr>
          <w:rFonts w:ascii="Garamond" w:eastAsia="Times New Roman" w:hAnsi="Garamond" w:cs="Times New Roman"/>
        </w:rPr>
        <w:t>(quoting </w:t>
      </w:r>
      <w:r w:rsidRPr="00C05D6B">
        <w:rPr>
          <w:rFonts w:ascii="Garamond" w:eastAsia="Times New Roman" w:hAnsi="Garamond" w:cs="Times New Roman"/>
          <w:bdr w:val="none" w:sz="0" w:space="0" w:color="auto" w:frame="1"/>
        </w:rPr>
        <w:t>Steel Co. v. Citizens for Better Environment (1998)</w:t>
      </w:r>
      <w:r w:rsidRPr="00C05D6B">
        <w:rPr>
          <w:rFonts w:ascii="Garamond" w:eastAsia="Times New Roman" w:hAnsi="Garamond" w:cs="Times New Roman"/>
        </w:rPr>
        <w:t xml:space="preserve">); see also </w:t>
      </w:r>
      <w:r w:rsidRPr="00C05D6B">
        <w:rPr>
          <w:rFonts w:ascii="Garamond" w:eastAsia="Times New Roman" w:hAnsi="Garamond" w:cs="Times New Roman"/>
          <w:bdr w:val="none" w:sz="0" w:space="0" w:color="auto" w:frame="1"/>
        </w:rPr>
        <w:t>Zipes v. Trans World Airlines, Inc. (1982)</w:t>
      </w:r>
      <w:r w:rsidRPr="00C05D6B">
        <w:rPr>
          <w:rFonts w:ascii="Garamond" w:eastAsia="Times New Roman" w:hAnsi="Garamond" w:cs="Times New Roman"/>
        </w:rPr>
        <w:t> (looking to whether “the legal character of the requirement was</w:t>
      </w:r>
      <w:r w:rsidR="00080FBD" w:rsidRPr="00C05D6B">
        <w:rPr>
          <w:rFonts w:ascii="Garamond" w:eastAsia="Times New Roman" w:hAnsi="Garamond" w:cs="Times New Roman"/>
        </w:rPr>
        <w:t xml:space="preserve"> . . .</w:t>
      </w:r>
      <w:r w:rsidRPr="00C05D6B">
        <w:rPr>
          <w:rFonts w:ascii="Garamond" w:eastAsia="Times New Roman" w:hAnsi="Garamond" w:cs="Times New Roman"/>
        </w:rPr>
        <w:t xml:space="preserve"> at issue”). If a decision simply states that “the court is dismissing ‘for lack of jurisdiction’ when some threshold fact has not been established,” it is understood as a “drive-by jurisdictional </w:t>
      </w:r>
      <w:proofErr w:type="spellStart"/>
      <w:r w:rsidRPr="00C05D6B">
        <w:rPr>
          <w:rFonts w:ascii="Garamond" w:eastAsia="Times New Roman" w:hAnsi="Garamond" w:cs="Times New Roman"/>
        </w:rPr>
        <w:t>rulin</w:t>
      </w:r>
      <w:proofErr w:type="spellEnd"/>
      <w:r w:rsidRPr="00C05D6B">
        <w:rPr>
          <w:rFonts w:ascii="Garamond" w:eastAsia="Times New Roman" w:hAnsi="Garamond" w:cs="Times New Roman"/>
        </w:rPr>
        <w:t>[g]” that receives “no precedential effect.” </w:t>
      </w:r>
      <w:proofErr w:type="spellStart"/>
      <w:r w:rsidRPr="00C05D6B">
        <w:rPr>
          <w:rFonts w:ascii="Garamond" w:eastAsia="Times New Roman" w:hAnsi="Garamond" w:cs="Times New Roman"/>
          <w:i/>
          <w:iCs/>
          <w:bdr w:val="none" w:sz="0" w:space="0" w:color="auto" w:frame="1"/>
        </w:rPr>
        <w:t>Arbaugh</w:t>
      </w:r>
      <w:proofErr w:type="spellEnd"/>
      <w:r w:rsidRPr="00C05D6B">
        <w:rPr>
          <w:rFonts w:ascii="Garamond" w:eastAsia="Times New Roman" w:hAnsi="Garamond" w:cs="Times New Roman"/>
          <w:bdr w:val="none" w:sz="0" w:space="0" w:color="auto" w:frame="1"/>
        </w:rPr>
        <w:t>.</w:t>
      </w:r>
    </w:p>
    <w:p w14:paraId="4BC9D9DC"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19B7BA05" w14:textId="4B299CB0"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The Government begins with </w:t>
      </w:r>
      <w:r w:rsidRPr="00C05D6B">
        <w:rPr>
          <w:rFonts w:ascii="Garamond" w:eastAsia="Times New Roman" w:hAnsi="Garamond" w:cs="Times New Roman"/>
          <w:i/>
          <w:iCs/>
          <w:bdr w:val="none" w:sz="0" w:space="0" w:color="auto" w:frame="1"/>
        </w:rPr>
        <w:t>Block</w:t>
      </w:r>
      <w:r w:rsidRPr="00C05D6B">
        <w:rPr>
          <w:rFonts w:ascii="Garamond" w:eastAsia="Times New Roman" w:hAnsi="Garamond" w:cs="Times New Roman"/>
        </w:rPr>
        <w:t>[</w:t>
      </w:r>
      <w:r w:rsidR="00D22423" w:rsidRPr="00C05D6B">
        <w:rPr>
          <w:rFonts w:ascii="Garamond" w:eastAsia="Times New Roman" w:hAnsi="Garamond" w:cs="Times New Roman"/>
        </w:rPr>
        <w:t xml:space="preserve">, </w:t>
      </w:r>
      <w:r w:rsidRPr="00C05D6B">
        <w:rPr>
          <w:rFonts w:ascii="Garamond" w:eastAsia="Times New Roman" w:hAnsi="Garamond" w:cs="Times New Roman"/>
        </w:rPr>
        <w:t>which held that] the Act was “the exclusive procedure” for challenging “the title of the United States to real property,” [and that] the 12-year limit applied to States. It was only in the opinion</w:t>
      </w:r>
      <w:r w:rsidR="00080FBD" w:rsidRPr="00C05D6B">
        <w:rPr>
          <w:rFonts w:ascii="Garamond" w:eastAsia="Times New Roman" w:hAnsi="Garamond" w:cs="Times New Roman"/>
        </w:rPr>
        <w:t>’</w:t>
      </w:r>
      <w:r w:rsidRPr="00C05D6B">
        <w:rPr>
          <w:rFonts w:ascii="Garamond" w:eastAsia="Times New Roman" w:hAnsi="Garamond" w:cs="Times New Roman"/>
        </w:rPr>
        <w:t>s conclusion that, in remanding, the Court remarked that if the time limit applied, “the courts below had no jurisdiction to inquire into the merits.” The opinion contains no discussion of whether the provision was “‘technically jurisdictional’” or what in the case would have “turn[ed] on that characterization.” </w:t>
      </w:r>
      <w:proofErr w:type="spellStart"/>
      <w:r w:rsidRPr="00C05D6B">
        <w:rPr>
          <w:rFonts w:ascii="Garamond" w:eastAsia="Times New Roman" w:hAnsi="Garamond" w:cs="Times New Roman"/>
          <w:i/>
          <w:iCs/>
          <w:bdr w:val="none" w:sz="0" w:space="0" w:color="auto" w:frame="1"/>
        </w:rPr>
        <w:t>Arbaugh</w:t>
      </w:r>
      <w:proofErr w:type="spellEnd"/>
      <w:r w:rsidRPr="00C05D6B">
        <w:rPr>
          <w:rFonts w:ascii="Garamond" w:eastAsia="Times New Roman" w:hAnsi="Garamond" w:cs="Times New Roman"/>
        </w:rPr>
        <w:t xml:space="preserve">. There is nothing more than an “unrefined </w:t>
      </w:r>
      <w:proofErr w:type="spellStart"/>
      <w:r w:rsidRPr="00C05D6B">
        <w:rPr>
          <w:rFonts w:ascii="Garamond" w:eastAsia="Times New Roman" w:hAnsi="Garamond" w:cs="Times New Roman"/>
        </w:rPr>
        <w:t>dispositio</w:t>
      </w:r>
      <w:proofErr w:type="spellEnd"/>
      <w:r w:rsidRPr="00C05D6B">
        <w:rPr>
          <w:rFonts w:ascii="Garamond" w:eastAsia="Times New Roman" w:hAnsi="Garamond" w:cs="Times New Roman"/>
        </w:rPr>
        <w:t xml:space="preserve">[n]” stating that a “threshold fact” must “b[e] established” for there to be “jurisdiction.” This is a textbook “drive-by jurisdictional </w:t>
      </w:r>
      <w:proofErr w:type="spellStart"/>
      <w:r w:rsidRPr="00C05D6B">
        <w:rPr>
          <w:rFonts w:ascii="Garamond" w:eastAsia="Times New Roman" w:hAnsi="Garamond" w:cs="Times New Roman"/>
        </w:rPr>
        <w:t>rulin</w:t>
      </w:r>
      <w:proofErr w:type="spellEnd"/>
      <w:r w:rsidRPr="00C05D6B">
        <w:rPr>
          <w:rFonts w:ascii="Garamond" w:eastAsia="Times New Roman" w:hAnsi="Garamond" w:cs="Times New Roman"/>
        </w:rPr>
        <w:t>[g].”</w:t>
      </w:r>
    </w:p>
    <w:p w14:paraId="38681747" w14:textId="7777777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 xml:space="preserve"> </w:t>
      </w:r>
    </w:p>
    <w:p w14:paraId="0C51C0E2" w14:textId="166CDED0"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i/>
          <w:iCs/>
          <w:bdr w:val="none" w:sz="0" w:space="0" w:color="auto" w:frame="1"/>
        </w:rPr>
        <w:t>Block</w:t>
      </w:r>
      <w:r w:rsidRPr="00C05D6B">
        <w:rPr>
          <w:rFonts w:ascii="Garamond" w:eastAsia="Times New Roman" w:hAnsi="Garamond" w:cs="Times New Roman"/>
          <w:bdr w:val="none" w:sz="0" w:space="0" w:color="auto" w:frame="1"/>
        </w:rPr>
        <w:t> </w:t>
      </w:r>
      <w:r w:rsidRPr="00C05D6B">
        <w:rPr>
          <w:rFonts w:ascii="Garamond" w:eastAsia="Times New Roman" w:hAnsi="Garamond" w:cs="Times New Roman"/>
        </w:rPr>
        <w:t>described the Act</w:t>
      </w:r>
      <w:r w:rsidR="00080FBD" w:rsidRPr="00C05D6B">
        <w:rPr>
          <w:rFonts w:ascii="Garamond" w:eastAsia="Times New Roman" w:hAnsi="Garamond" w:cs="Times New Roman"/>
        </w:rPr>
        <w:t>’</w:t>
      </w:r>
      <w:r w:rsidRPr="00C05D6B">
        <w:rPr>
          <w:rFonts w:ascii="Garamond" w:eastAsia="Times New Roman" w:hAnsi="Garamond" w:cs="Times New Roman"/>
        </w:rPr>
        <w:t>s time limit as “a condition on the waiver of sovereign immunity.” </w:t>
      </w:r>
      <w:r w:rsidRPr="00C05D6B">
        <w:rPr>
          <w:rFonts w:ascii="Garamond" w:eastAsia="Times New Roman" w:hAnsi="Garamond" w:cs="Times New Roman"/>
          <w:i/>
          <w:iCs/>
          <w:bdr w:val="none" w:sz="0" w:space="0" w:color="auto" w:frame="1"/>
        </w:rPr>
        <w:t>Block</w:t>
      </w:r>
      <w:r w:rsidRPr="00C05D6B">
        <w:rPr>
          <w:rFonts w:ascii="Garamond" w:eastAsia="Times New Roman" w:hAnsi="Garamond" w:cs="Times New Roman"/>
          <w:bdr w:val="none" w:sz="0" w:space="0" w:color="auto" w:frame="1"/>
        </w:rPr>
        <w:t> </w:t>
      </w:r>
      <w:r w:rsidRPr="00C05D6B">
        <w:rPr>
          <w:rFonts w:ascii="Garamond" w:eastAsia="Times New Roman" w:hAnsi="Garamond" w:cs="Times New Roman"/>
        </w:rPr>
        <w:t>never stated, however, that the Act</w:t>
      </w:r>
      <w:r w:rsidR="00080FBD" w:rsidRPr="00C05D6B">
        <w:rPr>
          <w:rFonts w:ascii="Garamond" w:eastAsia="Times New Roman" w:hAnsi="Garamond" w:cs="Times New Roman"/>
        </w:rPr>
        <w:t>’</w:t>
      </w:r>
      <w:r w:rsidRPr="00C05D6B">
        <w:rPr>
          <w:rFonts w:ascii="Garamond" w:eastAsia="Times New Roman" w:hAnsi="Garamond" w:cs="Times New Roman"/>
        </w:rPr>
        <w:t>s time limit was therefore truly a limit on subject-matter jurisdiction. Yet according to the Government and the dissent, this went without saying because the case law at the time was “unmistakably” clear that conditions on waivers of immunity were subject-matter jurisdictional. </w:t>
      </w:r>
    </w:p>
    <w:p w14:paraId="37615985"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4D0AB41F" w14:textId="1BE20037" w:rsidR="006D79DB" w:rsidRPr="00C05D6B" w:rsidRDefault="003125BF" w:rsidP="006D79DB">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This reading is undermined by the very history on which it draws. In </w:t>
      </w:r>
      <w:r w:rsidRPr="00C05D6B">
        <w:rPr>
          <w:rFonts w:ascii="Garamond" w:eastAsia="Times New Roman" w:hAnsi="Garamond" w:cs="Times New Roman"/>
          <w:bdr w:val="none" w:sz="0" w:space="0" w:color="auto" w:frame="1"/>
        </w:rPr>
        <w:t>Irwin v. Department of Veterans Affairs (1990)</w:t>
      </w:r>
      <w:r w:rsidRPr="00C05D6B">
        <w:rPr>
          <w:rFonts w:ascii="Garamond" w:eastAsia="Times New Roman" w:hAnsi="Garamond" w:cs="Times New Roman"/>
        </w:rPr>
        <w:t>, the Court surveyed the case law about whether “time limits in suits against the Government” are subject to “equitable tolling, waiver, and estoppel.”  If associating time limits with waivers of sovereign immunity clearly made those limits jurisdictional, equitable exceptions would be just as clearly foreclosed. Instead, </w:t>
      </w:r>
      <w:r w:rsidRPr="00C05D6B">
        <w:rPr>
          <w:rFonts w:ascii="Garamond" w:eastAsia="Times New Roman" w:hAnsi="Garamond" w:cs="Times New Roman"/>
          <w:i/>
          <w:iCs/>
          <w:bdr w:val="none" w:sz="0" w:space="0" w:color="auto" w:frame="1"/>
        </w:rPr>
        <w:t>Irwin</w:t>
      </w:r>
      <w:r w:rsidRPr="00C05D6B">
        <w:rPr>
          <w:rFonts w:ascii="Garamond" w:eastAsia="Times New Roman" w:hAnsi="Garamond" w:cs="Times New Roman"/>
          <w:bdr w:val="none" w:sz="0" w:space="0" w:color="auto" w:frame="1"/>
        </w:rPr>
        <w:t> </w:t>
      </w:r>
      <w:r w:rsidRPr="00C05D6B">
        <w:rPr>
          <w:rFonts w:ascii="Garamond" w:eastAsia="Times New Roman" w:hAnsi="Garamond" w:cs="Times New Roman"/>
        </w:rPr>
        <w:t>described the Court</w:t>
      </w:r>
      <w:r w:rsidR="00C61DAD" w:rsidRPr="00C05D6B">
        <w:rPr>
          <w:rFonts w:ascii="Garamond" w:eastAsia="Times New Roman" w:hAnsi="Garamond" w:cs="Times New Roman"/>
        </w:rPr>
        <w:t>’</w:t>
      </w:r>
      <w:r w:rsidRPr="00C05D6B">
        <w:rPr>
          <w:rFonts w:ascii="Garamond" w:eastAsia="Times New Roman" w:hAnsi="Garamond" w:cs="Times New Roman"/>
        </w:rPr>
        <w:t>s approach to this question as “ad hoc” and “</w:t>
      </w:r>
      <w:proofErr w:type="spellStart"/>
      <w:r w:rsidRPr="00C05D6B">
        <w:rPr>
          <w:rFonts w:ascii="Garamond" w:eastAsia="Times New Roman" w:hAnsi="Garamond" w:cs="Times New Roman"/>
        </w:rPr>
        <w:t>unpredictab</w:t>
      </w:r>
      <w:proofErr w:type="spellEnd"/>
      <w:r w:rsidRPr="00C05D6B">
        <w:rPr>
          <w:rFonts w:ascii="Garamond" w:eastAsia="Times New Roman" w:hAnsi="Garamond" w:cs="Times New Roman"/>
        </w:rPr>
        <w:t>[le],” “leaving open” whether equitable exceptions were available in any given case. Accordingly, even if “a statute of limitations [was] a condition on the waiver of sovereign immunity and thus must be strictly construed,” this still “d[id] not answer the question whether equitable tolling can be applied to this statute of limitations.” </w:t>
      </w:r>
      <w:r w:rsidRPr="00C05D6B">
        <w:rPr>
          <w:rFonts w:ascii="Garamond" w:eastAsia="Times New Roman" w:hAnsi="Garamond" w:cs="Times New Roman"/>
          <w:bdr w:val="none" w:sz="0" w:space="0" w:color="auto" w:frame="1"/>
        </w:rPr>
        <w:t>Bowen v. City of New York (1986)</w:t>
      </w:r>
      <w:r w:rsidRPr="00C05D6B">
        <w:rPr>
          <w:rFonts w:ascii="Garamond" w:eastAsia="Times New Roman" w:hAnsi="Garamond" w:cs="Times New Roman"/>
        </w:rPr>
        <w:t xml:space="preserve">. </w:t>
      </w:r>
    </w:p>
    <w:p w14:paraId="6E2237F4" w14:textId="77777777" w:rsidR="006D79DB" w:rsidRPr="00C05D6B" w:rsidRDefault="006D79DB" w:rsidP="006D79DB">
      <w:pPr>
        <w:shd w:val="clear" w:color="auto" w:fill="FFFFFF"/>
        <w:ind w:firstLine="720"/>
        <w:textAlignment w:val="baseline"/>
        <w:rPr>
          <w:rFonts w:ascii="Garamond" w:eastAsia="Times New Roman" w:hAnsi="Garamond" w:cs="Times New Roman"/>
        </w:rPr>
      </w:pPr>
    </w:p>
    <w:p w14:paraId="7D64A8FB" w14:textId="19DD694A" w:rsidR="003125BF" w:rsidRPr="00C05D6B" w:rsidRDefault="003125BF" w:rsidP="006D79DB">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i/>
          <w:iCs/>
          <w:bdr w:val="none" w:sz="0" w:space="0" w:color="auto" w:frame="1"/>
        </w:rPr>
        <w:t>Block</w:t>
      </w:r>
      <w:r w:rsidRPr="00C05D6B">
        <w:rPr>
          <w:rFonts w:ascii="Garamond" w:eastAsia="Times New Roman" w:hAnsi="Garamond" w:cs="Times New Roman"/>
        </w:rPr>
        <w:t> thus acknowledged nothing more than a general proposition, echoed by </w:t>
      </w:r>
      <w:r w:rsidRPr="00C05D6B">
        <w:rPr>
          <w:rFonts w:ascii="Garamond" w:eastAsia="Times New Roman" w:hAnsi="Garamond" w:cs="Times New Roman"/>
          <w:i/>
          <w:iCs/>
          <w:bdr w:val="none" w:sz="0" w:space="0" w:color="auto" w:frame="1"/>
        </w:rPr>
        <w:t>Irwin</w:t>
      </w:r>
      <w:r w:rsidRPr="00C05D6B">
        <w:rPr>
          <w:rFonts w:ascii="Garamond" w:eastAsia="Times New Roman" w:hAnsi="Garamond" w:cs="Times New Roman"/>
        </w:rPr>
        <w:t xml:space="preserve">, that “a condition to the waiver of sovereign immunity </w:t>
      </w:r>
      <w:r w:rsidR="00D22423" w:rsidRPr="00C05D6B">
        <w:rPr>
          <w:rFonts w:ascii="Garamond" w:eastAsia="Times New Roman" w:hAnsi="Garamond" w:cs="Times New Roman"/>
        </w:rPr>
        <w:t xml:space="preserve">. . . </w:t>
      </w:r>
      <w:r w:rsidRPr="00C05D6B">
        <w:rPr>
          <w:rFonts w:ascii="Garamond" w:eastAsia="Times New Roman" w:hAnsi="Garamond" w:cs="Times New Roman"/>
        </w:rPr>
        <w:t>must be strictly construed.” In </w:t>
      </w:r>
      <w:r w:rsidRPr="00C05D6B">
        <w:rPr>
          <w:rFonts w:ascii="Garamond" w:eastAsia="Times New Roman" w:hAnsi="Garamond" w:cs="Times New Roman"/>
          <w:i/>
          <w:iCs/>
          <w:bdr w:val="none" w:sz="0" w:space="0" w:color="auto" w:frame="1"/>
        </w:rPr>
        <w:t>Irwin</w:t>
      </w:r>
      <w:r w:rsidRPr="00C05D6B">
        <w:rPr>
          <w:rFonts w:ascii="Garamond" w:eastAsia="Times New Roman" w:hAnsi="Garamond" w:cs="Times New Roman"/>
        </w:rPr>
        <w:t>, as elsewhere, this did not mean that time limits accompanying such waivers are necessarily jurisdictional.</w:t>
      </w:r>
    </w:p>
    <w:p w14:paraId="19B3A1A4"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1B4CDF2E" w14:textId="0BD6C10A"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Next, the Government offers </w:t>
      </w:r>
      <w:r w:rsidRPr="00C05D6B">
        <w:rPr>
          <w:rFonts w:ascii="Garamond" w:eastAsia="Times New Roman" w:hAnsi="Garamond" w:cs="Times New Roman"/>
          <w:bdr w:val="none" w:sz="0" w:space="0" w:color="auto" w:frame="1"/>
        </w:rPr>
        <w:t xml:space="preserve">United States v. </w:t>
      </w:r>
      <w:proofErr w:type="spellStart"/>
      <w:r w:rsidRPr="00C05D6B">
        <w:rPr>
          <w:rFonts w:ascii="Garamond" w:eastAsia="Times New Roman" w:hAnsi="Garamond" w:cs="Times New Roman"/>
          <w:bdr w:val="none" w:sz="0" w:space="0" w:color="auto" w:frame="1"/>
        </w:rPr>
        <w:t>Mottaz</w:t>
      </w:r>
      <w:proofErr w:type="spellEnd"/>
      <w:r w:rsidRPr="00C05D6B">
        <w:rPr>
          <w:rFonts w:ascii="Garamond" w:eastAsia="Times New Roman" w:hAnsi="Garamond" w:cs="Times New Roman"/>
          <w:bdr w:val="none" w:sz="0" w:space="0" w:color="auto" w:frame="1"/>
        </w:rPr>
        <w:t xml:space="preserve"> (1986)</w:t>
      </w:r>
      <w:r w:rsidRPr="00C05D6B">
        <w:rPr>
          <w:rFonts w:ascii="Garamond" w:eastAsia="Times New Roman" w:hAnsi="Garamond" w:cs="Times New Roman"/>
        </w:rPr>
        <w:t>. Once again, the question presented was not whether the Quiet Title Act</w:t>
      </w:r>
      <w:r w:rsidR="00C61DAD" w:rsidRPr="00C05D6B">
        <w:rPr>
          <w:rFonts w:ascii="Garamond" w:eastAsia="Times New Roman" w:hAnsi="Garamond" w:cs="Times New Roman"/>
        </w:rPr>
        <w:t>’</w:t>
      </w:r>
      <w:r w:rsidRPr="00C05D6B">
        <w:rPr>
          <w:rFonts w:ascii="Garamond" w:eastAsia="Times New Roman" w:hAnsi="Garamond" w:cs="Times New Roman"/>
        </w:rPr>
        <w:t>s 12-year time limit was technically jurisdictional. The Court instead had to decide which of two possible statutory time bars applied. First, the Court asked which of several federal statutes—“the Quiet Title Act; the Allotment Acts; [or] the Tucker Act”—was the “source of</w:t>
      </w:r>
      <w:r w:rsidR="00C61DAD" w:rsidRPr="00C05D6B">
        <w:rPr>
          <w:rFonts w:ascii="Garamond" w:eastAsia="Times New Roman" w:hAnsi="Garamond" w:cs="Times New Roman"/>
        </w:rPr>
        <w:t xml:space="preserve"> . . . </w:t>
      </w:r>
      <w:r w:rsidRPr="00C05D6B">
        <w:rPr>
          <w:rFonts w:ascii="Garamond" w:eastAsia="Times New Roman" w:hAnsi="Garamond" w:cs="Times New Roman"/>
        </w:rPr>
        <w:t>jurisdiction” based on the nature of the plaintiff’s claim and the relief sought. The Court explained that the Quiet Title Act applied because it was “‘the exclusive means by which adverse claimants could challenge the United States’ title to real property,’” and the plaintiff’s claim fell “within the Act</w:t>
      </w:r>
      <w:r w:rsidR="00D22423" w:rsidRPr="00C05D6B">
        <w:rPr>
          <w:rFonts w:ascii="Garamond" w:eastAsia="Times New Roman" w:hAnsi="Garamond" w:cs="Times New Roman"/>
        </w:rPr>
        <w:t>’</w:t>
      </w:r>
      <w:r w:rsidRPr="00C05D6B">
        <w:rPr>
          <w:rFonts w:ascii="Garamond" w:eastAsia="Times New Roman" w:hAnsi="Garamond" w:cs="Times New Roman"/>
        </w:rPr>
        <w:t>s scope.” Second, the Court “then determine[d] whether [the] suit was brought within the relevant limitations period.” </w:t>
      </w:r>
      <w:r w:rsidR="00D22423" w:rsidRPr="00C05D6B">
        <w:rPr>
          <w:rFonts w:ascii="Garamond" w:eastAsia="Times New Roman" w:hAnsi="Garamond" w:cs="Times New Roman"/>
          <w:bdr w:val="none" w:sz="0" w:space="0" w:color="auto" w:frame="1"/>
        </w:rPr>
        <w:t>. . .</w:t>
      </w:r>
      <w:r w:rsidR="00D22423" w:rsidRPr="00C05D6B">
        <w:rPr>
          <w:rFonts w:ascii="Garamond" w:eastAsia="Times New Roman" w:hAnsi="Garamond" w:cs="Times New Roman"/>
        </w:rPr>
        <w:t xml:space="preserve"> </w:t>
      </w:r>
      <w:r w:rsidRPr="00C05D6B">
        <w:rPr>
          <w:rFonts w:ascii="Garamond" w:eastAsia="Times New Roman" w:hAnsi="Garamond" w:cs="Times New Roman"/>
        </w:rPr>
        <w:t>Neither step in the Court</w:t>
      </w:r>
      <w:r w:rsidR="00D22423" w:rsidRPr="00C05D6B">
        <w:rPr>
          <w:rFonts w:ascii="Garamond" w:eastAsia="Times New Roman" w:hAnsi="Garamond" w:cs="Times New Roman"/>
        </w:rPr>
        <w:t>’</w:t>
      </w:r>
      <w:r w:rsidRPr="00C05D6B">
        <w:rPr>
          <w:rFonts w:ascii="Garamond" w:eastAsia="Times New Roman" w:hAnsi="Garamond" w:cs="Times New Roman"/>
        </w:rPr>
        <w:t>s analysis “turn[ed] on” whether any time limits were “‘technically jurisdictional.’” </w:t>
      </w:r>
    </w:p>
    <w:p w14:paraId="6F1AAFF0"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35CDFF9F" w14:textId="608A437E"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Finally, there is </w:t>
      </w:r>
      <w:r w:rsidRPr="00C05D6B">
        <w:rPr>
          <w:rFonts w:ascii="Garamond" w:eastAsia="Times New Roman" w:hAnsi="Garamond" w:cs="Times New Roman"/>
          <w:bdr w:val="none" w:sz="0" w:space="0" w:color="auto" w:frame="1"/>
        </w:rPr>
        <w:t xml:space="preserve">United States v. </w:t>
      </w:r>
      <w:proofErr w:type="spellStart"/>
      <w:r w:rsidRPr="00C05D6B">
        <w:rPr>
          <w:rFonts w:ascii="Garamond" w:eastAsia="Times New Roman" w:hAnsi="Garamond" w:cs="Times New Roman"/>
          <w:bdr w:val="none" w:sz="0" w:space="0" w:color="auto" w:frame="1"/>
        </w:rPr>
        <w:t>Beggerly</w:t>
      </w:r>
      <w:proofErr w:type="spellEnd"/>
      <w:r w:rsidRPr="00C05D6B">
        <w:rPr>
          <w:rFonts w:ascii="Garamond" w:eastAsia="Times New Roman" w:hAnsi="Garamond" w:cs="Times New Roman"/>
          <w:bdr w:val="none" w:sz="0" w:space="0" w:color="auto" w:frame="1"/>
        </w:rPr>
        <w:t xml:space="preserve"> (1998)</w:t>
      </w:r>
      <w:r w:rsidRPr="00C05D6B">
        <w:rPr>
          <w:rFonts w:ascii="Garamond" w:eastAsia="Times New Roman" w:hAnsi="Garamond" w:cs="Times New Roman"/>
        </w:rPr>
        <w:t>. The Court in </w:t>
      </w:r>
      <w:proofErr w:type="spellStart"/>
      <w:r w:rsidRPr="00C05D6B">
        <w:rPr>
          <w:rFonts w:ascii="Garamond" w:eastAsia="Times New Roman" w:hAnsi="Garamond" w:cs="Times New Roman"/>
          <w:i/>
          <w:iCs/>
          <w:bdr w:val="none" w:sz="0" w:space="0" w:color="auto" w:frame="1"/>
        </w:rPr>
        <w:t>Beggerly</w:t>
      </w:r>
      <w:proofErr w:type="spellEnd"/>
      <w:r w:rsidRPr="00C05D6B">
        <w:rPr>
          <w:rFonts w:ascii="Garamond" w:eastAsia="Times New Roman" w:hAnsi="Garamond" w:cs="Times New Roman"/>
          <w:bdr w:val="none" w:sz="0" w:space="0" w:color="auto" w:frame="1"/>
        </w:rPr>
        <w:t> </w:t>
      </w:r>
      <w:r w:rsidRPr="00C05D6B">
        <w:rPr>
          <w:rFonts w:ascii="Garamond" w:eastAsia="Times New Roman" w:hAnsi="Garamond" w:cs="Times New Roman"/>
        </w:rPr>
        <w:t>addressed whether </w:t>
      </w:r>
      <w:r w:rsidRPr="00C05D6B">
        <w:rPr>
          <w:rFonts w:ascii="Garamond" w:eastAsia="Times New Roman" w:hAnsi="Garamond" w:cs="Times New Roman"/>
          <w:bdr w:val="none" w:sz="0" w:space="0" w:color="auto" w:frame="1"/>
        </w:rPr>
        <w:t>§ 2409a(g)</w:t>
      </w:r>
      <w:r w:rsidRPr="00C05D6B">
        <w:rPr>
          <w:rFonts w:ascii="Garamond" w:eastAsia="Times New Roman" w:hAnsi="Garamond" w:cs="Times New Roman"/>
        </w:rPr>
        <w:t> could be equitably tolled. Subject-matter jurisdiction, as noted, is never subject to equitable tolling. If </w:t>
      </w:r>
      <w:r w:rsidRPr="00C05D6B">
        <w:rPr>
          <w:rFonts w:ascii="Garamond" w:eastAsia="Times New Roman" w:hAnsi="Garamond" w:cs="Times New Roman"/>
          <w:i/>
          <w:iCs/>
          <w:bdr w:val="none" w:sz="0" w:space="0" w:color="auto" w:frame="1"/>
        </w:rPr>
        <w:t>Block</w:t>
      </w:r>
      <w:r w:rsidRPr="00C05D6B">
        <w:rPr>
          <w:rFonts w:ascii="Garamond" w:eastAsia="Times New Roman" w:hAnsi="Garamond" w:cs="Times New Roman"/>
          <w:bdr w:val="none" w:sz="0" w:space="0" w:color="auto" w:frame="1"/>
        </w:rPr>
        <w:t> </w:t>
      </w:r>
      <w:r w:rsidRPr="00C05D6B">
        <w:rPr>
          <w:rFonts w:ascii="Garamond" w:eastAsia="Times New Roman" w:hAnsi="Garamond" w:cs="Times New Roman"/>
        </w:rPr>
        <w:t>and </w:t>
      </w:r>
      <w:proofErr w:type="spellStart"/>
      <w:r w:rsidRPr="00C05D6B">
        <w:rPr>
          <w:rFonts w:ascii="Garamond" w:eastAsia="Times New Roman" w:hAnsi="Garamond" w:cs="Times New Roman"/>
          <w:i/>
          <w:iCs/>
          <w:bdr w:val="none" w:sz="0" w:space="0" w:color="auto" w:frame="1"/>
        </w:rPr>
        <w:t>Mottaz</w:t>
      </w:r>
      <w:proofErr w:type="spellEnd"/>
      <w:r w:rsidRPr="00C05D6B">
        <w:rPr>
          <w:rFonts w:ascii="Garamond" w:eastAsia="Times New Roman" w:hAnsi="Garamond" w:cs="Times New Roman"/>
          <w:bdr w:val="none" w:sz="0" w:space="0" w:color="auto" w:frame="1"/>
        </w:rPr>
        <w:t> </w:t>
      </w:r>
      <w:r w:rsidRPr="00C05D6B">
        <w:rPr>
          <w:rFonts w:ascii="Garamond" w:eastAsia="Times New Roman" w:hAnsi="Garamond" w:cs="Times New Roman"/>
        </w:rPr>
        <w:t>had definitely interpreted </w:t>
      </w:r>
      <w:r w:rsidRPr="00C05D6B">
        <w:rPr>
          <w:rFonts w:ascii="Garamond" w:eastAsia="Times New Roman" w:hAnsi="Garamond" w:cs="Times New Roman"/>
          <w:bdr w:val="none" w:sz="0" w:space="0" w:color="auto" w:frame="1"/>
        </w:rPr>
        <w:t>§ 2409a(g)</w:t>
      </w:r>
      <w:r w:rsidRPr="00C05D6B">
        <w:rPr>
          <w:rFonts w:ascii="Garamond" w:eastAsia="Times New Roman" w:hAnsi="Garamond" w:cs="Times New Roman"/>
        </w:rPr>
        <w:t> as subject-matter jurisdictional, the Court could have just cited those cases and ended the matter without further discussion. Instead, the Court parsed the provision</w:t>
      </w:r>
      <w:r w:rsidR="00390FEA" w:rsidRPr="00C05D6B">
        <w:rPr>
          <w:rFonts w:ascii="Garamond" w:eastAsia="Times New Roman" w:hAnsi="Garamond" w:cs="Times New Roman"/>
        </w:rPr>
        <w:t>’</w:t>
      </w:r>
      <w:r w:rsidRPr="00C05D6B">
        <w:rPr>
          <w:rFonts w:ascii="Garamond" w:eastAsia="Times New Roman" w:hAnsi="Garamond" w:cs="Times New Roman"/>
        </w:rPr>
        <w:t>s text and context, concluding that “by providing that the statute of limitations will not begin to run until the plaintiff ‘knew or should have known of the claim of the United States,’” the law “has already effectively allowed for equitable tolling.” </w:t>
      </w:r>
      <w:proofErr w:type="spellStart"/>
      <w:r w:rsidRPr="00C05D6B">
        <w:rPr>
          <w:rFonts w:ascii="Garamond" w:eastAsia="Times New Roman" w:hAnsi="Garamond" w:cs="Times New Roman"/>
          <w:i/>
          <w:iCs/>
          <w:bdr w:val="none" w:sz="0" w:space="0" w:color="auto" w:frame="1"/>
        </w:rPr>
        <w:t>Beggerly</w:t>
      </w:r>
      <w:proofErr w:type="spellEnd"/>
      <w:r w:rsidRPr="00C05D6B">
        <w:rPr>
          <w:rFonts w:ascii="Garamond" w:eastAsia="Times New Roman" w:hAnsi="Garamond" w:cs="Times New Roman"/>
          <w:bdr w:val="none" w:sz="0" w:space="0" w:color="auto" w:frame="1"/>
        </w:rPr>
        <w:t xml:space="preserve">. </w:t>
      </w:r>
      <w:r w:rsidRPr="00C05D6B">
        <w:rPr>
          <w:rFonts w:ascii="Garamond" w:eastAsia="Times New Roman" w:hAnsi="Garamond" w:cs="Times New Roman"/>
        </w:rPr>
        <w:t>Also relevant were “the unusually generous” time limit and the importance of clarity when it comes to land rights. This careful analysis of whether the text and context were consistent with equitable tolling would have been wasted words if the Court had already held that </w:t>
      </w:r>
      <w:r w:rsidRPr="00C05D6B">
        <w:rPr>
          <w:rFonts w:ascii="Garamond" w:eastAsia="Times New Roman" w:hAnsi="Garamond" w:cs="Times New Roman"/>
          <w:bdr w:val="none" w:sz="0" w:space="0" w:color="auto" w:frame="1"/>
        </w:rPr>
        <w:t>§ 2409a(g)</w:t>
      </w:r>
      <w:r w:rsidRPr="00C05D6B">
        <w:rPr>
          <w:rFonts w:ascii="Garamond" w:eastAsia="Times New Roman" w:hAnsi="Garamond" w:cs="Times New Roman"/>
        </w:rPr>
        <w:t> was jurisdictional.</w:t>
      </w:r>
      <w:r w:rsidR="00C61DAD" w:rsidRPr="00C05D6B">
        <w:rPr>
          <w:rFonts w:ascii="Garamond" w:eastAsia="Times New Roman" w:hAnsi="Garamond" w:cs="Times New Roman"/>
        </w:rPr>
        <w:t xml:space="preserve"> </w:t>
      </w:r>
    </w:p>
    <w:p w14:paraId="3AD4424A"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725D22AF" w14:textId="334C1217" w:rsidR="003125BF" w:rsidRPr="00C05D6B" w:rsidRDefault="003125BF" w:rsidP="00BA7FE1">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All told, neither this Court</w:t>
      </w:r>
      <w:r w:rsidR="00C61DAD" w:rsidRPr="00C05D6B">
        <w:rPr>
          <w:rFonts w:ascii="Garamond" w:eastAsia="Times New Roman" w:hAnsi="Garamond" w:cs="Times New Roman"/>
        </w:rPr>
        <w:t>’</w:t>
      </w:r>
      <w:r w:rsidRPr="00C05D6B">
        <w:rPr>
          <w:rFonts w:ascii="Garamond" w:eastAsia="Times New Roman" w:hAnsi="Garamond" w:cs="Times New Roman"/>
        </w:rPr>
        <w:t>s precedents nor Congress’ actions established that </w:t>
      </w:r>
      <w:r w:rsidRPr="00C05D6B">
        <w:rPr>
          <w:rFonts w:ascii="Garamond" w:eastAsia="Times New Roman" w:hAnsi="Garamond" w:cs="Times New Roman"/>
          <w:bdr w:val="none" w:sz="0" w:space="0" w:color="auto" w:frame="1"/>
        </w:rPr>
        <w:t>§ 2409a(g)</w:t>
      </w:r>
      <w:r w:rsidRPr="00C05D6B">
        <w:rPr>
          <w:rFonts w:ascii="Garamond" w:eastAsia="Times New Roman" w:hAnsi="Garamond" w:cs="Times New Roman"/>
        </w:rPr>
        <w:t xml:space="preserve"> is jurisdictional. </w:t>
      </w:r>
    </w:p>
    <w:p w14:paraId="7A089439" w14:textId="11A2A557" w:rsidR="00002E08" w:rsidRPr="00C05D6B" w:rsidRDefault="00002E08">
      <w:pPr>
        <w:spacing w:after="160" w:line="278" w:lineRule="auto"/>
        <w:rPr>
          <w:rFonts w:ascii="Garamond" w:hAnsi="Garamond" w:cs="Times New Roman"/>
        </w:rPr>
      </w:pPr>
      <w:r w:rsidRPr="00C05D6B">
        <w:rPr>
          <w:rFonts w:ascii="Garamond" w:hAnsi="Garamond" w:cs="Times New Roman"/>
        </w:rPr>
        <w:br w:type="page"/>
      </w:r>
    </w:p>
    <w:p w14:paraId="1ABEE5B3" w14:textId="6917C5C7" w:rsidR="00002E08" w:rsidRPr="00C05D6B" w:rsidRDefault="00002E08" w:rsidP="005A7FEA">
      <w:pPr>
        <w:jc w:val="center"/>
        <w:rPr>
          <w:rFonts w:ascii="Garamond" w:hAnsi="Garamond" w:cs="Times New Roman"/>
          <w:b/>
          <w:bCs/>
        </w:rPr>
      </w:pPr>
      <w:r w:rsidRPr="00C05D6B">
        <w:rPr>
          <w:rFonts w:ascii="Garamond" w:hAnsi="Garamond" w:cs="Times New Roman"/>
          <w:b/>
          <w:bCs/>
        </w:rPr>
        <w:lastRenderedPageBreak/>
        <w:t>______________________________________________________________________________</w:t>
      </w:r>
    </w:p>
    <w:p w14:paraId="21548FF8" w14:textId="77777777" w:rsidR="00926DEE" w:rsidRPr="00C05D6B" w:rsidRDefault="00926DEE" w:rsidP="00926DEE">
      <w:pPr>
        <w:jc w:val="center"/>
        <w:rPr>
          <w:rFonts w:ascii="Garamond" w:hAnsi="Garamond" w:cs="Times New Roman"/>
          <w:b/>
          <w:bCs/>
        </w:rPr>
      </w:pPr>
    </w:p>
    <w:p w14:paraId="4423E1F2"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Chapter 3</w:t>
      </w:r>
    </w:p>
    <w:p w14:paraId="2F9FC8BC" w14:textId="77777777" w:rsidR="00926DEE" w:rsidRPr="00C05D6B" w:rsidRDefault="00926DEE" w:rsidP="00926DEE">
      <w:pPr>
        <w:jc w:val="center"/>
        <w:rPr>
          <w:rFonts w:ascii="Garamond" w:hAnsi="Garamond" w:cs="Times New Roman"/>
          <w:b/>
          <w:bCs/>
          <w:i/>
          <w:iCs/>
          <w:sz w:val="40"/>
          <w:szCs w:val="40"/>
        </w:rPr>
      </w:pPr>
    </w:p>
    <w:p w14:paraId="1FE49EEE"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Justiciability: Constitutional and Prudential Limits on Federal Judicial Power</w:t>
      </w:r>
    </w:p>
    <w:p w14:paraId="6211E06B" w14:textId="77777777" w:rsidR="00002E08" w:rsidRPr="00C05D6B" w:rsidRDefault="00002E08" w:rsidP="00002E08">
      <w:pPr>
        <w:jc w:val="center"/>
        <w:rPr>
          <w:rFonts w:ascii="Garamond" w:hAnsi="Garamond" w:cs="Times New Roman"/>
          <w:b/>
          <w:bCs/>
        </w:rPr>
      </w:pPr>
      <w:r w:rsidRPr="00C05D6B">
        <w:rPr>
          <w:rFonts w:ascii="Garamond" w:hAnsi="Garamond" w:cs="Times New Roman"/>
          <w:b/>
          <w:bCs/>
        </w:rPr>
        <w:t>______________________________________________________________________________</w:t>
      </w:r>
    </w:p>
    <w:p w14:paraId="27ADC0AA" w14:textId="77777777" w:rsidR="003125BF" w:rsidRPr="00C05D6B" w:rsidRDefault="003125BF" w:rsidP="003125BF">
      <w:pPr>
        <w:rPr>
          <w:rFonts w:ascii="Garamond" w:hAnsi="Garamond" w:cs="Times New Roman"/>
        </w:rPr>
      </w:pPr>
    </w:p>
    <w:p w14:paraId="30450A12" w14:textId="740ED28F" w:rsidR="00BA7FE1" w:rsidRPr="00C05D6B" w:rsidRDefault="00BA7FE1" w:rsidP="00BA7FE1">
      <w:pPr>
        <w:rPr>
          <w:rFonts w:ascii="Garamond" w:hAnsi="Garamond" w:cs="Times New Roman"/>
          <w:b/>
          <w:bCs/>
          <w:i/>
          <w:iCs/>
        </w:rPr>
      </w:pPr>
      <w:r w:rsidRPr="00C05D6B">
        <w:rPr>
          <w:rFonts w:ascii="Garamond" w:hAnsi="Garamond" w:cs="Times New Roman"/>
          <w:b/>
          <w:bCs/>
          <w:i/>
          <w:iCs/>
        </w:rPr>
        <w:t>B.</w:t>
      </w:r>
      <w:r w:rsidRPr="00C05D6B">
        <w:rPr>
          <w:rFonts w:ascii="Garamond" w:hAnsi="Garamond" w:cs="Times New Roman"/>
          <w:b/>
          <w:bCs/>
          <w:i/>
          <w:iCs/>
        </w:rPr>
        <w:tab/>
        <w:t>Standing</w:t>
      </w:r>
    </w:p>
    <w:p w14:paraId="51AF60AD" w14:textId="77777777" w:rsidR="00BA7FE1" w:rsidRPr="00C05D6B" w:rsidRDefault="00BA7FE1" w:rsidP="00BA7FE1">
      <w:pPr>
        <w:rPr>
          <w:rFonts w:ascii="Garamond" w:hAnsi="Garamond" w:cs="Times New Roman"/>
          <w:b/>
          <w:bCs/>
          <w:i/>
          <w:iCs/>
        </w:rPr>
      </w:pPr>
    </w:p>
    <w:p w14:paraId="7655FE0E" w14:textId="54949205" w:rsidR="00BA7FE1" w:rsidRPr="00C05D6B" w:rsidRDefault="00BA7FE1" w:rsidP="00BA7FE1">
      <w:pPr>
        <w:ind w:left="720"/>
        <w:rPr>
          <w:rFonts w:ascii="Garamond" w:hAnsi="Garamond" w:cs="Times New Roman"/>
          <w:b/>
          <w:bCs/>
        </w:rPr>
      </w:pPr>
      <w:r w:rsidRPr="00C05D6B">
        <w:rPr>
          <w:rFonts w:ascii="Garamond" w:hAnsi="Garamond" w:cs="Times New Roman"/>
          <w:b/>
          <w:bCs/>
        </w:rPr>
        <w:t>1.</w:t>
      </w:r>
      <w:r w:rsidRPr="00C05D6B">
        <w:rPr>
          <w:rFonts w:ascii="Garamond" w:hAnsi="Garamond" w:cs="Times New Roman"/>
          <w:b/>
          <w:bCs/>
        </w:rPr>
        <w:tab/>
        <w:t>Injury</w:t>
      </w:r>
    </w:p>
    <w:p w14:paraId="63A033C5" w14:textId="77777777" w:rsidR="00BA7FE1" w:rsidRPr="00C05D6B" w:rsidRDefault="00BA7FE1" w:rsidP="00BA7FE1">
      <w:pPr>
        <w:rPr>
          <w:rFonts w:ascii="Garamond" w:hAnsi="Garamond" w:cs="Times New Roman"/>
          <w:b/>
          <w:bCs/>
          <w:i/>
          <w:iCs/>
        </w:rPr>
      </w:pPr>
    </w:p>
    <w:p w14:paraId="6947039E" w14:textId="77777777" w:rsidR="003125BF" w:rsidRPr="00C05D6B" w:rsidRDefault="003125BF" w:rsidP="003125BF">
      <w:pPr>
        <w:rPr>
          <w:rFonts w:ascii="Garamond" w:hAnsi="Garamond" w:cs="Times New Roman"/>
          <w:b/>
          <w:bCs/>
        </w:rPr>
      </w:pPr>
      <w:r w:rsidRPr="00C05D6B">
        <w:rPr>
          <w:rFonts w:ascii="Garamond" w:hAnsi="Garamond" w:cs="Times New Roman"/>
          <w:b/>
          <w:bCs/>
        </w:rPr>
        <w:t>(CB, p. 230, after last full paragraph)</w:t>
      </w:r>
    </w:p>
    <w:p w14:paraId="6462A97A" w14:textId="77777777" w:rsidR="003125BF" w:rsidRPr="00C05D6B" w:rsidRDefault="003125BF" w:rsidP="003125BF">
      <w:pPr>
        <w:rPr>
          <w:rFonts w:ascii="Garamond" w:hAnsi="Garamond" w:cs="Times New Roman"/>
        </w:rPr>
      </w:pPr>
    </w:p>
    <w:p w14:paraId="380C886F" w14:textId="0ABC7CBC" w:rsidR="003125BF" w:rsidRPr="00C05D6B" w:rsidRDefault="003125BF" w:rsidP="003125BF">
      <w:pPr>
        <w:rPr>
          <w:rFonts w:ascii="Garamond" w:hAnsi="Garamond" w:cs="Times New Roman"/>
        </w:rPr>
      </w:pPr>
      <w:r w:rsidRPr="00C05D6B">
        <w:rPr>
          <w:rFonts w:ascii="Garamond" w:hAnsi="Garamond" w:cs="Times New Roman"/>
        </w:rPr>
        <w:tab/>
        <w:t>The Court returned to the causation and redressability requirements in FDA v. Alliance for Hippocratic Medicine (2024)</w:t>
      </w:r>
      <w:r w:rsidR="00E64A64" w:rsidRPr="00C05D6B">
        <w:rPr>
          <w:rFonts w:ascii="Garamond" w:hAnsi="Garamond" w:cs="Times New Roman"/>
          <w:b/>
          <w:bCs/>
          <w:smallCaps/>
        </w:rPr>
        <w:t xml:space="preserve"> </w:t>
      </w:r>
      <w:r w:rsidR="00E64A64" w:rsidRPr="00C05D6B">
        <w:rPr>
          <w:rFonts w:ascii="Garamond" w:hAnsi="Garamond" w:cs="Times New Roman"/>
          <w:b/>
          <w:bCs/>
          <w:smallCaps/>
        </w:rPr>
        <w:fldChar w:fldCharType="begin"/>
      </w:r>
      <w:r w:rsidR="00E64A64" w:rsidRPr="00C05D6B">
        <w:rPr>
          <w:rFonts w:ascii="Garamond" w:hAnsi="Garamond"/>
        </w:rPr>
        <w:instrText xml:space="preserve"> TA \l "</w:instrText>
      </w:r>
      <w:r w:rsidR="00E64A64" w:rsidRPr="00F5595D">
        <w:rPr>
          <w:rFonts w:ascii="Garamond" w:hAnsi="Garamond" w:cs="Times New Roman"/>
        </w:rPr>
        <w:instrText>Food and Drug Administration v. Alliance for Hippocratic Medicine</w:instrText>
      </w:r>
      <w:r w:rsidR="00E64A64" w:rsidRPr="00C05D6B">
        <w:rPr>
          <w:rFonts w:ascii="Garamond" w:hAnsi="Garamond"/>
        </w:rPr>
        <w:instrText xml:space="preserve">" \s "Food and Drug Administration v. Alliance for Hippocratic Medicine" \c 1 </w:instrText>
      </w:r>
      <w:r w:rsidR="00E64A64" w:rsidRPr="00C05D6B">
        <w:rPr>
          <w:rFonts w:ascii="Garamond" w:hAnsi="Garamond" w:cs="Times New Roman"/>
          <w:b/>
          <w:bCs/>
          <w:smallCaps/>
        </w:rPr>
        <w:fldChar w:fldCharType="end"/>
      </w:r>
      <w:r w:rsidRPr="00C05D6B">
        <w:rPr>
          <w:rFonts w:ascii="Garamond" w:hAnsi="Garamond" w:cs="Times New Roman"/>
        </w:rPr>
        <w:t xml:space="preserve">, calling them </w:t>
      </w:r>
      <w:r w:rsidR="00C61DAD" w:rsidRPr="00C05D6B">
        <w:rPr>
          <w:rFonts w:ascii="Garamond" w:hAnsi="Garamond" w:cs="Times New Roman"/>
        </w:rPr>
        <w:t>“</w:t>
      </w:r>
      <w:r w:rsidRPr="00C05D6B">
        <w:rPr>
          <w:rFonts w:ascii="Garamond" w:hAnsi="Garamond" w:cs="Times New Roman"/>
        </w:rPr>
        <w:t>flip sides of the same coin.</w:t>
      </w:r>
      <w:r w:rsidR="00C61DAD" w:rsidRPr="00C05D6B">
        <w:rPr>
          <w:rFonts w:ascii="Garamond" w:hAnsi="Garamond" w:cs="Times New Roman"/>
        </w:rPr>
        <w:t>”</w:t>
      </w:r>
      <w:r w:rsidRPr="00C05D6B">
        <w:rPr>
          <w:rFonts w:ascii="Garamond" w:hAnsi="Garamond" w:cs="Times New Roman"/>
        </w:rPr>
        <w:t xml:space="preserve"> As with many major standing decisions, the case involved healthcare and access to abortion services. After the Court overruled Roe v. Wade</w:t>
      </w:r>
      <w:r w:rsidR="00B941CF" w:rsidRPr="00C05D6B">
        <w:rPr>
          <w:rFonts w:ascii="Garamond" w:hAnsi="Garamond" w:cs="Times New Roman"/>
        </w:rPr>
        <w:fldChar w:fldCharType="begin"/>
      </w:r>
      <w:r w:rsidR="00B941CF" w:rsidRPr="00C05D6B">
        <w:rPr>
          <w:rFonts w:ascii="Garamond" w:hAnsi="Garamond"/>
        </w:rPr>
        <w:instrText xml:space="preserve"> TA \l "</w:instrText>
      </w:r>
      <w:r w:rsidR="00B941CF" w:rsidRPr="00C05D6B">
        <w:rPr>
          <w:rFonts w:ascii="Garamond" w:hAnsi="Garamond" w:cs="Times New Roman"/>
        </w:rPr>
        <w:instrText>Roe v. Wade</w:instrText>
      </w:r>
      <w:r w:rsidR="00B941CF" w:rsidRPr="00C05D6B">
        <w:rPr>
          <w:rFonts w:ascii="Garamond" w:hAnsi="Garamond"/>
        </w:rPr>
        <w:instrText xml:space="preserve">" \s "Roe v. Wade" \c 1 </w:instrText>
      </w:r>
      <w:r w:rsidR="00B941CF" w:rsidRPr="00C05D6B">
        <w:rPr>
          <w:rFonts w:ascii="Garamond" w:hAnsi="Garamond" w:cs="Times New Roman"/>
        </w:rPr>
        <w:fldChar w:fldCharType="end"/>
      </w:r>
      <w:r w:rsidRPr="00C05D6B">
        <w:rPr>
          <w:rFonts w:ascii="Garamond" w:hAnsi="Garamond" w:cs="Times New Roman"/>
        </w:rPr>
        <w:t xml:space="preserve"> (1973) in Dobbs v. Jackson Women</w:t>
      </w:r>
      <w:r w:rsidR="00C61DAD" w:rsidRPr="00C05D6B">
        <w:rPr>
          <w:rFonts w:ascii="Garamond" w:hAnsi="Garamond" w:cs="Times New Roman"/>
        </w:rPr>
        <w:t>’</w:t>
      </w:r>
      <w:r w:rsidR="00D738F1" w:rsidRPr="00C05D6B">
        <w:rPr>
          <w:rFonts w:ascii="Garamond" w:hAnsi="Garamond" w:cs="Times New Roman"/>
        </w:rPr>
        <w:t>s</w:t>
      </w:r>
      <w:r w:rsidRPr="00C05D6B">
        <w:rPr>
          <w:rFonts w:ascii="Garamond" w:hAnsi="Garamond" w:cs="Times New Roman"/>
        </w:rPr>
        <w:t xml:space="preserve"> Health Org.</w:t>
      </w:r>
      <w:r w:rsidR="00B941CF" w:rsidRPr="00C05D6B">
        <w:rPr>
          <w:rFonts w:ascii="Garamond" w:hAnsi="Garamond" w:cs="Times New Roman"/>
        </w:rPr>
        <w:fldChar w:fldCharType="begin"/>
      </w:r>
      <w:r w:rsidR="00B941CF" w:rsidRPr="00C05D6B">
        <w:rPr>
          <w:rFonts w:ascii="Garamond" w:hAnsi="Garamond"/>
        </w:rPr>
        <w:instrText xml:space="preserve"> TA \l "</w:instrText>
      </w:r>
      <w:r w:rsidR="00B941CF" w:rsidRPr="00C05D6B">
        <w:rPr>
          <w:rFonts w:ascii="Garamond" w:hAnsi="Garamond" w:cs="Times New Roman"/>
        </w:rPr>
        <w:instrText>Dobbs v. Jackson Womens’ Health Org.</w:instrText>
      </w:r>
      <w:r w:rsidR="00B941CF" w:rsidRPr="00C05D6B">
        <w:rPr>
          <w:rFonts w:ascii="Garamond" w:hAnsi="Garamond"/>
        </w:rPr>
        <w:instrText xml:space="preserve">" \s "Dobbs v. Jackson Womens’ Health Organization" \c 1 </w:instrText>
      </w:r>
      <w:r w:rsidR="00B941CF" w:rsidRPr="00C05D6B">
        <w:rPr>
          <w:rFonts w:ascii="Garamond" w:hAnsi="Garamond" w:cs="Times New Roman"/>
        </w:rPr>
        <w:fldChar w:fldCharType="end"/>
      </w:r>
      <w:r w:rsidR="006D79DB" w:rsidRPr="00C05D6B">
        <w:rPr>
          <w:rFonts w:ascii="Garamond" w:hAnsi="Garamond" w:cs="Times New Roman"/>
        </w:rPr>
        <w:t xml:space="preserve"> (2022)</w:t>
      </w:r>
      <w:r w:rsidRPr="00C05D6B">
        <w:rPr>
          <w:rFonts w:ascii="Garamond" w:hAnsi="Garamond" w:cs="Times New Roman"/>
        </w:rPr>
        <w:t>, pro-life medical associations and doctors sued to challenge the Food and Drug Administration</w:t>
      </w:r>
      <w:r w:rsidR="00C61DAD" w:rsidRPr="00C05D6B">
        <w:rPr>
          <w:rFonts w:ascii="Garamond" w:hAnsi="Garamond" w:cs="Times New Roman"/>
        </w:rPr>
        <w:t>’</w:t>
      </w:r>
      <w:r w:rsidRPr="00C05D6B">
        <w:rPr>
          <w:rFonts w:ascii="Garamond" w:hAnsi="Garamond" w:cs="Times New Roman"/>
        </w:rPr>
        <w:t xml:space="preserve">s policy </w:t>
      </w:r>
      <w:r w:rsidR="006D79DB" w:rsidRPr="00C05D6B">
        <w:rPr>
          <w:rFonts w:ascii="Garamond" w:hAnsi="Garamond" w:cs="Times New Roman"/>
        </w:rPr>
        <w:t xml:space="preserve">on </w:t>
      </w:r>
      <w:r w:rsidRPr="00C05D6B">
        <w:rPr>
          <w:rFonts w:ascii="Garamond" w:hAnsi="Garamond" w:cs="Times New Roman"/>
        </w:rPr>
        <w:t>mifepristone</w:t>
      </w:r>
      <w:r w:rsidR="006D79DB" w:rsidRPr="00C05D6B">
        <w:rPr>
          <w:rFonts w:ascii="Garamond" w:hAnsi="Garamond" w:cs="Times New Roman"/>
        </w:rPr>
        <w:t xml:space="preserve"> prescriptions</w:t>
      </w:r>
      <w:r w:rsidRPr="00C05D6B">
        <w:rPr>
          <w:rFonts w:ascii="Garamond" w:hAnsi="Garamond" w:cs="Times New Roman"/>
        </w:rPr>
        <w:t>, a drug used in medication abortions. The lawsuit</w:t>
      </w:r>
      <w:r w:rsidR="00C61DAD" w:rsidRPr="00C05D6B">
        <w:rPr>
          <w:rFonts w:ascii="Garamond" w:hAnsi="Garamond" w:cs="Times New Roman"/>
        </w:rPr>
        <w:t>’</w:t>
      </w:r>
      <w:r w:rsidRPr="00C05D6B">
        <w:rPr>
          <w:rFonts w:ascii="Garamond" w:hAnsi="Garamond" w:cs="Times New Roman"/>
        </w:rPr>
        <w:t xml:space="preserve">s aim was to further restrict access to abortion services. The Court held that there was no standing, reasoning that </w:t>
      </w:r>
      <w:r w:rsidR="00C61DAD" w:rsidRPr="00C05D6B">
        <w:rPr>
          <w:rFonts w:ascii="Garamond" w:hAnsi="Garamond" w:cs="Times New Roman"/>
        </w:rPr>
        <w:t>“</w:t>
      </w:r>
      <w:r w:rsidRPr="00C05D6B">
        <w:rPr>
          <w:rFonts w:ascii="Garamond" w:hAnsi="Garamond" w:cs="Times New Roman"/>
        </w:rPr>
        <w:t>some issues may be left to the political and democratic processes.</w:t>
      </w:r>
      <w:r w:rsidR="00C61DAD" w:rsidRPr="00C05D6B">
        <w:rPr>
          <w:rFonts w:ascii="Garamond" w:hAnsi="Garamond" w:cs="Times New Roman"/>
        </w:rPr>
        <w:t>”</w:t>
      </w:r>
    </w:p>
    <w:p w14:paraId="53DADF5E" w14:textId="77777777" w:rsidR="003125BF" w:rsidRPr="00C05D6B" w:rsidRDefault="003125BF" w:rsidP="003125BF">
      <w:pPr>
        <w:rPr>
          <w:rFonts w:ascii="Garamond" w:hAnsi="Garamond" w:cs="Times New Roman"/>
          <w:smallCaps/>
        </w:rPr>
      </w:pPr>
    </w:p>
    <w:p w14:paraId="0EB7F936" w14:textId="24566F29" w:rsidR="003125BF" w:rsidRPr="00C05D6B" w:rsidRDefault="003125BF" w:rsidP="003125BF">
      <w:pPr>
        <w:rPr>
          <w:rFonts w:ascii="Garamond" w:hAnsi="Garamond" w:cs="Times New Roman"/>
          <w:b/>
          <w:bCs/>
          <w:smallCaps/>
        </w:rPr>
      </w:pPr>
      <w:r w:rsidRPr="00C05D6B">
        <w:rPr>
          <w:rFonts w:ascii="Garamond" w:hAnsi="Garamond" w:cs="Times New Roman"/>
          <w:b/>
          <w:bCs/>
          <w:smallCaps/>
        </w:rPr>
        <w:t>Food and Drug Administration v. Alliance for Hippocratic Medicine</w:t>
      </w:r>
      <w:r w:rsidR="005A7FEA" w:rsidRPr="00C05D6B">
        <w:rPr>
          <w:rFonts w:ascii="Garamond" w:hAnsi="Garamond" w:cs="Times New Roman"/>
          <w:b/>
          <w:bCs/>
          <w:smallCaps/>
        </w:rPr>
        <w:fldChar w:fldCharType="begin"/>
      </w:r>
      <w:r w:rsidR="005A7FEA" w:rsidRPr="00C05D6B">
        <w:rPr>
          <w:rFonts w:ascii="Garamond" w:hAnsi="Garamond"/>
        </w:rPr>
        <w:instrText xml:space="preserve"> TA \l "</w:instrText>
      </w:r>
      <w:r w:rsidR="005A7FEA" w:rsidRPr="00F5595D">
        <w:rPr>
          <w:rFonts w:ascii="Garamond" w:hAnsi="Garamond" w:cs="Times New Roman"/>
        </w:rPr>
        <w:instrText>Food and Drug Administration v. Alliance for Hippocratic Medicine</w:instrText>
      </w:r>
      <w:r w:rsidR="005A7FEA" w:rsidRPr="00F5595D">
        <w:rPr>
          <w:rFonts w:ascii="Garamond" w:hAnsi="Garamond"/>
        </w:rPr>
        <w:instrText>"</w:instrText>
      </w:r>
      <w:r w:rsidR="005A7FEA" w:rsidRPr="00C05D6B">
        <w:rPr>
          <w:rFonts w:ascii="Garamond" w:hAnsi="Garamond"/>
        </w:rPr>
        <w:instrText xml:space="preserve"> \s "Food and Drug Administration v. Alliance for Hippocratic Medicine" \c 1 </w:instrText>
      </w:r>
      <w:r w:rsidR="005A7FEA" w:rsidRPr="00C05D6B">
        <w:rPr>
          <w:rFonts w:ascii="Garamond" w:hAnsi="Garamond" w:cs="Times New Roman"/>
          <w:b/>
          <w:bCs/>
          <w:smallCaps/>
        </w:rPr>
        <w:fldChar w:fldCharType="end"/>
      </w:r>
    </w:p>
    <w:p w14:paraId="42E03AD9" w14:textId="29331FC5" w:rsidR="003125BF" w:rsidRPr="00C05D6B" w:rsidRDefault="00946258" w:rsidP="003125BF">
      <w:pPr>
        <w:rPr>
          <w:rFonts w:ascii="Garamond" w:hAnsi="Garamond" w:cs="Times New Roman"/>
          <w:b/>
          <w:bCs/>
        </w:rPr>
      </w:pPr>
      <w:r w:rsidRPr="00C05D6B">
        <w:rPr>
          <w:rFonts w:ascii="Garamond" w:hAnsi="Garamond" w:cs="Times New Roman"/>
        </w:rPr>
        <w:t>144 S. Ct. 1540</w:t>
      </w:r>
      <w:r w:rsidRPr="00C05D6B" w:rsidDel="00946258">
        <w:rPr>
          <w:rFonts w:ascii="Garamond" w:hAnsi="Garamond" w:cs="Times New Roman"/>
        </w:rPr>
        <w:t xml:space="preserve"> </w:t>
      </w:r>
      <w:r w:rsidR="003125BF" w:rsidRPr="00C05D6B">
        <w:rPr>
          <w:rFonts w:ascii="Garamond" w:hAnsi="Garamond" w:cs="Times New Roman"/>
        </w:rPr>
        <w:t>(2024)</w:t>
      </w:r>
    </w:p>
    <w:p w14:paraId="2F3E7372" w14:textId="77777777" w:rsidR="003125BF" w:rsidRPr="00C05D6B" w:rsidRDefault="003125BF" w:rsidP="003125BF">
      <w:pPr>
        <w:shd w:val="clear" w:color="auto" w:fill="FFFFFF"/>
        <w:textAlignment w:val="baseline"/>
        <w:rPr>
          <w:rFonts w:ascii="Garamond" w:hAnsi="Garamond" w:cs="Times New Roman"/>
        </w:rPr>
      </w:pPr>
    </w:p>
    <w:p w14:paraId="09DFA360" w14:textId="77777777" w:rsidR="003125BF" w:rsidRPr="00C05D6B" w:rsidRDefault="003125BF" w:rsidP="003125BF">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Justice Kavanaugh delivered the opinion of the Court.</w:t>
      </w:r>
    </w:p>
    <w:p w14:paraId="638B4DE0" w14:textId="77777777" w:rsidR="003125BF" w:rsidRPr="00C05D6B" w:rsidRDefault="003125BF" w:rsidP="003125BF">
      <w:pPr>
        <w:shd w:val="clear" w:color="auto" w:fill="FFFFFF"/>
        <w:textAlignment w:val="baseline"/>
        <w:rPr>
          <w:rFonts w:ascii="Garamond" w:eastAsia="Times New Roman" w:hAnsi="Garamond" w:cs="Times New Roman"/>
          <w:b/>
          <w:bCs/>
          <w:bdr w:val="single" w:sz="12" w:space="0" w:color="86B392" w:frame="1"/>
        </w:rPr>
      </w:pPr>
    </w:p>
    <w:p w14:paraId="72376676" w14:textId="36832DE9"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In 2016 and 2021, the Food and Drug Administration relaxed its regulatory requirements for mifepristone, an abortion drug. Those changes made it easier for doctors to prescribe and pregnant women to obtain </w:t>
      </w:r>
      <w:hyperlink r:id="rId8" w:history="1">
        <w:r w:rsidRPr="00C05D6B">
          <w:rPr>
            <w:rFonts w:ascii="Garamond" w:eastAsia="Times New Roman" w:hAnsi="Garamond" w:cs="Times New Roman"/>
            <w:bdr w:val="none" w:sz="0" w:space="0" w:color="auto" w:frame="1"/>
          </w:rPr>
          <w:t>mifepristone</w:t>
        </w:r>
      </w:hyperlink>
      <w:r w:rsidRPr="00C05D6B">
        <w:rPr>
          <w:rFonts w:ascii="Garamond" w:eastAsia="Times New Roman" w:hAnsi="Garamond" w:cs="Times New Roman"/>
        </w:rPr>
        <w:t>. Several pro-life doctors and associations sued FDA, arguing that FDA</w:t>
      </w:r>
      <w:r w:rsidR="00390FEA" w:rsidRPr="00C05D6B">
        <w:rPr>
          <w:rFonts w:ascii="Garamond" w:eastAsia="Times New Roman" w:hAnsi="Garamond" w:cs="Times New Roman"/>
        </w:rPr>
        <w:t>’</w:t>
      </w:r>
      <w:r w:rsidRPr="00C05D6B">
        <w:rPr>
          <w:rFonts w:ascii="Garamond" w:eastAsia="Times New Roman" w:hAnsi="Garamond" w:cs="Times New Roman"/>
        </w:rPr>
        <w:t>s actions violated the Administrative Procedure Act.  But the plaintiffs do not prescribe or use </w:t>
      </w:r>
      <w:hyperlink r:id="rId9" w:history="1">
        <w:r w:rsidRPr="00C05D6B">
          <w:rPr>
            <w:rFonts w:ascii="Garamond" w:eastAsia="Times New Roman" w:hAnsi="Garamond" w:cs="Times New Roman"/>
            <w:bdr w:val="none" w:sz="0" w:space="0" w:color="auto" w:frame="1"/>
          </w:rPr>
          <w:t>mifepristone</w:t>
        </w:r>
      </w:hyperlink>
      <w:r w:rsidRPr="00C05D6B">
        <w:rPr>
          <w:rFonts w:ascii="Garamond" w:eastAsia="Times New Roman" w:hAnsi="Garamond" w:cs="Times New Roman"/>
        </w:rPr>
        <w:t>. And FDA is not requiring them to do or refrain from doing anything. Rather, the plaintiffs want FDA to make mifepristone more difficult for other doctors to prescribe and for pregnant women to obtain. Under </w:t>
      </w:r>
      <w:hyperlink r:id="rId10" w:history="1">
        <w:r w:rsidRPr="00C05D6B">
          <w:rPr>
            <w:rFonts w:ascii="Garamond" w:eastAsia="Times New Roman" w:hAnsi="Garamond" w:cs="Times New Roman"/>
            <w:bdr w:val="none" w:sz="0" w:space="0" w:color="auto" w:frame="1"/>
          </w:rPr>
          <w:t>Article III of the Constitution</w:t>
        </w:r>
      </w:hyperlink>
      <w:r w:rsidRPr="00C05D6B">
        <w:rPr>
          <w:rFonts w:ascii="Garamond" w:eastAsia="Times New Roman" w:hAnsi="Garamond" w:cs="Times New Roman"/>
        </w:rPr>
        <w:t>, a plaintiff’s desire to make a drug less available </w:t>
      </w:r>
      <w:r w:rsidRPr="00C05D6B">
        <w:rPr>
          <w:rFonts w:ascii="Garamond" w:eastAsia="Times New Roman" w:hAnsi="Garamond" w:cs="Times New Roman"/>
          <w:i/>
          <w:iCs/>
          <w:bdr w:val="none" w:sz="0" w:space="0" w:color="auto" w:frame="1"/>
        </w:rPr>
        <w:t>for others</w:t>
      </w:r>
      <w:r w:rsidRPr="00C05D6B">
        <w:rPr>
          <w:rFonts w:ascii="Garamond" w:eastAsia="Times New Roman" w:hAnsi="Garamond" w:cs="Times New Roman"/>
        </w:rPr>
        <w:t> does not establish standing to sue. Nor do the plaintiffs’ other standing theories suffice. Therefore, the plaintiffs lack standing to challenge FDA's actions.</w:t>
      </w:r>
    </w:p>
    <w:p w14:paraId="52629FC6" w14:textId="77777777" w:rsidR="003125BF" w:rsidRPr="00C05D6B" w:rsidRDefault="003125BF" w:rsidP="003125BF">
      <w:pPr>
        <w:shd w:val="clear" w:color="auto" w:fill="FFFFFF"/>
        <w:textAlignment w:val="baseline"/>
        <w:rPr>
          <w:rFonts w:ascii="Garamond" w:eastAsia="Times New Roman" w:hAnsi="Garamond" w:cs="Times New Roman"/>
        </w:rPr>
      </w:pPr>
    </w:p>
    <w:p w14:paraId="2C983FC7" w14:textId="77777777" w:rsidR="003125BF" w:rsidRPr="00C05D6B" w:rsidRDefault="003125BF" w:rsidP="003125BF">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I</w:t>
      </w:r>
    </w:p>
    <w:p w14:paraId="67D38EC1" w14:textId="77777777" w:rsidR="003125BF" w:rsidRPr="00C05D6B" w:rsidRDefault="003125BF" w:rsidP="003125BF">
      <w:pPr>
        <w:shd w:val="clear" w:color="auto" w:fill="FFFFFF"/>
        <w:jc w:val="center"/>
        <w:textAlignment w:val="baseline"/>
        <w:rPr>
          <w:rFonts w:ascii="Garamond" w:eastAsia="Times New Roman" w:hAnsi="Garamond" w:cs="Times New Roman"/>
          <w:b/>
          <w:bCs/>
        </w:rPr>
      </w:pPr>
    </w:p>
    <w:p w14:paraId="3A187DAC" w14:textId="61850F3F"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Under federal law, the U.S. Food and Drug Administration</w:t>
      </w:r>
      <w:r w:rsidR="006D79DB" w:rsidRPr="00C05D6B">
        <w:rPr>
          <w:rFonts w:ascii="Garamond" w:eastAsia="Times New Roman" w:hAnsi="Garamond" w:cs="Times New Roman"/>
        </w:rPr>
        <w:t xml:space="preserve"> </w:t>
      </w:r>
      <w:r w:rsidRPr="00C05D6B">
        <w:rPr>
          <w:rFonts w:ascii="Garamond" w:eastAsia="Times New Roman" w:hAnsi="Garamond" w:cs="Times New Roman"/>
        </w:rPr>
        <w:t>ensures that drugs on the market are safe and effective. In 2000, FDA approved a new drug application for </w:t>
      </w:r>
      <w:hyperlink r:id="rId11" w:history="1">
        <w:r w:rsidRPr="00C05D6B">
          <w:rPr>
            <w:rFonts w:ascii="Garamond" w:eastAsia="Times New Roman" w:hAnsi="Garamond" w:cs="Times New Roman"/>
            <w:bdr w:val="none" w:sz="0" w:space="0" w:color="auto" w:frame="1"/>
          </w:rPr>
          <w:t>mifepristone</w:t>
        </w:r>
      </w:hyperlink>
      <w:r w:rsidRPr="00C05D6B">
        <w:rPr>
          <w:rFonts w:ascii="Garamond" w:eastAsia="Times New Roman" w:hAnsi="Garamond" w:cs="Times New Roman"/>
        </w:rPr>
        <w:t> tablets marketed under the brand name </w:t>
      </w:r>
      <w:proofErr w:type="spellStart"/>
      <w:r w:rsidR="00B77300">
        <w:fldChar w:fldCharType="begin"/>
      </w:r>
      <w:r w:rsidR="00B77300">
        <w:instrText xml:space="preserve"> HYPERLINK "https://1.next.westlaw.com/Link/Document/FullText?entityType=bdrug&amp;entityId=I37eb1ddc475111db9765f9243f53508a&amp;originationContext=document&amp;transitionType=DocumentItem&amp;contextData=(sc.Def</w:instrText>
      </w:r>
      <w:r w:rsidR="00B77300">
        <w:instrText xml:space="preserve">ault)&amp;ppcid=d6bbce9c87b248df83ea89b219445860" </w:instrText>
      </w:r>
      <w:r w:rsidR="00B77300">
        <w:fldChar w:fldCharType="separate"/>
      </w:r>
      <w:r w:rsidRPr="00C05D6B">
        <w:rPr>
          <w:rFonts w:ascii="Garamond" w:eastAsia="Times New Roman" w:hAnsi="Garamond" w:cs="Times New Roman"/>
          <w:bdr w:val="none" w:sz="0" w:space="0" w:color="auto" w:frame="1"/>
        </w:rPr>
        <w:t>Mifeprex</w:t>
      </w:r>
      <w:proofErr w:type="spellEnd"/>
      <w:r w:rsidR="00B77300">
        <w:rPr>
          <w:rFonts w:ascii="Garamond" w:eastAsia="Times New Roman" w:hAnsi="Garamond" w:cs="Times New Roman"/>
          <w:bdr w:val="none" w:sz="0" w:space="0" w:color="auto" w:frame="1"/>
        </w:rPr>
        <w:fldChar w:fldCharType="end"/>
      </w:r>
      <w:r w:rsidRPr="00C05D6B">
        <w:rPr>
          <w:rFonts w:ascii="Garamond" w:eastAsia="Times New Roman" w:hAnsi="Garamond" w:cs="Times New Roman"/>
        </w:rPr>
        <w:t>. FDA approved </w:t>
      </w:r>
      <w:proofErr w:type="spellStart"/>
      <w:r w:rsidR="00B77300">
        <w:fldChar w:fldCharType="begin"/>
      </w:r>
      <w:r w:rsidR="00B77300">
        <w:instrText xml:space="preserve"> HYPERLINK "https://1.next.westlaw.com/Link/Document/FullText?entityType=bdrug&amp;entityId=I37eb1ddc475111db9765f9243f53508a&amp;originationContext=document&amp;transitionType=DocumentItem&amp;contex</w:instrText>
      </w:r>
      <w:r w:rsidR="00B77300">
        <w:instrText xml:space="preserve">tData=(sc.Default)&amp;ppcid=d6bbce9c87b248df83ea89b219445860" </w:instrText>
      </w:r>
      <w:r w:rsidR="00B77300">
        <w:fldChar w:fldCharType="separate"/>
      </w:r>
      <w:r w:rsidRPr="00C05D6B">
        <w:rPr>
          <w:rFonts w:ascii="Garamond" w:eastAsia="Times New Roman" w:hAnsi="Garamond" w:cs="Times New Roman"/>
          <w:bdr w:val="none" w:sz="0" w:space="0" w:color="auto" w:frame="1"/>
        </w:rPr>
        <w:t>Mifeprex</w:t>
      </w:r>
      <w:proofErr w:type="spellEnd"/>
      <w:r w:rsidR="00B77300">
        <w:rPr>
          <w:rFonts w:ascii="Garamond" w:eastAsia="Times New Roman" w:hAnsi="Garamond" w:cs="Times New Roman"/>
          <w:bdr w:val="none" w:sz="0" w:space="0" w:color="auto" w:frame="1"/>
        </w:rPr>
        <w:fldChar w:fldCharType="end"/>
      </w:r>
      <w:r w:rsidRPr="00C05D6B">
        <w:rPr>
          <w:rFonts w:ascii="Garamond" w:eastAsia="Times New Roman" w:hAnsi="Garamond" w:cs="Times New Roman"/>
        </w:rPr>
        <w:t xml:space="preserve"> for use to terminate pregnancies, but only up to seven weeks of pregnancy. </w:t>
      </w:r>
    </w:p>
    <w:p w14:paraId="5899F71D"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25AA0641" w14:textId="4DB2AD1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lastRenderedPageBreak/>
        <w:t>To help ensure that </w:t>
      </w:r>
      <w:proofErr w:type="spellStart"/>
      <w:r w:rsidR="00B77300">
        <w:fldChar w:fldCharType="begin"/>
      </w:r>
      <w:r w:rsidR="00B77300">
        <w:instrText xml:space="preserve"> HYPERLINK "https://1.next.westlaw.com/Link/Document/FullText?entityType=bdrug&amp;entityId=I37eb1ddc475111db9765f9243f53508a&amp;originationContext=document&amp;transitionType=DocumentItem&amp;contextData=(sc.Default)&amp;ppcid=d6bbce9c87b248df83ea89b219445860" </w:instrText>
      </w:r>
      <w:r w:rsidR="00B77300">
        <w:fldChar w:fldCharType="separate"/>
      </w:r>
      <w:r w:rsidRPr="00C05D6B">
        <w:rPr>
          <w:rFonts w:ascii="Garamond" w:eastAsia="Times New Roman" w:hAnsi="Garamond" w:cs="Times New Roman"/>
          <w:bdr w:val="none" w:sz="0" w:space="0" w:color="auto" w:frame="1"/>
        </w:rPr>
        <w:t>Mifeprex</w:t>
      </w:r>
      <w:proofErr w:type="spellEnd"/>
      <w:r w:rsidR="00B77300">
        <w:rPr>
          <w:rFonts w:ascii="Garamond" w:eastAsia="Times New Roman" w:hAnsi="Garamond" w:cs="Times New Roman"/>
          <w:bdr w:val="none" w:sz="0" w:space="0" w:color="auto" w:frame="1"/>
        </w:rPr>
        <w:fldChar w:fldCharType="end"/>
      </w:r>
      <w:r w:rsidRPr="00C05D6B">
        <w:rPr>
          <w:rFonts w:ascii="Garamond" w:eastAsia="Times New Roman" w:hAnsi="Garamond" w:cs="Times New Roman"/>
        </w:rPr>
        <w:t> would be used safely and effectively, FDA placed further restrictions on the drug</w:t>
      </w:r>
      <w:r w:rsidR="00C61DAD" w:rsidRPr="00C05D6B">
        <w:rPr>
          <w:rFonts w:ascii="Garamond" w:eastAsia="Times New Roman" w:hAnsi="Garamond" w:cs="Times New Roman"/>
        </w:rPr>
        <w:t>’</w:t>
      </w:r>
      <w:r w:rsidRPr="00C05D6B">
        <w:rPr>
          <w:rFonts w:ascii="Garamond" w:eastAsia="Times New Roman" w:hAnsi="Garamond" w:cs="Times New Roman"/>
        </w:rPr>
        <w:t>s use and distribution. For example, only doctors could prescribe or supervise prescription of </w:t>
      </w:r>
      <w:proofErr w:type="spellStart"/>
      <w:r w:rsidR="00B77300">
        <w:fldChar w:fldCharType="begin"/>
      </w:r>
      <w:r w:rsidR="00B77300">
        <w:instrText xml:space="preserve"> HYPERLINK "https://1.next.westlaw.com/Link/Document/FullText?entityType=bdrug&amp;e</w:instrText>
      </w:r>
      <w:r w:rsidR="00B77300">
        <w:instrText xml:space="preserve">ntityId=I37eb1ddc475111db9765f9243f53508a&amp;originationContext=document&amp;transitionType=DocumentItem&amp;contextData=(sc.Default)&amp;ppcid=d6bbce9c87b248df83ea89b219445860" </w:instrText>
      </w:r>
      <w:r w:rsidR="00B77300">
        <w:fldChar w:fldCharType="separate"/>
      </w:r>
      <w:r w:rsidRPr="00C05D6B">
        <w:rPr>
          <w:rFonts w:ascii="Garamond" w:eastAsia="Times New Roman" w:hAnsi="Garamond" w:cs="Times New Roman"/>
          <w:bdr w:val="none" w:sz="0" w:space="0" w:color="auto" w:frame="1"/>
        </w:rPr>
        <w:t>Mifeprex</w:t>
      </w:r>
      <w:proofErr w:type="spellEnd"/>
      <w:r w:rsidR="00B77300">
        <w:rPr>
          <w:rFonts w:ascii="Garamond" w:eastAsia="Times New Roman" w:hAnsi="Garamond" w:cs="Times New Roman"/>
          <w:bdr w:val="none" w:sz="0" w:space="0" w:color="auto" w:frame="1"/>
        </w:rPr>
        <w:fldChar w:fldCharType="end"/>
      </w:r>
      <w:r w:rsidRPr="00C05D6B">
        <w:rPr>
          <w:rFonts w:ascii="Garamond" w:eastAsia="Times New Roman" w:hAnsi="Garamond" w:cs="Times New Roman"/>
        </w:rPr>
        <w:t>. Doctors and patients also had to follow a strict regimen requiring the patient to appear for three in-person visits with the doctor. And FDA directed prescribing doctors to report incidents of hospitalizations, </w:t>
      </w:r>
      <w:hyperlink r:id="rId12" w:history="1">
        <w:r w:rsidRPr="00C05D6B">
          <w:rPr>
            <w:rFonts w:ascii="Garamond" w:eastAsia="Times New Roman" w:hAnsi="Garamond" w:cs="Times New Roman"/>
            <w:bdr w:val="none" w:sz="0" w:space="0" w:color="auto" w:frame="1"/>
          </w:rPr>
          <w:t>blood transfusions</w:t>
        </w:r>
      </w:hyperlink>
      <w:r w:rsidRPr="00C05D6B">
        <w:rPr>
          <w:rFonts w:ascii="Garamond" w:eastAsia="Times New Roman" w:hAnsi="Garamond" w:cs="Times New Roman"/>
        </w:rPr>
        <w:t>, or other serious adverse events to the drug sponsor (who, in turn, was required to report the events to FDA).</w:t>
      </w:r>
    </w:p>
    <w:p w14:paraId="06BEA29D" w14:textId="77777777" w:rsidR="003125BF" w:rsidRPr="00C05D6B" w:rsidRDefault="003125BF" w:rsidP="003125BF">
      <w:pPr>
        <w:shd w:val="clear" w:color="auto" w:fill="FFFFFF"/>
        <w:textAlignment w:val="baseline"/>
        <w:rPr>
          <w:rFonts w:ascii="Garamond" w:eastAsia="Times New Roman" w:hAnsi="Garamond" w:cs="Times New Roman"/>
        </w:rPr>
      </w:pPr>
    </w:p>
    <w:p w14:paraId="5A7120F3" w14:textId="48A6C84A"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 xml:space="preserve">In 2015, </w:t>
      </w:r>
      <w:proofErr w:type="spellStart"/>
      <w:r w:rsidRPr="00C05D6B">
        <w:rPr>
          <w:rFonts w:ascii="Garamond" w:eastAsia="Times New Roman" w:hAnsi="Garamond" w:cs="Times New Roman"/>
        </w:rPr>
        <w:t>Mifeprex</w:t>
      </w:r>
      <w:r w:rsidR="00C61DAD" w:rsidRPr="00C05D6B">
        <w:rPr>
          <w:rFonts w:ascii="Garamond" w:eastAsia="Times New Roman" w:hAnsi="Garamond" w:cs="Times New Roman"/>
        </w:rPr>
        <w:t>’</w:t>
      </w:r>
      <w:r w:rsidRPr="00C05D6B">
        <w:rPr>
          <w:rFonts w:ascii="Garamond" w:eastAsia="Times New Roman" w:hAnsi="Garamond" w:cs="Times New Roman"/>
        </w:rPr>
        <w:t>s</w:t>
      </w:r>
      <w:proofErr w:type="spellEnd"/>
      <w:r w:rsidRPr="00C05D6B">
        <w:rPr>
          <w:rFonts w:ascii="Garamond" w:eastAsia="Times New Roman" w:hAnsi="Garamond" w:cs="Times New Roman"/>
        </w:rPr>
        <w:t xml:space="preserve"> distributor </w:t>
      </w:r>
      <w:proofErr w:type="spellStart"/>
      <w:r w:rsidRPr="00C05D6B">
        <w:rPr>
          <w:rFonts w:ascii="Garamond" w:eastAsia="Times New Roman" w:hAnsi="Garamond" w:cs="Times New Roman"/>
        </w:rPr>
        <w:t>Danco</w:t>
      </w:r>
      <w:proofErr w:type="spellEnd"/>
      <w:r w:rsidRPr="00C05D6B">
        <w:rPr>
          <w:rFonts w:ascii="Garamond" w:eastAsia="Times New Roman" w:hAnsi="Garamond" w:cs="Times New Roman"/>
        </w:rPr>
        <w:t xml:space="preserve"> Laboratories submitted a supplemental new drug application seeking to amend </w:t>
      </w:r>
      <w:proofErr w:type="spellStart"/>
      <w:r w:rsidRPr="00C05D6B">
        <w:rPr>
          <w:rFonts w:ascii="Garamond" w:eastAsia="Times New Roman" w:hAnsi="Garamond" w:cs="Times New Roman"/>
        </w:rPr>
        <w:t>Mifeprex</w:t>
      </w:r>
      <w:r w:rsidR="00C61DAD" w:rsidRPr="00C05D6B">
        <w:rPr>
          <w:rFonts w:ascii="Garamond" w:eastAsia="Times New Roman" w:hAnsi="Garamond" w:cs="Times New Roman"/>
        </w:rPr>
        <w:t>’</w:t>
      </w:r>
      <w:r w:rsidRPr="00C05D6B">
        <w:rPr>
          <w:rFonts w:ascii="Garamond" w:eastAsia="Times New Roman" w:hAnsi="Garamond" w:cs="Times New Roman"/>
        </w:rPr>
        <w:t>s</w:t>
      </w:r>
      <w:proofErr w:type="spellEnd"/>
      <w:r w:rsidRPr="00C05D6B">
        <w:rPr>
          <w:rFonts w:ascii="Garamond" w:eastAsia="Times New Roman" w:hAnsi="Garamond" w:cs="Times New Roman"/>
        </w:rPr>
        <w:t xml:space="preserve"> labeling and to relax some of the restrictions that FDA had imposed. In 2016, FDA approved the proposed changes. FDA deemed </w:t>
      </w:r>
      <w:proofErr w:type="spellStart"/>
      <w:r w:rsidRPr="00C05D6B">
        <w:rPr>
          <w:rFonts w:ascii="Garamond" w:eastAsia="Times New Roman" w:hAnsi="Garamond" w:cs="Times New Roman"/>
        </w:rPr>
        <w:t>Mifeprex</w:t>
      </w:r>
      <w:proofErr w:type="spellEnd"/>
      <w:r w:rsidRPr="00C05D6B">
        <w:rPr>
          <w:rFonts w:ascii="Garamond" w:eastAsia="Times New Roman" w:hAnsi="Garamond" w:cs="Times New Roman"/>
        </w:rPr>
        <w:t xml:space="preserve"> safe to terminate pregnancies up to 10 weeks rather than 7 weeks. FDA allowed healthcare providers such as nurse practitioners to prescribe </w:t>
      </w:r>
      <w:proofErr w:type="spellStart"/>
      <w:r w:rsidR="00B77300">
        <w:fldChar w:fldCharType="begin"/>
      </w:r>
      <w:r w:rsidR="00B77300">
        <w:instrText xml:space="preserve"> HYPERLINK "https://1.next.westlaw.com/Link/Document/FullText?entityType=bdrug&amp;entityId=I37eb1ddc475111db9765f9243f535</w:instrText>
      </w:r>
      <w:r w:rsidR="00B77300">
        <w:instrText xml:space="preserve">08a&amp;originationContext=document&amp;transitionType=DocumentItem&amp;contextData=(sc.Default)&amp;ppcid=d6bbce9c87b248df83ea89b219445860" </w:instrText>
      </w:r>
      <w:r w:rsidR="00B77300">
        <w:fldChar w:fldCharType="separate"/>
      </w:r>
      <w:r w:rsidRPr="00C05D6B">
        <w:rPr>
          <w:rFonts w:ascii="Garamond" w:eastAsia="Times New Roman" w:hAnsi="Garamond" w:cs="Times New Roman"/>
          <w:bdr w:val="none" w:sz="0" w:space="0" w:color="auto" w:frame="1"/>
        </w:rPr>
        <w:t>Mifeprex</w:t>
      </w:r>
      <w:proofErr w:type="spellEnd"/>
      <w:r w:rsidR="00B77300">
        <w:rPr>
          <w:rFonts w:ascii="Garamond" w:eastAsia="Times New Roman" w:hAnsi="Garamond" w:cs="Times New Roman"/>
          <w:bdr w:val="none" w:sz="0" w:space="0" w:color="auto" w:frame="1"/>
        </w:rPr>
        <w:fldChar w:fldCharType="end"/>
      </w:r>
      <w:r w:rsidRPr="00C05D6B">
        <w:rPr>
          <w:rFonts w:ascii="Garamond" w:eastAsia="Times New Roman" w:hAnsi="Garamond" w:cs="Times New Roman"/>
        </w:rPr>
        <w:t>. And FDA approved a dosing regimen that reduced the number of required in-person visits from three to one—a single visit to receive </w:t>
      </w:r>
      <w:proofErr w:type="spellStart"/>
      <w:r w:rsidR="00B77300">
        <w:fldChar w:fldCharType="begin"/>
      </w:r>
      <w:r w:rsidR="00B77300">
        <w:instrText xml:space="preserve"> HYPERLINK "https://1.next.westlaw.com/Link/Document/FullText?entityType=bdrug&amp;entityId=I37eb1ddc475111db9765f9243f53508a&amp;originationContext=document&amp;transitionType=DocumentItem&amp;contextData=(sc.Default)&amp;ppcid=d6bbce9c87b248df83ea89b219445860" </w:instrText>
      </w:r>
      <w:r w:rsidR="00B77300">
        <w:fldChar w:fldCharType="separate"/>
      </w:r>
      <w:r w:rsidRPr="00C05D6B">
        <w:rPr>
          <w:rFonts w:ascii="Garamond" w:eastAsia="Times New Roman" w:hAnsi="Garamond" w:cs="Times New Roman"/>
          <w:bdr w:val="none" w:sz="0" w:space="0" w:color="auto" w:frame="1"/>
        </w:rPr>
        <w:t>Mifeprex</w:t>
      </w:r>
      <w:proofErr w:type="spellEnd"/>
      <w:r w:rsidR="00B77300">
        <w:rPr>
          <w:rFonts w:ascii="Garamond" w:eastAsia="Times New Roman" w:hAnsi="Garamond" w:cs="Times New Roman"/>
          <w:bdr w:val="none" w:sz="0" w:space="0" w:color="auto" w:frame="1"/>
        </w:rPr>
        <w:fldChar w:fldCharType="end"/>
      </w:r>
      <w:r w:rsidRPr="00C05D6B">
        <w:rPr>
          <w:rFonts w:ascii="Garamond" w:eastAsia="Times New Roman" w:hAnsi="Garamond" w:cs="Times New Roman"/>
        </w:rPr>
        <w:t>. In addition, FDA changed prescribers’ adverse event reporting obligations to require prescribers to report only fatalities—a reporting requirement that was still more stringent than the requirements for most other drugs.</w:t>
      </w:r>
    </w:p>
    <w:p w14:paraId="4109E1CB" w14:textId="77777777" w:rsidR="003125BF" w:rsidRPr="00C05D6B" w:rsidRDefault="003125BF" w:rsidP="003125BF">
      <w:pPr>
        <w:shd w:val="clear" w:color="auto" w:fill="FFFFFF"/>
        <w:textAlignment w:val="baseline"/>
        <w:rPr>
          <w:rFonts w:ascii="Garamond" w:eastAsia="Times New Roman" w:hAnsi="Garamond" w:cs="Times New Roman"/>
          <w:b/>
          <w:bCs/>
          <w:bdr w:val="single" w:sz="12" w:space="0" w:color="86B392" w:frame="1"/>
        </w:rPr>
      </w:pPr>
    </w:p>
    <w:p w14:paraId="33280895" w14:textId="415EA802"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In 2019, FDA approved an application for generic </w:t>
      </w:r>
      <w:hyperlink r:id="rId13" w:history="1">
        <w:r w:rsidRPr="00C05D6B">
          <w:rPr>
            <w:rFonts w:ascii="Garamond" w:eastAsia="Times New Roman" w:hAnsi="Garamond" w:cs="Times New Roman"/>
            <w:bdr w:val="none" w:sz="0" w:space="0" w:color="auto" w:frame="1"/>
          </w:rPr>
          <w:t>mifepristone</w:t>
        </w:r>
      </w:hyperlink>
      <w:r w:rsidRPr="00C05D6B">
        <w:rPr>
          <w:rFonts w:ascii="Garamond" w:eastAsia="Times New Roman" w:hAnsi="Garamond" w:cs="Times New Roman"/>
        </w:rPr>
        <w:t>. FDA established the same conditions of use for generic </w:t>
      </w:r>
      <w:hyperlink r:id="rId14" w:history="1">
        <w:r w:rsidRPr="00C05D6B">
          <w:rPr>
            <w:rFonts w:ascii="Garamond" w:eastAsia="Times New Roman" w:hAnsi="Garamond" w:cs="Times New Roman"/>
            <w:bdr w:val="none" w:sz="0" w:space="0" w:color="auto" w:frame="1"/>
          </w:rPr>
          <w:t>mifepristone</w:t>
        </w:r>
      </w:hyperlink>
      <w:r w:rsidRPr="00C05D6B">
        <w:rPr>
          <w:rFonts w:ascii="Garamond" w:eastAsia="Times New Roman" w:hAnsi="Garamond" w:cs="Times New Roman"/>
        </w:rPr>
        <w:t> as for </w:t>
      </w:r>
      <w:proofErr w:type="spellStart"/>
      <w:r w:rsidR="00B77300">
        <w:fldChar w:fldCharType="begin"/>
      </w:r>
      <w:r w:rsidR="00B77300">
        <w:instrText xml:space="preserve"> HYPERLINK "https://1.next.westlaw.com/Link/Document/FullText?entityType=bdrug&amp;entityId=I37eb1ddc475111db9765f9243f53508a&amp;originationContext=document&amp;transitionType=DocumentItem&amp;contextData=(sc.Default)&amp;ppcid=d6bbce9c87b248df83ea89b219445860" </w:instrText>
      </w:r>
      <w:r w:rsidR="00B77300">
        <w:fldChar w:fldCharType="separate"/>
      </w:r>
      <w:r w:rsidRPr="00C05D6B">
        <w:rPr>
          <w:rFonts w:ascii="Garamond" w:eastAsia="Times New Roman" w:hAnsi="Garamond" w:cs="Times New Roman"/>
          <w:bdr w:val="none" w:sz="0" w:space="0" w:color="auto" w:frame="1"/>
        </w:rPr>
        <w:t>Mifeprex</w:t>
      </w:r>
      <w:proofErr w:type="spellEnd"/>
      <w:r w:rsidR="00B77300">
        <w:rPr>
          <w:rFonts w:ascii="Garamond" w:eastAsia="Times New Roman" w:hAnsi="Garamond" w:cs="Times New Roman"/>
          <w:bdr w:val="none" w:sz="0" w:space="0" w:color="auto" w:frame="1"/>
        </w:rPr>
        <w:fldChar w:fldCharType="end"/>
      </w:r>
      <w:r w:rsidRPr="00C05D6B">
        <w:rPr>
          <w:rFonts w:ascii="Garamond" w:eastAsia="Times New Roman" w:hAnsi="Garamond" w:cs="Times New Roman"/>
        </w:rPr>
        <w:t xml:space="preserve">. In 2021, FDA again relaxed the requirements for </w:t>
      </w:r>
      <w:proofErr w:type="spellStart"/>
      <w:r w:rsidRPr="00C05D6B">
        <w:rPr>
          <w:rFonts w:ascii="Garamond" w:eastAsia="Times New Roman" w:hAnsi="Garamond" w:cs="Times New Roman"/>
        </w:rPr>
        <w:t>Mifeprex</w:t>
      </w:r>
      <w:proofErr w:type="spellEnd"/>
      <w:r w:rsidRPr="00C05D6B">
        <w:rPr>
          <w:rFonts w:ascii="Garamond" w:eastAsia="Times New Roman" w:hAnsi="Garamond" w:cs="Times New Roman"/>
        </w:rPr>
        <w:t xml:space="preserve"> and generic mifepristone. Relying on experience gained during the COVID</w:t>
      </w:r>
      <w:r w:rsidR="00050125" w:rsidRPr="00C05D6B">
        <w:rPr>
          <w:rFonts w:ascii="Garamond" w:eastAsia="Times New Roman" w:hAnsi="Garamond" w:cs="Times New Roman"/>
        </w:rPr>
        <w:t>-</w:t>
      </w:r>
      <w:r w:rsidRPr="00C05D6B">
        <w:rPr>
          <w:rFonts w:ascii="Garamond" w:eastAsia="Times New Roman" w:hAnsi="Garamond" w:cs="Times New Roman"/>
        </w:rPr>
        <w:t>19 pandemic about pregnant women using mifepristone without an in-person visit to a healthcare provider, FDA announced that it would no longer enforce the initial in-person visit requirement.</w:t>
      </w:r>
    </w:p>
    <w:p w14:paraId="21DDFBD2" w14:textId="77777777" w:rsidR="003125BF" w:rsidRPr="00C05D6B" w:rsidRDefault="003125BF" w:rsidP="003125BF">
      <w:pPr>
        <w:shd w:val="clear" w:color="auto" w:fill="FFFFFF"/>
        <w:textAlignment w:val="baseline"/>
        <w:rPr>
          <w:rFonts w:ascii="Garamond" w:eastAsia="Times New Roman" w:hAnsi="Garamond" w:cs="Times New Roman"/>
          <w:b/>
          <w:bCs/>
        </w:rPr>
      </w:pPr>
    </w:p>
    <w:p w14:paraId="5C1269E6" w14:textId="6760287F"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Because mifepristone is used to terminate pregnancies, FDA</w:t>
      </w:r>
      <w:r w:rsidR="00C61DAD" w:rsidRPr="00C05D6B">
        <w:rPr>
          <w:rFonts w:ascii="Garamond" w:eastAsia="Times New Roman" w:hAnsi="Garamond" w:cs="Times New Roman"/>
        </w:rPr>
        <w:t>’</w:t>
      </w:r>
      <w:r w:rsidRPr="00C05D6B">
        <w:rPr>
          <w:rFonts w:ascii="Garamond" w:eastAsia="Times New Roman" w:hAnsi="Garamond" w:cs="Times New Roman"/>
        </w:rPr>
        <w:t>s approval and regulation of mifepristone have generated substantial controversy from the start. This case began in 2022. Four pro-life medical associations, as well as several individual doctors, sued FDA in the U.S. District Court for the Northern District of Texas. Plaintiffs brought claims under the Administrative Procedure Act. They challenged the lawfulness of FDA</w:t>
      </w:r>
      <w:r w:rsidR="00390FEA" w:rsidRPr="00C05D6B">
        <w:rPr>
          <w:rFonts w:ascii="Garamond" w:eastAsia="Times New Roman" w:hAnsi="Garamond" w:cs="Times New Roman"/>
        </w:rPr>
        <w:t>’</w:t>
      </w:r>
      <w:r w:rsidRPr="00C05D6B">
        <w:rPr>
          <w:rFonts w:ascii="Garamond" w:eastAsia="Times New Roman" w:hAnsi="Garamond" w:cs="Times New Roman"/>
        </w:rPr>
        <w:t xml:space="preserve">s 2000 approval of </w:t>
      </w:r>
      <w:proofErr w:type="spellStart"/>
      <w:r w:rsidRPr="00C05D6B">
        <w:rPr>
          <w:rFonts w:ascii="Garamond" w:eastAsia="Times New Roman" w:hAnsi="Garamond" w:cs="Times New Roman"/>
        </w:rPr>
        <w:t>Mifeprex</w:t>
      </w:r>
      <w:proofErr w:type="spellEnd"/>
      <w:r w:rsidRPr="00C05D6B">
        <w:rPr>
          <w:rFonts w:ascii="Garamond" w:eastAsia="Times New Roman" w:hAnsi="Garamond" w:cs="Times New Roman"/>
        </w:rPr>
        <w:t>; FDA</w:t>
      </w:r>
      <w:r w:rsidR="00C61DAD" w:rsidRPr="00C05D6B">
        <w:rPr>
          <w:rFonts w:ascii="Garamond" w:eastAsia="Times New Roman" w:hAnsi="Garamond" w:cs="Times New Roman"/>
        </w:rPr>
        <w:t>’</w:t>
      </w:r>
      <w:r w:rsidRPr="00C05D6B">
        <w:rPr>
          <w:rFonts w:ascii="Garamond" w:eastAsia="Times New Roman" w:hAnsi="Garamond" w:cs="Times New Roman"/>
        </w:rPr>
        <w:t>s 2019 approval of generic mifepristone; and FDA</w:t>
      </w:r>
      <w:r w:rsidR="00390FEA" w:rsidRPr="00C05D6B">
        <w:rPr>
          <w:rFonts w:ascii="Garamond" w:eastAsia="Times New Roman" w:hAnsi="Garamond" w:cs="Times New Roman"/>
        </w:rPr>
        <w:t>’</w:t>
      </w:r>
      <w:r w:rsidRPr="00C05D6B">
        <w:rPr>
          <w:rFonts w:ascii="Garamond" w:eastAsia="Times New Roman" w:hAnsi="Garamond" w:cs="Times New Roman"/>
        </w:rPr>
        <w:t>s 2016 and 2021 actions modifying mifepristone</w:t>
      </w:r>
      <w:r w:rsidR="00390FEA" w:rsidRPr="00C05D6B">
        <w:rPr>
          <w:rFonts w:ascii="Garamond" w:eastAsia="Times New Roman" w:hAnsi="Garamond" w:cs="Times New Roman"/>
        </w:rPr>
        <w:t>’</w:t>
      </w:r>
      <w:r w:rsidRPr="00C05D6B">
        <w:rPr>
          <w:rFonts w:ascii="Garamond" w:eastAsia="Times New Roman" w:hAnsi="Garamond" w:cs="Times New Roman"/>
        </w:rPr>
        <w:t xml:space="preserve">s conditions of use. </w:t>
      </w:r>
    </w:p>
    <w:p w14:paraId="497588C0" w14:textId="77777777" w:rsidR="003125BF" w:rsidRPr="00C05D6B" w:rsidRDefault="003125BF" w:rsidP="003125BF">
      <w:pPr>
        <w:shd w:val="clear" w:color="auto" w:fill="FFFFFF"/>
        <w:textAlignment w:val="baseline"/>
        <w:rPr>
          <w:rFonts w:ascii="Garamond" w:eastAsia="Times New Roman" w:hAnsi="Garamond" w:cs="Times New Roman"/>
        </w:rPr>
      </w:pPr>
    </w:p>
    <w:p w14:paraId="3D0C12AE" w14:textId="0AB28B53"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The District Court agreed with the plaintiffs and in effect enjoined FDA</w:t>
      </w:r>
      <w:r w:rsidR="00C61DAD" w:rsidRPr="00C05D6B">
        <w:rPr>
          <w:rFonts w:ascii="Garamond" w:eastAsia="Times New Roman" w:hAnsi="Garamond" w:cs="Times New Roman"/>
        </w:rPr>
        <w:t>’</w:t>
      </w:r>
      <w:r w:rsidRPr="00C05D6B">
        <w:rPr>
          <w:rFonts w:ascii="Garamond" w:eastAsia="Times New Roman" w:hAnsi="Garamond" w:cs="Times New Roman"/>
        </w:rPr>
        <w:t xml:space="preserve">s approval of mifepristone, thereby ordering mifepristone off the market. The Court of Appeals’ partial stay would have left </w:t>
      </w:r>
      <w:proofErr w:type="spellStart"/>
      <w:r w:rsidRPr="00C05D6B">
        <w:rPr>
          <w:rFonts w:ascii="Garamond" w:eastAsia="Times New Roman" w:hAnsi="Garamond" w:cs="Times New Roman"/>
        </w:rPr>
        <w:t>Mifeprex</w:t>
      </w:r>
      <w:proofErr w:type="spellEnd"/>
      <w:r w:rsidRPr="00C05D6B">
        <w:rPr>
          <w:rFonts w:ascii="Garamond" w:eastAsia="Times New Roman" w:hAnsi="Garamond" w:cs="Times New Roman"/>
        </w:rPr>
        <w:t xml:space="preserve"> (though not generic mifepristone) on the market, but only under the more stringent requirements imposed when FDA first approved </w:t>
      </w:r>
      <w:proofErr w:type="spellStart"/>
      <w:r w:rsidRPr="00C05D6B">
        <w:rPr>
          <w:rFonts w:ascii="Garamond" w:eastAsia="Times New Roman" w:hAnsi="Garamond" w:cs="Times New Roman"/>
        </w:rPr>
        <w:t>Mifeprex</w:t>
      </w:r>
      <w:proofErr w:type="spellEnd"/>
      <w:r w:rsidRPr="00C05D6B">
        <w:rPr>
          <w:rFonts w:ascii="Garamond" w:eastAsia="Times New Roman" w:hAnsi="Garamond" w:cs="Times New Roman"/>
        </w:rPr>
        <w:t xml:space="preserve"> in 2000—available only up to seven weeks of pregnancy, only when prescribed by doctors, and only with three in-person visits, among other requirements.</w:t>
      </w:r>
    </w:p>
    <w:p w14:paraId="13356A64"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033F3541" w14:textId="77777777" w:rsidR="003125BF" w:rsidRPr="00C05D6B" w:rsidRDefault="003125BF" w:rsidP="003125BF">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II</w:t>
      </w:r>
    </w:p>
    <w:p w14:paraId="2AEAB78F" w14:textId="77777777" w:rsidR="003125BF" w:rsidRPr="00C05D6B" w:rsidRDefault="003125BF" w:rsidP="003125BF">
      <w:pPr>
        <w:shd w:val="clear" w:color="auto" w:fill="FFFFFF"/>
        <w:textAlignment w:val="baseline"/>
        <w:rPr>
          <w:rFonts w:ascii="Garamond" w:eastAsia="Times New Roman" w:hAnsi="Garamond" w:cs="Times New Roman"/>
        </w:rPr>
      </w:pPr>
    </w:p>
    <w:p w14:paraId="0990C498" w14:textId="7777777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The threshold question is whether the plaintiffs have standing to sue under </w:t>
      </w:r>
      <w:hyperlink r:id="rId15" w:history="1">
        <w:r w:rsidRPr="00C05D6B">
          <w:rPr>
            <w:rFonts w:ascii="Garamond" w:eastAsia="Times New Roman" w:hAnsi="Garamond" w:cs="Times New Roman"/>
            <w:bdr w:val="none" w:sz="0" w:space="0" w:color="auto" w:frame="1"/>
          </w:rPr>
          <w:t>Article III of the Constitution</w:t>
        </w:r>
      </w:hyperlink>
      <w:r w:rsidRPr="00C05D6B">
        <w:rPr>
          <w:rFonts w:ascii="Garamond" w:eastAsia="Times New Roman" w:hAnsi="Garamond" w:cs="Times New Roman"/>
        </w:rPr>
        <w:t>. </w:t>
      </w:r>
      <w:hyperlink r:id="rId16" w:history="1">
        <w:r w:rsidRPr="00C05D6B">
          <w:rPr>
            <w:rFonts w:ascii="Garamond" w:eastAsia="Times New Roman" w:hAnsi="Garamond" w:cs="Times New Roman"/>
            <w:bdr w:val="none" w:sz="0" w:space="0" w:color="auto" w:frame="1"/>
          </w:rPr>
          <w:t>Article III</w:t>
        </w:r>
      </w:hyperlink>
      <w:r w:rsidRPr="00C05D6B">
        <w:rPr>
          <w:rFonts w:ascii="Garamond" w:eastAsia="Times New Roman" w:hAnsi="Garamond" w:cs="Times New Roman"/>
        </w:rPr>
        <w:t xml:space="preserve"> standing is a “bedrock constitutional requirement that this Court has applied to all manner of important disputes.”  </w:t>
      </w:r>
    </w:p>
    <w:p w14:paraId="11D2A4F5" w14:textId="77777777" w:rsidR="003125BF" w:rsidRPr="00C05D6B" w:rsidRDefault="003125BF" w:rsidP="003125BF">
      <w:pPr>
        <w:shd w:val="clear" w:color="auto" w:fill="FFFFFF"/>
        <w:textAlignment w:val="baseline"/>
        <w:rPr>
          <w:rFonts w:ascii="Garamond" w:eastAsia="Times New Roman" w:hAnsi="Garamond" w:cs="Times New Roman"/>
        </w:rPr>
      </w:pPr>
    </w:p>
    <w:p w14:paraId="590F0526" w14:textId="7E97AE04"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The fundamentals of standing are well-known and firmly rooted in American constitutional law. To establish standing, as this Court has often stated, a plaintiff must demonstrate (</w:t>
      </w:r>
      <w:proofErr w:type="spellStart"/>
      <w:r w:rsidRPr="00C05D6B">
        <w:rPr>
          <w:rFonts w:ascii="Garamond" w:eastAsia="Times New Roman" w:hAnsi="Garamond" w:cs="Times New Roman"/>
        </w:rPr>
        <w:t>i</w:t>
      </w:r>
      <w:proofErr w:type="spellEnd"/>
      <w:r w:rsidRPr="00C05D6B">
        <w:rPr>
          <w:rFonts w:ascii="Garamond" w:eastAsia="Times New Roman" w:hAnsi="Garamond" w:cs="Times New Roman"/>
        </w:rPr>
        <w:t xml:space="preserve">) that she has suffered or likely will suffer an injury in fact, (ii) that the injury likely was caused or will be </w:t>
      </w:r>
      <w:r w:rsidRPr="00C05D6B">
        <w:rPr>
          <w:rFonts w:ascii="Garamond" w:eastAsia="Times New Roman" w:hAnsi="Garamond" w:cs="Times New Roman"/>
        </w:rPr>
        <w:lastRenderedPageBreak/>
        <w:t xml:space="preserve">caused by the defendant, and (iii) that the injury likely would be redressed by the requested judicial relief. </w:t>
      </w:r>
    </w:p>
    <w:p w14:paraId="30455AD9" w14:textId="77777777" w:rsidR="003125BF" w:rsidRPr="00C05D6B" w:rsidRDefault="003125BF" w:rsidP="003125BF">
      <w:pPr>
        <w:shd w:val="clear" w:color="auto" w:fill="FFFFFF"/>
        <w:textAlignment w:val="baseline"/>
        <w:rPr>
          <w:rFonts w:ascii="Garamond" w:eastAsia="Times New Roman" w:hAnsi="Garamond" w:cs="Times New Roman"/>
        </w:rPr>
      </w:pPr>
    </w:p>
    <w:p w14:paraId="6FBAFAB7" w14:textId="1BFBB881"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The second and third standing requirements—causation and redressability—are often “flip sides of the same coin.”  If a defendant</w:t>
      </w:r>
      <w:r w:rsidR="00C61DAD" w:rsidRPr="00C05D6B">
        <w:rPr>
          <w:rFonts w:ascii="Garamond" w:eastAsia="Times New Roman" w:hAnsi="Garamond" w:cs="Times New Roman"/>
        </w:rPr>
        <w:t>’</w:t>
      </w:r>
      <w:r w:rsidRPr="00C05D6B">
        <w:rPr>
          <w:rFonts w:ascii="Garamond" w:eastAsia="Times New Roman" w:hAnsi="Garamond" w:cs="Times New Roman"/>
        </w:rPr>
        <w:t xml:space="preserve">s action causes an injury, enjoining the action or awarding damages for the action will typically redress that injury. So the two key questions in most standing disputes are injury in fact and causation. </w:t>
      </w:r>
    </w:p>
    <w:p w14:paraId="73312E0C" w14:textId="77777777" w:rsidR="003125BF" w:rsidRPr="00C05D6B" w:rsidRDefault="003125BF" w:rsidP="003125BF">
      <w:pPr>
        <w:shd w:val="clear" w:color="auto" w:fill="FFFFFF"/>
        <w:textAlignment w:val="baseline"/>
        <w:rPr>
          <w:rFonts w:ascii="Garamond" w:eastAsia="Times New Roman" w:hAnsi="Garamond" w:cs="Times New Roman"/>
        </w:rPr>
      </w:pPr>
    </w:p>
    <w:p w14:paraId="40C06E08" w14:textId="085F7ED4"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Here, the plaintiff doctors and medical associations are unregulated parties who seek to challenge FDA</w:t>
      </w:r>
      <w:r w:rsidR="00390FEA" w:rsidRPr="00C05D6B">
        <w:rPr>
          <w:rFonts w:ascii="Garamond" w:eastAsia="Times New Roman" w:hAnsi="Garamond" w:cs="Times New Roman"/>
        </w:rPr>
        <w:t>’</w:t>
      </w:r>
      <w:r w:rsidRPr="00C05D6B">
        <w:rPr>
          <w:rFonts w:ascii="Garamond" w:eastAsia="Times New Roman" w:hAnsi="Garamond" w:cs="Times New Roman"/>
        </w:rPr>
        <w:t>s regulation </w:t>
      </w:r>
      <w:r w:rsidRPr="00C05D6B">
        <w:rPr>
          <w:rFonts w:ascii="Garamond" w:eastAsia="Times New Roman" w:hAnsi="Garamond" w:cs="Times New Roman"/>
          <w:i/>
          <w:iCs/>
          <w:bdr w:val="none" w:sz="0" w:space="0" w:color="auto" w:frame="1"/>
        </w:rPr>
        <w:t>of</w:t>
      </w:r>
      <w:r w:rsidRPr="00C05D6B">
        <w:rPr>
          <w:rFonts w:ascii="Garamond" w:eastAsia="Times New Roman" w:hAnsi="Garamond" w:cs="Times New Roman"/>
        </w:rPr>
        <w:t> </w:t>
      </w:r>
      <w:r w:rsidRPr="00C05D6B">
        <w:rPr>
          <w:rFonts w:ascii="Garamond" w:eastAsia="Times New Roman" w:hAnsi="Garamond" w:cs="Times New Roman"/>
          <w:i/>
          <w:iCs/>
          <w:bdr w:val="none" w:sz="0" w:space="0" w:color="auto" w:frame="1"/>
        </w:rPr>
        <w:t>others</w:t>
      </w:r>
      <w:r w:rsidRPr="00C05D6B">
        <w:rPr>
          <w:rFonts w:ascii="Garamond" w:eastAsia="Times New Roman" w:hAnsi="Garamond" w:cs="Times New Roman"/>
        </w:rPr>
        <w:t>. Specifically, FDA</w:t>
      </w:r>
      <w:r w:rsidR="00C61DAD" w:rsidRPr="00C05D6B">
        <w:rPr>
          <w:rFonts w:ascii="Garamond" w:eastAsia="Times New Roman" w:hAnsi="Garamond" w:cs="Times New Roman"/>
        </w:rPr>
        <w:t>’</w:t>
      </w:r>
      <w:r w:rsidRPr="00C05D6B">
        <w:rPr>
          <w:rFonts w:ascii="Garamond" w:eastAsia="Times New Roman" w:hAnsi="Garamond" w:cs="Times New Roman"/>
        </w:rPr>
        <w:t>s regulations apply to doctors prescribing mifepristone and to pregnant women taking mifepristone. But the plaintiff doctors and medical associations do not prescribe or use mifepristone. And FDA has not required the plaintiffs to do anything or to refrain from doing anything.</w:t>
      </w:r>
    </w:p>
    <w:p w14:paraId="314A037F" w14:textId="77777777" w:rsidR="003125BF" w:rsidRPr="00C05D6B" w:rsidRDefault="003125BF" w:rsidP="003125BF">
      <w:pPr>
        <w:shd w:val="clear" w:color="auto" w:fill="FFFFFF"/>
        <w:textAlignment w:val="baseline"/>
        <w:rPr>
          <w:rFonts w:ascii="Garamond" w:eastAsia="Times New Roman" w:hAnsi="Garamond" w:cs="Times New Roman"/>
        </w:rPr>
      </w:pPr>
    </w:p>
    <w:p w14:paraId="7F74E9C3" w14:textId="7BD7FE03"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The plaintiffs do not allege the kinds of injuries described above that unregulated parties sometimes can assert to demonstrate causation. Because the plaintiffs do not prescribe, manufacture, sell, or advertise mifepristone or sponsor a competing drug, the plaintiffs suffer no direct monetary injuries from FDA</w:t>
      </w:r>
      <w:r w:rsidR="00C61DAD" w:rsidRPr="00C05D6B">
        <w:rPr>
          <w:rFonts w:ascii="Garamond" w:eastAsia="Times New Roman" w:hAnsi="Garamond" w:cs="Times New Roman"/>
        </w:rPr>
        <w:t>’</w:t>
      </w:r>
      <w:r w:rsidRPr="00C05D6B">
        <w:rPr>
          <w:rFonts w:ascii="Garamond" w:eastAsia="Times New Roman" w:hAnsi="Garamond" w:cs="Times New Roman"/>
        </w:rPr>
        <w:t>s actions relaxing regulation of mifepristone. Nor do they suffer injuries to their property, or to the value of their property, from FDA</w:t>
      </w:r>
      <w:r w:rsidR="00C61DAD" w:rsidRPr="00C05D6B">
        <w:rPr>
          <w:rFonts w:ascii="Garamond" w:eastAsia="Times New Roman" w:hAnsi="Garamond" w:cs="Times New Roman"/>
        </w:rPr>
        <w:t>’</w:t>
      </w:r>
      <w:r w:rsidRPr="00C05D6B">
        <w:rPr>
          <w:rFonts w:ascii="Garamond" w:eastAsia="Times New Roman" w:hAnsi="Garamond" w:cs="Times New Roman"/>
        </w:rPr>
        <w:t>s actions. Because the plaintiffs do not use mifepristone, they obviously can suffer no physical injuries from FDA</w:t>
      </w:r>
      <w:r w:rsidR="00390FEA" w:rsidRPr="00C05D6B">
        <w:rPr>
          <w:rFonts w:ascii="Garamond" w:eastAsia="Times New Roman" w:hAnsi="Garamond" w:cs="Times New Roman"/>
        </w:rPr>
        <w:t>’</w:t>
      </w:r>
      <w:r w:rsidRPr="00C05D6B">
        <w:rPr>
          <w:rFonts w:ascii="Garamond" w:eastAsia="Times New Roman" w:hAnsi="Garamond" w:cs="Times New Roman"/>
        </w:rPr>
        <w:t>s actions relaxing regulation of mifepristone.</w:t>
      </w:r>
    </w:p>
    <w:p w14:paraId="4338DABF" w14:textId="77777777" w:rsidR="003125BF" w:rsidRPr="00C05D6B" w:rsidRDefault="003125BF" w:rsidP="003125BF">
      <w:pPr>
        <w:shd w:val="clear" w:color="auto" w:fill="FFFFFF"/>
        <w:textAlignment w:val="baseline"/>
        <w:rPr>
          <w:rFonts w:ascii="Garamond" w:eastAsia="Times New Roman" w:hAnsi="Garamond" w:cs="Times New Roman"/>
        </w:rPr>
      </w:pPr>
    </w:p>
    <w:p w14:paraId="772CA36E" w14:textId="55400FCA"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Rather, the plaintiffs say that they are pro-life, oppose elective abortion, and have sincere legal, moral, ideological, and policy objections to mifepristone being prescribed and used </w:t>
      </w:r>
      <w:r w:rsidRPr="00C05D6B">
        <w:rPr>
          <w:rFonts w:ascii="Garamond" w:eastAsia="Times New Roman" w:hAnsi="Garamond" w:cs="Times New Roman"/>
          <w:i/>
          <w:iCs/>
          <w:bdr w:val="none" w:sz="0" w:space="0" w:color="auto" w:frame="1"/>
        </w:rPr>
        <w:t>by others</w:t>
      </w:r>
      <w:r w:rsidRPr="00C05D6B">
        <w:rPr>
          <w:rFonts w:ascii="Garamond" w:eastAsia="Times New Roman" w:hAnsi="Garamond" w:cs="Times New Roman"/>
        </w:rPr>
        <w:t>. The plaintiffs appear to recognize that those general legal, moral, ideological, and policy concerns do not suffice on their own to confer </w:t>
      </w:r>
      <w:hyperlink r:id="rId17" w:history="1">
        <w:r w:rsidRPr="00C05D6B">
          <w:rPr>
            <w:rFonts w:ascii="Garamond" w:eastAsia="Times New Roman" w:hAnsi="Garamond" w:cs="Times New Roman"/>
            <w:bdr w:val="none" w:sz="0" w:space="0" w:color="auto" w:frame="1"/>
          </w:rPr>
          <w:t>Article III</w:t>
        </w:r>
      </w:hyperlink>
      <w:r w:rsidRPr="00C05D6B">
        <w:rPr>
          <w:rFonts w:ascii="Garamond" w:eastAsia="Times New Roman" w:hAnsi="Garamond" w:cs="Times New Roman"/>
        </w:rPr>
        <w:t> standing to sue in federal court. So to try to establish standing, the plaintiffs advance several complicated causation theories to connect FDA</w:t>
      </w:r>
      <w:r w:rsidR="00390FEA" w:rsidRPr="00C05D6B">
        <w:rPr>
          <w:rFonts w:ascii="Garamond" w:eastAsia="Times New Roman" w:hAnsi="Garamond" w:cs="Times New Roman"/>
        </w:rPr>
        <w:t>’</w:t>
      </w:r>
      <w:r w:rsidRPr="00C05D6B">
        <w:rPr>
          <w:rFonts w:ascii="Garamond" w:eastAsia="Times New Roman" w:hAnsi="Garamond" w:cs="Times New Roman"/>
        </w:rPr>
        <w:t>s actions to the plaintiffs’ alleged injuries in fact.</w:t>
      </w:r>
    </w:p>
    <w:p w14:paraId="0686AF32" w14:textId="77777777" w:rsidR="003125BF" w:rsidRPr="00C05D6B" w:rsidRDefault="003125BF" w:rsidP="003125BF">
      <w:pPr>
        <w:shd w:val="clear" w:color="auto" w:fill="FFFFFF"/>
        <w:textAlignment w:val="baseline"/>
        <w:rPr>
          <w:rFonts w:ascii="Garamond" w:eastAsia="Times New Roman" w:hAnsi="Garamond" w:cs="Times New Roman"/>
        </w:rPr>
      </w:pPr>
    </w:p>
    <w:p w14:paraId="77FBCAEE" w14:textId="325EDFED"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The first set of causation theories contends that FDA</w:t>
      </w:r>
      <w:r w:rsidR="00C61DAD" w:rsidRPr="00C05D6B">
        <w:rPr>
          <w:rFonts w:ascii="Garamond" w:eastAsia="Times New Roman" w:hAnsi="Garamond" w:cs="Times New Roman"/>
        </w:rPr>
        <w:t>’</w:t>
      </w:r>
      <w:r w:rsidRPr="00C05D6B">
        <w:rPr>
          <w:rFonts w:ascii="Garamond" w:eastAsia="Times New Roman" w:hAnsi="Garamond" w:cs="Times New Roman"/>
        </w:rPr>
        <w:t>s relaxed regulation of mifepristone may cause downstream conscience injuries to the individual doctor plaintiffs and the specified members of the plaintiff medical associations, who are also doctors. (We will refer to them collectively as “the doctors.”) The second set of causation theories asserts that FDA</w:t>
      </w:r>
      <w:r w:rsidR="00C61DAD" w:rsidRPr="00C05D6B">
        <w:rPr>
          <w:rFonts w:ascii="Garamond" w:eastAsia="Times New Roman" w:hAnsi="Garamond" w:cs="Times New Roman"/>
        </w:rPr>
        <w:t>’</w:t>
      </w:r>
      <w:r w:rsidRPr="00C05D6B">
        <w:rPr>
          <w:rFonts w:ascii="Garamond" w:eastAsia="Times New Roman" w:hAnsi="Garamond" w:cs="Times New Roman"/>
        </w:rPr>
        <w:t>s relaxed regulation of mifepristone may cause downstream economic injuries to the doctors. The third set of causation theories maintains that FDA</w:t>
      </w:r>
      <w:r w:rsidR="00C61DAD" w:rsidRPr="00C05D6B">
        <w:rPr>
          <w:rFonts w:ascii="Garamond" w:eastAsia="Times New Roman" w:hAnsi="Garamond" w:cs="Times New Roman"/>
        </w:rPr>
        <w:t>’</w:t>
      </w:r>
      <w:r w:rsidRPr="00C05D6B">
        <w:rPr>
          <w:rFonts w:ascii="Garamond" w:eastAsia="Times New Roman" w:hAnsi="Garamond" w:cs="Times New Roman"/>
        </w:rPr>
        <w:t>s relaxed regulation of mifepristone causes injuries to the medical associations themselves, who assert their own organizational standing. As we will explain, none of the theories suffices to establish </w:t>
      </w:r>
      <w:hyperlink r:id="rId18" w:history="1">
        <w:r w:rsidRPr="00C05D6B">
          <w:rPr>
            <w:rFonts w:ascii="Garamond" w:eastAsia="Times New Roman" w:hAnsi="Garamond" w:cs="Times New Roman"/>
            <w:bdr w:val="none" w:sz="0" w:space="0" w:color="auto" w:frame="1"/>
          </w:rPr>
          <w:t>Article III</w:t>
        </w:r>
      </w:hyperlink>
      <w:r w:rsidRPr="00C05D6B">
        <w:rPr>
          <w:rFonts w:ascii="Garamond" w:eastAsia="Times New Roman" w:hAnsi="Garamond" w:cs="Times New Roman"/>
        </w:rPr>
        <w:t> standing.</w:t>
      </w:r>
    </w:p>
    <w:p w14:paraId="11A50E64" w14:textId="77777777" w:rsidR="003125BF" w:rsidRPr="00C05D6B" w:rsidRDefault="003125BF" w:rsidP="003125BF">
      <w:pPr>
        <w:shd w:val="clear" w:color="auto" w:fill="FFFFFF"/>
        <w:textAlignment w:val="baseline"/>
        <w:rPr>
          <w:rFonts w:ascii="Garamond" w:eastAsia="Times New Roman" w:hAnsi="Garamond" w:cs="Times New Roman"/>
        </w:rPr>
      </w:pPr>
    </w:p>
    <w:p w14:paraId="0425C49C" w14:textId="77777777" w:rsidR="003125BF" w:rsidRPr="00C05D6B" w:rsidRDefault="003125BF" w:rsidP="003125BF">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1</w:t>
      </w:r>
    </w:p>
    <w:p w14:paraId="37F44394" w14:textId="77777777" w:rsidR="003125BF" w:rsidRPr="00C05D6B" w:rsidRDefault="003125BF" w:rsidP="003125BF">
      <w:pPr>
        <w:shd w:val="clear" w:color="auto" w:fill="FFFFFF"/>
        <w:textAlignment w:val="baseline"/>
        <w:rPr>
          <w:rFonts w:ascii="Garamond" w:eastAsia="Times New Roman" w:hAnsi="Garamond" w:cs="Times New Roman"/>
        </w:rPr>
      </w:pPr>
    </w:p>
    <w:p w14:paraId="30D1535E" w14:textId="33ADBE54"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We first address the plaintiffs’ claim that FDA</w:t>
      </w:r>
      <w:r w:rsidR="00390FEA" w:rsidRPr="00C05D6B">
        <w:rPr>
          <w:rFonts w:ascii="Garamond" w:eastAsia="Times New Roman" w:hAnsi="Garamond" w:cs="Times New Roman"/>
        </w:rPr>
        <w:t>’</w:t>
      </w:r>
      <w:r w:rsidRPr="00C05D6B">
        <w:rPr>
          <w:rFonts w:ascii="Garamond" w:eastAsia="Times New Roman" w:hAnsi="Garamond" w:cs="Times New Roman"/>
        </w:rPr>
        <w:t>s relaxed regulation of mifepristone causes conscience injuries to the doctors.  The doctors contend that FDA</w:t>
      </w:r>
      <w:r w:rsidR="00C61DAD" w:rsidRPr="00C05D6B">
        <w:rPr>
          <w:rFonts w:ascii="Garamond" w:eastAsia="Times New Roman" w:hAnsi="Garamond" w:cs="Times New Roman"/>
        </w:rPr>
        <w:t>’</w:t>
      </w:r>
      <w:r w:rsidRPr="00C05D6B">
        <w:rPr>
          <w:rFonts w:ascii="Garamond" w:eastAsia="Times New Roman" w:hAnsi="Garamond" w:cs="Times New Roman"/>
        </w:rPr>
        <w:t>s 2016 and 2021 actions will cause more pregnant women to suffer complications from </w:t>
      </w:r>
      <w:hyperlink r:id="rId19" w:history="1">
        <w:r w:rsidRPr="00C05D6B">
          <w:rPr>
            <w:rFonts w:ascii="Garamond" w:eastAsia="Times New Roman" w:hAnsi="Garamond" w:cs="Times New Roman"/>
            <w:bdr w:val="none" w:sz="0" w:space="0" w:color="auto" w:frame="1"/>
          </w:rPr>
          <w:t>mifepristone</w:t>
        </w:r>
      </w:hyperlink>
      <w:r w:rsidRPr="00C05D6B">
        <w:rPr>
          <w:rFonts w:ascii="Garamond" w:eastAsia="Times New Roman" w:hAnsi="Garamond" w:cs="Times New Roman"/>
        </w:rPr>
        <w:t>, and those women in turn will need more emergency abortions by doctors. The plaintiff doctors say that they therefore may be required—against their consciences—to render emergency treatment completing the abortions or providing other abortion-related treatment.</w:t>
      </w:r>
    </w:p>
    <w:p w14:paraId="69780561" w14:textId="77777777" w:rsidR="003125BF" w:rsidRPr="00C05D6B" w:rsidRDefault="003125BF" w:rsidP="003125BF">
      <w:pPr>
        <w:shd w:val="clear" w:color="auto" w:fill="FFFFFF"/>
        <w:textAlignment w:val="baseline"/>
        <w:rPr>
          <w:rFonts w:ascii="Garamond" w:eastAsia="Times New Roman" w:hAnsi="Garamond" w:cs="Times New Roman"/>
        </w:rPr>
      </w:pPr>
    </w:p>
    <w:p w14:paraId="3C7337F9" w14:textId="7777777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lastRenderedPageBreak/>
        <w:t>The Government correctly acknowledges that a conscience injury of that kind constitutes a concrete injury in fact for purposes of </w:t>
      </w:r>
      <w:hyperlink r:id="rId20" w:history="1">
        <w:r w:rsidRPr="00C05D6B">
          <w:rPr>
            <w:rFonts w:ascii="Garamond" w:eastAsia="Times New Roman" w:hAnsi="Garamond" w:cs="Times New Roman"/>
            <w:bdr w:val="none" w:sz="0" w:space="0" w:color="auto" w:frame="1"/>
          </w:rPr>
          <w:t>Article III</w:t>
        </w:r>
      </w:hyperlink>
      <w:r w:rsidRPr="00C05D6B">
        <w:rPr>
          <w:rFonts w:ascii="Garamond" w:eastAsia="Times New Roman" w:hAnsi="Garamond" w:cs="Times New Roman"/>
        </w:rPr>
        <w:t>. So doctors would have standing to challenge a government action that likely would cause them to provide medical treatment against their consciences.</w:t>
      </w:r>
    </w:p>
    <w:p w14:paraId="2B372E37" w14:textId="77777777" w:rsidR="003125BF" w:rsidRPr="00C05D6B" w:rsidRDefault="003125BF" w:rsidP="003125BF">
      <w:pPr>
        <w:shd w:val="clear" w:color="auto" w:fill="FFFFFF"/>
        <w:textAlignment w:val="baseline"/>
        <w:rPr>
          <w:rFonts w:ascii="Garamond" w:eastAsia="Times New Roman" w:hAnsi="Garamond" w:cs="Times New Roman"/>
        </w:rPr>
      </w:pPr>
    </w:p>
    <w:p w14:paraId="7EF4B6E3" w14:textId="2548AACF"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But in this case—even assuming for the sake of argument that FDA</w:t>
      </w:r>
      <w:r w:rsidR="00C61DAD" w:rsidRPr="00C05D6B">
        <w:rPr>
          <w:rFonts w:ascii="Garamond" w:eastAsia="Times New Roman" w:hAnsi="Garamond" w:cs="Times New Roman"/>
        </w:rPr>
        <w:t>’</w:t>
      </w:r>
      <w:r w:rsidRPr="00C05D6B">
        <w:rPr>
          <w:rFonts w:ascii="Garamond" w:eastAsia="Times New Roman" w:hAnsi="Garamond" w:cs="Times New Roman"/>
        </w:rPr>
        <w:t>s 2016 and 2021 changes to </w:t>
      </w:r>
      <w:hyperlink r:id="rId21" w:history="1">
        <w:r w:rsidRPr="00C05D6B">
          <w:rPr>
            <w:rFonts w:ascii="Garamond" w:eastAsia="Times New Roman" w:hAnsi="Garamond" w:cs="Times New Roman"/>
            <w:bdr w:val="none" w:sz="0" w:space="0" w:color="auto" w:frame="1"/>
          </w:rPr>
          <w:t>mifepristone</w:t>
        </w:r>
        <w:r w:rsidR="00C61DAD" w:rsidRPr="00C05D6B">
          <w:rPr>
            <w:rFonts w:ascii="Garamond" w:eastAsia="Times New Roman" w:hAnsi="Garamond" w:cs="Times New Roman"/>
            <w:bdr w:val="none" w:sz="0" w:space="0" w:color="auto" w:frame="1"/>
          </w:rPr>
          <w:t>’</w:t>
        </w:r>
        <w:r w:rsidRPr="00C05D6B">
          <w:rPr>
            <w:rFonts w:ascii="Garamond" w:eastAsia="Times New Roman" w:hAnsi="Garamond" w:cs="Times New Roman"/>
            <w:bdr w:val="none" w:sz="0" w:space="0" w:color="auto" w:frame="1"/>
          </w:rPr>
          <w:t>s</w:t>
        </w:r>
      </w:hyperlink>
      <w:r w:rsidRPr="00C05D6B">
        <w:rPr>
          <w:rFonts w:ascii="Garamond" w:eastAsia="Times New Roman" w:hAnsi="Garamond" w:cs="Times New Roman"/>
        </w:rPr>
        <w:t> conditions of use cause more pregnant women to require emergency abortions and that some women would likely seek treatment from these plaintiff doctors—the plaintiff doctors have not shown that they could be forced to participate in an abortion or provide abortion-related medical treatment over their conscience objections.</w:t>
      </w:r>
    </w:p>
    <w:p w14:paraId="0D192A8A" w14:textId="77777777" w:rsidR="003125BF" w:rsidRPr="00C05D6B" w:rsidRDefault="003125BF" w:rsidP="003125BF">
      <w:pPr>
        <w:shd w:val="clear" w:color="auto" w:fill="FFFFFF"/>
        <w:textAlignment w:val="baseline"/>
        <w:rPr>
          <w:rFonts w:ascii="Garamond" w:eastAsia="Times New Roman" w:hAnsi="Garamond" w:cs="Times New Roman"/>
        </w:rPr>
      </w:pPr>
    </w:p>
    <w:p w14:paraId="19819E37" w14:textId="6EFE6CD2"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 xml:space="preserve">That is because, as the Government explains, federal conscience laws definitively protect doctors from being required to perform abortions or to provide other treatment that violates their consciences. </w:t>
      </w:r>
      <w:r w:rsidR="006D79DB" w:rsidRPr="00C05D6B">
        <w:rPr>
          <w:rFonts w:ascii="Garamond" w:eastAsia="Times New Roman" w:hAnsi="Garamond" w:cs="Times New Roman"/>
          <w:i/>
          <w:iCs/>
        </w:rPr>
        <w:t>See</w:t>
      </w:r>
      <w:r w:rsidR="006D79DB" w:rsidRPr="00C05D6B">
        <w:rPr>
          <w:rFonts w:ascii="Garamond" w:eastAsia="Times New Roman" w:hAnsi="Garamond" w:cs="Times New Roman"/>
        </w:rPr>
        <w:t xml:space="preserve"> 42 U.S.C. § 300a-7(c)(1). </w:t>
      </w:r>
      <w:r w:rsidRPr="00C05D6B">
        <w:rPr>
          <w:rFonts w:ascii="Garamond" w:eastAsia="Times New Roman" w:hAnsi="Garamond" w:cs="Times New Roman"/>
        </w:rPr>
        <w:t>The Church Amendments speak clearly. They allow doctors and other healthcare personnel to “</w:t>
      </w:r>
      <w:proofErr w:type="spellStart"/>
      <w:r w:rsidRPr="00C05D6B">
        <w:rPr>
          <w:rFonts w:ascii="Garamond" w:eastAsia="Times New Roman" w:hAnsi="Garamond" w:cs="Times New Roman"/>
        </w:rPr>
        <w:t>refus</w:t>
      </w:r>
      <w:proofErr w:type="spellEnd"/>
      <w:r w:rsidRPr="00C05D6B">
        <w:rPr>
          <w:rFonts w:ascii="Garamond" w:eastAsia="Times New Roman" w:hAnsi="Garamond" w:cs="Times New Roman"/>
        </w:rPr>
        <w:t>[e] to perform or assist” an abortion without punishment or discrimination from their employers.</w:t>
      </w:r>
      <w:r w:rsidR="006D79DB" w:rsidRPr="00C05D6B">
        <w:rPr>
          <w:rFonts w:ascii="Garamond" w:eastAsia="Times New Roman" w:hAnsi="Garamond" w:cs="Times New Roman"/>
        </w:rPr>
        <w:t xml:space="preserve"> </w:t>
      </w:r>
      <w:r w:rsidRPr="00C05D6B">
        <w:rPr>
          <w:rFonts w:ascii="Garamond" w:eastAsia="Times New Roman" w:hAnsi="Garamond" w:cs="Times New Roman"/>
        </w:rPr>
        <w:t xml:space="preserve">And the Church Amendments more broadly provide that doctors shall not be required to provide treatment or assistance that would violate the doctors’ religious beliefs or moral convictions. Most if not all States have conscience laws to the same effect. </w:t>
      </w:r>
    </w:p>
    <w:p w14:paraId="1C9F72A8" w14:textId="77777777" w:rsidR="003125BF" w:rsidRPr="00C05D6B" w:rsidRDefault="003125BF" w:rsidP="003125BF">
      <w:pPr>
        <w:shd w:val="clear" w:color="auto" w:fill="FFFFFF"/>
        <w:textAlignment w:val="baseline"/>
        <w:rPr>
          <w:rFonts w:ascii="Garamond" w:eastAsia="Times New Roman" w:hAnsi="Garamond" w:cs="Times New Roman"/>
        </w:rPr>
      </w:pPr>
    </w:p>
    <w:p w14:paraId="2BFE663B" w14:textId="7689131D"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Moreover, as the Government notes, federal conscience protections encompass “the doctor</w:t>
      </w:r>
      <w:r w:rsidR="00390FEA" w:rsidRPr="00C05D6B">
        <w:rPr>
          <w:rFonts w:ascii="Garamond" w:eastAsia="Times New Roman" w:hAnsi="Garamond" w:cs="Times New Roman"/>
        </w:rPr>
        <w:t>’</w:t>
      </w:r>
      <w:r w:rsidRPr="00C05D6B">
        <w:rPr>
          <w:rFonts w:ascii="Garamond" w:eastAsia="Times New Roman" w:hAnsi="Garamond" w:cs="Times New Roman"/>
        </w:rPr>
        <w:t>s beliefs rather than particular procedures,” meaning that doctors cannot be required to treat mifepristone complications in any way that would violate the doctors’ consciences. As the Government points out, that strong protection for conscience remains true even in a so-called healthcare desert, where other doctors are not readily available.</w:t>
      </w:r>
    </w:p>
    <w:p w14:paraId="59A4BF0C" w14:textId="77777777" w:rsidR="003125BF" w:rsidRPr="00C05D6B" w:rsidRDefault="003125BF" w:rsidP="003125BF">
      <w:pPr>
        <w:shd w:val="clear" w:color="auto" w:fill="FFFFFF"/>
        <w:textAlignment w:val="baseline"/>
        <w:rPr>
          <w:rFonts w:ascii="Garamond" w:eastAsia="Times New Roman" w:hAnsi="Garamond" w:cs="Times New Roman"/>
        </w:rPr>
      </w:pPr>
    </w:p>
    <w:p w14:paraId="2042127E" w14:textId="6D1BDD06"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Not only as a matter of law but also as a matter of fact, the federal conscience laws have protected pro-life doctors ever since FDA approved mifepristone in 2000. The plaintiffs have not identified any instances where a doctor was required, notwithstanding conscience objections, to perform an abortion or to provide other abortion-related treatment that violated the doctor</w:t>
      </w:r>
      <w:r w:rsidR="00390FEA" w:rsidRPr="00C05D6B">
        <w:rPr>
          <w:rFonts w:ascii="Garamond" w:eastAsia="Times New Roman" w:hAnsi="Garamond" w:cs="Times New Roman"/>
        </w:rPr>
        <w:t>’</w:t>
      </w:r>
      <w:r w:rsidRPr="00C05D6B">
        <w:rPr>
          <w:rFonts w:ascii="Garamond" w:eastAsia="Times New Roman" w:hAnsi="Garamond" w:cs="Times New Roman"/>
        </w:rPr>
        <w:t>s conscience. Nor is there any evidence in the record here of hospitals overriding or failing to accommodate doctors’ conscience objections.</w:t>
      </w:r>
    </w:p>
    <w:p w14:paraId="21CC2B2A" w14:textId="77777777" w:rsidR="003125BF" w:rsidRPr="00C05D6B" w:rsidRDefault="003125BF" w:rsidP="003125BF">
      <w:pPr>
        <w:shd w:val="clear" w:color="auto" w:fill="FFFFFF"/>
        <w:textAlignment w:val="baseline"/>
        <w:rPr>
          <w:rFonts w:ascii="Garamond" w:eastAsia="Times New Roman" w:hAnsi="Garamond" w:cs="Times New Roman"/>
        </w:rPr>
      </w:pPr>
    </w:p>
    <w:p w14:paraId="30A0B75C" w14:textId="7777777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 xml:space="preserve">In other words, none of the doctors’ declarations says anything like the following: “Here is the treatment I provided, here is how it violated my conscience, and here is why the conscience protections were unavailable to me.” </w:t>
      </w:r>
    </w:p>
    <w:p w14:paraId="20A71ABE" w14:textId="77777777" w:rsidR="003125BF" w:rsidRPr="00C05D6B" w:rsidRDefault="003125BF" w:rsidP="003125BF">
      <w:pPr>
        <w:shd w:val="clear" w:color="auto" w:fill="FFFFFF"/>
        <w:textAlignment w:val="baseline"/>
        <w:rPr>
          <w:rFonts w:ascii="Garamond" w:eastAsia="Times New Roman" w:hAnsi="Garamond" w:cs="Times New Roman"/>
        </w:rPr>
      </w:pPr>
    </w:p>
    <w:p w14:paraId="45B9A817" w14:textId="2F31874A"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In short, given the broad and comprehensive conscience protections guaranteed by federal law, the plaintiffs have not shown—and cannot show—that FDA</w:t>
      </w:r>
      <w:r w:rsidR="00C61DAD" w:rsidRPr="00C05D6B">
        <w:rPr>
          <w:rFonts w:ascii="Garamond" w:eastAsia="Times New Roman" w:hAnsi="Garamond" w:cs="Times New Roman"/>
        </w:rPr>
        <w:t>’</w:t>
      </w:r>
      <w:r w:rsidRPr="00C05D6B">
        <w:rPr>
          <w:rFonts w:ascii="Garamond" w:eastAsia="Times New Roman" w:hAnsi="Garamond" w:cs="Times New Roman"/>
        </w:rPr>
        <w:t>s actions will cause them to suffer any conscience injury. Federal law fully protects doctors against being required to provide abortions or other medical treatment against their consciences—and therefore breaks any chain of causation between FDA</w:t>
      </w:r>
      <w:r w:rsidR="00C61DAD" w:rsidRPr="00C05D6B">
        <w:rPr>
          <w:rFonts w:ascii="Garamond" w:eastAsia="Times New Roman" w:hAnsi="Garamond" w:cs="Times New Roman"/>
        </w:rPr>
        <w:t>’</w:t>
      </w:r>
      <w:r w:rsidRPr="00C05D6B">
        <w:rPr>
          <w:rFonts w:ascii="Garamond" w:eastAsia="Times New Roman" w:hAnsi="Garamond" w:cs="Times New Roman"/>
        </w:rPr>
        <w:t xml:space="preserve">s relaxed regulation of mifepristone and any asserted conscience injuries to the doctors. </w:t>
      </w:r>
    </w:p>
    <w:p w14:paraId="7E72559D" w14:textId="77777777" w:rsidR="003125BF" w:rsidRPr="00C05D6B" w:rsidRDefault="003125BF" w:rsidP="003125BF">
      <w:pPr>
        <w:shd w:val="clear" w:color="auto" w:fill="FFFFFF"/>
        <w:textAlignment w:val="baseline"/>
        <w:rPr>
          <w:rFonts w:ascii="Garamond" w:eastAsia="Times New Roman" w:hAnsi="Garamond" w:cs="Times New Roman"/>
        </w:rPr>
      </w:pPr>
    </w:p>
    <w:p w14:paraId="034B7162" w14:textId="77777777" w:rsidR="003125BF" w:rsidRPr="00C05D6B" w:rsidRDefault="003125BF" w:rsidP="003125BF">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2</w:t>
      </w:r>
    </w:p>
    <w:p w14:paraId="00496E22" w14:textId="77777777" w:rsidR="003125BF" w:rsidRPr="00C05D6B" w:rsidRDefault="003125BF" w:rsidP="003125BF">
      <w:pPr>
        <w:shd w:val="clear" w:color="auto" w:fill="FFFFFF"/>
        <w:textAlignment w:val="baseline"/>
        <w:rPr>
          <w:rFonts w:ascii="Garamond" w:eastAsia="Times New Roman" w:hAnsi="Garamond" w:cs="Times New Roman"/>
        </w:rPr>
      </w:pPr>
    </w:p>
    <w:p w14:paraId="1C12C44E" w14:textId="1A1FEBEA"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In addition to alleging conscience injuries, the doctors cite various monetary and related injuries that they allegedly will suffer as a result of FDA</w:t>
      </w:r>
      <w:r w:rsidR="00C61DAD" w:rsidRPr="00C05D6B">
        <w:rPr>
          <w:rFonts w:ascii="Garamond" w:eastAsia="Times New Roman" w:hAnsi="Garamond" w:cs="Times New Roman"/>
        </w:rPr>
        <w:t>’</w:t>
      </w:r>
      <w:r w:rsidRPr="00C05D6B">
        <w:rPr>
          <w:rFonts w:ascii="Garamond" w:eastAsia="Times New Roman" w:hAnsi="Garamond" w:cs="Times New Roman"/>
        </w:rPr>
        <w:t xml:space="preserve">s actions—in particular, diverting resources </w:t>
      </w:r>
      <w:r w:rsidRPr="00C05D6B">
        <w:rPr>
          <w:rFonts w:ascii="Garamond" w:eastAsia="Times New Roman" w:hAnsi="Garamond" w:cs="Times New Roman"/>
        </w:rPr>
        <w:lastRenderedPageBreak/>
        <w:t>and time from other patients to treat patients with </w:t>
      </w:r>
      <w:hyperlink r:id="rId22" w:history="1">
        <w:r w:rsidRPr="00C05D6B">
          <w:rPr>
            <w:rFonts w:ascii="Garamond" w:eastAsia="Times New Roman" w:hAnsi="Garamond" w:cs="Times New Roman"/>
            <w:bdr w:val="none" w:sz="0" w:space="0" w:color="auto" w:frame="1"/>
          </w:rPr>
          <w:t>mifepristone</w:t>
        </w:r>
      </w:hyperlink>
      <w:r w:rsidRPr="00C05D6B">
        <w:rPr>
          <w:rFonts w:ascii="Garamond" w:eastAsia="Times New Roman" w:hAnsi="Garamond" w:cs="Times New Roman"/>
        </w:rPr>
        <w:t> complications; increasing risk of liability suits from treating those patients; and potentially increasing insurance costs.</w:t>
      </w:r>
    </w:p>
    <w:p w14:paraId="1701A66C" w14:textId="77777777" w:rsidR="003125BF" w:rsidRPr="00C05D6B" w:rsidRDefault="003125BF" w:rsidP="003125BF">
      <w:pPr>
        <w:shd w:val="clear" w:color="auto" w:fill="FFFFFF"/>
        <w:ind w:firstLine="720"/>
        <w:textAlignment w:val="baseline"/>
        <w:rPr>
          <w:rFonts w:ascii="Garamond" w:eastAsia="Times New Roman" w:hAnsi="Garamond" w:cs="Times New Roman"/>
        </w:rPr>
      </w:pPr>
    </w:p>
    <w:p w14:paraId="355A2865" w14:textId="55AA352A"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Those standing allegations suffer from the same problem—a lack of causation. The causal link between FDA</w:t>
      </w:r>
      <w:r w:rsidR="00C61DAD" w:rsidRPr="00C05D6B">
        <w:rPr>
          <w:rFonts w:ascii="Garamond" w:eastAsia="Times New Roman" w:hAnsi="Garamond" w:cs="Times New Roman"/>
        </w:rPr>
        <w:t>’</w:t>
      </w:r>
      <w:r w:rsidRPr="00C05D6B">
        <w:rPr>
          <w:rFonts w:ascii="Garamond" w:eastAsia="Times New Roman" w:hAnsi="Garamond" w:cs="Times New Roman"/>
        </w:rPr>
        <w:t>s regulatory actions and those alleged injuries is too speculative or otherwise too attenuated to establish standing.</w:t>
      </w:r>
    </w:p>
    <w:p w14:paraId="5ECC7625" w14:textId="77777777" w:rsidR="003125BF" w:rsidRPr="00C05D6B" w:rsidRDefault="003125BF" w:rsidP="003125BF">
      <w:pPr>
        <w:shd w:val="clear" w:color="auto" w:fill="FFFFFF"/>
        <w:textAlignment w:val="baseline"/>
        <w:rPr>
          <w:rFonts w:ascii="Garamond" w:eastAsia="Times New Roman" w:hAnsi="Garamond" w:cs="Times New Roman"/>
        </w:rPr>
      </w:pPr>
    </w:p>
    <w:p w14:paraId="64DD3FE8" w14:textId="6658E47F"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To begin with, the claim that the doctors will incur those injuries as a result of FDA</w:t>
      </w:r>
      <w:r w:rsidR="00390FEA" w:rsidRPr="00C05D6B">
        <w:rPr>
          <w:rFonts w:ascii="Garamond" w:eastAsia="Times New Roman" w:hAnsi="Garamond" w:cs="Times New Roman"/>
        </w:rPr>
        <w:t>’</w:t>
      </w:r>
      <w:r w:rsidRPr="00C05D6B">
        <w:rPr>
          <w:rFonts w:ascii="Garamond" w:eastAsia="Times New Roman" w:hAnsi="Garamond" w:cs="Times New Roman"/>
        </w:rPr>
        <w:t>s 2016 and 2021 relaxed regulations lacks record support and is highly speculative. The doctors have not offered evidence tending to suggest that FDA</w:t>
      </w:r>
      <w:r w:rsidR="00C61DAD" w:rsidRPr="00C05D6B">
        <w:rPr>
          <w:rFonts w:ascii="Garamond" w:eastAsia="Times New Roman" w:hAnsi="Garamond" w:cs="Times New Roman"/>
        </w:rPr>
        <w:t>’</w:t>
      </w:r>
      <w:r w:rsidRPr="00C05D6B">
        <w:rPr>
          <w:rFonts w:ascii="Garamond" w:eastAsia="Times New Roman" w:hAnsi="Garamond" w:cs="Times New Roman"/>
        </w:rPr>
        <w:t>s deregulatory actions have both caused an increase in the number of pregnant women seeking treatment from the plaintiff doctors </w:t>
      </w:r>
      <w:r w:rsidRPr="00C05D6B">
        <w:rPr>
          <w:rFonts w:ascii="Garamond" w:eastAsia="Times New Roman" w:hAnsi="Garamond" w:cs="Times New Roman"/>
          <w:i/>
          <w:iCs/>
          <w:bdr w:val="none" w:sz="0" w:space="0" w:color="auto" w:frame="1"/>
        </w:rPr>
        <w:t>and</w:t>
      </w:r>
      <w:r w:rsidRPr="00C05D6B">
        <w:rPr>
          <w:rFonts w:ascii="Garamond" w:eastAsia="Times New Roman" w:hAnsi="Garamond" w:cs="Times New Roman"/>
        </w:rPr>
        <w:t> caused a resulting diversion of the doctors’ time and resources from other patients. Moreover, the doctors have not identified any instances in the past where they have been sued or required to pay higher insurance costs because they have treated pregnant women suffering </w:t>
      </w:r>
      <w:hyperlink r:id="rId23" w:history="1">
        <w:r w:rsidRPr="00C05D6B">
          <w:rPr>
            <w:rFonts w:ascii="Garamond" w:eastAsia="Times New Roman" w:hAnsi="Garamond" w:cs="Times New Roman"/>
            <w:bdr w:val="none" w:sz="0" w:space="0" w:color="auto" w:frame="1"/>
          </w:rPr>
          <w:t>mifepristone</w:t>
        </w:r>
      </w:hyperlink>
      <w:r w:rsidRPr="00C05D6B">
        <w:rPr>
          <w:rFonts w:ascii="Garamond" w:eastAsia="Times New Roman" w:hAnsi="Garamond" w:cs="Times New Roman"/>
        </w:rPr>
        <w:t> complications. Nor have the plaintiffs offered any persuasive evidence or reason to believe that the future will be different.</w:t>
      </w:r>
    </w:p>
    <w:p w14:paraId="16E998A7" w14:textId="77777777" w:rsidR="003125BF" w:rsidRPr="00C05D6B" w:rsidRDefault="003125BF" w:rsidP="003125BF">
      <w:pPr>
        <w:shd w:val="clear" w:color="auto" w:fill="FFFFFF"/>
        <w:textAlignment w:val="baseline"/>
        <w:rPr>
          <w:rFonts w:ascii="Garamond" w:eastAsia="Times New Roman" w:hAnsi="Garamond" w:cs="Times New Roman"/>
        </w:rPr>
      </w:pPr>
    </w:p>
    <w:p w14:paraId="1A91EB54" w14:textId="35D332EC"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In any event, and perhaps more to the point, the law has never permitted doctors to challenge the government</w:t>
      </w:r>
      <w:r w:rsidR="00390FEA" w:rsidRPr="00C05D6B">
        <w:rPr>
          <w:rFonts w:ascii="Garamond" w:eastAsia="Times New Roman" w:hAnsi="Garamond" w:cs="Times New Roman"/>
        </w:rPr>
        <w:t>’</w:t>
      </w:r>
      <w:r w:rsidRPr="00C05D6B">
        <w:rPr>
          <w:rFonts w:ascii="Garamond" w:eastAsia="Times New Roman" w:hAnsi="Garamond" w:cs="Times New Roman"/>
        </w:rPr>
        <w:t>s loosening of general public safety requirements simply because more individuals might then show up at emergency rooms or in doctors’ offices with follow-on injuries. Stated otherwise, there is no </w:t>
      </w:r>
      <w:hyperlink r:id="rId24" w:history="1">
        <w:r w:rsidRPr="00C05D6B">
          <w:rPr>
            <w:rFonts w:ascii="Garamond" w:eastAsia="Times New Roman" w:hAnsi="Garamond" w:cs="Times New Roman"/>
            <w:bdr w:val="none" w:sz="0" w:space="0" w:color="auto" w:frame="1"/>
          </w:rPr>
          <w:t>Article III</w:t>
        </w:r>
      </w:hyperlink>
      <w:r w:rsidRPr="00C05D6B">
        <w:rPr>
          <w:rFonts w:ascii="Garamond" w:eastAsia="Times New Roman" w:hAnsi="Garamond" w:cs="Times New Roman"/>
        </w:rPr>
        <w:t xml:space="preserve"> doctrine of “doctor standing” that allows doctors to challenge general government safety regulations. </w:t>
      </w:r>
    </w:p>
    <w:p w14:paraId="6AFDB2E1" w14:textId="77777777" w:rsidR="003125BF" w:rsidRPr="00C05D6B" w:rsidRDefault="003125BF" w:rsidP="003125BF">
      <w:pPr>
        <w:shd w:val="clear" w:color="auto" w:fill="FFFFFF"/>
        <w:textAlignment w:val="baseline"/>
        <w:rPr>
          <w:rFonts w:ascii="Garamond" w:eastAsia="Times New Roman" w:hAnsi="Garamond" w:cs="Times New Roman"/>
        </w:rPr>
      </w:pPr>
    </w:p>
    <w:p w14:paraId="21C458E0" w14:textId="7777777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Consider some examples. EPA rolls back emissions standards for power plants—does a doctor have standing to sue because she may need to spend more time treating </w:t>
      </w:r>
      <w:hyperlink r:id="rId25" w:history="1">
        <w:r w:rsidRPr="00C05D6B">
          <w:rPr>
            <w:rFonts w:ascii="Garamond" w:eastAsia="Times New Roman" w:hAnsi="Garamond" w:cs="Times New Roman"/>
            <w:bdr w:val="none" w:sz="0" w:space="0" w:color="auto" w:frame="1"/>
          </w:rPr>
          <w:t>asthma</w:t>
        </w:r>
      </w:hyperlink>
      <w:r w:rsidRPr="00C05D6B">
        <w:rPr>
          <w:rFonts w:ascii="Garamond" w:eastAsia="Times New Roman" w:hAnsi="Garamond" w:cs="Times New Roman"/>
        </w:rPr>
        <w:t> patients? A local school district starts a middle school football league—does a pediatrician have standing to challenge its constitutionality because she might need to spend more time treating concussions? A federal agency increases a speed limit from 65 to 80 miles per hour—does an emergency room doctor have standing to sue because he may have to treat more car accident victims? The government repeals certain restrictions on guns—does a surgeon have standing to sue because he might have to operate on more gunshot victims?</w:t>
      </w:r>
    </w:p>
    <w:p w14:paraId="04925C06" w14:textId="77777777" w:rsidR="003125BF" w:rsidRPr="00C05D6B" w:rsidRDefault="003125BF" w:rsidP="003125BF">
      <w:pPr>
        <w:shd w:val="clear" w:color="auto" w:fill="FFFFFF"/>
        <w:textAlignment w:val="baseline"/>
        <w:rPr>
          <w:rFonts w:ascii="Garamond" w:eastAsia="Times New Roman" w:hAnsi="Garamond" w:cs="Times New Roman"/>
        </w:rPr>
      </w:pPr>
    </w:p>
    <w:p w14:paraId="7DE11310" w14:textId="64C1F69C" w:rsidR="003125BF" w:rsidRPr="00C05D6B" w:rsidRDefault="003125BF" w:rsidP="003125BF">
      <w:pPr>
        <w:shd w:val="clear" w:color="auto" w:fill="FFFFFF"/>
        <w:ind w:firstLine="720"/>
        <w:textAlignment w:val="baseline"/>
        <w:rPr>
          <w:rFonts w:ascii="Garamond" w:eastAsia="Times New Roman" w:hAnsi="Garamond" w:cs="Times New Roman"/>
          <w:bdr w:val="none" w:sz="0" w:space="0" w:color="auto" w:frame="1"/>
          <w:vertAlign w:val="superscript"/>
        </w:rPr>
      </w:pPr>
      <w:r w:rsidRPr="00C05D6B">
        <w:rPr>
          <w:rFonts w:ascii="Garamond" w:eastAsia="Times New Roman" w:hAnsi="Garamond" w:cs="Times New Roman"/>
        </w:rPr>
        <w:t>The answer is no: The chain of causation is simply too attenuated. Allowing doctors or other healthcare providers to challenge general safety regulations as unlawfully lax would allow doctors to sue in federal court to challenge almost any policy affecting public health.</w:t>
      </w:r>
    </w:p>
    <w:p w14:paraId="3EA5588E" w14:textId="77777777" w:rsidR="003125BF" w:rsidRPr="00C05D6B" w:rsidRDefault="003125BF" w:rsidP="003125BF">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 xml:space="preserve"> </w:t>
      </w:r>
    </w:p>
    <w:p w14:paraId="68431048" w14:textId="7777777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And in the FDA drug-approval context, virtually all drugs come with complications, risks, and side effects. Some drugs increase the risk of </w:t>
      </w:r>
      <w:hyperlink r:id="rId26" w:history="1">
        <w:r w:rsidRPr="00C05D6B">
          <w:rPr>
            <w:rFonts w:ascii="Garamond" w:eastAsia="Times New Roman" w:hAnsi="Garamond" w:cs="Times New Roman"/>
            <w:bdr w:val="none" w:sz="0" w:space="0" w:color="auto" w:frame="1"/>
          </w:rPr>
          <w:t>heart attack</w:t>
        </w:r>
      </w:hyperlink>
      <w:r w:rsidRPr="00C05D6B">
        <w:rPr>
          <w:rFonts w:ascii="Garamond" w:eastAsia="Times New Roman" w:hAnsi="Garamond" w:cs="Times New Roman"/>
        </w:rPr>
        <w:t>, some may cause </w:t>
      </w:r>
      <w:hyperlink r:id="rId27" w:history="1">
        <w:r w:rsidRPr="00C05D6B">
          <w:rPr>
            <w:rFonts w:ascii="Garamond" w:eastAsia="Times New Roman" w:hAnsi="Garamond" w:cs="Times New Roman"/>
            <w:bdr w:val="none" w:sz="0" w:space="0" w:color="auto" w:frame="1"/>
          </w:rPr>
          <w:t>cancer</w:t>
        </w:r>
      </w:hyperlink>
      <w:r w:rsidRPr="00C05D6B">
        <w:rPr>
          <w:rFonts w:ascii="Garamond" w:eastAsia="Times New Roman" w:hAnsi="Garamond" w:cs="Times New Roman"/>
        </w:rPr>
        <w:t>, some may cause </w:t>
      </w:r>
      <w:hyperlink r:id="rId28" w:history="1">
        <w:r w:rsidRPr="00C05D6B">
          <w:rPr>
            <w:rFonts w:ascii="Garamond" w:eastAsia="Times New Roman" w:hAnsi="Garamond" w:cs="Times New Roman"/>
            <w:bdr w:val="none" w:sz="0" w:space="0" w:color="auto" w:frame="1"/>
          </w:rPr>
          <w:t>birth defects</w:t>
        </w:r>
      </w:hyperlink>
      <w:r w:rsidRPr="00C05D6B">
        <w:rPr>
          <w:rFonts w:ascii="Garamond" w:eastAsia="Times New Roman" w:hAnsi="Garamond" w:cs="Times New Roman"/>
        </w:rPr>
        <w:t>, and some heighten the possibility of </w:t>
      </w:r>
      <w:hyperlink r:id="rId29" w:history="1">
        <w:r w:rsidRPr="00C05D6B">
          <w:rPr>
            <w:rFonts w:ascii="Garamond" w:eastAsia="Times New Roman" w:hAnsi="Garamond" w:cs="Times New Roman"/>
            <w:bdr w:val="none" w:sz="0" w:space="0" w:color="auto" w:frame="1"/>
          </w:rPr>
          <w:t>stroke</w:t>
        </w:r>
      </w:hyperlink>
      <w:r w:rsidRPr="00C05D6B">
        <w:rPr>
          <w:rFonts w:ascii="Garamond" w:eastAsia="Times New Roman" w:hAnsi="Garamond" w:cs="Times New Roman"/>
        </w:rPr>
        <w:t>. Approval of a new drug may therefore yield more visits to doctors to treat complications or side effects. So the plaintiffs’ loose approach to causation would also essentially allow any doctor or healthcare provider to challenge any FDA decision approving a new drug. But doctors have never had standing to challenge FDA's drug approvals simply on the theory that use of the drugs by others may cause more visits to doctors.</w:t>
      </w:r>
    </w:p>
    <w:p w14:paraId="6FD48C0B" w14:textId="77777777" w:rsidR="003125BF" w:rsidRPr="00C05D6B" w:rsidRDefault="003125BF" w:rsidP="003125BF">
      <w:pPr>
        <w:shd w:val="clear" w:color="auto" w:fill="FFFFFF"/>
        <w:textAlignment w:val="baseline"/>
        <w:rPr>
          <w:rFonts w:ascii="Garamond" w:eastAsia="Times New Roman" w:hAnsi="Garamond" w:cs="Times New Roman"/>
        </w:rPr>
      </w:pPr>
    </w:p>
    <w:p w14:paraId="480D85CB" w14:textId="7777777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 xml:space="preserve">And if we were now to invent a new doctrine of doctor standing, there would be no principled way to cabin such a sweeping doctrinal change to doctors or other healthcare providers. Firefighters could sue to object to relaxed building codes that increase fire risks. Police officers </w:t>
      </w:r>
      <w:r w:rsidRPr="00C05D6B">
        <w:rPr>
          <w:rFonts w:ascii="Garamond" w:eastAsia="Times New Roman" w:hAnsi="Garamond" w:cs="Times New Roman"/>
        </w:rPr>
        <w:lastRenderedPageBreak/>
        <w:t>could sue to challenge a government decision to legalize certain activities that are associated with increased crime. Teachers in border states could sue to challenge allegedly lax immigration policies that lead to overcrowded classrooms.</w:t>
      </w:r>
    </w:p>
    <w:p w14:paraId="49D2AA11" w14:textId="77777777" w:rsidR="003125BF" w:rsidRPr="00C05D6B" w:rsidRDefault="003125BF" w:rsidP="003125BF">
      <w:pPr>
        <w:shd w:val="clear" w:color="auto" w:fill="FFFFFF"/>
        <w:textAlignment w:val="baseline"/>
        <w:rPr>
          <w:rFonts w:ascii="Garamond" w:eastAsia="Times New Roman" w:hAnsi="Garamond" w:cs="Times New Roman"/>
        </w:rPr>
      </w:pPr>
    </w:p>
    <w:p w14:paraId="4C12D140" w14:textId="11D9BCD0"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Citizens and doctors who object to what the law allows others to do may always take their concerns to the Executive and Legislative Branches and seek greater regulatory or legislative restrictions on certain activities.</w:t>
      </w:r>
    </w:p>
    <w:p w14:paraId="53B7798C" w14:textId="77777777" w:rsidR="003125BF" w:rsidRPr="00C05D6B" w:rsidRDefault="003125BF" w:rsidP="003125BF">
      <w:pPr>
        <w:shd w:val="clear" w:color="auto" w:fill="FFFFFF"/>
        <w:textAlignment w:val="baseline"/>
        <w:rPr>
          <w:rFonts w:ascii="Garamond" w:eastAsia="Times New Roman" w:hAnsi="Garamond" w:cs="Times New Roman"/>
        </w:rPr>
      </w:pPr>
    </w:p>
    <w:p w14:paraId="40BEC50E" w14:textId="77777777" w:rsidR="003125BF" w:rsidRPr="00C05D6B" w:rsidRDefault="003125BF" w:rsidP="003125BF">
      <w:pPr>
        <w:shd w:val="clear" w:color="auto" w:fill="FFFFFF"/>
        <w:textAlignment w:val="baseline"/>
        <w:rPr>
          <w:rFonts w:ascii="Garamond" w:eastAsia="Times New Roman" w:hAnsi="Garamond" w:cs="Times New Roman"/>
        </w:rPr>
      </w:pPr>
      <w:r w:rsidRPr="00C05D6B">
        <w:rPr>
          <w:rFonts w:ascii="Garamond" w:eastAsia="Times New Roman" w:hAnsi="Garamond" w:cs="Times New Roman"/>
        </w:rPr>
        <w:t>3</w:t>
      </w:r>
    </w:p>
    <w:p w14:paraId="719A71B7" w14:textId="77777777" w:rsidR="003125BF" w:rsidRPr="00C05D6B" w:rsidRDefault="003125BF" w:rsidP="003125BF">
      <w:pPr>
        <w:shd w:val="clear" w:color="auto" w:fill="FFFFFF"/>
        <w:textAlignment w:val="baseline"/>
        <w:rPr>
          <w:rFonts w:ascii="Garamond" w:eastAsia="Times New Roman" w:hAnsi="Garamond" w:cs="Times New Roman"/>
        </w:rPr>
      </w:pPr>
    </w:p>
    <w:p w14:paraId="4D096C32" w14:textId="31A1A894"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That leaves the medical associations’ argument that the associations themselves have organizational standing. Under this Court</w:t>
      </w:r>
      <w:r w:rsidR="00C61DAD" w:rsidRPr="00C05D6B">
        <w:rPr>
          <w:rFonts w:ascii="Garamond" w:eastAsia="Times New Roman" w:hAnsi="Garamond" w:cs="Times New Roman"/>
        </w:rPr>
        <w:t>’</w:t>
      </w:r>
      <w:r w:rsidRPr="00C05D6B">
        <w:rPr>
          <w:rFonts w:ascii="Garamond" w:eastAsia="Times New Roman" w:hAnsi="Garamond" w:cs="Times New Roman"/>
        </w:rPr>
        <w:t>s precedents, organizations may have standing “to sue on their own behalf for injuries they have sustained.” In doing so, however, organizations must satisfy the usual standards for injury in fact, causation, and redressability that apply to individuals. </w:t>
      </w:r>
    </w:p>
    <w:p w14:paraId="7D889799" w14:textId="77777777" w:rsidR="003125BF" w:rsidRPr="00C05D6B" w:rsidRDefault="003125BF" w:rsidP="003125BF">
      <w:pPr>
        <w:shd w:val="clear" w:color="auto" w:fill="FFFFFF"/>
        <w:textAlignment w:val="baseline"/>
        <w:rPr>
          <w:rFonts w:ascii="Garamond" w:eastAsia="Times New Roman" w:hAnsi="Garamond" w:cs="Times New Roman"/>
        </w:rPr>
      </w:pPr>
    </w:p>
    <w:p w14:paraId="7C2CB5D3" w14:textId="77777777"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According to the medical associations, FDA has “impaired” their “ability to provide services and achieve their organizational missions.” That argument does not work to demonstrate standing.</w:t>
      </w:r>
    </w:p>
    <w:p w14:paraId="5A48598F" w14:textId="77777777" w:rsidR="003125BF" w:rsidRPr="00C05D6B" w:rsidRDefault="003125BF" w:rsidP="003125BF">
      <w:pPr>
        <w:shd w:val="clear" w:color="auto" w:fill="FFFFFF"/>
        <w:textAlignment w:val="baseline"/>
        <w:rPr>
          <w:rFonts w:ascii="Garamond" w:eastAsia="Times New Roman" w:hAnsi="Garamond" w:cs="Times New Roman"/>
        </w:rPr>
      </w:pPr>
    </w:p>
    <w:p w14:paraId="24A0B12C" w14:textId="42CC61D2"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Like an individual, an organization may not establish standing simply based on the “intensity of the litigant</w:t>
      </w:r>
      <w:r w:rsidR="00C61DAD" w:rsidRPr="00C05D6B">
        <w:rPr>
          <w:rFonts w:ascii="Garamond" w:eastAsia="Times New Roman" w:hAnsi="Garamond" w:cs="Times New Roman"/>
        </w:rPr>
        <w:t>’</w:t>
      </w:r>
      <w:r w:rsidRPr="00C05D6B">
        <w:rPr>
          <w:rFonts w:ascii="Garamond" w:eastAsia="Times New Roman" w:hAnsi="Garamond" w:cs="Times New Roman"/>
        </w:rPr>
        <w:t>s interest” or because of strong opposition to the government</w:t>
      </w:r>
      <w:r w:rsidR="00D22423" w:rsidRPr="00C05D6B">
        <w:rPr>
          <w:rFonts w:ascii="Garamond" w:eastAsia="Times New Roman" w:hAnsi="Garamond" w:cs="Times New Roman"/>
        </w:rPr>
        <w:t>’</w:t>
      </w:r>
      <w:r w:rsidRPr="00C05D6B">
        <w:rPr>
          <w:rFonts w:ascii="Garamond" w:eastAsia="Times New Roman" w:hAnsi="Garamond" w:cs="Times New Roman"/>
        </w:rPr>
        <w:t>s conduct</w:t>
      </w:r>
      <w:r w:rsidR="006D79DB" w:rsidRPr="00C05D6B">
        <w:rPr>
          <w:rFonts w:ascii="Garamond" w:eastAsia="Times New Roman" w:hAnsi="Garamond" w:cs="Times New Roman"/>
        </w:rPr>
        <w:t>, Valley Forge Christian College v. Am. United (1982)</w:t>
      </w:r>
      <w:r w:rsidRPr="00C05D6B">
        <w:rPr>
          <w:rFonts w:ascii="Garamond" w:eastAsia="Times New Roman" w:hAnsi="Garamond" w:cs="Times New Roman"/>
        </w:rPr>
        <w:t>, “no matter how longstanding the interest and no matter how qualified the organization.”</w:t>
      </w:r>
      <w:r w:rsidR="006D79DB" w:rsidRPr="00C05D6B">
        <w:rPr>
          <w:rFonts w:ascii="Garamond" w:eastAsia="Times New Roman" w:hAnsi="Garamond" w:cs="Times New Roman"/>
        </w:rPr>
        <w:t xml:space="preserve">  Sierra Club v. Morton (1972).  </w:t>
      </w:r>
      <w:r w:rsidRPr="00C05D6B">
        <w:rPr>
          <w:rFonts w:ascii="Garamond" w:eastAsia="Times New Roman" w:hAnsi="Garamond" w:cs="Times New Roman"/>
        </w:rPr>
        <w:t>A plaintiff must show “far more than simply a setback to the organization</w:t>
      </w:r>
      <w:r w:rsidR="00D22423" w:rsidRPr="00C05D6B">
        <w:rPr>
          <w:rFonts w:ascii="Garamond" w:eastAsia="Times New Roman" w:hAnsi="Garamond" w:cs="Times New Roman"/>
        </w:rPr>
        <w:t>’</w:t>
      </w:r>
      <w:r w:rsidRPr="00C05D6B">
        <w:rPr>
          <w:rFonts w:ascii="Garamond" w:eastAsia="Times New Roman" w:hAnsi="Garamond" w:cs="Times New Roman"/>
        </w:rPr>
        <w:t>s abstract social interests.”</w:t>
      </w:r>
      <w:r w:rsidR="006D79DB" w:rsidRPr="00C05D6B">
        <w:rPr>
          <w:rFonts w:ascii="Garamond" w:eastAsia="Times New Roman" w:hAnsi="Garamond" w:cs="Times New Roman"/>
        </w:rPr>
        <w:t xml:space="preserve"> Havens Realty Corp. v. Coleman (1982).</w:t>
      </w:r>
      <w:r w:rsidRPr="00C05D6B">
        <w:rPr>
          <w:rFonts w:ascii="Garamond" w:eastAsia="Times New Roman" w:hAnsi="Garamond" w:cs="Times New Roman"/>
        </w:rPr>
        <w:t>  The plaintiff associations therefore cannot assert standing simply because they object to FDA</w:t>
      </w:r>
      <w:r w:rsidR="00C61DAD" w:rsidRPr="00C05D6B">
        <w:rPr>
          <w:rFonts w:ascii="Garamond" w:eastAsia="Times New Roman" w:hAnsi="Garamond" w:cs="Times New Roman"/>
        </w:rPr>
        <w:t>’</w:t>
      </w:r>
      <w:r w:rsidRPr="00C05D6B">
        <w:rPr>
          <w:rFonts w:ascii="Garamond" w:eastAsia="Times New Roman" w:hAnsi="Garamond" w:cs="Times New Roman"/>
        </w:rPr>
        <w:t>s actions.</w:t>
      </w:r>
    </w:p>
    <w:p w14:paraId="1114676C" w14:textId="0B01F377" w:rsidR="006D79DB" w:rsidRPr="00C05D6B" w:rsidRDefault="006D79DB" w:rsidP="003125BF">
      <w:pPr>
        <w:shd w:val="clear" w:color="auto" w:fill="FFFFFF"/>
        <w:ind w:firstLine="720"/>
        <w:textAlignment w:val="baseline"/>
        <w:rPr>
          <w:rFonts w:ascii="Garamond" w:eastAsia="Times New Roman" w:hAnsi="Garamond" w:cs="Times New Roman"/>
        </w:rPr>
      </w:pPr>
    </w:p>
    <w:p w14:paraId="64E5C810" w14:textId="1A35A49E" w:rsidR="006D79DB" w:rsidRPr="00C05D6B" w:rsidRDefault="006D79DB"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 xml:space="preserve">The medical associations say that they have standing not based on their mere disagreement with the FDA’s policies, but based on their incurring costs to oppose FDA’s actions. But an organization that has not suffered concrete injury cannot spend its way into standing simply by expending money to gather information and advocate against the defendant’s action. </w:t>
      </w:r>
      <w:r w:rsidRPr="00C05D6B">
        <w:rPr>
          <w:rFonts w:ascii="Garamond" w:eastAsia="Times New Roman" w:hAnsi="Garamond" w:cs="Times New Roman"/>
          <w:i/>
          <w:iCs/>
        </w:rPr>
        <w:t>Havens</w:t>
      </w:r>
      <w:r w:rsidRPr="00C05D6B">
        <w:rPr>
          <w:rFonts w:ascii="Garamond" w:eastAsia="Times New Roman" w:hAnsi="Garamond" w:cs="Times New Roman"/>
        </w:rPr>
        <w:t xml:space="preserve"> does not support such an expansive theory of standing. Havens had provided HOME’s black employees false information about apartment availability</w:t>
      </w:r>
      <w:r w:rsidR="00390FEA" w:rsidRPr="00C05D6B">
        <w:rPr>
          <w:rFonts w:ascii="Garamond" w:eastAsia="Times New Roman" w:hAnsi="Garamond" w:cs="Times New Roman"/>
        </w:rPr>
        <w:t>—</w:t>
      </w:r>
      <w:r w:rsidRPr="00C05D6B">
        <w:rPr>
          <w:rFonts w:ascii="Garamond" w:eastAsia="Times New Roman" w:hAnsi="Garamond" w:cs="Times New Roman"/>
        </w:rPr>
        <w:t>a practice known as racial steering. Critically, HOME operated a housing counseling service. Haven’s actions directly affected and interfered with HOME’s core business activities</w:t>
      </w:r>
      <w:r w:rsidR="00390FEA" w:rsidRPr="00C05D6B">
        <w:rPr>
          <w:rFonts w:ascii="Garamond" w:eastAsia="Times New Roman" w:hAnsi="Garamond" w:cs="Times New Roman"/>
        </w:rPr>
        <w:t>—</w:t>
      </w:r>
      <w:r w:rsidRPr="00C05D6B">
        <w:rPr>
          <w:rFonts w:ascii="Garamond" w:eastAsia="Times New Roman" w:hAnsi="Garamond" w:cs="Times New Roman"/>
        </w:rPr>
        <w:t xml:space="preserve">not dissimilar to a retailer who sues a manufacturer for selling defective goods to the retailer. That is not the kind of injury that the medical associations have alleged here. The associations have not claimed informational injury, and in any event the associations have not suggested that federal law requires FDA to disseminate such information upon request by members of the public. </w:t>
      </w:r>
    </w:p>
    <w:p w14:paraId="43B99FE1" w14:textId="77777777" w:rsidR="003125BF" w:rsidRPr="00C05D6B" w:rsidRDefault="003125BF" w:rsidP="003125BF">
      <w:pPr>
        <w:shd w:val="clear" w:color="auto" w:fill="FFFFFF"/>
        <w:textAlignment w:val="baseline"/>
        <w:rPr>
          <w:rFonts w:ascii="Garamond" w:eastAsia="Times New Roman" w:hAnsi="Garamond" w:cs="Times New Roman"/>
        </w:rPr>
      </w:pPr>
    </w:p>
    <w:p w14:paraId="43374BBC" w14:textId="329C248B"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Finally, it has been suggested that the plaintiffs here must have standing because if these plaintiffs do not have standing, then it may be that no one would have standing to challenge FDA</w:t>
      </w:r>
      <w:r w:rsidR="00C61DAD" w:rsidRPr="00C05D6B">
        <w:rPr>
          <w:rFonts w:ascii="Garamond" w:eastAsia="Times New Roman" w:hAnsi="Garamond" w:cs="Times New Roman"/>
        </w:rPr>
        <w:t>’</w:t>
      </w:r>
      <w:r w:rsidRPr="00C05D6B">
        <w:rPr>
          <w:rFonts w:ascii="Garamond" w:eastAsia="Times New Roman" w:hAnsi="Garamond" w:cs="Times New Roman"/>
        </w:rPr>
        <w:t>s 2016 and 2021 actions. For starters, it is not clear that no one else would have standing to challenge FDA</w:t>
      </w:r>
      <w:r w:rsidR="00C61DAD" w:rsidRPr="00C05D6B">
        <w:rPr>
          <w:rFonts w:ascii="Garamond" w:eastAsia="Times New Roman" w:hAnsi="Garamond" w:cs="Times New Roman"/>
        </w:rPr>
        <w:t>’</w:t>
      </w:r>
      <w:r w:rsidRPr="00C05D6B">
        <w:rPr>
          <w:rFonts w:ascii="Garamond" w:eastAsia="Times New Roman" w:hAnsi="Garamond" w:cs="Times New Roman"/>
        </w:rPr>
        <w:t>s relaxed regulation of mifepristone. But even if no one would have standing, this Court has long rejected that kind of “if not us, who?” argument as a basis for standing. The “assumption” that if these plaintiffs lack “standing to sue, no one would have standing, is not a reason to find standing</w:t>
      </w:r>
      <w:r w:rsidR="00794044">
        <w:rPr>
          <w:rFonts w:ascii="Garamond" w:eastAsia="Times New Roman" w:hAnsi="Garamond" w:cs="Times New Roman"/>
        </w:rPr>
        <w:t>.”</w:t>
      </w:r>
      <w:r w:rsidRPr="00C05D6B">
        <w:rPr>
          <w:rFonts w:ascii="Garamond" w:eastAsia="Times New Roman" w:hAnsi="Garamond" w:cs="Times New Roman"/>
        </w:rPr>
        <w:t xml:space="preserve"> Rather, some issues may be left to the political and democratic processes: The Framers of the Constitution did not “set up something in the nature of an Athenian democracy or a New </w:t>
      </w:r>
      <w:r w:rsidRPr="00C05D6B">
        <w:rPr>
          <w:rFonts w:ascii="Garamond" w:eastAsia="Times New Roman" w:hAnsi="Garamond" w:cs="Times New Roman"/>
        </w:rPr>
        <w:lastRenderedPageBreak/>
        <w:t>England town meeting to oversee the conduct of the National Government by means of lawsuits in federal courts.” </w:t>
      </w:r>
      <w:r w:rsidR="006D79DB" w:rsidRPr="00C05D6B">
        <w:rPr>
          <w:rFonts w:ascii="Garamond" w:eastAsia="Times New Roman" w:hAnsi="Garamond" w:cs="Times New Roman"/>
        </w:rPr>
        <w:t xml:space="preserve">United States v. Richardson (1974). </w:t>
      </w:r>
    </w:p>
    <w:p w14:paraId="3B6152B3" w14:textId="77777777" w:rsidR="003125BF" w:rsidRPr="00C05D6B" w:rsidRDefault="003125BF" w:rsidP="003125BF">
      <w:pPr>
        <w:shd w:val="clear" w:color="auto" w:fill="FFFFFF"/>
        <w:textAlignment w:val="baseline"/>
        <w:rPr>
          <w:rFonts w:ascii="Garamond" w:eastAsia="Times New Roman" w:hAnsi="Garamond" w:cs="Times New Roman"/>
        </w:rPr>
      </w:pPr>
    </w:p>
    <w:p w14:paraId="1FAE69FB" w14:textId="6AAABA7D" w:rsidR="003125BF" w:rsidRPr="00C05D6B" w:rsidRDefault="003125BF" w:rsidP="003125BF">
      <w:pPr>
        <w:shd w:val="clear" w:color="auto" w:fill="FFFFFF"/>
        <w:ind w:firstLine="720"/>
        <w:textAlignment w:val="baseline"/>
        <w:rPr>
          <w:rFonts w:ascii="Garamond" w:eastAsia="Times New Roman" w:hAnsi="Garamond" w:cs="Times New Roman"/>
        </w:rPr>
      </w:pPr>
      <w:r w:rsidRPr="00C05D6B">
        <w:rPr>
          <w:rFonts w:ascii="Garamond" w:eastAsia="Times New Roman" w:hAnsi="Garamond" w:cs="Times New Roman"/>
        </w:rPr>
        <w:t>The plaintiffs have sincere legal, moral, ideological, and policy objections to elective abortion and to FDA</w:t>
      </w:r>
      <w:r w:rsidR="00C61DAD" w:rsidRPr="00C05D6B">
        <w:rPr>
          <w:rFonts w:ascii="Garamond" w:eastAsia="Times New Roman" w:hAnsi="Garamond" w:cs="Times New Roman"/>
        </w:rPr>
        <w:t>’</w:t>
      </w:r>
      <w:r w:rsidRPr="00C05D6B">
        <w:rPr>
          <w:rFonts w:ascii="Garamond" w:eastAsia="Times New Roman" w:hAnsi="Garamond" w:cs="Times New Roman"/>
        </w:rPr>
        <w:t>s relaxed regulation of mifepristone. But under </w:t>
      </w:r>
      <w:hyperlink r:id="rId30" w:history="1">
        <w:r w:rsidRPr="00C05D6B">
          <w:rPr>
            <w:rFonts w:ascii="Garamond" w:eastAsia="Times New Roman" w:hAnsi="Garamond" w:cs="Times New Roman"/>
            <w:bdr w:val="none" w:sz="0" w:space="0" w:color="auto" w:frame="1"/>
          </w:rPr>
          <w:t>Article III of the Constitution</w:t>
        </w:r>
      </w:hyperlink>
      <w:r w:rsidRPr="00C05D6B">
        <w:rPr>
          <w:rFonts w:ascii="Garamond" w:eastAsia="Times New Roman" w:hAnsi="Garamond" w:cs="Times New Roman"/>
        </w:rPr>
        <w:t>, those kinds of objections alone do not establish a justiciable case or controversy in federal court. Here, the plaintiffs have failed to demonstrate that FDA</w:t>
      </w:r>
      <w:r w:rsidR="00C61DAD" w:rsidRPr="00C05D6B">
        <w:rPr>
          <w:rFonts w:ascii="Garamond" w:eastAsia="Times New Roman" w:hAnsi="Garamond" w:cs="Times New Roman"/>
        </w:rPr>
        <w:t>’</w:t>
      </w:r>
      <w:r w:rsidRPr="00C05D6B">
        <w:rPr>
          <w:rFonts w:ascii="Garamond" w:eastAsia="Times New Roman" w:hAnsi="Garamond" w:cs="Times New Roman"/>
        </w:rPr>
        <w:t>s relaxed regulatory requirements likely would cause them to suffer an injury in fact. For that reason, the federal courts are the wrong forum for addressing the plaintiffs’ concerns about FDA</w:t>
      </w:r>
      <w:r w:rsidR="00C61DAD" w:rsidRPr="00C05D6B">
        <w:rPr>
          <w:rFonts w:ascii="Garamond" w:eastAsia="Times New Roman" w:hAnsi="Garamond" w:cs="Times New Roman"/>
        </w:rPr>
        <w:t>’</w:t>
      </w:r>
      <w:r w:rsidRPr="00C05D6B">
        <w:rPr>
          <w:rFonts w:ascii="Garamond" w:eastAsia="Times New Roman" w:hAnsi="Garamond" w:cs="Times New Roman"/>
        </w:rPr>
        <w:t>s actions. The plaintiffs may present their concerns and objections to the President and FDA in the regulatory process, or to Congress and the President in the legislative process. And they may also express their views about abortion and mifepristone to fellow citizens, including in the political and electoral processes.</w:t>
      </w:r>
    </w:p>
    <w:p w14:paraId="01248A92" w14:textId="77777777" w:rsidR="003125BF" w:rsidRPr="00C05D6B" w:rsidRDefault="003125BF" w:rsidP="003125BF">
      <w:pPr>
        <w:shd w:val="clear" w:color="auto" w:fill="FFFFFF"/>
        <w:textAlignment w:val="baseline"/>
        <w:rPr>
          <w:rFonts w:ascii="Garamond" w:eastAsia="Times New Roman" w:hAnsi="Garamond" w:cs="Times New Roman"/>
        </w:rPr>
      </w:pPr>
    </w:p>
    <w:p w14:paraId="71E4A1FB" w14:textId="32C144EC" w:rsidR="003125BF" w:rsidRPr="00C05D6B" w:rsidRDefault="003125BF" w:rsidP="003125BF">
      <w:pPr>
        <w:shd w:val="clear" w:color="auto" w:fill="FFFFFF"/>
        <w:ind w:firstLine="720"/>
        <w:textAlignment w:val="baseline"/>
        <w:rPr>
          <w:rFonts w:ascii="Garamond" w:eastAsia="Times New Roman" w:hAnsi="Garamond" w:cs="Times New Roman"/>
          <w:b/>
          <w:bCs/>
        </w:rPr>
      </w:pPr>
      <w:r w:rsidRPr="00C05D6B">
        <w:rPr>
          <w:rFonts w:ascii="Garamond" w:eastAsia="Times New Roman" w:hAnsi="Garamond" w:cs="Times New Roman"/>
        </w:rPr>
        <w:t>“No principle is more fundamental to the judiciary</w:t>
      </w:r>
      <w:r w:rsidR="00C61DAD" w:rsidRPr="00C05D6B">
        <w:rPr>
          <w:rFonts w:ascii="Garamond" w:eastAsia="Times New Roman" w:hAnsi="Garamond" w:cs="Times New Roman"/>
        </w:rPr>
        <w:t>’</w:t>
      </w:r>
      <w:r w:rsidRPr="00C05D6B">
        <w:rPr>
          <w:rFonts w:ascii="Garamond" w:eastAsia="Times New Roman" w:hAnsi="Garamond" w:cs="Times New Roman"/>
        </w:rPr>
        <w:t>s proper role in our system of government than the constitutional limitation of federal-court jurisdiction to actual cases or controversies.” </w:t>
      </w:r>
      <w:r w:rsidR="006D79DB" w:rsidRPr="00C05D6B">
        <w:rPr>
          <w:rFonts w:ascii="Garamond" w:eastAsia="Times New Roman" w:hAnsi="Garamond" w:cs="Times New Roman"/>
        </w:rPr>
        <w:t>Simon v. Eastern Ky. Welfare Rights Org. (1978).</w:t>
      </w:r>
      <w:r w:rsidRPr="00C05D6B">
        <w:rPr>
          <w:rFonts w:ascii="Garamond" w:eastAsia="Times New Roman" w:hAnsi="Garamond" w:cs="Times New Roman"/>
        </w:rPr>
        <w:br/>
      </w:r>
    </w:p>
    <w:p w14:paraId="6B271B0F" w14:textId="77777777" w:rsidR="003125BF" w:rsidRPr="00C05D6B" w:rsidRDefault="003125BF" w:rsidP="003125BF">
      <w:pPr>
        <w:rPr>
          <w:rFonts w:ascii="Garamond" w:hAnsi="Garamond" w:cs="Times New Roman"/>
        </w:rPr>
      </w:pPr>
      <w:r w:rsidRPr="00C05D6B">
        <w:rPr>
          <w:rFonts w:ascii="Garamond" w:hAnsi="Garamond" w:cs="Times New Roman"/>
        </w:rPr>
        <w:t>Justice Thomas, concurring.</w:t>
      </w:r>
    </w:p>
    <w:p w14:paraId="56460403" w14:textId="77777777" w:rsidR="003125BF" w:rsidRPr="00C05D6B" w:rsidRDefault="003125BF" w:rsidP="003125BF">
      <w:pPr>
        <w:rPr>
          <w:rFonts w:ascii="Garamond" w:hAnsi="Garamond" w:cs="Times New Roman"/>
        </w:rPr>
      </w:pPr>
    </w:p>
    <w:p w14:paraId="5714C0C7" w14:textId="0F9D4013" w:rsidR="003125BF" w:rsidRPr="00C05D6B" w:rsidRDefault="003125BF" w:rsidP="003125BF">
      <w:pPr>
        <w:ind w:firstLine="720"/>
        <w:rPr>
          <w:rFonts w:ascii="Garamond" w:hAnsi="Garamond" w:cs="Times New Roman"/>
        </w:rPr>
      </w:pPr>
      <w:r w:rsidRPr="00C05D6B">
        <w:rPr>
          <w:rFonts w:ascii="Garamond" w:hAnsi="Garamond" w:cs="Times New Roman"/>
        </w:rPr>
        <w:t>I join the Court</w:t>
      </w:r>
      <w:r w:rsidR="00C61DAD" w:rsidRPr="00C05D6B">
        <w:rPr>
          <w:rFonts w:ascii="Garamond" w:hAnsi="Garamond" w:cs="Times New Roman"/>
        </w:rPr>
        <w:t>’</w:t>
      </w:r>
      <w:r w:rsidRPr="00C05D6B">
        <w:rPr>
          <w:rFonts w:ascii="Garamond" w:hAnsi="Garamond" w:cs="Times New Roman"/>
        </w:rPr>
        <w:t xml:space="preserve">s opinion in full because it correctly applies our precedents to conclude that the Alliance for Hippocratic Medicine and </w:t>
      </w:r>
      <w:proofErr w:type="gramStart"/>
      <w:r w:rsidRPr="00C05D6B">
        <w:rPr>
          <w:rFonts w:ascii="Garamond" w:hAnsi="Garamond" w:cs="Times New Roman"/>
        </w:rPr>
        <w:t>other</w:t>
      </w:r>
      <w:proofErr w:type="gramEnd"/>
      <w:r w:rsidRPr="00C05D6B">
        <w:rPr>
          <w:rFonts w:ascii="Garamond" w:hAnsi="Garamond" w:cs="Times New Roman"/>
        </w:rPr>
        <w:t xml:space="preserve"> plaintiffs lack standing. I write separately to highlight what appear to be similar problems with another theory of standing asserted in this suit. The Alliance and other plaintiff associations claim that they have associational standing to sue for their members’ injuries. Under the Court</w:t>
      </w:r>
      <w:r w:rsidR="00C61DAD" w:rsidRPr="00C05D6B">
        <w:rPr>
          <w:rFonts w:ascii="Garamond" w:hAnsi="Garamond" w:cs="Times New Roman"/>
        </w:rPr>
        <w:t>’</w:t>
      </w:r>
      <w:r w:rsidRPr="00C05D6B">
        <w:rPr>
          <w:rFonts w:ascii="Garamond" w:hAnsi="Garamond" w:cs="Times New Roman"/>
        </w:rPr>
        <w:t>s precedents, “an association has standing to bring suit on behalf of its members when: (a) its members would otherwise have standing to sue in their own right; (b) the interests it seeks to protect are germane to the organization</w:t>
      </w:r>
      <w:r w:rsidR="00C61DAD" w:rsidRPr="00C05D6B">
        <w:rPr>
          <w:rFonts w:ascii="Garamond" w:hAnsi="Garamond" w:cs="Times New Roman"/>
        </w:rPr>
        <w:t>’</w:t>
      </w:r>
      <w:r w:rsidRPr="00C05D6B">
        <w:rPr>
          <w:rFonts w:ascii="Garamond" w:hAnsi="Garamond" w:cs="Times New Roman"/>
        </w:rPr>
        <w:t xml:space="preserve">s purpose; and (c) neither the claim asserted nor the relief requested requires the participation of individual members in the lawsuit.” </w:t>
      </w:r>
    </w:p>
    <w:p w14:paraId="52347C64" w14:textId="77777777" w:rsidR="003125BF" w:rsidRPr="00C05D6B" w:rsidRDefault="003125BF" w:rsidP="003125BF">
      <w:pPr>
        <w:rPr>
          <w:rFonts w:ascii="Garamond" w:hAnsi="Garamond" w:cs="Times New Roman"/>
        </w:rPr>
      </w:pPr>
    </w:p>
    <w:p w14:paraId="6963E443" w14:textId="7D7CCB2F" w:rsidR="003125BF" w:rsidRPr="00C05D6B" w:rsidRDefault="003125BF" w:rsidP="006D79DB">
      <w:pPr>
        <w:ind w:firstLine="720"/>
        <w:rPr>
          <w:rFonts w:ascii="Garamond" w:hAnsi="Garamond" w:cs="Times New Roman"/>
        </w:rPr>
      </w:pPr>
      <w:r w:rsidRPr="00C05D6B">
        <w:rPr>
          <w:rFonts w:ascii="Garamond" w:hAnsi="Garamond" w:cs="Times New Roman"/>
        </w:rPr>
        <w:t>If an association can satisfy these requirements, we allow the association to pursue its members’ claims, without joining those members as parties to the suit.</w:t>
      </w:r>
      <w:r w:rsidR="006D79DB" w:rsidRPr="00C05D6B">
        <w:rPr>
          <w:rFonts w:ascii="Garamond" w:hAnsi="Garamond" w:cs="Times New Roman"/>
        </w:rPr>
        <w:t xml:space="preserve"> </w:t>
      </w:r>
      <w:r w:rsidRPr="00C05D6B">
        <w:rPr>
          <w:rFonts w:ascii="Garamond" w:hAnsi="Garamond" w:cs="Times New Roman"/>
        </w:rPr>
        <w:t>Associational standing, however, is simply another form of third-party standing. And, the Court has never explained or justified either doctrine</w:t>
      </w:r>
      <w:r w:rsidR="00C61DAD" w:rsidRPr="00C05D6B">
        <w:rPr>
          <w:rFonts w:ascii="Garamond" w:hAnsi="Garamond" w:cs="Times New Roman"/>
        </w:rPr>
        <w:t>’</w:t>
      </w:r>
      <w:r w:rsidRPr="00C05D6B">
        <w:rPr>
          <w:rFonts w:ascii="Garamond" w:hAnsi="Garamond" w:cs="Times New Roman"/>
        </w:rPr>
        <w:t xml:space="preserve">s expansion of Article III standing. </w:t>
      </w:r>
    </w:p>
    <w:p w14:paraId="3838D387" w14:textId="77777777" w:rsidR="003125BF" w:rsidRPr="00C05D6B" w:rsidRDefault="003125BF" w:rsidP="003125BF">
      <w:pPr>
        <w:rPr>
          <w:rFonts w:ascii="Garamond" w:hAnsi="Garamond" w:cs="Times New Roman"/>
        </w:rPr>
      </w:pPr>
    </w:p>
    <w:p w14:paraId="650E1915" w14:textId="07858730" w:rsidR="003125BF" w:rsidRPr="00C05D6B" w:rsidRDefault="003125BF" w:rsidP="002E331E">
      <w:pPr>
        <w:ind w:firstLine="720"/>
        <w:rPr>
          <w:rFonts w:ascii="Garamond" w:hAnsi="Garamond" w:cs="Times New Roman"/>
        </w:rPr>
      </w:pPr>
      <w:r w:rsidRPr="00C05D6B">
        <w:rPr>
          <w:rFonts w:ascii="Garamond" w:hAnsi="Garamond" w:cs="Times New Roman"/>
        </w:rPr>
        <w:t>Our doctrine permits an association to have standing based purely upon a member</w:t>
      </w:r>
      <w:r w:rsidR="00C61DAD" w:rsidRPr="00C05D6B">
        <w:rPr>
          <w:rFonts w:ascii="Garamond" w:hAnsi="Garamond" w:cs="Times New Roman"/>
        </w:rPr>
        <w:t>’</w:t>
      </w:r>
      <w:r w:rsidRPr="00C05D6B">
        <w:rPr>
          <w:rFonts w:ascii="Garamond" w:hAnsi="Garamond" w:cs="Times New Roman"/>
        </w:rPr>
        <w:t>s injury, not its own. If a single member of an association has suffered an injury, our doctrine permits that association to seek relief for its entire membership—even if the association has tens of millions of other, non-injured members. I thus have serious doubts that an association can have standing to vicariously assert a member</w:t>
      </w:r>
      <w:r w:rsidR="00C61DAD" w:rsidRPr="00C05D6B">
        <w:rPr>
          <w:rFonts w:ascii="Garamond" w:hAnsi="Garamond" w:cs="Times New Roman"/>
        </w:rPr>
        <w:t>’</w:t>
      </w:r>
      <w:r w:rsidRPr="00C05D6B">
        <w:rPr>
          <w:rFonts w:ascii="Garamond" w:hAnsi="Garamond" w:cs="Times New Roman"/>
        </w:rPr>
        <w:t>s injury.</w:t>
      </w:r>
    </w:p>
    <w:p w14:paraId="04BE783A" w14:textId="77777777" w:rsidR="003125BF" w:rsidRPr="00C05D6B" w:rsidRDefault="003125BF" w:rsidP="003125BF">
      <w:pPr>
        <w:rPr>
          <w:rFonts w:ascii="Garamond" w:hAnsi="Garamond" w:cs="Times New Roman"/>
        </w:rPr>
      </w:pPr>
    </w:p>
    <w:p w14:paraId="1A16FD86" w14:textId="4A24BBED" w:rsidR="003125BF" w:rsidRPr="00C05D6B" w:rsidRDefault="003125BF" w:rsidP="003125BF">
      <w:pPr>
        <w:ind w:firstLine="720"/>
        <w:rPr>
          <w:rFonts w:ascii="Garamond" w:hAnsi="Garamond" w:cs="Times New Roman"/>
        </w:rPr>
      </w:pPr>
      <w:r w:rsidRPr="00C05D6B">
        <w:rPr>
          <w:rFonts w:ascii="Garamond" w:hAnsi="Garamond" w:cs="Times New Roman"/>
        </w:rPr>
        <w:t>In an appropriate case, the Court should address whether associational standing can be squared with Article III</w:t>
      </w:r>
      <w:r w:rsidR="00C61DAD" w:rsidRPr="00C05D6B">
        <w:rPr>
          <w:rFonts w:ascii="Garamond" w:hAnsi="Garamond" w:cs="Times New Roman"/>
        </w:rPr>
        <w:t>’</w:t>
      </w:r>
      <w:r w:rsidRPr="00C05D6B">
        <w:rPr>
          <w:rFonts w:ascii="Garamond" w:hAnsi="Garamond" w:cs="Times New Roman"/>
        </w:rPr>
        <w:t xml:space="preserve">s requirement that courts respect the bounds of their judicial power.   </w:t>
      </w:r>
    </w:p>
    <w:p w14:paraId="4CC4E372" w14:textId="77777777" w:rsidR="00221D43" w:rsidRPr="00C05D6B" w:rsidRDefault="00221D43" w:rsidP="00221D43">
      <w:pPr>
        <w:rPr>
          <w:rFonts w:ascii="Garamond" w:hAnsi="Garamond" w:cs="Times New Roman"/>
        </w:rPr>
      </w:pPr>
    </w:p>
    <w:p w14:paraId="1EBB97AF" w14:textId="25A513D7" w:rsidR="00221D43" w:rsidRPr="00C05D6B" w:rsidRDefault="00221D43" w:rsidP="00221D43">
      <w:pPr>
        <w:jc w:val="center"/>
        <w:rPr>
          <w:rFonts w:ascii="Garamond" w:hAnsi="Garamond" w:cs="Times New Roman"/>
        </w:rPr>
      </w:pPr>
      <w:r w:rsidRPr="00C05D6B">
        <w:rPr>
          <w:rFonts w:ascii="Garamond" w:hAnsi="Garamond" w:cs="Times New Roman"/>
        </w:rPr>
        <w:t>* * *</w:t>
      </w:r>
    </w:p>
    <w:p w14:paraId="43245403" w14:textId="77777777" w:rsidR="00221D43" w:rsidRPr="00C05D6B" w:rsidRDefault="00221D43" w:rsidP="00221D43">
      <w:pPr>
        <w:rPr>
          <w:rFonts w:ascii="Garamond" w:hAnsi="Garamond" w:cs="Times New Roman"/>
        </w:rPr>
      </w:pPr>
    </w:p>
    <w:p w14:paraId="1E84F201" w14:textId="5C869E10" w:rsidR="00221D43" w:rsidRPr="00C05D6B" w:rsidRDefault="00221D43" w:rsidP="00221D43">
      <w:pPr>
        <w:rPr>
          <w:rFonts w:ascii="Garamond" w:hAnsi="Garamond" w:cs="Times New Roman"/>
        </w:rPr>
      </w:pPr>
      <w:r w:rsidRPr="00C05D6B">
        <w:rPr>
          <w:rFonts w:ascii="Garamond" w:hAnsi="Garamond" w:cs="Times New Roman"/>
        </w:rPr>
        <w:tab/>
        <w:t xml:space="preserve">The Court considered the redressability requirement again in </w:t>
      </w:r>
      <w:r w:rsidR="00F5595D" w:rsidRPr="00F5595D">
        <w:rPr>
          <w:rFonts w:ascii="Garamond" w:hAnsi="Garamond" w:cs="Times New Roman"/>
        </w:rPr>
        <w:fldChar w:fldCharType="begin"/>
      </w:r>
      <w:r w:rsidR="00F5595D" w:rsidRPr="00F5595D">
        <w:instrText xml:space="preserve"> TA \l "</w:instrText>
      </w:r>
      <w:r w:rsidR="00F5595D" w:rsidRPr="00F5595D">
        <w:rPr>
          <w:rFonts w:ascii="Garamond" w:hAnsi="Garamond" w:cs="Times New Roman"/>
        </w:rPr>
        <w:instrText>Diamond Alternative Energy, LLC v. Environmental Protection Agency</w:instrText>
      </w:r>
      <w:r w:rsidR="00F5595D" w:rsidRPr="00F5595D">
        <w:instrText xml:space="preserve">" \s "Diamond Alternative Energy, LLC v. Environmental Protection Agency" \c 1 </w:instrText>
      </w:r>
      <w:r w:rsidR="00F5595D" w:rsidRPr="00F5595D">
        <w:rPr>
          <w:rFonts w:ascii="Garamond" w:hAnsi="Garamond" w:cs="Times New Roman"/>
        </w:rPr>
        <w:fldChar w:fldCharType="end"/>
      </w:r>
      <w:r w:rsidRPr="00C05D6B">
        <w:rPr>
          <w:rFonts w:ascii="Garamond" w:hAnsi="Garamond" w:cs="Times New Roman"/>
        </w:rPr>
        <w:t>Diamond Alternative Energy</w:t>
      </w:r>
      <w:r w:rsidR="00EC4BA7" w:rsidRPr="00C05D6B">
        <w:rPr>
          <w:rFonts w:ascii="Garamond" w:hAnsi="Garamond" w:cs="Times New Roman"/>
        </w:rPr>
        <w:t>,</w:t>
      </w:r>
      <w:r w:rsidRPr="00C05D6B">
        <w:rPr>
          <w:rFonts w:ascii="Garamond" w:hAnsi="Garamond" w:cs="Times New Roman"/>
        </w:rPr>
        <w:t xml:space="preserve"> LLC v. Environmental Protection Agency, a lawsuit brought by fuel producers to challenge California climate regulations that over time would incentivize car manufacturers to build and sell </w:t>
      </w:r>
      <w:r w:rsidRPr="00C05D6B">
        <w:rPr>
          <w:rFonts w:ascii="Garamond" w:hAnsi="Garamond" w:cs="Times New Roman"/>
        </w:rPr>
        <w:lastRenderedPageBreak/>
        <w:t>more electric-powered vehicles and fewer gasoline-powered ones.</w:t>
      </w:r>
      <w:r w:rsidR="00B96569" w:rsidRPr="00C05D6B">
        <w:rPr>
          <w:rFonts w:ascii="Garamond" w:hAnsi="Garamond" w:cs="Times New Roman"/>
        </w:rPr>
        <w:t xml:space="preserve"> The parties argued that this was one of those cases in which causation and redressability were not two sides of the same coin. The Court concluded that the redressability requirement was about aligning injuries with remedies. The dissent argued that the case was moot and that the Court’s willingness to use it as a vehicle to announce an industry-friendly standing doctrine threatened to undermine the principle of equal justice under the law.</w:t>
      </w:r>
    </w:p>
    <w:p w14:paraId="3C20AEFB" w14:textId="77777777" w:rsidR="00221D43" w:rsidRPr="00C05D6B" w:rsidRDefault="00221D43" w:rsidP="00221D43">
      <w:pPr>
        <w:rPr>
          <w:rFonts w:ascii="Garamond" w:hAnsi="Garamond" w:cs="Times New Roman"/>
        </w:rPr>
      </w:pPr>
    </w:p>
    <w:p w14:paraId="4F74380E" w14:textId="16C6489C" w:rsidR="00221D43" w:rsidRPr="00C05D6B" w:rsidRDefault="00221D43" w:rsidP="00221D43">
      <w:pPr>
        <w:rPr>
          <w:rFonts w:ascii="Garamond" w:hAnsi="Garamond" w:cs="Times New Roman"/>
          <w:b/>
          <w:bCs/>
          <w:smallCaps/>
        </w:rPr>
      </w:pPr>
      <w:r w:rsidRPr="00C05D6B">
        <w:rPr>
          <w:rFonts w:ascii="Garamond" w:hAnsi="Garamond" w:cs="Times New Roman"/>
          <w:b/>
          <w:bCs/>
          <w:smallCaps/>
        </w:rPr>
        <w:t>Diamond Alternative Energy, LLC v. Environmental Protection Agency</w:t>
      </w:r>
      <w:r w:rsidR="00F5595D" w:rsidRPr="00F5595D">
        <w:rPr>
          <w:rFonts w:ascii="Garamond" w:hAnsi="Garamond" w:cs="Times New Roman"/>
          <w:smallCaps/>
        </w:rPr>
        <w:fldChar w:fldCharType="begin"/>
      </w:r>
      <w:r w:rsidR="00F5595D" w:rsidRPr="00F5595D">
        <w:instrText xml:space="preserve"> TA \s "Diamond Alternative Energy, LLC v. Environmental Protection Agency" </w:instrText>
      </w:r>
      <w:r w:rsidR="00F5595D" w:rsidRPr="00F5595D">
        <w:rPr>
          <w:rFonts w:ascii="Garamond" w:hAnsi="Garamond" w:cs="Times New Roman"/>
          <w:smallCaps/>
        </w:rPr>
        <w:fldChar w:fldCharType="end"/>
      </w:r>
    </w:p>
    <w:p w14:paraId="389749E0" w14:textId="16F901FD" w:rsidR="00221D43" w:rsidRPr="00C05D6B" w:rsidRDefault="00221D43" w:rsidP="00221D43">
      <w:pPr>
        <w:rPr>
          <w:rFonts w:ascii="Garamond" w:hAnsi="Garamond" w:cs="Times New Roman"/>
        </w:rPr>
      </w:pPr>
      <w:r w:rsidRPr="00C05D6B">
        <w:rPr>
          <w:rFonts w:ascii="Garamond" w:hAnsi="Garamond" w:cs="Times New Roman"/>
        </w:rPr>
        <w:t>145 S.</w:t>
      </w:r>
      <w:r w:rsidR="00390FEA" w:rsidRPr="00C05D6B">
        <w:rPr>
          <w:rFonts w:ascii="Garamond" w:hAnsi="Garamond" w:cs="Times New Roman"/>
        </w:rPr>
        <w:t xml:space="preserve"> </w:t>
      </w:r>
      <w:r w:rsidRPr="00C05D6B">
        <w:rPr>
          <w:rFonts w:ascii="Garamond" w:hAnsi="Garamond" w:cs="Times New Roman"/>
        </w:rPr>
        <w:t xml:space="preserve">Ct. </w:t>
      </w:r>
      <w:r w:rsidR="00D22423" w:rsidRPr="00C05D6B">
        <w:rPr>
          <w:rFonts w:ascii="Garamond" w:hAnsi="Garamond" w:cs="Times New Roman"/>
        </w:rPr>
        <w:t>2121</w:t>
      </w:r>
      <w:r w:rsidRPr="00C05D6B">
        <w:rPr>
          <w:rFonts w:ascii="Garamond" w:hAnsi="Garamond" w:cs="Times New Roman"/>
        </w:rPr>
        <w:t xml:space="preserve"> (2025)</w:t>
      </w:r>
    </w:p>
    <w:p w14:paraId="6137DC6F" w14:textId="77777777" w:rsidR="00221D43" w:rsidRPr="00C05D6B" w:rsidRDefault="00221D43" w:rsidP="00221D43">
      <w:pPr>
        <w:rPr>
          <w:rFonts w:ascii="Garamond" w:hAnsi="Garamond" w:cs="Times New Roman"/>
        </w:rPr>
      </w:pPr>
    </w:p>
    <w:p w14:paraId="1EF9F995" w14:textId="77777777" w:rsidR="00221D43" w:rsidRPr="00C05D6B" w:rsidRDefault="00221D43" w:rsidP="00221D43">
      <w:pPr>
        <w:rPr>
          <w:rFonts w:ascii="Garamond" w:hAnsi="Garamond" w:cs="Times New Roman"/>
        </w:rPr>
      </w:pPr>
      <w:r w:rsidRPr="00C05D6B">
        <w:rPr>
          <w:rFonts w:ascii="Garamond" w:hAnsi="Garamond" w:cs="Times New Roman"/>
        </w:rPr>
        <w:t>Justice Kavanaugh delivered the opinion of the Court.</w:t>
      </w:r>
    </w:p>
    <w:p w14:paraId="3A00033A" w14:textId="77777777" w:rsidR="00221D43" w:rsidRPr="00C05D6B" w:rsidRDefault="00221D43" w:rsidP="00221D43">
      <w:pPr>
        <w:rPr>
          <w:rFonts w:ascii="Garamond" w:hAnsi="Garamond" w:cs="Times New Roman"/>
        </w:rPr>
      </w:pPr>
    </w:p>
    <w:p w14:paraId="76E88F7C" w14:textId="69CE106A" w:rsidR="00221D43" w:rsidRPr="00C05D6B" w:rsidRDefault="00221D43" w:rsidP="009B1076">
      <w:pPr>
        <w:ind w:firstLine="720"/>
        <w:rPr>
          <w:rFonts w:ascii="Garamond" w:hAnsi="Garamond" w:cs="Times New Roman"/>
        </w:rPr>
      </w:pPr>
      <w:r w:rsidRPr="00C05D6B">
        <w:rPr>
          <w:rFonts w:ascii="Garamond" w:hAnsi="Garamond" w:cs="Times New Roman"/>
        </w:rPr>
        <w:t>Pursuant to the Clean Air Act, the U.S. Environmental Protection Agency approved California regulations requiring automakers to alter their fleets of new vehicles. Under those California regulations, automakers must manufacture more electric vehicles and fewer gasoline-powered vehicles. The goal is to decrease emissions from the use of gasoline and other liquid fuels. Producers of gasoline and other liquid fuels sued EPA, arguing that EPA</w:t>
      </w:r>
      <w:r w:rsidR="00390FEA" w:rsidRPr="00C05D6B">
        <w:rPr>
          <w:rFonts w:ascii="Garamond" w:hAnsi="Garamond" w:cs="Times New Roman"/>
        </w:rPr>
        <w:t>’</w:t>
      </w:r>
      <w:r w:rsidRPr="00C05D6B">
        <w:rPr>
          <w:rFonts w:ascii="Garamond" w:hAnsi="Garamond" w:cs="Times New Roman"/>
        </w:rPr>
        <w:t>s approval of the California regulations violated the Clean Air Act.</w:t>
      </w:r>
    </w:p>
    <w:p w14:paraId="45470DF9" w14:textId="77777777" w:rsidR="00221D43" w:rsidRPr="00C05D6B" w:rsidRDefault="00221D43" w:rsidP="00221D43">
      <w:pPr>
        <w:rPr>
          <w:rFonts w:ascii="Garamond" w:hAnsi="Garamond" w:cs="Times New Roman"/>
        </w:rPr>
      </w:pPr>
    </w:p>
    <w:p w14:paraId="52D57764" w14:textId="49EE0426" w:rsidR="00221D43" w:rsidRPr="00C05D6B" w:rsidRDefault="00221D43" w:rsidP="009B1076">
      <w:pPr>
        <w:ind w:firstLine="720"/>
        <w:rPr>
          <w:rFonts w:ascii="Garamond" w:hAnsi="Garamond" w:cs="Times New Roman"/>
        </w:rPr>
      </w:pPr>
      <w:r w:rsidRPr="00C05D6B">
        <w:rPr>
          <w:rFonts w:ascii="Garamond" w:hAnsi="Garamond" w:cs="Times New Roman"/>
        </w:rPr>
        <w:t>The sole issue before this Court is whether the fuel producers have standing to maintain their suit. The fuel producers assert that the California regulations reduce the manufacture and sale of cars powered by gasoline and other liquid fuels, thereby causing a decrease in sales of those fuels by the fuel producers. So fuel producers take in less revenue than they would in a free market. Invalidating the regulations, they say, would remove a regulatory impediment to their ability to fully compete in the market. And without California</w:t>
      </w:r>
      <w:r w:rsidR="00390FEA" w:rsidRPr="00C05D6B">
        <w:rPr>
          <w:rFonts w:ascii="Garamond" w:hAnsi="Garamond" w:cs="Times New Roman"/>
        </w:rPr>
        <w:t>’</w:t>
      </w:r>
      <w:r w:rsidRPr="00C05D6B">
        <w:rPr>
          <w:rFonts w:ascii="Garamond" w:hAnsi="Garamond" w:cs="Times New Roman"/>
        </w:rPr>
        <w:t>s regulations in effect, manufacturers would likely make more cars powered by gasoline and other liquid fuels, thereby increasing purchases of those fuels and redressing the fuel producers’ injury.</w:t>
      </w:r>
    </w:p>
    <w:p w14:paraId="324D1C56" w14:textId="77777777" w:rsidR="00221D43" w:rsidRPr="00C05D6B" w:rsidRDefault="00221D43" w:rsidP="00221D43">
      <w:pPr>
        <w:rPr>
          <w:rFonts w:ascii="Garamond" w:hAnsi="Garamond" w:cs="Times New Roman"/>
        </w:rPr>
      </w:pPr>
    </w:p>
    <w:p w14:paraId="62520E2B" w14:textId="1F203990" w:rsidR="00221D43" w:rsidRPr="00C05D6B" w:rsidRDefault="00221D43" w:rsidP="009B1076">
      <w:pPr>
        <w:ind w:firstLine="720"/>
        <w:rPr>
          <w:rFonts w:ascii="Garamond" w:hAnsi="Garamond" w:cs="Times New Roman"/>
        </w:rPr>
      </w:pPr>
      <w:r w:rsidRPr="00C05D6B">
        <w:rPr>
          <w:rFonts w:ascii="Garamond" w:hAnsi="Garamond" w:cs="Times New Roman"/>
        </w:rPr>
        <w:t>EPA and California dispute redressability. They suggest that, even if the regulations are invalidated, car manufacturers nonetheless would not manufacture more gasoline-powered cars. They posit that the California regulations no longer have any impact because, in a free market, consumer demand for and manufacturers’ supply of electric vehicles would still supposedly exceed what the California regulations mandate.</w:t>
      </w:r>
    </w:p>
    <w:p w14:paraId="0950351D" w14:textId="77777777" w:rsidR="00221D43" w:rsidRPr="00C05D6B" w:rsidRDefault="00221D43" w:rsidP="00221D43">
      <w:pPr>
        <w:rPr>
          <w:rFonts w:ascii="Garamond" w:hAnsi="Garamond" w:cs="Times New Roman"/>
        </w:rPr>
      </w:pPr>
    </w:p>
    <w:p w14:paraId="00F67578" w14:textId="2F9FE055" w:rsidR="00221D43" w:rsidRPr="00C05D6B" w:rsidRDefault="00221D43" w:rsidP="009B1076">
      <w:pPr>
        <w:ind w:firstLine="720"/>
        <w:rPr>
          <w:rFonts w:ascii="Garamond" w:hAnsi="Garamond" w:cs="Times New Roman"/>
        </w:rPr>
      </w:pPr>
      <w:r w:rsidRPr="00C05D6B">
        <w:rPr>
          <w:rFonts w:ascii="Garamond" w:hAnsi="Garamond" w:cs="Times New Roman"/>
        </w:rPr>
        <w:t>Based on this Court</w:t>
      </w:r>
      <w:r w:rsidR="00390FEA" w:rsidRPr="00C05D6B">
        <w:rPr>
          <w:rFonts w:ascii="Garamond" w:hAnsi="Garamond" w:cs="Times New Roman"/>
        </w:rPr>
        <w:t>’</w:t>
      </w:r>
      <w:r w:rsidRPr="00C05D6B">
        <w:rPr>
          <w:rFonts w:ascii="Garamond" w:hAnsi="Garamond" w:cs="Times New Roman"/>
        </w:rPr>
        <w:t>s precedents and the evidence in the record, we hold that the fuel producers have standing.</w:t>
      </w:r>
    </w:p>
    <w:p w14:paraId="6807DBA2" w14:textId="77777777" w:rsidR="00221D43" w:rsidRPr="00C05D6B" w:rsidRDefault="00221D43" w:rsidP="00221D43">
      <w:pPr>
        <w:rPr>
          <w:rFonts w:ascii="Garamond" w:hAnsi="Garamond" w:cs="Times New Roman"/>
        </w:rPr>
      </w:pPr>
    </w:p>
    <w:p w14:paraId="0A053B03" w14:textId="21B997F8" w:rsidR="00221D43" w:rsidRPr="00C05D6B" w:rsidRDefault="00221D43" w:rsidP="00221D43">
      <w:pPr>
        <w:rPr>
          <w:rFonts w:ascii="Garamond" w:hAnsi="Garamond" w:cs="Times New Roman"/>
        </w:rPr>
      </w:pPr>
      <w:r w:rsidRPr="00C05D6B">
        <w:rPr>
          <w:rFonts w:ascii="Garamond" w:hAnsi="Garamond" w:cs="Times New Roman"/>
        </w:rPr>
        <w:t>I</w:t>
      </w:r>
    </w:p>
    <w:p w14:paraId="5FAF70AB" w14:textId="77777777" w:rsidR="00221D43" w:rsidRPr="00C05D6B" w:rsidRDefault="00221D43" w:rsidP="00221D43">
      <w:pPr>
        <w:rPr>
          <w:rFonts w:ascii="Garamond" w:hAnsi="Garamond" w:cs="Times New Roman"/>
        </w:rPr>
      </w:pPr>
    </w:p>
    <w:p w14:paraId="05B5A156" w14:textId="2158939E" w:rsidR="00221D43" w:rsidRPr="00C05D6B" w:rsidRDefault="00221D43" w:rsidP="00221D43">
      <w:pPr>
        <w:ind w:firstLine="720"/>
        <w:rPr>
          <w:rFonts w:ascii="Garamond" w:hAnsi="Garamond" w:cs="Times New Roman"/>
        </w:rPr>
      </w:pPr>
      <w:r w:rsidRPr="00C05D6B">
        <w:rPr>
          <w:rFonts w:ascii="Garamond" w:hAnsi="Garamond" w:cs="Times New Roman"/>
        </w:rPr>
        <w:t xml:space="preserve">As relevant here, the Clean Air Act requires the Environmental Protection Agency, or EPA, to periodically “prescribe </w:t>
      </w:r>
      <w:r w:rsidR="00390FEA" w:rsidRPr="00C05D6B">
        <w:rPr>
          <w:rFonts w:ascii="Garamond" w:hAnsi="Garamond" w:cs="Times New Roman"/>
        </w:rPr>
        <w:t>. . .</w:t>
      </w:r>
      <w:r w:rsidRPr="00C05D6B">
        <w:rPr>
          <w:rFonts w:ascii="Garamond" w:hAnsi="Garamond" w:cs="Times New Roman"/>
        </w:rPr>
        <w:t xml:space="preserve"> standards” that limit emissions of certain air pollutants from new motor vehicles. To promote uniformity in vehicle emissions regulations, the Act also preempts state standards “relating to the control of emissions from new motor vehicles.” </w:t>
      </w:r>
    </w:p>
    <w:p w14:paraId="70590F99" w14:textId="77777777" w:rsidR="00B96569" w:rsidRPr="00C05D6B" w:rsidRDefault="00B96569" w:rsidP="009B1076">
      <w:pPr>
        <w:ind w:firstLine="720"/>
        <w:rPr>
          <w:rFonts w:ascii="Garamond" w:hAnsi="Garamond" w:cs="Times New Roman"/>
        </w:rPr>
      </w:pPr>
    </w:p>
    <w:p w14:paraId="23FB048C" w14:textId="5E23D775" w:rsidR="00221D43" w:rsidRPr="00C05D6B" w:rsidRDefault="00221D43" w:rsidP="009B1076">
      <w:pPr>
        <w:ind w:firstLine="720"/>
        <w:rPr>
          <w:rFonts w:ascii="Garamond" w:hAnsi="Garamond" w:cs="Times New Roman"/>
        </w:rPr>
      </w:pPr>
      <w:r w:rsidRPr="00C05D6B">
        <w:rPr>
          <w:rFonts w:ascii="Garamond" w:hAnsi="Garamond" w:cs="Times New Roman"/>
        </w:rPr>
        <w:t>But the Act</w:t>
      </w:r>
      <w:r w:rsidR="00390FEA" w:rsidRPr="00C05D6B">
        <w:rPr>
          <w:rFonts w:ascii="Garamond" w:hAnsi="Garamond" w:cs="Times New Roman"/>
        </w:rPr>
        <w:t>’</w:t>
      </w:r>
      <w:r w:rsidRPr="00C05D6B">
        <w:rPr>
          <w:rFonts w:ascii="Garamond" w:hAnsi="Garamond" w:cs="Times New Roman"/>
        </w:rPr>
        <w:t>s preemption provision exempts California. Under certain circumstances, California may adopt emissions standards for new motor vehicles that are more stringent than EPA</w:t>
      </w:r>
      <w:r w:rsidR="00390FEA" w:rsidRPr="00C05D6B">
        <w:rPr>
          <w:rFonts w:ascii="Garamond" w:hAnsi="Garamond" w:cs="Times New Roman"/>
        </w:rPr>
        <w:t>’</w:t>
      </w:r>
      <w:r w:rsidRPr="00C05D6B">
        <w:rPr>
          <w:rFonts w:ascii="Garamond" w:hAnsi="Garamond" w:cs="Times New Roman"/>
        </w:rPr>
        <w:t>s. California may do so when it concludes that more stringent standards are needed to meet “compelling and extraordinary conditions.” Other States may also adopt California</w:t>
      </w:r>
      <w:r w:rsidR="00390FEA" w:rsidRPr="00C05D6B">
        <w:rPr>
          <w:rFonts w:ascii="Garamond" w:hAnsi="Garamond" w:cs="Times New Roman"/>
        </w:rPr>
        <w:t>’</w:t>
      </w:r>
      <w:r w:rsidRPr="00C05D6B">
        <w:rPr>
          <w:rFonts w:ascii="Garamond" w:hAnsi="Garamond" w:cs="Times New Roman"/>
        </w:rPr>
        <w:t xml:space="preserve">s stricter limits </w:t>
      </w:r>
      <w:r w:rsidRPr="00C05D6B">
        <w:rPr>
          <w:rFonts w:ascii="Garamond" w:hAnsi="Garamond" w:cs="Times New Roman"/>
        </w:rPr>
        <w:lastRenderedPageBreak/>
        <w:t>on emissions from new motor vehicles, but may not adopt or enforce state standards that differ from California</w:t>
      </w:r>
      <w:r w:rsidR="00D22423" w:rsidRPr="00C05D6B">
        <w:rPr>
          <w:rFonts w:ascii="Garamond" w:hAnsi="Garamond" w:cs="Times New Roman"/>
        </w:rPr>
        <w:t>’</w:t>
      </w:r>
      <w:r w:rsidRPr="00C05D6B">
        <w:rPr>
          <w:rFonts w:ascii="Garamond" w:hAnsi="Garamond" w:cs="Times New Roman"/>
        </w:rPr>
        <w:t xml:space="preserve">s. </w:t>
      </w:r>
    </w:p>
    <w:p w14:paraId="12B94342" w14:textId="77777777" w:rsidR="00221D43" w:rsidRPr="00C05D6B" w:rsidRDefault="00221D43" w:rsidP="00221D43">
      <w:pPr>
        <w:rPr>
          <w:rFonts w:ascii="Garamond" w:hAnsi="Garamond" w:cs="Times New Roman"/>
        </w:rPr>
      </w:pPr>
    </w:p>
    <w:p w14:paraId="6FEA35B4" w14:textId="200D9326" w:rsidR="00221D43" w:rsidRPr="00C05D6B" w:rsidRDefault="00221D43" w:rsidP="009B1076">
      <w:pPr>
        <w:ind w:firstLine="720"/>
        <w:rPr>
          <w:rFonts w:ascii="Garamond" w:hAnsi="Garamond" w:cs="Times New Roman"/>
        </w:rPr>
      </w:pPr>
      <w:r w:rsidRPr="00C05D6B">
        <w:rPr>
          <w:rFonts w:ascii="Garamond" w:hAnsi="Garamond" w:cs="Times New Roman"/>
        </w:rPr>
        <w:t>The upshot of this system is that EPA sets nationwide emissions standards for new motor vehicles; California in limited circumstances may set more stringent emissions standards for vehicles sold in the State; and other States may either follow EPA</w:t>
      </w:r>
      <w:r w:rsidR="00390FEA" w:rsidRPr="00C05D6B">
        <w:rPr>
          <w:rFonts w:ascii="Garamond" w:hAnsi="Garamond" w:cs="Times New Roman"/>
        </w:rPr>
        <w:t>’</w:t>
      </w:r>
      <w:r w:rsidRPr="00C05D6B">
        <w:rPr>
          <w:rFonts w:ascii="Garamond" w:hAnsi="Garamond" w:cs="Times New Roman"/>
        </w:rPr>
        <w:t>s standards or adopt California</w:t>
      </w:r>
      <w:r w:rsidR="00D22423" w:rsidRPr="00C05D6B">
        <w:rPr>
          <w:rFonts w:ascii="Garamond" w:hAnsi="Garamond" w:cs="Times New Roman"/>
        </w:rPr>
        <w:t>’</w:t>
      </w:r>
      <w:r w:rsidRPr="00C05D6B">
        <w:rPr>
          <w:rFonts w:ascii="Garamond" w:hAnsi="Garamond" w:cs="Times New Roman"/>
        </w:rPr>
        <w:t>s but may not set their own.</w:t>
      </w:r>
    </w:p>
    <w:p w14:paraId="2983C39A" w14:textId="77777777" w:rsidR="00221D43" w:rsidRPr="00C05D6B" w:rsidRDefault="00221D43" w:rsidP="00221D43">
      <w:pPr>
        <w:rPr>
          <w:rFonts w:ascii="Garamond" w:hAnsi="Garamond" w:cs="Times New Roman"/>
        </w:rPr>
      </w:pPr>
    </w:p>
    <w:p w14:paraId="071B1D7D" w14:textId="5C50F995" w:rsidR="00221D43" w:rsidRPr="00C05D6B" w:rsidRDefault="00221D43" w:rsidP="009B1076">
      <w:pPr>
        <w:ind w:firstLine="720"/>
        <w:rPr>
          <w:rFonts w:ascii="Garamond" w:hAnsi="Garamond" w:cs="Times New Roman"/>
        </w:rPr>
      </w:pPr>
      <w:r w:rsidRPr="00C05D6B">
        <w:rPr>
          <w:rFonts w:ascii="Garamond" w:hAnsi="Garamond" w:cs="Times New Roman"/>
        </w:rPr>
        <w:t xml:space="preserve">Over the years, California has often requested and received EPA approval for stricter emissions standards to combat local California air-quality problems like smog. Beginning in 2005, California also attempted to use its unique preemption exception as one means to address global climate change. As relevant here, the State asked EPA for approval of regulations that limit greenhouse-gas emissions and force electrification of the new vehicle fleet sold in the State. </w:t>
      </w:r>
    </w:p>
    <w:p w14:paraId="24BADE4D" w14:textId="77777777" w:rsidR="00221D43" w:rsidRPr="00C05D6B" w:rsidRDefault="00221D43" w:rsidP="00221D43">
      <w:pPr>
        <w:rPr>
          <w:rFonts w:ascii="Garamond" w:hAnsi="Garamond" w:cs="Times New Roman"/>
        </w:rPr>
      </w:pPr>
    </w:p>
    <w:p w14:paraId="3646ED3F" w14:textId="2A6C80B6" w:rsidR="00221D43" w:rsidRPr="00C05D6B" w:rsidRDefault="00221D43" w:rsidP="009B1076">
      <w:pPr>
        <w:ind w:firstLine="720"/>
        <w:rPr>
          <w:rFonts w:ascii="Garamond" w:hAnsi="Garamond" w:cs="Times New Roman"/>
        </w:rPr>
      </w:pPr>
      <w:r w:rsidRPr="00C05D6B">
        <w:rPr>
          <w:rFonts w:ascii="Garamond" w:hAnsi="Garamond" w:cs="Times New Roman"/>
        </w:rPr>
        <w:t>This case involves California</w:t>
      </w:r>
      <w:r w:rsidR="00390FEA" w:rsidRPr="00C05D6B">
        <w:rPr>
          <w:rFonts w:ascii="Garamond" w:hAnsi="Garamond" w:cs="Times New Roman"/>
        </w:rPr>
        <w:t>’</w:t>
      </w:r>
      <w:r w:rsidRPr="00C05D6B">
        <w:rPr>
          <w:rFonts w:ascii="Garamond" w:hAnsi="Garamond" w:cs="Times New Roman"/>
        </w:rPr>
        <w:t>s 2012 request for EPA approval of new California regulations. As relevant here, those regulations generally require automakers (</w:t>
      </w:r>
      <w:proofErr w:type="spellStart"/>
      <w:r w:rsidRPr="00C05D6B">
        <w:rPr>
          <w:rFonts w:ascii="Garamond" w:hAnsi="Garamond" w:cs="Times New Roman"/>
        </w:rPr>
        <w:t>i</w:t>
      </w:r>
      <w:proofErr w:type="spellEnd"/>
      <w:r w:rsidRPr="00C05D6B">
        <w:rPr>
          <w:rFonts w:ascii="Garamond" w:hAnsi="Garamond" w:cs="Times New Roman"/>
        </w:rPr>
        <w:t>) to limit average greenhouse-gas emissions across their fleets of new motor vehicles sold in the State and (ii) to manufacture a certain percentage of electric vehicles as part of their vehicle fleets. The greenhouse-gas emissions limits remain in force indefinitely into the future, and the specific requirements for electric vehicles in new vehicle fleets run through model year 2025.</w:t>
      </w:r>
    </w:p>
    <w:p w14:paraId="5A577310" w14:textId="77777777" w:rsidR="00221D43" w:rsidRPr="00C05D6B" w:rsidRDefault="00221D43" w:rsidP="00221D43">
      <w:pPr>
        <w:rPr>
          <w:rFonts w:ascii="Garamond" w:hAnsi="Garamond" w:cs="Times New Roman"/>
        </w:rPr>
      </w:pPr>
    </w:p>
    <w:p w14:paraId="5A086380" w14:textId="1327E957" w:rsidR="00221D43" w:rsidRPr="00C05D6B" w:rsidRDefault="00221D43" w:rsidP="009B1076">
      <w:pPr>
        <w:ind w:firstLine="720"/>
        <w:rPr>
          <w:rFonts w:ascii="Garamond" w:hAnsi="Garamond" w:cs="Times New Roman"/>
        </w:rPr>
      </w:pPr>
      <w:r w:rsidRPr="00C05D6B">
        <w:rPr>
          <w:rFonts w:ascii="Garamond" w:hAnsi="Garamond" w:cs="Times New Roman"/>
        </w:rPr>
        <w:t>Under President Obama, EPA reversed its legal position and, in 2013, allowed the California regulations to take effect. Then in 2019, under President Trump, EPA flipped back and rescinded approval of the California regulations. In 2022, under President Biden, EPA again reversed course and reinstated approval of California</w:t>
      </w:r>
      <w:r w:rsidR="00390FEA" w:rsidRPr="00C05D6B">
        <w:rPr>
          <w:rFonts w:ascii="Garamond" w:hAnsi="Garamond" w:cs="Times New Roman"/>
        </w:rPr>
        <w:t>’</w:t>
      </w:r>
      <w:r w:rsidRPr="00C05D6B">
        <w:rPr>
          <w:rFonts w:ascii="Garamond" w:hAnsi="Garamond" w:cs="Times New Roman"/>
        </w:rPr>
        <w:t>s regulations. That is where things stand as of now, although President Trump has directed EPA to again reconsider its approval of California</w:t>
      </w:r>
      <w:r w:rsidR="00390FEA" w:rsidRPr="00C05D6B">
        <w:rPr>
          <w:rFonts w:ascii="Garamond" w:hAnsi="Garamond" w:cs="Times New Roman"/>
        </w:rPr>
        <w:t>’</w:t>
      </w:r>
      <w:r w:rsidRPr="00C05D6B">
        <w:rPr>
          <w:rFonts w:ascii="Garamond" w:hAnsi="Garamond" w:cs="Times New Roman"/>
        </w:rPr>
        <w:t>s standards.</w:t>
      </w:r>
    </w:p>
    <w:p w14:paraId="0EDE08A2" w14:textId="5B3A0B84" w:rsidR="00221D43" w:rsidRPr="00C05D6B" w:rsidRDefault="00221D43" w:rsidP="00221D43">
      <w:pPr>
        <w:rPr>
          <w:rFonts w:ascii="Garamond" w:hAnsi="Garamond" w:cs="Times New Roman"/>
        </w:rPr>
      </w:pPr>
      <w:r w:rsidRPr="00C05D6B">
        <w:rPr>
          <w:rFonts w:ascii="Garamond" w:hAnsi="Garamond" w:cs="Times New Roman"/>
        </w:rPr>
        <w:t>To date, acting pursuant to the Clean Air Act, 17 States and the District of Columbia have copied California</w:t>
      </w:r>
      <w:r w:rsidR="00390FEA" w:rsidRPr="00C05D6B">
        <w:rPr>
          <w:rFonts w:ascii="Garamond" w:hAnsi="Garamond" w:cs="Times New Roman"/>
        </w:rPr>
        <w:t>’</w:t>
      </w:r>
      <w:r w:rsidRPr="00C05D6B">
        <w:rPr>
          <w:rFonts w:ascii="Garamond" w:hAnsi="Garamond" w:cs="Times New Roman"/>
        </w:rPr>
        <w:t>s greenhouse-gas emissions standards for new motor vehicles, the electric-vehicle mandate, or both. Together with California, those jurisdictions account for about 40 percent of America</w:t>
      </w:r>
      <w:r w:rsidR="00390FEA" w:rsidRPr="00C05D6B">
        <w:rPr>
          <w:rFonts w:ascii="Garamond" w:hAnsi="Garamond" w:cs="Times New Roman"/>
        </w:rPr>
        <w:t>’</w:t>
      </w:r>
      <w:r w:rsidRPr="00C05D6B">
        <w:rPr>
          <w:rFonts w:ascii="Garamond" w:hAnsi="Garamond" w:cs="Times New Roman"/>
        </w:rPr>
        <w:t>s market for new cars and light-duty trucks.</w:t>
      </w:r>
    </w:p>
    <w:p w14:paraId="2AD18379" w14:textId="77777777" w:rsidR="00221D43" w:rsidRPr="00C05D6B" w:rsidRDefault="00221D43" w:rsidP="00221D43">
      <w:pPr>
        <w:rPr>
          <w:rFonts w:ascii="Garamond" w:hAnsi="Garamond" w:cs="Times New Roman"/>
        </w:rPr>
      </w:pPr>
    </w:p>
    <w:p w14:paraId="76FDEE3D" w14:textId="1AD53DED" w:rsidR="00221D43" w:rsidRPr="00C05D6B" w:rsidRDefault="00221D43" w:rsidP="009B1076">
      <w:pPr>
        <w:ind w:firstLine="720"/>
        <w:rPr>
          <w:rFonts w:ascii="Garamond" w:hAnsi="Garamond" w:cs="Times New Roman"/>
        </w:rPr>
      </w:pPr>
      <w:r w:rsidRPr="00C05D6B">
        <w:rPr>
          <w:rFonts w:ascii="Garamond" w:hAnsi="Garamond" w:cs="Times New Roman"/>
        </w:rPr>
        <w:t>In 2022, after EPA reinstated approval of California</w:t>
      </w:r>
      <w:r w:rsidR="00390FEA" w:rsidRPr="00C05D6B">
        <w:rPr>
          <w:rFonts w:ascii="Garamond" w:hAnsi="Garamond" w:cs="Times New Roman"/>
        </w:rPr>
        <w:t>’</w:t>
      </w:r>
      <w:r w:rsidRPr="00C05D6B">
        <w:rPr>
          <w:rFonts w:ascii="Garamond" w:hAnsi="Garamond" w:cs="Times New Roman"/>
        </w:rPr>
        <w:t>s 2012 regulations, several fuel producers sued EPA in the D.C. Circuit. The fuel producers primarily argued that EPA lacked authority under the Clean Air Act to approve the California regulations. They reasoned that the regulations did not target a local California air-quality problem—as they say is required by the Clean Air Act—but instead were designed to address global climate change.</w:t>
      </w:r>
    </w:p>
    <w:p w14:paraId="577E674B" w14:textId="77777777" w:rsidR="00221D43" w:rsidRPr="00C05D6B" w:rsidRDefault="00221D43" w:rsidP="00221D43">
      <w:pPr>
        <w:rPr>
          <w:rFonts w:ascii="Garamond" w:hAnsi="Garamond" w:cs="Times New Roman"/>
        </w:rPr>
      </w:pPr>
    </w:p>
    <w:p w14:paraId="4D3C428A" w14:textId="67E8EAAB" w:rsidR="00477096" w:rsidRPr="00C05D6B" w:rsidRDefault="00221D43" w:rsidP="00477096">
      <w:pPr>
        <w:ind w:firstLine="720"/>
        <w:rPr>
          <w:rFonts w:ascii="Garamond" w:hAnsi="Garamond" w:cs="Times New Roman"/>
        </w:rPr>
      </w:pPr>
      <w:r w:rsidRPr="00C05D6B">
        <w:rPr>
          <w:rFonts w:ascii="Garamond" w:hAnsi="Garamond" w:cs="Times New Roman"/>
        </w:rPr>
        <w:t xml:space="preserve">The fuel producers manufacture and sell automobile fuels such as gasoline, diesel, and ethanol. For example, American Fuel &amp; Petrochemical Manufacturers is a national trade association that represents many American fuel companies that produce and sell gasoline and other liquid fuels for automobiles. </w:t>
      </w:r>
      <w:r w:rsidRPr="00C05D6B">
        <w:rPr>
          <w:rFonts w:ascii="Garamond" w:hAnsi="Garamond" w:cs="Times New Roman"/>
          <w:lang w:val="de-DE"/>
        </w:rPr>
        <w:t xml:space="preserve">Diamond Alternative Energy sells renewable diesel, an alternative to traditional petroleum-derived diesel. </w:t>
      </w:r>
      <w:r w:rsidRPr="00C05D6B">
        <w:rPr>
          <w:rFonts w:ascii="Garamond" w:hAnsi="Garamond" w:cs="Times New Roman"/>
        </w:rPr>
        <w:t>Valero Renewable Fuels Company manufactures and sells ethanol.</w:t>
      </w:r>
    </w:p>
    <w:p w14:paraId="4F3C189B" w14:textId="77777777" w:rsidR="00477096" w:rsidRPr="00C05D6B" w:rsidRDefault="00477096" w:rsidP="00477096">
      <w:pPr>
        <w:ind w:firstLine="720"/>
        <w:rPr>
          <w:rFonts w:ascii="Garamond" w:hAnsi="Garamond" w:cs="Times New Roman"/>
        </w:rPr>
      </w:pPr>
    </w:p>
    <w:p w14:paraId="50C9FFEC" w14:textId="2EBECDAA" w:rsidR="00477096" w:rsidRPr="00C05D6B" w:rsidRDefault="00221D43" w:rsidP="002F4EC9">
      <w:pPr>
        <w:ind w:firstLine="720"/>
        <w:rPr>
          <w:rFonts w:ascii="Garamond" w:hAnsi="Garamond" w:cs="Times New Roman"/>
        </w:rPr>
      </w:pPr>
      <w:r w:rsidRPr="00C05D6B">
        <w:rPr>
          <w:rFonts w:ascii="Garamond" w:hAnsi="Garamond" w:cs="Times New Roman"/>
        </w:rPr>
        <w:t xml:space="preserve">This Court granted certiorari limited to the question of whether the fuel producers have Article III standing. </w:t>
      </w:r>
    </w:p>
    <w:p w14:paraId="736559D1" w14:textId="77777777" w:rsidR="00477096" w:rsidRPr="00C05D6B" w:rsidRDefault="00477096" w:rsidP="00221D43">
      <w:pPr>
        <w:rPr>
          <w:rFonts w:ascii="Garamond" w:hAnsi="Garamond" w:cs="Times New Roman"/>
        </w:rPr>
      </w:pPr>
    </w:p>
    <w:p w14:paraId="0998F75B" w14:textId="706BD207" w:rsidR="00221D43" w:rsidRPr="00C05D6B" w:rsidRDefault="00221D43" w:rsidP="00221D43">
      <w:pPr>
        <w:rPr>
          <w:rFonts w:ascii="Garamond" w:hAnsi="Garamond" w:cs="Times New Roman"/>
        </w:rPr>
      </w:pPr>
      <w:r w:rsidRPr="00C05D6B">
        <w:rPr>
          <w:rFonts w:ascii="Garamond" w:hAnsi="Garamond" w:cs="Times New Roman"/>
        </w:rPr>
        <w:t>II</w:t>
      </w:r>
    </w:p>
    <w:p w14:paraId="4C0E77C4" w14:textId="77777777" w:rsidR="00221D43" w:rsidRPr="00C05D6B" w:rsidRDefault="00221D43" w:rsidP="00221D43">
      <w:pPr>
        <w:rPr>
          <w:rFonts w:ascii="Garamond" w:hAnsi="Garamond" w:cs="Times New Roman"/>
        </w:rPr>
      </w:pPr>
    </w:p>
    <w:p w14:paraId="4C560ED6" w14:textId="756CCF15" w:rsidR="00221D43" w:rsidRPr="00C05D6B" w:rsidRDefault="00221D43" w:rsidP="009B1076">
      <w:pPr>
        <w:ind w:firstLine="720"/>
        <w:rPr>
          <w:rFonts w:ascii="Garamond" w:hAnsi="Garamond" w:cs="Times New Roman"/>
        </w:rPr>
      </w:pPr>
      <w:r w:rsidRPr="00C05D6B">
        <w:rPr>
          <w:rFonts w:ascii="Garamond" w:hAnsi="Garamond" w:cs="Times New Roman"/>
        </w:rPr>
        <w:lastRenderedPageBreak/>
        <w:t>This Court</w:t>
      </w:r>
      <w:r w:rsidR="00477096" w:rsidRPr="00C05D6B">
        <w:rPr>
          <w:rFonts w:ascii="Garamond" w:hAnsi="Garamond" w:cs="Times New Roman"/>
        </w:rPr>
        <w:t>’</w:t>
      </w:r>
      <w:r w:rsidRPr="00C05D6B">
        <w:rPr>
          <w:rFonts w:ascii="Garamond" w:hAnsi="Garamond" w:cs="Times New Roman"/>
        </w:rPr>
        <w:t xml:space="preserve">s “cases have established that the irreducible constitutional minimum of standing contains three elements”: injury in fact, causation, and redressability. The first requirement, injury in fact, requires the plaintiff to demonstrate an injury that is “concrete,” “particularized,” and “actual or imminent, not speculative.” “Monetary costs are of course an injury.”  </w:t>
      </w:r>
    </w:p>
    <w:p w14:paraId="41DA8866" w14:textId="77777777" w:rsidR="00221D43" w:rsidRPr="00C05D6B" w:rsidRDefault="00221D43" w:rsidP="00221D43">
      <w:pPr>
        <w:rPr>
          <w:rFonts w:ascii="Garamond" w:hAnsi="Garamond" w:cs="Times New Roman"/>
        </w:rPr>
      </w:pPr>
    </w:p>
    <w:p w14:paraId="1C840B19" w14:textId="2FA49953" w:rsidR="00221D43" w:rsidRPr="00C05D6B" w:rsidRDefault="00221D43" w:rsidP="009B1076">
      <w:pPr>
        <w:ind w:firstLine="720"/>
        <w:rPr>
          <w:rFonts w:ascii="Garamond" w:hAnsi="Garamond" w:cs="Times New Roman"/>
        </w:rPr>
      </w:pPr>
      <w:r w:rsidRPr="00C05D6B">
        <w:rPr>
          <w:rFonts w:ascii="Garamond" w:hAnsi="Garamond" w:cs="Times New Roman"/>
        </w:rPr>
        <w:t>The second and third requirements, causation and redressability, are usually “flip sides of the same coin.</w:t>
      </w:r>
      <w:r w:rsidR="002641CF" w:rsidRPr="00C05D6B">
        <w:rPr>
          <w:rFonts w:ascii="Garamond" w:hAnsi="Garamond" w:cs="Times New Roman"/>
        </w:rPr>
        <w:t>”</w:t>
      </w:r>
      <w:r w:rsidRPr="00C05D6B">
        <w:rPr>
          <w:rFonts w:ascii="Garamond" w:hAnsi="Garamond" w:cs="Times New Roman"/>
        </w:rPr>
        <w:t xml:space="preserve"> Causation requires the plaintiff to show “that the injury was likely caused by the defendant,” and redressability requires the plaintiff to demonstrate “that the injury would likely be redressed by judicial relief.” “If a defendant</w:t>
      </w:r>
      <w:r w:rsidR="00477096" w:rsidRPr="00C05D6B">
        <w:rPr>
          <w:rFonts w:ascii="Garamond" w:hAnsi="Garamond" w:cs="Times New Roman"/>
        </w:rPr>
        <w:t>’</w:t>
      </w:r>
      <w:r w:rsidRPr="00C05D6B">
        <w:rPr>
          <w:rFonts w:ascii="Garamond" w:hAnsi="Garamond" w:cs="Times New Roman"/>
        </w:rPr>
        <w:t xml:space="preserve">s action causes an injury, enjoining the action or awarding damages for the action will typically redress that injury.” To be sure, redressability “can still pose an independent bar in some cases,” but “the two key questions in most standing disputes are injury in fact and causation.” The additional redressability requirement generally serves to ensure that there is a sufficient “relationship between ‘the judicial relief requested’ and the ‘injury’ suffered.” </w:t>
      </w:r>
    </w:p>
    <w:p w14:paraId="77A337C9" w14:textId="77777777" w:rsidR="00221D43" w:rsidRPr="00C05D6B" w:rsidRDefault="00221D43" w:rsidP="00221D43">
      <w:pPr>
        <w:rPr>
          <w:rFonts w:ascii="Garamond" w:hAnsi="Garamond" w:cs="Times New Roman"/>
        </w:rPr>
      </w:pPr>
    </w:p>
    <w:p w14:paraId="10AA9261" w14:textId="49624E99" w:rsidR="00221D43" w:rsidRPr="00C05D6B" w:rsidRDefault="00221D43" w:rsidP="009B1076">
      <w:pPr>
        <w:ind w:firstLine="720"/>
        <w:rPr>
          <w:rFonts w:ascii="Garamond" w:hAnsi="Garamond" w:cs="Times New Roman"/>
        </w:rPr>
      </w:pPr>
      <w:r w:rsidRPr="00C05D6B">
        <w:rPr>
          <w:rFonts w:ascii="Garamond" w:hAnsi="Garamond" w:cs="Times New Roman"/>
        </w:rPr>
        <w:t xml:space="preserve">Importantly, if a plaintiff is “an object of the action (or forgone action) at issue,” then “there is ordinarily little question that the action or inaction has caused him injury, and that a judgment preventing or requiring the action will redress it.” When the plaintiff is not the object of a government regulation, however, causation and redressability often depend on how regulated third parties not before the court will act in response to the government regulation or judicial relief. Courts must distinguish the “predictable” from the “speculative” effects of government action or judicial relief on third parties. With respect to causation (and redressability), a court must conclude that “third parties will likely react” to the government regulation (or judicial relief) “in predictable ways” that will likely cause (or redress) the plaintiff's injury. </w:t>
      </w:r>
    </w:p>
    <w:p w14:paraId="6C875187" w14:textId="77777777" w:rsidR="00221D43" w:rsidRPr="00C05D6B" w:rsidRDefault="00221D43" w:rsidP="00221D43">
      <w:pPr>
        <w:rPr>
          <w:rFonts w:ascii="Garamond" w:hAnsi="Garamond" w:cs="Times New Roman"/>
        </w:rPr>
      </w:pPr>
    </w:p>
    <w:p w14:paraId="7ABE53F9" w14:textId="4C89533A" w:rsidR="00221D43" w:rsidRPr="00C05D6B" w:rsidRDefault="00221D43" w:rsidP="009B1076">
      <w:pPr>
        <w:ind w:firstLine="720"/>
        <w:rPr>
          <w:rFonts w:ascii="Garamond" w:hAnsi="Garamond" w:cs="Times New Roman"/>
        </w:rPr>
      </w:pPr>
      <w:r w:rsidRPr="00C05D6B">
        <w:rPr>
          <w:rFonts w:ascii="Garamond" w:hAnsi="Garamond" w:cs="Times New Roman"/>
        </w:rPr>
        <w:t>Here, the fuel producers say that they suffered injury in fact caused by the California regulations. They point out that the entire purpose of California</w:t>
      </w:r>
      <w:r w:rsidR="00477096" w:rsidRPr="00C05D6B">
        <w:rPr>
          <w:rFonts w:ascii="Garamond" w:hAnsi="Garamond" w:cs="Times New Roman"/>
        </w:rPr>
        <w:t>’</w:t>
      </w:r>
      <w:r w:rsidRPr="00C05D6B">
        <w:rPr>
          <w:rFonts w:ascii="Garamond" w:hAnsi="Garamond" w:cs="Times New Roman"/>
        </w:rPr>
        <w:t>s fleet-wide emissions standards and electric-vehicle mandate is to reduce the use of gasoline and other liquid fuels in motor vehicles as compared to what otherwise would occur in a free market. The regulations cause automakers to, among other things, produce fewer gasoline-powered vehicles. That in turn causes fewer gasoline sales, leading to a monetary injury in fact for producers of gasoline and other liquid fuels.</w:t>
      </w:r>
    </w:p>
    <w:p w14:paraId="5B315BCF" w14:textId="77777777" w:rsidR="00221D43" w:rsidRPr="00C05D6B" w:rsidRDefault="00221D43" w:rsidP="00221D43">
      <w:pPr>
        <w:rPr>
          <w:rFonts w:ascii="Garamond" w:hAnsi="Garamond" w:cs="Times New Roman"/>
        </w:rPr>
      </w:pPr>
    </w:p>
    <w:p w14:paraId="72A87542" w14:textId="6A0EF747" w:rsidR="00221D43" w:rsidRPr="00C05D6B" w:rsidRDefault="00221D43" w:rsidP="009B1076">
      <w:pPr>
        <w:ind w:firstLine="720"/>
        <w:rPr>
          <w:rFonts w:ascii="Garamond" w:hAnsi="Garamond" w:cs="Times New Roman"/>
        </w:rPr>
      </w:pPr>
      <w:r w:rsidRPr="00C05D6B">
        <w:rPr>
          <w:rFonts w:ascii="Garamond" w:hAnsi="Garamond" w:cs="Times New Roman"/>
        </w:rPr>
        <w:t>As to redressability, the fuel producers say that invalidating the California regulations would likely redress their injury because it would remove a regulatory impediment to the sale and use of their products. They further contend that, absent the regulations, automakers would likely produce fewer electric vehicles and more gasoline-powered vehicles. Production of those vehicles would predictably lead to more purchases of gasoline and other liquid fuels sold by the fuel producers. In short, they argue that when the government tells automakers to make more cars that use less gasoline, there should be little question that the gasoline producers have standing to sue.</w:t>
      </w:r>
    </w:p>
    <w:p w14:paraId="134BE05F" w14:textId="77777777" w:rsidR="00221D43" w:rsidRPr="00C05D6B" w:rsidRDefault="00221D43" w:rsidP="00221D43">
      <w:pPr>
        <w:rPr>
          <w:rFonts w:ascii="Garamond" w:hAnsi="Garamond" w:cs="Times New Roman"/>
        </w:rPr>
      </w:pPr>
    </w:p>
    <w:p w14:paraId="43A76448" w14:textId="269F5388" w:rsidR="00221D43" w:rsidRPr="00C05D6B" w:rsidRDefault="00221D43" w:rsidP="009B1076">
      <w:pPr>
        <w:ind w:firstLine="720"/>
        <w:rPr>
          <w:rFonts w:ascii="Garamond" w:hAnsi="Garamond" w:cs="Times New Roman"/>
        </w:rPr>
      </w:pPr>
      <w:r w:rsidRPr="00C05D6B">
        <w:rPr>
          <w:rFonts w:ascii="Garamond" w:hAnsi="Garamond" w:cs="Times New Roman"/>
        </w:rPr>
        <w:t xml:space="preserve">In this Court, neither EPA nor California meaningfully disputes injury in fact or causation. But they argue that the fuel producers did not establish redressability. According to EPA and California, even if the California regulations are invalidated, the fuel producers have not shown that vehicle manufacturers would reduce the percentage of their fleets that consist of electric vehicles (or otherwise stated, increase the percentage that consists of gasoline-powered vehicles). EPA and California suggest that the automobile market has changed—apparently permanently in their view—and strong consumer demand for (and manufacturers’ supply of) electric vehicles means that automakers are unlikely to manufacture or sell any additional gasoline-powered cars even if the </w:t>
      </w:r>
      <w:r w:rsidRPr="00C05D6B">
        <w:rPr>
          <w:rFonts w:ascii="Garamond" w:hAnsi="Garamond" w:cs="Times New Roman"/>
        </w:rPr>
        <w:lastRenderedPageBreak/>
        <w:t>California regulations are invalidated.</w:t>
      </w:r>
      <w:r w:rsidRPr="00C05D6B">
        <w:rPr>
          <w:rFonts w:ascii="Garamond" w:hAnsi="Garamond" w:cs="Times New Roman"/>
        </w:rPr>
        <w:br/>
      </w:r>
    </w:p>
    <w:p w14:paraId="07BEE903" w14:textId="77777777" w:rsidR="00221D43" w:rsidRPr="00C05D6B" w:rsidRDefault="00221D43" w:rsidP="00221D43">
      <w:pPr>
        <w:rPr>
          <w:rFonts w:ascii="Garamond" w:hAnsi="Garamond" w:cs="Times New Roman"/>
        </w:rPr>
      </w:pPr>
      <w:r w:rsidRPr="00C05D6B">
        <w:rPr>
          <w:rFonts w:ascii="Garamond" w:hAnsi="Garamond" w:cs="Times New Roman"/>
        </w:rPr>
        <w:t>III</w:t>
      </w:r>
    </w:p>
    <w:p w14:paraId="655C5EF1" w14:textId="77777777" w:rsidR="00221D43" w:rsidRPr="00C05D6B" w:rsidRDefault="00221D43" w:rsidP="00221D43">
      <w:pPr>
        <w:rPr>
          <w:rFonts w:ascii="Garamond" w:hAnsi="Garamond" w:cs="Times New Roman"/>
        </w:rPr>
      </w:pPr>
    </w:p>
    <w:p w14:paraId="41FDDD2D" w14:textId="18CF8F13" w:rsidR="00221D43" w:rsidRPr="00C05D6B" w:rsidRDefault="00221D43" w:rsidP="009B1076">
      <w:pPr>
        <w:ind w:firstLine="720"/>
        <w:rPr>
          <w:rFonts w:ascii="Garamond" w:hAnsi="Garamond" w:cs="Times New Roman"/>
        </w:rPr>
      </w:pPr>
      <w:r w:rsidRPr="00C05D6B">
        <w:rPr>
          <w:rFonts w:ascii="Garamond" w:hAnsi="Garamond" w:cs="Times New Roman"/>
        </w:rPr>
        <w:t>We hold that the fuel producers have standing to sue. To begin, the injury in fact and causation elements of the fuel producers’ standing, which no party disputes, are straightforward.</w:t>
      </w:r>
    </w:p>
    <w:p w14:paraId="431ACCF5" w14:textId="48CC745D" w:rsidR="00221D43" w:rsidRPr="00C05D6B" w:rsidRDefault="00221D43" w:rsidP="00221D43">
      <w:pPr>
        <w:rPr>
          <w:rFonts w:ascii="Garamond" w:hAnsi="Garamond" w:cs="Times New Roman"/>
        </w:rPr>
      </w:pPr>
      <w:r w:rsidRPr="00C05D6B">
        <w:rPr>
          <w:rFonts w:ascii="Garamond" w:hAnsi="Garamond" w:cs="Times New Roman"/>
        </w:rPr>
        <w:t>As for injury in fact, the fuel producers make money by selling fuel. Therefore, the decrease in purchases of gasoline and other liquid fuels resulting from the California regulations hurts their bottom line. Those monetary costs “are of course an injury.”</w:t>
      </w:r>
    </w:p>
    <w:p w14:paraId="02F835B8" w14:textId="77777777" w:rsidR="00221D43" w:rsidRPr="00C05D6B" w:rsidRDefault="00221D43" w:rsidP="00221D43">
      <w:pPr>
        <w:rPr>
          <w:rFonts w:ascii="Garamond" w:hAnsi="Garamond" w:cs="Times New Roman"/>
        </w:rPr>
      </w:pPr>
    </w:p>
    <w:p w14:paraId="7635A306" w14:textId="47E8DE59" w:rsidR="00221D43" w:rsidRPr="00C05D6B" w:rsidRDefault="00221D43" w:rsidP="009B1076">
      <w:pPr>
        <w:ind w:firstLine="720"/>
        <w:rPr>
          <w:rFonts w:ascii="Garamond" w:hAnsi="Garamond" w:cs="Times New Roman"/>
        </w:rPr>
      </w:pPr>
      <w:r w:rsidRPr="00C05D6B">
        <w:rPr>
          <w:rFonts w:ascii="Garamond" w:hAnsi="Garamond" w:cs="Times New Roman"/>
        </w:rPr>
        <w:t>As for causation, EPA</w:t>
      </w:r>
      <w:r w:rsidR="00477096" w:rsidRPr="00C05D6B">
        <w:rPr>
          <w:rFonts w:ascii="Garamond" w:hAnsi="Garamond" w:cs="Times New Roman"/>
        </w:rPr>
        <w:t>’</w:t>
      </w:r>
      <w:r w:rsidRPr="00C05D6B">
        <w:rPr>
          <w:rFonts w:ascii="Garamond" w:hAnsi="Garamond" w:cs="Times New Roman"/>
        </w:rPr>
        <w:t>s approval authorized California (and ultimately 17 other States) to enforce regulations that require lower fleet-wide greenhouse-gas emissions and the electrification of automakers’ vehicle fleets, thereby reducing purchases of liquid fuels such as gasoline. The regulations likely cause fuel producers’ monetary injuries because the regulations likely cause a decrease in purchases of gasoline and other liquid fuels for automobiles. Indeed, that is the whole point of the regulations.</w:t>
      </w:r>
    </w:p>
    <w:p w14:paraId="4782D6DA" w14:textId="77777777" w:rsidR="00221D43" w:rsidRPr="00C05D6B" w:rsidRDefault="00221D43" w:rsidP="00221D43">
      <w:pPr>
        <w:rPr>
          <w:rFonts w:ascii="Garamond" w:hAnsi="Garamond" w:cs="Times New Roman"/>
        </w:rPr>
      </w:pPr>
    </w:p>
    <w:p w14:paraId="02BC1D16" w14:textId="5B758BD8" w:rsidR="00221D43" w:rsidRPr="00C05D6B" w:rsidRDefault="00221D43" w:rsidP="00221D43">
      <w:pPr>
        <w:ind w:firstLine="720"/>
        <w:rPr>
          <w:rFonts w:ascii="Garamond" w:hAnsi="Garamond" w:cs="Times New Roman"/>
        </w:rPr>
      </w:pPr>
      <w:r w:rsidRPr="00C05D6B">
        <w:rPr>
          <w:rFonts w:ascii="Garamond" w:hAnsi="Garamond" w:cs="Times New Roman"/>
        </w:rPr>
        <w:t xml:space="preserve">As for redressability, invalidating the California regulations would likely redress at least some of the fuel producers’ monetary injuries. Even “one dollar” of additional revenue for the fuel producers would satisfy the redressability component of Article III standing. And it is “likely” that invalidating the California regulations would result in more revenue for the fuel producers from additional sales of gasoline and other liquid fuels.  </w:t>
      </w:r>
    </w:p>
    <w:p w14:paraId="275B90BC" w14:textId="77777777" w:rsidR="00221D43" w:rsidRPr="00C05D6B" w:rsidRDefault="00221D43" w:rsidP="009B1076">
      <w:pPr>
        <w:ind w:firstLine="720"/>
        <w:rPr>
          <w:rFonts w:ascii="Garamond" w:hAnsi="Garamond" w:cs="Times New Roman"/>
        </w:rPr>
      </w:pPr>
    </w:p>
    <w:p w14:paraId="05B48ADF" w14:textId="73459016" w:rsidR="00221D43" w:rsidRPr="00C05D6B" w:rsidRDefault="00221D43" w:rsidP="009B1076">
      <w:pPr>
        <w:ind w:firstLine="720"/>
        <w:rPr>
          <w:rFonts w:ascii="Garamond" w:hAnsi="Garamond" w:cs="Times New Roman"/>
        </w:rPr>
      </w:pPr>
      <w:r w:rsidRPr="00C05D6B">
        <w:rPr>
          <w:rFonts w:ascii="Garamond" w:hAnsi="Garamond" w:cs="Times New Roman"/>
        </w:rPr>
        <w:t>When a plaintiff is the “object” of a government regulation, there should “ordinarily” be “little question” that the regulation causes injury to the plaintiff and that invalidating the regulation would redress the plaintiff</w:t>
      </w:r>
      <w:r w:rsidR="00477096" w:rsidRPr="00C05D6B">
        <w:rPr>
          <w:rFonts w:ascii="Garamond" w:hAnsi="Garamond" w:cs="Times New Roman"/>
        </w:rPr>
        <w:t>’</w:t>
      </w:r>
      <w:r w:rsidRPr="00C05D6B">
        <w:rPr>
          <w:rFonts w:ascii="Garamond" w:hAnsi="Garamond" w:cs="Times New Roman"/>
        </w:rPr>
        <w:t>s injuries</w:t>
      </w:r>
      <w:r w:rsidR="00477096" w:rsidRPr="00C05D6B">
        <w:rPr>
          <w:rFonts w:ascii="Garamond" w:hAnsi="Garamond" w:cs="Times New Roman"/>
        </w:rPr>
        <w:t>.</w:t>
      </w:r>
      <w:r w:rsidRPr="00C05D6B">
        <w:rPr>
          <w:rFonts w:ascii="Garamond" w:hAnsi="Garamond" w:cs="Times New Roman"/>
        </w:rPr>
        <w:t xml:space="preserve"> The fuel producers here might be considered an object of the California regulations because the regulations explicitly seek to restrict the use of gasoline and other liquid fuels in automobiles. </w:t>
      </w:r>
    </w:p>
    <w:p w14:paraId="18ED5B68" w14:textId="77777777" w:rsidR="00221D43" w:rsidRPr="00C05D6B" w:rsidRDefault="00221D43" w:rsidP="00221D43">
      <w:pPr>
        <w:rPr>
          <w:rFonts w:ascii="Garamond" w:hAnsi="Garamond" w:cs="Times New Roman"/>
        </w:rPr>
      </w:pPr>
    </w:p>
    <w:p w14:paraId="7A403120" w14:textId="3C6C11A2" w:rsidR="00221D43" w:rsidRPr="00C05D6B" w:rsidRDefault="00221D43" w:rsidP="009B1076">
      <w:pPr>
        <w:ind w:firstLine="720"/>
        <w:rPr>
          <w:rFonts w:ascii="Garamond" w:hAnsi="Garamond" w:cs="Times New Roman"/>
        </w:rPr>
      </w:pPr>
      <w:r w:rsidRPr="00C05D6B">
        <w:rPr>
          <w:rFonts w:ascii="Garamond" w:hAnsi="Garamond" w:cs="Times New Roman"/>
        </w:rPr>
        <w:t xml:space="preserve">This case presents what the Court has described as the “familiar” circumstance where government regulation of a business “may be likely” to cause injuries to other linked businesses. As the Court has explained, “when the government regulates (or under-regulates) a business, the regulation (or lack thereof) may cause downstream or upstream economic injuries to others in the chain, such as certain manufacturers, retailers, suppliers, competitors, or customers.” </w:t>
      </w:r>
    </w:p>
    <w:p w14:paraId="43D0960D" w14:textId="77777777" w:rsidR="00221D43" w:rsidRPr="00C05D6B" w:rsidRDefault="00221D43" w:rsidP="00221D43">
      <w:pPr>
        <w:rPr>
          <w:rFonts w:ascii="Garamond" w:hAnsi="Garamond" w:cs="Times New Roman"/>
        </w:rPr>
      </w:pPr>
    </w:p>
    <w:p w14:paraId="0BA99E97" w14:textId="5FF5B56A" w:rsidR="00221D43" w:rsidRPr="00C05D6B" w:rsidRDefault="00221D43" w:rsidP="009B1076">
      <w:pPr>
        <w:ind w:firstLine="720"/>
        <w:rPr>
          <w:rFonts w:ascii="Garamond" w:hAnsi="Garamond" w:cs="Times New Roman"/>
        </w:rPr>
      </w:pPr>
      <w:r w:rsidRPr="00C05D6B">
        <w:rPr>
          <w:rFonts w:ascii="Garamond" w:hAnsi="Garamond" w:cs="Times New Roman"/>
        </w:rPr>
        <w:t>In cases of that kind, this Court</w:t>
      </w:r>
      <w:r w:rsidR="00477096" w:rsidRPr="00C05D6B">
        <w:rPr>
          <w:rFonts w:ascii="Garamond" w:hAnsi="Garamond" w:cs="Times New Roman"/>
        </w:rPr>
        <w:t>’</w:t>
      </w:r>
      <w:r w:rsidRPr="00C05D6B">
        <w:rPr>
          <w:rFonts w:ascii="Garamond" w:hAnsi="Garamond" w:cs="Times New Roman"/>
        </w:rPr>
        <w:t>s analysis of causation and redressability has recognized commonsense economic realities. When third party behavior is predictable, commonsense inferences may be drawn. Importantly, EPA agrees that “commonsense economic principles” can be useful when evaluating Article III standing.</w:t>
      </w:r>
    </w:p>
    <w:p w14:paraId="47871AAB" w14:textId="77777777" w:rsidR="00221D43" w:rsidRPr="00C05D6B" w:rsidRDefault="00221D43" w:rsidP="00221D43">
      <w:pPr>
        <w:rPr>
          <w:rFonts w:ascii="Garamond" w:hAnsi="Garamond" w:cs="Times New Roman"/>
        </w:rPr>
      </w:pPr>
    </w:p>
    <w:p w14:paraId="0535C8DF" w14:textId="04DC5CC2" w:rsidR="00221D43" w:rsidRPr="00C05D6B" w:rsidRDefault="00221D43" w:rsidP="009B1076">
      <w:pPr>
        <w:ind w:firstLine="720"/>
        <w:rPr>
          <w:rFonts w:ascii="Garamond" w:hAnsi="Garamond" w:cs="Times New Roman"/>
        </w:rPr>
      </w:pPr>
      <w:r w:rsidRPr="00C05D6B">
        <w:rPr>
          <w:rFonts w:ascii="Garamond" w:hAnsi="Garamond" w:cs="Times New Roman"/>
        </w:rPr>
        <w:t>In this case, those commonsense economic principles support the fuel producers’ standing. The California regulations force automakers to manufacture more electric vehicles and fewer gasoline-powered vehicles. The standards force automakers to produce a fleet of vehicles that, as a whole, uses significantly less gasoline and other liquid fuels. California</w:t>
      </w:r>
      <w:r w:rsidR="00477096" w:rsidRPr="00C05D6B">
        <w:rPr>
          <w:rFonts w:ascii="Garamond" w:hAnsi="Garamond" w:cs="Times New Roman"/>
        </w:rPr>
        <w:t>’</w:t>
      </w:r>
      <w:r w:rsidRPr="00C05D6B">
        <w:rPr>
          <w:rFonts w:ascii="Garamond" w:hAnsi="Garamond" w:cs="Times New Roman"/>
        </w:rPr>
        <w:t xml:space="preserve">s regulation of automakers’ vehicle fleets in turn will likely “cause downstream or upstream economic injuries to others in the chain,” such as producers of gasoline and other liquid fuels. </w:t>
      </w:r>
    </w:p>
    <w:p w14:paraId="1ABB9A70" w14:textId="77777777" w:rsidR="00221D43" w:rsidRPr="00C05D6B" w:rsidRDefault="00221D43" w:rsidP="00221D43">
      <w:pPr>
        <w:rPr>
          <w:rFonts w:ascii="Garamond" w:hAnsi="Garamond" w:cs="Times New Roman"/>
        </w:rPr>
      </w:pPr>
    </w:p>
    <w:p w14:paraId="7B67C775" w14:textId="24A18456" w:rsidR="00221D43" w:rsidRPr="00C05D6B" w:rsidRDefault="00221D43" w:rsidP="009B1076">
      <w:pPr>
        <w:ind w:firstLine="720"/>
        <w:rPr>
          <w:rFonts w:ascii="Garamond" w:hAnsi="Garamond" w:cs="Times New Roman"/>
        </w:rPr>
      </w:pPr>
      <w:r w:rsidRPr="00C05D6B">
        <w:rPr>
          <w:rFonts w:ascii="Garamond" w:hAnsi="Garamond" w:cs="Times New Roman"/>
        </w:rPr>
        <w:lastRenderedPageBreak/>
        <w:t>By the same token, the fuel producers persuasively contend that invalidating California</w:t>
      </w:r>
      <w:r w:rsidR="00477096" w:rsidRPr="00C05D6B">
        <w:rPr>
          <w:rFonts w:ascii="Garamond" w:hAnsi="Garamond" w:cs="Times New Roman"/>
        </w:rPr>
        <w:t>’</w:t>
      </w:r>
      <w:r w:rsidRPr="00C05D6B">
        <w:rPr>
          <w:rFonts w:ascii="Garamond" w:hAnsi="Garamond" w:cs="Times New Roman"/>
        </w:rPr>
        <w:t xml:space="preserve">s regulations would likely mean more gasoline-powered automobiles, which would in turn likely mean more sales of gasoline and other liquid fuels by the fuel producers. Because the fuel producers have suffered classic monetary injury caused by a government regulatory action, it would be surprising and unusual if invalidating the regulations did not redress the fuel producers’ injuries. </w:t>
      </w:r>
    </w:p>
    <w:p w14:paraId="7E0B9312" w14:textId="77777777" w:rsidR="00221D43" w:rsidRPr="00C05D6B" w:rsidRDefault="00221D43" w:rsidP="00221D43">
      <w:pPr>
        <w:rPr>
          <w:rFonts w:ascii="Garamond" w:hAnsi="Garamond" w:cs="Times New Roman"/>
        </w:rPr>
      </w:pPr>
    </w:p>
    <w:p w14:paraId="575BD966" w14:textId="3342DE03" w:rsidR="00221D43" w:rsidRPr="00C05D6B" w:rsidRDefault="00221D43" w:rsidP="009B1076">
      <w:pPr>
        <w:ind w:firstLine="720"/>
        <w:rPr>
          <w:rFonts w:ascii="Garamond" w:hAnsi="Garamond" w:cs="Times New Roman"/>
        </w:rPr>
      </w:pPr>
      <w:r w:rsidRPr="00C05D6B">
        <w:rPr>
          <w:rFonts w:ascii="Garamond" w:hAnsi="Garamond" w:cs="Times New Roman"/>
        </w:rPr>
        <w:t>Article III</w:t>
      </w:r>
      <w:r w:rsidR="00477096" w:rsidRPr="00C05D6B">
        <w:rPr>
          <w:rFonts w:ascii="Garamond" w:hAnsi="Garamond" w:cs="Times New Roman"/>
        </w:rPr>
        <w:t>’</w:t>
      </w:r>
      <w:r w:rsidRPr="00C05D6B">
        <w:rPr>
          <w:rFonts w:ascii="Garamond" w:hAnsi="Garamond" w:cs="Times New Roman"/>
        </w:rPr>
        <w:t>s redressability requirement serves to align injuries and remedies. The primary goals of that requirement are to ensure that plaintiffs do not sue the wrong parties and that courts do not issue advisory opinions. The redressability requirement should not be misused, however, to prevent the targets of government regulations from challenging regulations that threaten their businesses. EPA and California cite no case where Article III</w:t>
      </w:r>
      <w:r w:rsidR="00477096" w:rsidRPr="00C05D6B">
        <w:rPr>
          <w:rFonts w:ascii="Garamond" w:hAnsi="Garamond" w:cs="Times New Roman"/>
        </w:rPr>
        <w:t>’</w:t>
      </w:r>
      <w:r w:rsidRPr="00C05D6B">
        <w:rPr>
          <w:rFonts w:ascii="Garamond" w:hAnsi="Garamond" w:cs="Times New Roman"/>
        </w:rPr>
        <w:t>s redressability requirement has been applied to prevent challenges to a regulation setting a permanent ceiling on the sale or use of a business</w:t>
      </w:r>
      <w:r w:rsidR="00477096" w:rsidRPr="00C05D6B">
        <w:rPr>
          <w:rFonts w:ascii="Garamond" w:hAnsi="Garamond" w:cs="Times New Roman"/>
        </w:rPr>
        <w:t>’</w:t>
      </w:r>
      <w:r w:rsidRPr="00C05D6B">
        <w:rPr>
          <w:rFonts w:ascii="Garamond" w:hAnsi="Garamond" w:cs="Times New Roman"/>
        </w:rPr>
        <w:t>s products. Here, the fuel producers have established their standing to challenge EPA's approval of the California regulations.</w:t>
      </w:r>
    </w:p>
    <w:p w14:paraId="4D083EDE" w14:textId="77777777" w:rsidR="00221D43" w:rsidRPr="00C05D6B" w:rsidRDefault="00221D43" w:rsidP="00221D43">
      <w:pPr>
        <w:rPr>
          <w:rFonts w:ascii="Garamond" w:hAnsi="Garamond" w:cs="Times New Roman"/>
        </w:rPr>
      </w:pPr>
    </w:p>
    <w:p w14:paraId="79B00EAB" w14:textId="4E4F2340" w:rsidR="00221D43" w:rsidRPr="00C05D6B" w:rsidRDefault="00221D43" w:rsidP="00221D43">
      <w:pPr>
        <w:rPr>
          <w:rFonts w:ascii="Garamond" w:hAnsi="Garamond" w:cs="Times New Roman"/>
        </w:rPr>
      </w:pPr>
      <w:r w:rsidRPr="00C05D6B">
        <w:rPr>
          <w:rFonts w:ascii="Garamond" w:hAnsi="Garamond" w:cs="Times New Roman"/>
        </w:rPr>
        <w:t>Justice Jackson, dissenting.</w:t>
      </w:r>
    </w:p>
    <w:p w14:paraId="089EC693" w14:textId="77777777" w:rsidR="00221D43" w:rsidRPr="00C05D6B" w:rsidRDefault="00221D43" w:rsidP="00221D43">
      <w:pPr>
        <w:rPr>
          <w:rFonts w:ascii="Garamond" w:hAnsi="Garamond" w:cs="Times New Roman"/>
        </w:rPr>
      </w:pPr>
    </w:p>
    <w:p w14:paraId="722FB68C" w14:textId="589ADBEB" w:rsidR="00221D43" w:rsidRPr="00C05D6B" w:rsidRDefault="00221D43" w:rsidP="009B1076">
      <w:pPr>
        <w:ind w:firstLine="720"/>
        <w:rPr>
          <w:rFonts w:ascii="Garamond" w:hAnsi="Garamond" w:cs="Times New Roman"/>
        </w:rPr>
      </w:pPr>
      <w:r w:rsidRPr="00C05D6B">
        <w:rPr>
          <w:rFonts w:ascii="Garamond" w:hAnsi="Garamond" w:cs="Times New Roman"/>
        </w:rPr>
        <w:t>Standing is a constitutional doctrine meant to promote judicial restraint. By design, it “‘prevent[s] the judicial process from being used to usurp the powers of the political branches’” and “helps safeguard the Judiciary</w:t>
      </w:r>
      <w:r w:rsidR="00477096" w:rsidRPr="00C05D6B">
        <w:rPr>
          <w:rFonts w:ascii="Garamond" w:hAnsi="Garamond" w:cs="Times New Roman"/>
        </w:rPr>
        <w:t>’</w:t>
      </w:r>
      <w:r w:rsidRPr="00C05D6B">
        <w:rPr>
          <w:rFonts w:ascii="Garamond" w:hAnsi="Garamond" w:cs="Times New Roman"/>
        </w:rPr>
        <w:t xml:space="preserve">s proper—and properly limited—role in our constitutional system.”  But standing doctrine cannot serve that important purpose if the Judiciary fails to apply it evenhandedly. When courts adjust standing requirements to let certain litigants challenge the actions of the political branches but preclude suits by others with similar injuries, standing doctrine cannot perform its constraining function. Over time, such selectivity begets judicial overreach and erodes public trust in the impartiality of judicial </w:t>
      </w:r>
      <w:proofErr w:type="spellStart"/>
      <w:r w:rsidRPr="00C05D6B">
        <w:rPr>
          <w:rFonts w:ascii="Garamond" w:hAnsi="Garamond" w:cs="Times New Roman"/>
        </w:rPr>
        <w:t>decisionmaking</w:t>
      </w:r>
      <w:proofErr w:type="spellEnd"/>
      <w:r w:rsidRPr="00C05D6B">
        <w:rPr>
          <w:rFonts w:ascii="Garamond" w:hAnsi="Garamond" w:cs="Times New Roman"/>
        </w:rPr>
        <w:t>.</w:t>
      </w:r>
    </w:p>
    <w:p w14:paraId="2A4D2822" w14:textId="77777777" w:rsidR="00B96569" w:rsidRPr="00C05D6B" w:rsidRDefault="00B96569" w:rsidP="00221D43">
      <w:pPr>
        <w:rPr>
          <w:rFonts w:ascii="Garamond" w:hAnsi="Garamond" w:cs="Times New Roman"/>
        </w:rPr>
      </w:pPr>
    </w:p>
    <w:p w14:paraId="2B7AFF96" w14:textId="08FBC498" w:rsidR="00221D43" w:rsidRPr="00C05D6B" w:rsidRDefault="00221D43" w:rsidP="009B1076">
      <w:pPr>
        <w:ind w:firstLine="720"/>
        <w:rPr>
          <w:rFonts w:ascii="Garamond" w:hAnsi="Garamond" w:cs="Times New Roman"/>
        </w:rPr>
      </w:pPr>
      <w:r w:rsidRPr="00C05D6B">
        <w:rPr>
          <w:rFonts w:ascii="Garamond" w:hAnsi="Garamond" w:cs="Times New Roman"/>
        </w:rPr>
        <w:t>Today</w:t>
      </w:r>
      <w:r w:rsidR="00477096" w:rsidRPr="00C05D6B">
        <w:rPr>
          <w:rFonts w:ascii="Garamond" w:hAnsi="Garamond" w:cs="Times New Roman"/>
        </w:rPr>
        <w:t>’</w:t>
      </w:r>
      <w:r w:rsidRPr="00C05D6B">
        <w:rPr>
          <w:rFonts w:ascii="Garamond" w:hAnsi="Garamond" w:cs="Times New Roman"/>
        </w:rPr>
        <w:t>s ruling runs the risk of setting us down that path. The Court shelves its usual case-selection standards to revive a fuel-industry lawsuit that all agree will soon be moot (and is largely moot already). And it rests its decision on a theory of standing that the Court has refused to apply in cases brought by less powerful plaintiffs. This case gives fodder to the unfortunate perception that moneyed interests enjoy an easier road to relief in this Court than ordinary citizens. Because the Court had ample opportunity to avoid that result, I respectfully dissent.</w:t>
      </w:r>
    </w:p>
    <w:p w14:paraId="3C253909" w14:textId="77777777" w:rsidR="00B96569" w:rsidRPr="00C05D6B" w:rsidRDefault="00B96569" w:rsidP="00221D43">
      <w:pPr>
        <w:rPr>
          <w:rFonts w:ascii="Garamond" w:hAnsi="Garamond" w:cs="Times New Roman"/>
        </w:rPr>
      </w:pPr>
    </w:p>
    <w:p w14:paraId="28ABF888" w14:textId="0B871E2A" w:rsidR="00221D43" w:rsidRPr="00C05D6B" w:rsidRDefault="00221D43" w:rsidP="009B1076">
      <w:pPr>
        <w:ind w:firstLine="720"/>
        <w:rPr>
          <w:rFonts w:ascii="Garamond" w:hAnsi="Garamond" w:cs="Times New Roman"/>
        </w:rPr>
      </w:pPr>
      <w:r w:rsidRPr="00C05D6B">
        <w:rPr>
          <w:rFonts w:ascii="Garamond" w:hAnsi="Garamond" w:cs="Times New Roman"/>
        </w:rPr>
        <w:t>As the majority aptly puts it, [standing] doctrine forces every plaintiff to “answer a basic question—</w:t>
      </w:r>
      <w:r w:rsidR="002F6503">
        <w:rPr>
          <w:rFonts w:ascii="Garamond" w:hAnsi="Garamond" w:cs="Times New Roman"/>
        </w:rPr>
        <w:t>‘</w:t>
      </w:r>
      <w:r w:rsidRPr="00C05D6B">
        <w:rPr>
          <w:rFonts w:ascii="Garamond" w:hAnsi="Garamond" w:cs="Times New Roman"/>
        </w:rPr>
        <w:t>What</w:t>
      </w:r>
      <w:r w:rsidR="00477096" w:rsidRPr="00C05D6B">
        <w:rPr>
          <w:rFonts w:ascii="Garamond" w:hAnsi="Garamond" w:cs="Times New Roman"/>
        </w:rPr>
        <w:t>’</w:t>
      </w:r>
      <w:r w:rsidRPr="00C05D6B">
        <w:rPr>
          <w:rFonts w:ascii="Garamond" w:hAnsi="Garamond" w:cs="Times New Roman"/>
        </w:rPr>
        <w:t>s it to you?</w:t>
      </w:r>
      <w:r w:rsidR="002F6503">
        <w:rPr>
          <w:rFonts w:ascii="Garamond" w:hAnsi="Garamond" w:cs="Times New Roman"/>
        </w:rPr>
        <w:t>’</w:t>
      </w:r>
      <w:r w:rsidRPr="00C05D6B">
        <w:rPr>
          <w:rFonts w:ascii="Garamond" w:hAnsi="Garamond" w:cs="Times New Roman"/>
        </w:rPr>
        <w:t>” The fuel industry</w:t>
      </w:r>
      <w:r w:rsidR="00477096" w:rsidRPr="00C05D6B">
        <w:rPr>
          <w:rFonts w:ascii="Garamond" w:hAnsi="Garamond" w:cs="Times New Roman"/>
        </w:rPr>
        <w:t>’</w:t>
      </w:r>
      <w:r w:rsidRPr="00C05D6B">
        <w:rPr>
          <w:rFonts w:ascii="Garamond" w:hAnsi="Garamond" w:cs="Times New Roman"/>
        </w:rPr>
        <w:t>s answer to that question here should give us all pause. In their petition for certiorari, the industry members asserted that California</w:t>
      </w:r>
      <w:r w:rsidR="00477096" w:rsidRPr="00C05D6B">
        <w:rPr>
          <w:rFonts w:ascii="Garamond" w:hAnsi="Garamond" w:cs="Times New Roman"/>
        </w:rPr>
        <w:t>’</w:t>
      </w:r>
      <w:r w:rsidRPr="00C05D6B">
        <w:rPr>
          <w:rFonts w:ascii="Garamond" w:hAnsi="Garamond" w:cs="Times New Roman"/>
        </w:rPr>
        <w:t>s emissions standards harmed them by suppressing the sale of gas-powered cars and thereby driving down demand for fuel. But they later made clear that any such harm would be exceedingly short lived: EPA is presently reviewing California</w:t>
      </w:r>
      <w:r w:rsidR="00477096" w:rsidRPr="00C05D6B">
        <w:rPr>
          <w:rFonts w:ascii="Garamond" w:hAnsi="Garamond" w:cs="Times New Roman"/>
        </w:rPr>
        <w:t>’</w:t>
      </w:r>
      <w:r w:rsidRPr="00C05D6B">
        <w:rPr>
          <w:rFonts w:ascii="Garamond" w:hAnsi="Garamond" w:cs="Times New Roman"/>
        </w:rPr>
        <w:t>s pre-emption waiver, and as petitioners’ counsel told us at oral argument, the agency is likely to withdraw that waiver imminently, which will put an end to California</w:t>
      </w:r>
      <w:r w:rsidR="00477096" w:rsidRPr="00C05D6B">
        <w:rPr>
          <w:rFonts w:ascii="Garamond" w:hAnsi="Garamond" w:cs="Times New Roman"/>
        </w:rPr>
        <w:t>’</w:t>
      </w:r>
      <w:r w:rsidRPr="00C05D6B">
        <w:rPr>
          <w:rFonts w:ascii="Garamond" w:hAnsi="Garamond" w:cs="Times New Roman"/>
        </w:rPr>
        <w:t xml:space="preserve">s emissions program for good. In fact, petitioners’ counsel was so confident of that outcome that he told us he would bet his “bottom dollar” on it. </w:t>
      </w:r>
    </w:p>
    <w:p w14:paraId="5A1F4579" w14:textId="77777777" w:rsidR="00B96569" w:rsidRPr="00C05D6B" w:rsidRDefault="00B96569" w:rsidP="00221D43">
      <w:pPr>
        <w:rPr>
          <w:rFonts w:ascii="Garamond" w:hAnsi="Garamond" w:cs="Times New Roman"/>
        </w:rPr>
      </w:pPr>
    </w:p>
    <w:p w14:paraId="686A477B" w14:textId="709FFE1A" w:rsidR="00221D43" w:rsidRPr="00C05D6B" w:rsidRDefault="00221D43" w:rsidP="009B1076">
      <w:pPr>
        <w:ind w:firstLine="720"/>
        <w:rPr>
          <w:rFonts w:ascii="Garamond" w:hAnsi="Garamond" w:cs="Times New Roman"/>
        </w:rPr>
      </w:pPr>
      <w:r w:rsidRPr="00C05D6B">
        <w:rPr>
          <w:rFonts w:ascii="Garamond" w:hAnsi="Garamond" w:cs="Times New Roman"/>
        </w:rPr>
        <w:t>His confidence is not overstated. President Trump rescinded this exact same waiver the last time he was in office. And EPA has told us that it is actively reconsidering its decision to grant the waiver. Because a withdrawal of the waiver would moot this case, an obvious question arises: Why would this Court rush to opine on whether the fuel industry</w:t>
      </w:r>
      <w:r w:rsidR="00477096" w:rsidRPr="00C05D6B">
        <w:rPr>
          <w:rFonts w:ascii="Garamond" w:hAnsi="Garamond" w:cs="Times New Roman"/>
        </w:rPr>
        <w:t>’</w:t>
      </w:r>
      <w:r w:rsidRPr="00C05D6B">
        <w:rPr>
          <w:rFonts w:ascii="Garamond" w:hAnsi="Garamond" w:cs="Times New Roman"/>
        </w:rPr>
        <w:t xml:space="preserve">s legal challenge raises an Article III </w:t>
      </w:r>
      <w:r w:rsidRPr="00C05D6B">
        <w:rPr>
          <w:rFonts w:ascii="Garamond" w:hAnsi="Garamond" w:cs="Times New Roman"/>
        </w:rPr>
        <w:lastRenderedPageBreak/>
        <w:t>“case” or “controversy” when all involved—including petitioners themselves—believe that any such “case” or “controversy” will soon vanish?</w:t>
      </w:r>
    </w:p>
    <w:p w14:paraId="14A3A024" w14:textId="77777777" w:rsidR="00B96569" w:rsidRPr="00C05D6B" w:rsidRDefault="00B96569" w:rsidP="00221D43">
      <w:pPr>
        <w:rPr>
          <w:rFonts w:ascii="Garamond" w:hAnsi="Garamond" w:cs="Times New Roman"/>
        </w:rPr>
      </w:pPr>
    </w:p>
    <w:p w14:paraId="50451DDD" w14:textId="13A2EEED" w:rsidR="00221D43" w:rsidRPr="00C05D6B" w:rsidRDefault="00221D43" w:rsidP="009B1076">
      <w:pPr>
        <w:ind w:firstLine="720"/>
        <w:rPr>
          <w:rFonts w:ascii="Garamond" w:hAnsi="Garamond" w:cs="Times New Roman"/>
        </w:rPr>
      </w:pPr>
      <w:r w:rsidRPr="00C05D6B">
        <w:rPr>
          <w:rFonts w:ascii="Garamond" w:hAnsi="Garamond" w:cs="Times New Roman"/>
        </w:rPr>
        <w:t>The Court had plenty of other options. For one thing, it could have denied certiorari, recognizing that one of the core components of California</w:t>
      </w:r>
      <w:r w:rsidR="00477096" w:rsidRPr="00C05D6B">
        <w:rPr>
          <w:rFonts w:ascii="Garamond" w:hAnsi="Garamond" w:cs="Times New Roman"/>
        </w:rPr>
        <w:t>’</w:t>
      </w:r>
      <w:r w:rsidRPr="00C05D6B">
        <w:rPr>
          <w:rFonts w:ascii="Garamond" w:hAnsi="Garamond" w:cs="Times New Roman"/>
        </w:rPr>
        <w:t>s emissions program—the electric-vehicle mandate—is about to sunset. Regardless of what EPA does here, that mandate will terminate in just a few months, when model year 2025 ends. Automakers are already accepting preorders on model-year-2026 vehicles, and, by Thanksgiving, their entire fleets for model year 2026 will be available. This means that even if the electric-vehicle mandate is currently harming the fuel industry—a dubious proposition in itself, that harm will cease before petitioners brief the actual merits of their challenge, let alone before any court rules on it.</w:t>
      </w:r>
    </w:p>
    <w:p w14:paraId="62A79D59" w14:textId="77777777" w:rsidR="00B96569" w:rsidRPr="00C05D6B" w:rsidRDefault="00B96569" w:rsidP="00221D43">
      <w:pPr>
        <w:rPr>
          <w:rFonts w:ascii="Garamond" w:hAnsi="Garamond" w:cs="Times New Roman"/>
        </w:rPr>
      </w:pPr>
    </w:p>
    <w:p w14:paraId="06977B82" w14:textId="1E7E7FB2" w:rsidR="00221D43" w:rsidRPr="00C05D6B" w:rsidRDefault="00221D43" w:rsidP="009B1076">
      <w:pPr>
        <w:ind w:firstLine="720"/>
        <w:rPr>
          <w:rFonts w:ascii="Garamond" w:hAnsi="Garamond" w:cs="Times New Roman"/>
        </w:rPr>
      </w:pPr>
      <w:r w:rsidRPr="00C05D6B">
        <w:rPr>
          <w:rFonts w:ascii="Garamond" w:hAnsi="Garamond" w:cs="Times New Roman"/>
        </w:rPr>
        <w:t>Alternatively, this Court could have deferred its decision in this case until after EPA concludes its reassessment of the waiver, as the Government asked us to do. The Government rarely proposes that we withhold judgment after certiorari is granted, and it did so here before any party had filed its brief. In the rare cases where the Government does ask us to defer, we often grant those requests—and we sometimes decide to put cases on hold independently. But, for some reason, in this case, we rejected the Government</w:t>
      </w:r>
      <w:r w:rsidR="00477096" w:rsidRPr="00C05D6B">
        <w:rPr>
          <w:rFonts w:ascii="Garamond" w:hAnsi="Garamond" w:cs="Times New Roman"/>
        </w:rPr>
        <w:t>’</w:t>
      </w:r>
      <w:r w:rsidRPr="00C05D6B">
        <w:rPr>
          <w:rFonts w:ascii="Garamond" w:hAnsi="Garamond" w:cs="Times New Roman"/>
        </w:rPr>
        <w:t>s request and proceeded to render a decision anyway.</w:t>
      </w:r>
    </w:p>
    <w:p w14:paraId="7C69E3FE" w14:textId="3B8B2E40" w:rsidR="00221D43" w:rsidRPr="00C05D6B" w:rsidRDefault="00221D43" w:rsidP="00221D43">
      <w:pPr>
        <w:rPr>
          <w:rFonts w:ascii="Garamond" w:hAnsi="Garamond" w:cs="Times New Roman"/>
        </w:rPr>
      </w:pPr>
      <w:r w:rsidRPr="00C05D6B">
        <w:rPr>
          <w:rFonts w:ascii="Garamond" w:hAnsi="Garamond" w:cs="Times New Roman"/>
        </w:rPr>
        <w:t>A third option, once we granted certiorari, would have been to simply vacate the judgment and remand the case to the D.C. Circuit. The D.C. Circuit</w:t>
      </w:r>
      <w:r w:rsidR="00477096" w:rsidRPr="00C05D6B">
        <w:rPr>
          <w:rFonts w:ascii="Garamond" w:hAnsi="Garamond" w:cs="Times New Roman"/>
        </w:rPr>
        <w:t>’</w:t>
      </w:r>
      <w:r w:rsidRPr="00C05D6B">
        <w:rPr>
          <w:rFonts w:ascii="Garamond" w:hAnsi="Garamond" w:cs="Times New Roman"/>
        </w:rPr>
        <w:t>s opinion appeared to rest, at least in part, on the erroneous factual assumption that California</w:t>
      </w:r>
      <w:r w:rsidR="00477096" w:rsidRPr="00C05D6B">
        <w:rPr>
          <w:rFonts w:ascii="Garamond" w:hAnsi="Garamond" w:cs="Times New Roman"/>
        </w:rPr>
        <w:t>’</w:t>
      </w:r>
      <w:r w:rsidRPr="00C05D6B">
        <w:rPr>
          <w:rFonts w:ascii="Garamond" w:hAnsi="Garamond" w:cs="Times New Roman"/>
        </w:rPr>
        <w:t xml:space="preserve">s entire emissions program—and not just its electric-vehicle mandate—would sunset with model year 2025. Once EPA clarified the regulatory timeline in its certiorari brief, it would have been reasonable for this Court to give the D.C. Circuit an opportunity to reconsider its analysis on a corrected record. </w:t>
      </w:r>
    </w:p>
    <w:p w14:paraId="075ECDD3" w14:textId="77777777" w:rsidR="00B96569" w:rsidRPr="00C05D6B" w:rsidRDefault="00B96569" w:rsidP="00221D43">
      <w:pPr>
        <w:rPr>
          <w:rFonts w:ascii="Garamond" w:hAnsi="Garamond" w:cs="Times New Roman"/>
        </w:rPr>
      </w:pPr>
    </w:p>
    <w:p w14:paraId="055C8934" w14:textId="79E3A1D5" w:rsidR="00221D43" w:rsidRPr="00C05D6B" w:rsidRDefault="00221D43" w:rsidP="009B1076">
      <w:pPr>
        <w:ind w:firstLine="720"/>
        <w:rPr>
          <w:rFonts w:ascii="Garamond" w:hAnsi="Garamond" w:cs="Times New Roman"/>
        </w:rPr>
      </w:pPr>
      <w:r w:rsidRPr="00C05D6B">
        <w:rPr>
          <w:rFonts w:ascii="Garamond" w:hAnsi="Garamond" w:cs="Times New Roman"/>
        </w:rPr>
        <w:t>At most, then, the Court</w:t>
      </w:r>
      <w:r w:rsidR="00477096" w:rsidRPr="00C05D6B">
        <w:rPr>
          <w:rFonts w:ascii="Garamond" w:hAnsi="Garamond" w:cs="Times New Roman"/>
        </w:rPr>
        <w:t>’</w:t>
      </w:r>
      <w:r w:rsidRPr="00C05D6B">
        <w:rPr>
          <w:rFonts w:ascii="Garamond" w:hAnsi="Garamond" w:cs="Times New Roman"/>
        </w:rPr>
        <w:t>s ruling today amounts to little more than error correction in the context of a dispute that all agree will be over soon in any event.</w:t>
      </w:r>
    </w:p>
    <w:p w14:paraId="4A08422B" w14:textId="77777777" w:rsidR="00221D43" w:rsidRPr="00C05D6B" w:rsidRDefault="00221D43" w:rsidP="00221D43">
      <w:pPr>
        <w:rPr>
          <w:rFonts w:ascii="Garamond" w:hAnsi="Garamond" w:cs="Times New Roman"/>
        </w:rPr>
      </w:pPr>
    </w:p>
    <w:p w14:paraId="39DF40E4" w14:textId="572B5123" w:rsidR="00221D43" w:rsidRPr="00C05D6B" w:rsidRDefault="00221D43" w:rsidP="009B1076">
      <w:pPr>
        <w:ind w:firstLine="720"/>
        <w:rPr>
          <w:rFonts w:ascii="Garamond" w:hAnsi="Garamond" w:cs="Times New Roman"/>
        </w:rPr>
      </w:pPr>
      <w:r w:rsidRPr="00C05D6B">
        <w:rPr>
          <w:rFonts w:ascii="Garamond" w:hAnsi="Garamond" w:cs="Times New Roman"/>
        </w:rPr>
        <w:t>This is not to suggest that no one will benefit from the Court</w:t>
      </w:r>
      <w:r w:rsidR="00477096" w:rsidRPr="00C05D6B">
        <w:rPr>
          <w:rFonts w:ascii="Garamond" w:hAnsi="Garamond" w:cs="Times New Roman"/>
        </w:rPr>
        <w:t>’</w:t>
      </w:r>
      <w:r w:rsidRPr="00C05D6B">
        <w:rPr>
          <w:rFonts w:ascii="Garamond" w:hAnsi="Garamond" w:cs="Times New Roman"/>
        </w:rPr>
        <w:t>s decision to dabble in error correction in this case. Our ruling will no doubt aid future attempts by the fuel industry to attack the Clean Air Act. But Article III requires a live case or controversy, not merely the potential that a favorable judgment will help the plaintiff in some future lawsuit.</w:t>
      </w:r>
    </w:p>
    <w:p w14:paraId="59F32AB8" w14:textId="77777777" w:rsidR="00B96569" w:rsidRPr="00C05D6B" w:rsidRDefault="00B96569" w:rsidP="00221D43">
      <w:pPr>
        <w:rPr>
          <w:rFonts w:ascii="Garamond" w:hAnsi="Garamond" w:cs="Times New Roman"/>
        </w:rPr>
      </w:pPr>
    </w:p>
    <w:p w14:paraId="44C9396E" w14:textId="0DAC35AF" w:rsidR="00221D43" w:rsidRPr="00C05D6B" w:rsidRDefault="00221D43" w:rsidP="009B1076">
      <w:pPr>
        <w:ind w:firstLine="720"/>
        <w:rPr>
          <w:rFonts w:ascii="Garamond" w:hAnsi="Garamond" w:cs="Times New Roman"/>
        </w:rPr>
      </w:pPr>
      <w:r w:rsidRPr="00C05D6B">
        <w:rPr>
          <w:rFonts w:ascii="Garamond" w:hAnsi="Garamond" w:cs="Times New Roman"/>
        </w:rPr>
        <w:t>Also, I worry that the fuel industry</w:t>
      </w:r>
      <w:r w:rsidR="00477096" w:rsidRPr="00C05D6B">
        <w:rPr>
          <w:rFonts w:ascii="Garamond" w:hAnsi="Garamond" w:cs="Times New Roman"/>
        </w:rPr>
        <w:t>’</w:t>
      </w:r>
      <w:r w:rsidRPr="00C05D6B">
        <w:rPr>
          <w:rFonts w:ascii="Garamond" w:hAnsi="Garamond" w:cs="Times New Roman"/>
        </w:rPr>
        <w:t xml:space="preserve">s gain comes at a reputational cost for this Court, which is already viewed by many as being overly sympathetic to corporate interests. </w:t>
      </w:r>
    </w:p>
    <w:p w14:paraId="26199800" w14:textId="77777777" w:rsidR="00B96569" w:rsidRPr="00C05D6B" w:rsidRDefault="00B96569" w:rsidP="00221D43">
      <w:pPr>
        <w:rPr>
          <w:rFonts w:ascii="Garamond" w:hAnsi="Garamond" w:cs="Times New Roman"/>
        </w:rPr>
      </w:pPr>
    </w:p>
    <w:p w14:paraId="76ACF930" w14:textId="3933FCE1" w:rsidR="00221D43" w:rsidRPr="00C05D6B" w:rsidRDefault="00221D43" w:rsidP="009B1076">
      <w:pPr>
        <w:ind w:firstLine="720"/>
        <w:rPr>
          <w:rFonts w:ascii="Garamond" w:hAnsi="Garamond" w:cs="Times New Roman"/>
        </w:rPr>
      </w:pPr>
      <w:r w:rsidRPr="00C05D6B">
        <w:rPr>
          <w:rFonts w:ascii="Garamond" w:hAnsi="Garamond" w:cs="Times New Roman"/>
        </w:rPr>
        <w:t>It may be difficult for the public to know exactly what to make of the Court</w:t>
      </w:r>
      <w:r w:rsidR="00477096" w:rsidRPr="00C05D6B">
        <w:rPr>
          <w:rFonts w:ascii="Garamond" w:hAnsi="Garamond" w:cs="Times New Roman"/>
        </w:rPr>
        <w:t>’</w:t>
      </w:r>
      <w:r w:rsidRPr="00C05D6B">
        <w:rPr>
          <w:rFonts w:ascii="Garamond" w:hAnsi="Garamond" w:cs="Times New Roman"/>
        </w:rPr>
        <w:t xml:space="preserve">s decision to address the fleeting legal issue presented here. For its part, the Court does not explain why it is so eager to resolve this highly </w:t>
      </w:r>
      <w:proofErr w:type="spellStart"/>
      <w:r w:rsidRPr="00C05D6B">
        <w:rPr>
          <w:rFonts w:ascii="Garamond" w:hAnsi="Garamond" w:cs="Times New Roman"/>
        </w:rPr>
        <w:t>factbound</w:t>
      </w:r>
      <w:proofErr w:type="spellEnd"/>
      <w:r w:rsidRPr="00C05D6B">
        <w:rPr>
          <w:rFonts w:ascii="Garamond" w:hAnsi="Garamond" w:cs="Times New Roman"/>
        </w:rPr>
        <w:t>, soon-to-be-moot dispute. For some, this silence will only harden their sense that the Court softens its certiorari standards when evaluating petitions from moneyed interests, looking past the jurisdictional defects or other vehicle problems that would typically doom petitions from other parties. This Court</w:t>
      </w:r>
      <w:r w:rsidR="00477096" w:rsidRPr="00C05D6B">
        <w:rPr>
          <w:rFonts w:ascii="Garamond" w:hAnsi="Garamond" w:cs="Times New Roman"/>
        </w:rPr>
        <w:t>’</w:t>
      </w:r>
      <w:r w:rsidRPr="00C05D6B">
        <w:rPr>
          <w:rFonts w:ascii="Garamond" w:hAnsi="Garamond" w:cs="Times New Roman"/>
        </w:rPr>
        <w:t>s simultaneous aversion to hearing cases involving the potential vindication of the rights of less powerful litigants—workers, criminal defendants, and the condemned, among others—will further fortify that impression.</w:t>
      </w:r>
    </w:p>
    <w:p w14:paraId="24E586C9" w14:textId="77777777" w:rsidR="00B96569" w:rsidRPr="00C05D6B" w:rsidRDefault="00B96569" w:rsidP="00221D43">
      <w:pPr>
        <w:rPr>
          <w:rFonts w:ascii="Garamond" w:hAnsi="Garamond" w:cs="Times New Roman"/>
        </w:rPr>
      </w:pPr>
    </w:p>
    <w:p w14:paraId="64E0AA89" w14:textId="4FCF676B" w:rsidR="00221D43" w:rsidRPr="00C05D6B" w:rsidRDefault="00221D43" w:rsidP="009B1076">
      <w:pPr>
        <w:ind w:firstLine="720"/>
        <w:rPr>
          <w:rFonts w:ascii="Garamond" w:hAnsi="Garamond" w:cs="Times New Roman"/>
        </w:rPr>
      </w:pPr>
      <w:r w:rsidRPr="00C05D6B">
        <w:rPr>
          <w:rFonts w:ascii="Garamond" w:hAnsi="Garamond" w:cs="Times New Roman"/>
        </w:rPr>
        <w:t>In my view, we should have either denied certiorari outright or held this matter in abeyance pending EPA</w:t>
      </w:r>
      <w:r w:rsidR="00477096" w:rsidRPr="00C05D6B">
        <w:rPr>
          <w:rFonts w:ascii="Garamond" w:hAnsi="Garamond" w:cs="Times New Roman"/>
        </w:rPr>
        <w:t>’</w:t>
      </w:r>
      <w:r w:rsidRPr="00C05D6B">
        <w:rPr>
          <w:rFonts w:ascii="Garamond" w:hAnsi="Garamond" w:cs="Times New Roman"/>
        </w:rPr>
        <w:t>s reconsideration of its waiver grant. Barring that, we should have simply vacated and remanded for the D. C. Circuit to reconsider its ruling on a clarified factual record.</w:t>
      </w:r>
    </w:p>
    <w:p w14:paraId="6FC7C17A" w14:textId="77777777" w:rsidR="00B96569" w:rsidRPr="00C05D6B" w:rsidRDefault="00B96569" w:rsidP="00221D43">
      <w:pPr>
        <w:rPr>
          <w:rFonts w:ascii="Garamond" w:hAnsi="Garamond" w:cs="Times New Roman"/>
        </w:rPr>
      </w:pPr>
    </w:p>
    <w:p w14:paraId="19FB2C9A" w14:textId="38E9D06C" w:rsidR="00221D43" w:rsidRPr="00C05D6B" w:rsidRDefault="00221D43" w:rsidP="009B1076">
      <w:pPr>
        <w:ind w:firstLine="720"/>
        <w:rPr>
          <w:rFonts w:ascii="Garamond" w:hAnsi="Garamond" w:cs="Times New Roman"/>
        </w:rPr>
      </w:pPr>
      <w:r w:rsidRPr="00C05D6B">
        <w:rPr>
          <w:rFonts w:ascii="Garamond" w:hAnsi="Garamond" w:cs="Times New Roman"/>
        </w:rPr>
        <w:t>But that</w:t>
      </w:r>
      <w:r w:rsidR="00477096" w:rsidRPr="00C05D6B">
        <w:rPr>
          <w:rFonts w:ascii="Garamond" w:hAnsi="Garamond" w:cs="Times New Roman"/>
        </w:rPr>
        <w:t>’</w:t>
      </w:r>
      <w:r w:rsidRPr="00C05D6B">
        <w:rPr>
          <w:rFonts w:ascii="Garamond" w:hAnsi="Garamond" w:cs="Times New Roman"/>
        </w:rPr>
        <w:t>s not all. The Court</w:t>
      </w:r>
      <w:r w:rsidR="00477096" w:rsidRPr="00C05D6B">
        <w:rPr>
          <w:rFonts w:ascii="Garamond" w:hAnsi="Garamond" w:cs="Times New Roman"/>
        </w:rPr>
        <w:t>’</w:t>
      </w:r>
      <w:r w:rsidRPr="00C05D6B">
        <w:rPr>
          <w:rFonts w:ascii="Garamond" w:hAnsi="Garamond" w:cs="Times New Roman"/>
        </w:rPr>
        <w:t xml:space="preserve">s substantive Article III standing analysis, though not entirely implausible, also invites questions about inconsistent </w:t>
      </w:r>
      <w:proofErr w:type="spellStart"/>
      <w:r w:rsidRPr="00C05D6B">
        <w:rPr>
          <w:rFonts w:ascii="Garamond" w:hAnsi="Garamond" w:cs="Times New Roman"/>
        </w:rPr>
        <w:t>decisionmaking</w:t>
      </w:r>
      <w:proofErr w:type="spellEnd"/>
      <w:r w:rsidRPr="00C05D6B">
        <w:rPr>
          <w:rFonts w:ascii="Garamond" w:hAnsi="Garamond" w:cs="Times New Roman"/>
        </w:rPr>
        <w:t xml:space="preserve"> and whether this Court is holding business litigants to the same standards as everyone else. The majority has made nothing short of a herculean effort to justify the conclusion that redressability exists on this record. Its demonstrated concern for ensuring that the fuel industry</w:t>
      </w:r>
      <w:r w:rsidR="00477096" w:rsidRPr="00C05D6B">
        <w:rPr>
          <w:rFonts w:ascii="Garamond" w:hAnsi="Garamond" w:cs="Times New Roman"/>
        </w:rPr>
        <w:t>’</w:t>
      </w:r>
      <w:r w:rsidRPr="00C05D6B">
        <w:rPr>
          <w:rFonts w:ascii="Garamond" w:hAnsi="Garamond" w:cs="Times New Roman"/>
        </w:rPr>
        <w:t>s ability to sue is recognized on these facts highlights a potential gap in the manner in which the Court treats the claims of plaintiffs pursuing profits versus those seeking to advance other objectives. The Court</w:t>
      </w:r>
      <w:r w:rsidR="00477096" w:rsidRPr="00C05D6B">
        <w:rPr>
          <w:rFonts w:ascii="Garamond" w:hAnsi="Garamond" w:cs="Times New Roman"/>
        </w:rPr>
        <w:t>’</w:t>
      </w:r>
      <w:r w:rsidRPr="00C05D6B">
        <w:rPr>
          <w:rFonts w:ascii="Garamond" w:hAnsi="Garamond" w:cs="Times New Roman"/>
        </w:rPr>
        <w:t xml:space="preserve">s remarkably lenient approach to standing in this case contrasts starkly with the stern stance it has taken in cases concerning the rights of ordinary citizens. </w:t>
      </w:r>
    </w:p>
    <w:p w14:paraId="26E67CCB" w14:textId="77777777" w:rsidR="00B96569" w:rsidRPr="00C05D6B" w:rsidRDefault="00B96569" w:rsidP="00221D43">
      <w:pPr>
        <w:rPr>
          <w:rFonts w:ascii="Garamond" w:hAnsi="Garamond" w:cs="Times New Roman"/>
        </w:rPr>
      </w:pPr>
    </w:p>
    <w:p w14:paraId="53EAD9D3" w14:textId="6A6070E8" w:rsidR="00221D43" w:rsidRPr="00C05D6B" w:rsidRDefault="00221D43" w:rsidP="009B1076">
      <w:pPr>
        <w:ind w:firstLine="720"/>
        <w:rPr>
          <w:rFonts w:ascii="Garamond" w:hAnsi="Garamond" w:cs="Times New Roman"/>
        </w:rPr>
      </w:pPr>
      <w:r w:rsidRPr="00C05D6B">
        <w:rPr>
          <w:rFonts w:ascii="Garamond" w:hAnsi="Garamond" w:cs="Times New Roman"/>
        </w:rPr>
        <w:t>I am simply observing that the Court seems inconsistent in its willingness to premise redressability on commonsense inferences about third-party behavior. That inconsistency, which we reinforce with today</w:t>
      </w:r>
      <w:r w:rsidR="00477096" w:rsidRPr="00C05D6B">
        <w:rPr>
          <w:rFonts w:ascii="Garamond" w:hAnsi="Garamond" w:cs="Times New Roman"/>
        </w:rPr>
        <w:t>’</w:t>
      </w:r>
      <w:r w:rsidRPr="00C05D6B">
        <w:rPr>
          <w:rFonts w:ascii="Garamond" w:hAnsi="Garamond" w:cs="Times New Roman"/>
        </w:rPr>
        <w:t>s holding, tends to redound to the benefit of particular litigants. But nothing in Article III</w:t>
      </w:r>
      <w:r w:rsidR="00477096" w:rsidRPr="00C05D6B">
        <w:rPr>
          <w:rFonts w:ascii="Garamond" w:hAnsi="Garamond" w:cs="Times New Roman"/>
        </w:rPr>
        <w:t>’</w:t>
      </w:r>
      <w:r w:rsidRPr="00C05D6B">
        <w:rPr>
          <w:rFonts w:ascii="Garamond" w:hAnsi="Garamond" w:cs="Times New Roman"/>
        </w:rPr>
        <w:t>s text or history justifies relying on “commonsense” inferences in one standing context and not another. The Constitution does not distinguish between plaintiffs whose claims are backed by the Chamber of Commerce and those who seek to vindicate their rights to fair housing, desegregated schools, or privacy. But if someone reviewing our case law harbored doubts about that proposition, today</w:t>
      </w:r>
      <w:r w:rsidR="00477096" w:rsidRPr="00C05D6B">
        <w:rPr>
          <w:rFonts w:ascii="Garamond" w:hAnsi="Garamond" w:cs="Times New Roman"/>
        </w:rPr>
        <w:t>’</w:t>
      </w:r>
      <w:r w:rsidRPr="00C05D6B">
        <w:rPr>
          <w:rFonts w:ascii="Garamond" w:hAnsi="Garamond" w:cs="Times New Roman"/>
        </w:rPr>
        <w:t>s decision will do little to dissuade them.</w:t>
      </w:r>
    </w:p>
    <w:p w14:paraId="77BD55D3" w14:textId="77777777" w:rsidR="00B96569" w:rsidRPr="00C05D6B" w:rsidRDefault="00B96569" w:rsidP="00221D43">
      <w:pPr>
        <w:rPr>
          <w:rFonts w:ascii="Garamond" w:hAnsi="Garamond" w:cs="Times New Roman"/>
        </w:rPr>
      </w:pPr>
    </w:p>
    <w:p w14:paraId="73B3513C" w14:textId="0472B8B8" w:rsidR="00221D43" w:rsidRPr="00C05D6B" w:rsidRDefault="00221D43" w:rsidP="009B1076">
      <w:pPr>
        <w:ind w:firstLine="720"/>
        <w:rPr>
          <w:rFonts w:ascii="Garamond" w:hAnsi="Garamond" w:cs="Times New Roman"/>
        </w:rPr>
      </w:pPr>
      <w:r w:rsidRPr="00C05D6B">
        <w:rPr>
          <w:rFonts w:ascii="Garamond" w:hAnsi="Garamond" w:cs="Times New Roman"/>
        </w:rPr>
        <w:t>It is easy to deprecate the single phrase inscribed atop the entrance to our courthouse by conceptualizing it as a mere platitude. But “Equal Justice Under Law” remains this Court's guiding light nearly a century after those words were first engraved there. Striving to embody that particular ideal is what distinguishes our work as judges from that of the well-heeled lawyers and lobbyists who walk into similarly ornate buildings every day to promote the interests of their clients. It may sometimes be difficult to tell one marble façade from another—especially when some of them share a common architect. But those of us who are privileged to work inside the Court must not lose sight of this institution</w:t>
      </w:r>
      <w:r w:rsidR="00477096" w:rsidRPr="00C05D6B">
        <w:rPr>
          <w:rFonts w:ascii="Garamond" w:hAnsi="Garamond" w:cs="Times New Roman"/>
        </w:rPr>
        <w:t>’</w:t>
      </w:r>
      <w:r w:rsidRPr="00C05D6B">
        <w:rPr>
          <w:rFonts w:ascii="Garamond" w:hAnsi="Garamond" w:cs="Times New Roman"/>
        </w:rPr>
        <w:t>s unique mission and responsibility: to rule without fear or favor. If the Court privileges the interests of one class of litigants over others, even unintentionally, it can damage Americans’ faith in an impartial Judiciary and undermine the long-term credibility of its judgments.</w:t>
      </w:r>
    </w:p>
    <w:p w14:paraId="2234523B" w14:textId="77777777" w:rsidR="00B96569" w:rsidRPr="00C05D6B" w:rsidRDefault="00B96569" w:rsidP="00221D43">
      <w:pPr>
        <w:rPr>
          <w:rFonts w:ascii="Garamond" w:hAnsi="Garamond" w:cs="Times New Roman"/>
        </w:rPr>
      </w:pPr>
    </w:p>
    <w:p w14:paraId="13509A41" w14:textId="56E8D8BE" w:rsidR="00221D43" w:rsidRPr="00C05D6B" w:rsidRDefault="00221D43" w:rsidP="00B96569">
      <w:pPr>
        <w:ind w:firstLine="720"/>
        <w:rPr>
          <w:rFonts w:ascii="Garamond" w:hAnsi="Garamond" w:cs="Times New Roman"/>
        </w:rPr>
      </w:pPr>
      <w:r w:rsidRPr="00C05D6B">
        <w:rPr>
          <w:rFonts w:ascii="Garamond" w:hAnsi="Garamond" w:cs="Times New Roman"/>
        </w:rPr>
        <w:t>Time will tell if today</w:t>
      </w:r>
      <w:r w:rsidR="00477096" w:rsidRPr="00C05D6B">
        <w:rPr>
          <w:rFonts w:ascii="Garamond" w:hAnsi="Garamond" w:cs="Times New Roman"/>
        </w:rPr>
        <w:t>’</w:t>
      </w:r>
      <w:r w:rsidRPr="00C05D6B">
        <w:rPr>
          <w:rFonts w:ascii="Garamond" w:hAnsi="Garamond" w:cs="Times New Roman"/>
        </w:rPr>
        <w:t>s decision portends a broader shift in the Court</w:t>
      </w:r>
      <w:r w:rsidR="00477096" w:rsidRPr="00C05D6B">
        <w:rPr>
          <w:rFonts w:ascii="Garamond" w:hAnsi="Garamond" w:cs="Times New Roman"/>
        </w:rPr>
        <w:t>’</w:t>
      </w:r>
      <w:r w:rsidRPr="00C05D6B">
        <w:rPr>
          <w:rFonts w:ascii="Garamond" w:hAnsi="Garamond" w:cs="Times New Roman"/>
        </w:rPr>
        <w:t xml:space="preserve">s view of Article III standing for all litigants. If it does not, and if the Court is not fastidious in maintaining consistency across its certiorari decisions and substantive rulings, its decisions will come to represent, like so many marble façades, another mere facsimile of justice. </w:t>
      </w:r>
    </w:p>
    <w:p w14:paraId="7F08B6D9" w14:textId="77777777" w:rsidR="003125BF" w:rsidRPr="00C05D6B" w:rsidRDefault="003125BF" w:rsidP="003125BF">
      <w:pPr>
        <w:rPr>
          <w:rFonts w:ascii="Garamond" w:hAnsi="Garamond" w:cs="Times New Roman"/>
        </w:rPr>
      </w:pPr>
    </w:p>
    <w:p w14:paraId="57E363C0" w14:textId="7EB1EAD9" w:rsidR="00BA7FE1" w:rsidRPr="00C05D6B" w:rsidRDefault="00BA7FE1" w:rsidP="00BA7FE1">
      <w:pPr>
        <w:ind w:left="720"/>
        <w:rPr>
          <w:rFonts w:ascii="Garamond" w:hAnsi="Garamond" w:cs="Times New Roman"/>
          <w:b/>
          <w:bCs/>
        </w:rPr>
      </w:pPr>
      <w:r w:rsidRPr="00C05D6B">
        <w:rPr>
          <w:rFonts w:ascii="Garamond" w:hAnsi="Garamond" w:cs="Times New Roman"/>
          <w:b/>
          <w:bCs/>
        </w:rPr>
        <w:t>2.</w:t>
      </w:r>
      <w:r w:rsidRPr="00C05D6B">
        <w:rPr>
          <w:rFonts w:ascii="Garamond" w:hAnsi="Garamond" w:cs="Times New Roman"/>
          <w:b/>
          <w:bCs/>
        </w:rPr>
        <w:tab/>
        <w:t>Causation and Redressability</w:t>
      </w:r>
    </w:p>
    <w:p w14:paraId="747043D1" w14:textId="77777777" w:rsidR="00BA7FE1" w:rsidRPr="00C05D6B" w:rsidRDefault="00BA7FE1" w:rsidP="003125BF">
      <w:pPr>
        <w:rPr>
          <w:rFonts w:ascii="Garamond" w:hAnsi="Garamond" w:cs="Times New Roman"/>
          <w:b/>
          <w:bCs/>
        </w:rPr>
      </w:pPr>
    </w:p>
    <w:p w14:paraId="0C5B9361" w14:textId="136DC020" w:rsidR="003125BF" w:rsidRPr="00C05D6B" w:rsidRDefault="003125BF" w:rsidP="003125BF">
      <w:pPr>
        <w:rPr>
          <w:rFonts w:ascii="Garamond" w:hAnsi="Garamond" w:cs="Times New Roman"/>
          <w:b/>
          <w:bCs/>
        </w:rPr>
      </w:pPr>
      <w:r w:rsidRPr="00C05D6B">
        <w:rPr>
          <w:rFonts w:ascii="Garamond" w:hAnsi="Garamond" w:cs="Times New Roman"/>
          <w:b/>
          <w:bCs/>
        </w:rPr>
        <w:t>(CB, p. 232, last paragraph, after the citation to Grutter v. Bollinger (2003))</w:t>
      </w:r>
    </w:p>
    <w:p w14:paraId="30319D1F" w14:textId="77777777" w:rsidR="003125BF" w:rsidRPr="00C05D6B" w:rsidRDefault="003125BF" w:rsidP="003125BF">
      <w:pPr>
        <w:rPr>
          <w:rFonts w:ascii="Garamond" w:hAnsi="Garamond" w:cs="Times New Roman"/>
        </w:rPr>
      </w:pPr>
    </w:p>
    <w:p w14:paraId="7A658088" w14:textId="70CE8055" w:rsidR="003125BF" w:rsidRPr="00C05D6B" w:rsidRDefault="003125BF" w:rsidP="003125BF">
      <w:pPr>
        <w:rPr>
          <w:rFonts w:ascii="Garamond" w:hAnsi="Garamond" w:cs="Times New Roman"/>
        </w:rPr>
      </w:pPr>
      <w:r w:rsidRPr="00C05D6B">
        <w:rPr>
          <w:rFonts w:ascii="Garamond" w:hAnsi="Garamond" w:cs="Times New Roman"/>
        </w:rPr>
        <w:tab/>
        <w:t>In Students for Fair Admissions v. President and Fellows of Harvard College</w:t>
      </w:r>
      <w:r w:rsidR="00B941CF" w:rsidRPr="00C05D6B">
        <w:rPr>
          <w:rFonts w:ascii="Garamond" w:hAnsi="Garamond" w:cs="Times New Roman"/>
        </w:rPr>
        <w:fldChar w:fldCharType="begin"/>
      </w:r>
      <w:r w:rsidR="00B941CF" w:rsidRPr="00C05D6B">
        <w:rPr>
          <w:rFonts w:ascii="Garamond" w:hAnsi="Garamond"/>
        </w:rPr>
        <w:instrText xml:space="preserve"> TA \l "</w:instrText>
      </w:r>
      <w:r w:rsidR="00B941CF" w:rsidRPr="00C05D6B">
        <w:rPr>
          <w:rFonts w:ascii="Garamond" w:hAnsi="Garamond" w:cs="Times New Roman"/>
        </w:rPr>
        <w:instrText>Students for Fair Admissions v. President and Fellows of Harvard College</w:instrText>
      </w:r>
      <w:r w:rsidR="00B941CF" w:rsidRPr="00C05D6B">
        <w:rPr>
          <w:rFonts w:ascii="Garamond" w:hAnsi="Garamond"/>
        </w:rPr>
        <w:instrText xml:space="preserve">" \s "Students for Fair Admissions v. President and Fellows of Harvard College" \c 1 </w:instrText>
      </w:r>
      <w:r w:rsidR="00B941CF" w:rsidRPr="00C05D6B">
        <w:rPr>
          <w:rFonts w:ascii="Garamond" w:hAnsi="Garamond" w:cs="Times New Roman"/>
        </w:rPr>
        <w:fldChar w:fldCharType="end"/>
      </w:r>
      <w:r w:rsidRPr="00C05D6B">
        <w:rPr>
          <w:rFonts w:ascii="Garamond" w:hAnsi="Garamond" w:cs="Times New Roman"/>
        </w:rPr>
        <w:t xml:space="preserve"> (2023), the Court held that race-based affirmative action programs at two universities were unlawful under Title VI and the Equal Protection Clause. It held that the plaintiff, a 501(c)(3) nonprofit organization with about 50 members</w:t>
      </w:r>
      <w:r w:rsidR="006D79DB" w:rsidRPr="00C05D6B">
        <w:rPr>
          <w:rFonts w:ascii="Garamond" w:hAnsi="Garamond" w:cs="Times New Roman"/>
        </w:rPr>
        <w:t xml:space="preserve"> which it represents “in good faith</w:t>
      </w:r>
      <w:r w:rsidRPr="00C05D6B">
        <w:rPr>
          <w:rFonts w:ascii="Garamond" w:hAnsi="Garamond" w:cs="Times New Roman"/>
        </w:rPr>
        <w:t>,</w:t>
      </w:r>
      <w:r w:rsidR="006D79DB" w:rsidRPr="00C05D6B">
        <w:rPr>
          <w:rFonts w:ascii="Garamond" w:hAnsi="Garamond" w:cs="Times New Roman"/>
        </w:rPr>
        <w:t>”</w:t>
      </w:r>
      <w:r w:rsidRPr="00C05D6B">
        <w:rPr>
          <w:rFonts w:ascii="Garamond" w:hAnsi="Garamond" w:cs="Times New Roman"/>
        </w:rPr>
        <w:t xml:space="preserve"> had standing as an organization to challenge the programs.</w:t>
      </w:r>
    </w:p>
    <w:p w14:paraId="2300CC2E" w14:textId="77777777" w:rsidR="003125BF" w:rsidRPr="00C05D6B" w:rsidRDefault="003125BF" w:rsidP="003125BF">
      <w:pPr>
        <w:rPr>
          <w:rFonts w:ascii="Garamond" w:hAnsi="Garamond" w:cs="Times New Roman"/>
        </w:rPr>
      </w:pPr>
    </w:p>
    <w:p w14:paraId="49E14184" w14:textId="77777777" w:rsidR="006D27AB" w:rsidRPr="00C05D6B" w:rsidRDefault="006D27AB" w:rsidP="003125BF">
      <w:pPr>
        <w:rPr>
          <w:rFonts w:ascii="Garamond" w:hAnsi="Garamond" w:cs="Times New Roman"/>
        </w:rPr>
      </w:pPr>
    </w:p>
    <w:p w14:paraId="1E34875B" w14:textId="77777777" w:rsidR="006D27AB" w:rsidRPr="00C05D6B" w:rsidRDefault="006D27AB" w:rsidP="003125BF">
      <w:pPr>
        <w:rPr>
          <w:rFonts w:ascii="Garamond" w:hAnsi="Garamond" w:cs="Times New Roman"/>
        </w:rPr>
      </w:pPr>
    </w:p>
    <w:p w14:paraId="65C323BD" w14:textId="5C149F38" w:rsidR="002F5E31" w:rsidRPr="00C05D6B" w:rsidRDefault="002F5E31" w:rsidP="00BA7FE1">
      <w:pPr>
        <w:ind w:left="720"/>
        <w:rPr>
          <w:rFonts w:ascii="Garamond" w:hAnsi="Garamond" w:cs="Times New Roman"/>
          <w:b/>
          <w:bCs/>
        </w:rPr>
      </w:pPr>
      <w:r w:rsidRPr="00C05D6B">
        <w:rPr>
          <w:rFonts w:ascii="Garamond" w:hAnsi="Garamond" w:cs="Times New Roman"/>
          <w:b/>
          <w:bCs/>
        </w:rPr>
        <w:lastRenderedPageBreak/>
        <w:t>4.</w:t>
      </w:r>
      <w:r w:rsidRPr="00C05D6B">
        <w:rPr>
          <w:rFonts w:ascii="Garamond" w:hAnsi="Garamond" w:cs="Times New Roman"/>
          <w:b/>
          <w:bCs/>
        </w:rPr>
        <w:tab/>
        <w:t>The Prohibition Against Generalized Grievances</w:t>
      </w:r>
    </w:p>
    <w:p w14:paraId="44912BEF" w14:textId="77777777" w:rsidR="002F5E31" w:rsidRPr="00C05D6B" w:rsidRDefault="002F5E31" w:rsidP="002F5E31">
      <w:pPr>
        <w:rPr>
          <w:rFonts w:ascii="Garamond" w:hAnsi="Garamond" w:cs="Times New Roman"/>
          <w:b/>
          <w:bCs/>
        </w:rPr>
      </w:pPr>
    </w:p>
    <w:p w14:paraId="29ABBBF7" w14:textId="1FB0542C" w:rsidR="002F5E31" w:rsidRPr="00C05D6B" w:rsidRDefault="002F5E31" w:rsidP="002F5E31">
      <w:pPr>
        <w:rPr>
          <w:rFonts w:ascii="Garamond" w:hAnsi="Garamond" w:cs="Times New Roman"/>
          <w:b/>
          <w:bCs/>
        </w:rPr>
      </w:pPr>
      <w:r w:rsidRPr="00C05D6B">
        <w:rPr>
          <w:rFonts w:ascii="Garamond" w:hAnsi="Garamond" w:cs="Times New Roman"/>
          <w:b/>
          <w:bCs/>
        </w:rPr>
        <w:t>(CB, p. 264, at the end of the section)</w:t>
      </w:r>
    </w:p>
    <w:p w14:paraId="016BDD79" w14:textId="77777777" w:rsidR="002F5E31" w:rsidRPr="00C05D6B" w:rsidRDefault="002F5E31" w:rsidP="002F5E31">
      <w:pPr>
        <w:rPr>
          <w:rFonts w:ascii="Garamond" w:hAnsi="Garamond" w:cs="Times New Roman"/>
          <w:b/>
          <w:bCs/>
        </w:rPr>
      </w:pPr>
    </w:p>
    <w:p w14:paraId="24A258B5" w14:textId="1F3FE02B" w:rsidR="002F5E31" w:rsidRPr="00C05D6B" w:rsidRDefault="002F5E31" w:rsidP="002F5E31">
      <w:pPr>
        <w:rPr>
          <w:rFonts w:ascii="Garamond" w:hAnsi="Garamond" w:cs="Times New Roman"/>
        </w:rPr>
      </w:pPr>
      <w:r w:rsidRPr="00C05D6B">
        <w:rPr>
          <w:rFonts w:ascii="Garamond" w:hAnsi="Garamond" w:cs="Times New Roman"/>
        </w:rPr>
        <w:tab/>
        <w:t>The Court’s standing decision in Bost v. Illinois State Board of Elections</w:t>
      </w:r>
      <w:r w:rsidR="002F4EC9" w:rsidRPr="00C05D6B">
        <w:rPr>
          <w:rFonts w:ascii="Garamond" w:hAnsi="Garamond" w:cs="Times New Roman"/>
        </w:rPr>
        <w:fldChar w:fldCharType="begin"/>
      </w:r>
      <w:r w:rsidR="002F4EC9" w:rsidRPr="00C05D6B">
        <w:rPr>
          <w:rFonts w:ascii="Garamond" w:hAnsi="Garamond"/>
        </w:rPr>
        <w:instrText xml:space="preserve"> TA \l "</w:instrText>
      </w:r>
      <w:r w:rsidR="002F4EC9" w:rsidRPr="00C05D6B">
        <w:rPr>
          <w:rFonts w:ascii="Garamond" w:hAnsi="Garamond" w:cs="Times New Roman"/>
        </w:rPr>
        <w:instrText>Bost v. Illinois State Board of Elections</w:instrText>
      </w:r>
      <w:r w:rsidR="002F4EC9" w:rsidRPr="00C05D6B">
        <w:rPr>
          <w:rFonts w:ascii="Garamond" w:hAnsi="Garamond"/>
        </w:rPr>
        <w:instrText xml:space="preserve">" \s "Bost v. Illinois State Board of Elections" \c 1 </w:instrText>
      </w:r>
      <w:r w:rsidR="002F4EC9" w:rsidRPr="00C05D6B">
        <w:rPr>
          <w:rFonts w:ascii="Garamond" w:hAnsi="Garamond" w:cs="Times New Roman"/>
        </w:rPr>
        <w:fldChar w:fldCharType="end"/>
      </w:r>
      <w:r w:rsidRPr="00C05D6B">
        <w:rPr>
          <w:rFonts w:ascii="Garamond" w:hAnsi="Garamond" w:cs="Times New Roman"/>
        </w:rPr>
        <w:t xml:space="preserve"> brought together several of the strands of jurisprudence discussed thus far. A majority of the Justices agreed that three political candidates had standing to challenge a state procedure for counting mail-in ballots but disagreed as to why the case was justiciable. Chief Justice Roberts reasoned that they had standing as candidates-qua-candidates, while Justice Barrett saw the case as involving a classic pocketbook injury. Justice Jackson, joined by Justice Sotomayor, dissented, arguing that the Court had denied standing to similarly situated plaintiffs in past cases.</w:t>
      </w:r>
      <w:r w:rsidR="009841D4" w:rsidRPr="00C05D6B">
        <w:rPr>
          <w:rFonts w:ascii="Garamond" w:hAnsi="Garamond" w:cs="Times New Roman"/>
        </w:rPr>
        <w:t xml:space="preserve"> In her view, the case presented a classic generalized grievance.</w:t>
      </w:r>
    </w:p>
    <w:p w14:paraId="349542D0" w14:textId="77777777" w:rsidR="002F5E31" w:rsidRPr="00C05D6B" w:rsidRDefault="002F5E31" w:rsidP="002F5E31">
      <w:pPr>
        <w:rPr>
          <w:rFonts w:ascii="Garamond" w:hAnsi="Garamond" w:cs="Times New Roman"/>
        </w:rPr>
      </w:pPr>
    </w:p>
    <w:p w14:paraId="6CCDB698" w14:textId="0FF52BF0" w:rsidR="002F5E31" w:rsidRPr="00C05D6B" w:rsidRDefault="002F5E31" w:rsidP="002F5E31">
      <w:pPr>
        <w:rPr>
          <w:rFonts w:ascii="Garamond" w:hAnsi="Garamond" w:cs="Times New Roman"/>
          <w:b/>
          <w:bCs/>
          <w:smallCaps/>
        </w:rPr>
      </w:pPr>
      <w:r w:rsidRPr="00C05D6B">
        <w:rPr>
          <w:rFonts w:ascii="Garamond" w:hAnsi="Garamond" w:cs="Times New Roman"/>
          <w:b/>
          <w:bCs/>
          <w:smallCaps/>
        </w:rPr>
        <w:t>Bost v. Illinois State Board of Elections</w:t>
      </w:r>
      <w:r w:rsidR="002F4EC9" w:rsidRPr="00C05D6B">
        <w:rPr>
          <w:rFonts w:ascii="Garamond" w:hAnsi="Garamond" w:cs="Times New Roman"/>
          <w:b/>
          <w:bCs/>
          <w:smallCaps/>
        </w:rPr>
        <w:fldChar w:fldCharType="begin"/>
      </w:r>
      <w:r w:rsidR="002F4EC9" w:rsidRPr="00C05D6B">
        <w:rPr>
          <w:rFonts w:ascii="Garamond" w:hAnsi="Garamond"/>
        </w:rPr>
        <w:instrText xml:space="preserve"> TA \s "Bost v. Illinois State Board of Elections" </w:instrText>
      </w:r>
      <w:r w:rsidR="002F4EC9" w:rsidRPr="00C05D6B">
        <w:rPr>
          <w:rFonts w:ascii="Garamond" w:hAnsi="Garamond" w:cs="Times New Roman"/>
          <w:b/>
          <w:bCs/>
          <w:smallCaps/>
        </w:rPr>
        <w:fldChar w:fldCharType="end"/>
      </w:r>
    </w:p>
    <w:p w14:paraId="2AE2D71D" w14:textId="19005073" w:rsidR="002F5E31" w:rsidRPr="00C05D6B" w:rsidRDefault="002F5E31" w:rsidP="002F5E31">
      <w:pPr>
        <w:rPr>
          <w:rFonts w:ascii="Garamond" w:hAnsi="Garamond" w:cs="Times New Roman"/>
        </w:rPr>
      </w:pPr>
      <w:r w:rsidRPr="00C05D6B">
        <w:rPr>
          <w:rFonts w:ascii="Garamond" w:hAnsi="Garamond" w:cs="Times New Roman"/>
        </w:rPr>
        <w:t>146 S. Ct. 513 (2026)</w:t>
      </w:r>
    </w:p>
    <w:p w14:paraId="5B632A9B" w14:textId="77777777" w:rsidR="002F5E31" w:rsidRPr="00C05D6B" w:rsidRDefault="002F5E31" w:rsidP="002F5E31">
      <w:pPr>
        <w:rPr>
          <w:rFonts w:ascii="Garamond" w:hAnsi="Garamond" w:cs="Times New Roman"/>
        </w:rPr>
      </w:pPr>
    </w:p>
    <w:p w14:paraId="0666698F" w14:textId="77777777" w:rsidR="002F5E31" w:rsidRPr="00C05D6B" w:rsidRDefault="002F5E31" w:rsidP="002F5E31">
      <w:pPr>
        <w:rPr>
          <w:rFonts w:ascii="Garamond" w:hAnsi="Garamond" w:cs="Times New Roman"/>
        </w:rPr>
      </w:pPr>
      <w:r w:rsidRPr="00C05D6B">
        <w:rPr>
          <w:rFonts w:ascii="Garamond" w:hAnsi="Garamond" w:cs="Times New Roman"/>
        </w:rPr>
        <w:t>Chief Justice Roberts delivered the opinion of the Court.</w:t>
      </w:r>
    </w:p>
    <w:p w14:paraId="0A942EE8" w14:textId="77777777" w:rsidR="002F5E31" w:rsidRPr="00C05D6B" w:rsidRDefault="002F5E31" w:rsidP="002F5E31">
      <w:pPr>
        <w:rPr>
          <w:rFonts w:ascii="Garamond" w:hAnsi="Garamond" w:cs="Times New Roman"/>
        </w:rPr>
      </w:pPr>
    </w:p>
    <w:p w14:paraId="21EC3FFC" w14:textId="0E02C4B2" w:rsidR="002F5E31" w:rsidRPr="00C05D6B" w:rsidRDefault="002F5E31" w:rsidP="000B38A4">
      <w:pPr>
        <w:ind w:firstLine="720"/>
        <w:rPr>
          <w:rFonts w:ascii="Garamond" w:hAnsi="Garamond" w:cs="Times New Roman"/>
        </w:rPr>
      </w:pPr>
      <w:r w:rsidRPr="00C05D6B">
        <w:rPr>
          <w:rFonts w:ascii="Garamond" w:hAnsi="Garamond" w:cs="Times New Roman"/>
        </w:rPr>
        <w:t>Three political candidates challenged Illinois’s procedure for counting mail-in ballots received after election day. We consider whether the candidates have standing to maintain their suit.</w:t>
      </w:r>
    </w:p>
    <w:p w14:paraId="75AE7820" w14:textId="77777777" w:rsidR="002F5E31" w:rsidRPr="00C05D6B" w:rsidRDefault="002F5E31" w:rsidP="002F5E31">
      <w:pPr>
        <w:rPr>
          <w:rFonts w:ascii="Garamond" w:hAnsi="Garamond" w:cs="Times New Roman"/>
        </w:rPr>
      </w:pPr>
    </w:p>
    <w:p w14:paraId="7F5F6063" w14:textId="2141D5A9" w:rsidR="002F5E31" w:rsidRPr="00C05D6B" w:rsidRDefault="002F5E31" w:rsidP="002F5E31">
      <w:pPr>
        <w:rPr>
          <w:rFonts w:ascii="Garamond" w:hAnsi="Garamond" w:cs="Times New Roman"/>
        </w:rPr>
      </w:pPr>
      <w:r w:rsidRPr="00C05D6B">
        <w:rPr>
          <w:rFonts w:ascii="Garamond" w:hAnsi="Garamond" w:cs="Times New Roman"/>
        </w:rPr>
        <w:t>I</w:t>
      </w:r>
    </w:p>
    <w:p w14:paraId="1B85F87E" w14:textId="77777777" w:rsidR="002F5E31" w:rsidRPr="00C05D6B" w:rsidRDefault="002F5E31" w:rsidP="002F5E31">
      <w:pPr>
        <w:ind w:firstLine="720"/>
        <w:rPr>
          <w:rFonts w:ascii="Garamond" w:hAnsi="Garamond" w:cs="Times New Roman"/>
        </w:rPr>
      </w:pPr>
    </w:p>
    <w:p w14:paraId="0901BEDD" w14:textId="7313D4C2" w:rsidR="002F5E31" w:rsidRPr="00C05D6B" w:rsidRDefault="002F5E31" w:rsidP="002F5E31">
      <w:pPr>
        <w:ind w:firstLine="720"/>
        <w:rPr>
          <w:rFonts w:ascii="Garamond" w:hAnsi="Garamond" w:cs="Times New Roman"/>
        </w:rPr>
      </w:pPr>
      <w:r w:rsidRPr="00C05D6B">
        <w:rPr>
          <w:rFonts w:ascii="Garamond" w:hAnsi="Garamond" w:cs="Times New Roman"/>
        </w:rPr>
        <w:t xml:space="preserve">Illinois law requires election officials to count mail-in ballots postmarked or certified no later than election day and received within two weeks of election day. In May 2022, Congressman Michael Bost and Presidential elector nominees Laura </w:t>
      </w:r>
      <w:proofErr w:type="spellStart"/>
      <w:r w:rsidRPr="00C05D6B">
        <w:rPr>
          <w:rFonts w:ascii="Garamond" w:hAnsi="Garamond" w:cs="Times New Roman"/>
        </w:rPr>
        <w:t>Pollastrini</w:t>
      </w:r>
      <w:proofErr w:type="spellEnd"/>
      <w:r w:rsidRPr="00C05D6B">
        <w:rPr>
          <w:rFonts w:ascii="Garamond" w:hAnsi="Garamond" w:cs="Times New Roman"/>
        </w:rPr>
        <w:t xml:space="preserve"> and Susan Sweeney (petitioners) sued the Illinois State Board of Elections and its executive director (respondents), claiming that counting ballots received after election day violates federal law. They principally contended that doing so conflicts with 2 U.S.C. § 7 and 3 U.S.C. § 1, which set election day as the Tuesday following the first Monday in November.</w:t>
      </w:r>
    </w:p>
    <w:p w14:paraId="04545337" w14:textId="77777777" w:rsidR="002F5E31" w:rsidRPr="00C05D6B" w:rsidRDefault="002F5E31" w:rsidP="002F5E31">
      <w:pPr>
        <w:rPr>
          <w:rFonts w:ascii="Garamond" w:hAnsi="Garamond" w:cs="Times New Roman"/>
        </w:rPr>
      </w:pPr>
    </w:p>
    <w:p w14:paraId="2303D25E" w14:textId="4D0CEFB2" w:rsidR="002F5E31" w:rsidRPr="00C05D6B" w:rsidRDefault="002F5E31" w:rsidP="002F5E31">
      <w:pPr>
        <w:rPr>
          <w:rFonts w:ascii="Garamond" w:hAnsi="Garamond" w:cs="Times New Roman"/>
        </w:rPr>
      </w:pPr>
      <w:r w:rsidRPr="00C05D6B">
        <w:rPr>
          <w:rFonts w:ascii="Garamond" w:hAnsi="Garamond" w:cs="Times New Roman"/>
        </w:rPr>
        <w:t>II</w:t>
      </w:r>
    </w:p>
    <w:p w14:paraId="5C804C6A" w14:textId="77777777" w:rsidR="002F5E31" w:rsidRPr="00C05D6B" w:rsidRDefault="002F5E31" w:rsidP="002F5E31">
      <w:pPr>
        <w:rPr>
          <w:rFonts w:ascii="Garamond" w:hAnsi="Garamond" w:cs="Times New Roman"/>
        </w:rPr>
      </w:pPr>
    </w:p>
    <w:p w14:paraId="64AA2ED2" w14:textId="02631F44" w:rsidR="002F5E31" w:rsidRPr="00C05D6B" w:rsidRDefault="002F5E31" w:rsidP="002F5E31">
      <w:pPr>
        <w:ind w:firstLine="720"/>
        <w:rPr>
          <w:rFonts w:ascii="Garamond" w:hAnsi="Garamond" w:cs="Times New Roman"/>
        </w:rPr>
      </w:pPr>
      <w:r w:rsidRPr="00C05D6B">
        <w:rPr>
          <w:rFonts w:ascii="Garamond" w:hAnsi="Garamond" w:cs="Times New Roman"/>
        </w:rPr>
        <w:t>Under Article III of the Constitution, plaintiffs must have a “personal stake” in a case to have standing to sue.  They must, in other words, be able to answer a basic question: “‘What’s it to you?’” Congressman Bost has an obvious answer: He is a candidate for office. And a candidate has a personal stake in the rules that govern the counting of votes in his election.</w:t>
      </w:r>
    </w:p>
    <w:p w14:paraId="0F54B95B" w14:textId="77777777" w:rsidR="002F5E31" w:rsidRPr="00C05D6B" w:rsidRDefault="002F5E31" w:rsidP="000B38A4">
      <w:pPr>
        <w:ind w:firstLine="720"/>
        <w:rPr>
          <w:rFonts w:ascii="Garamond" w:hAnsi="Garamond" w:cs="Times New Roman"/>
        </w:rPr>
      </w:pPr>
    </w:p>
    <w:p w14:paraId="6FD323D9" w14:textId="77777777" w:rsidR="002F5E31" w:rsidRPr="00C05D6B" w:rsidRDefault="002F5E31" w:rsidP="002F5E31">
      <w:pPr>
        <w:ind w:firstLine="720"/>
        <w:rPr>
          <w:rFonts w:ascii="Garamond" w:hAnsi="Garamond" w:cs="Times New Roman"/>
        </w:rPr>
      </w:pPr>
      <w:r w:rsidRPr="00C05D6B">
        <w:rPr>
          <w:rFonts w:ascii="Garamond" w:hAnsi="Garamond" w:cs="Times New Roman"/>
        </w:rPr>
        <w:t>An unlawful election rule can injure a candidate in several ways. It might cause him to lose the election. It might require him to expend additional resources. Or it might decrease his vote share and damage his reputation. Respondents concede that each of these harms can be legally cognizable. But they contend that Congressman Bost failed to adequately plead any such harm here. We need not resolve whether respondents are right, because winning, and doing so as inexpensively and decisively as possible, are not a candidate's only interests in an election.</w:t>
      </w:r>
    </w:p>
    <w:p w14:paraId="0259461E" w14:textId="77777777" w:rsidR="002F5E31" w:rsidRPr="00C05D6B" w:rsidRDefault="002F5E31" w:rsidP="000B38A4">
      <w:pPr>
        <w:ind w:firstLine="720"/>
        <w:rPr>
          <w:rFonts w:ascii="Garamond" w:hAnsi="Garamond" w:cs="Times New Roman"/>
        </w:rPr>
      </w:pPr>
    </w:p>
    <w:p w14:paraId="12133BD0" w14:textId="6B70F9F3" w:rsidR="002F5E31" w:rsidRPr="00C05D6B" w:rsidRDefault="002F5E31" w:rsidP="002F5E31">
      <w:pPr>
        <w:ind w:firstLine="720"/>
        <w:rPr>
          <w:rFonts w:ascii="Garamond" w:hAnsi="Garamond" w:cs="Times New Roman"/>
        </w:rPr>
      </w:pPr>
      <w:r w:rsidRPr="00C05D6B">
        <w:rPr>
          <w:rFonts w:ascii="Garamond" w:hAnsi="Garamond" w:cs="Times New Roman"/>
        </w:rPr>
        <w:t xml:space="preserve">To start, candidates also have an interest in a fair process. Candidates are not common competitors in the economic marketplace. They seek to represent the people. And their interest in that prize cannot be severed from their interest in the electoral process—a process “of the most </w:t>
      </w:r>
      <w:r w:rsidRPr="00C05D6B">
        <w:rPr>
          <w:rFonts w:ascii="Garamond" w:hAnsi="Garamond" w:cs="Times New Roman"/>
        </w:rPr>
        <w:lastRenderedPageBreak/>
        <w:t>fundamental significance under our constitutional structure.”  Win or lose, candidates suffer when the process departs from the law. Thus, the long-shot and shoo-in alike would suffer harm if a State chose to conduct its election by, say, flipping a coin. The result of such an election would not reflect the will of the people, and the candidates would lose the opportunity to compete for the people’s support. So too, similar harms would result from less dramatic departures—for example, if a State decided to discard a random 10% of cast votes. Whether these decisions help, hurt, or have no effect on a candidate’s electoral prospects, they deprive the candidate of a fair process and an accurate result.</w:t>
      </w:r>
    </w:p>
    <w:p w14:paraId="0B6ABC1E" w14:textId="77777777" w:rsidR="002F5E31" w:rsidRPr="00C05D6B" w:rsidRDefault="002F5E31" w:rsidP="000B38A4">
      <w:pPr>
        <w:ind w:firstLine="720"/>
        <w:rPr>
          <w:rFonts w:ascii="Garamond" w:hAnsi="Garamond" w:cs="Times New Roman"/>
        </w:rPr>
      </w:pPr>
    </w:p>
    <w:p w14:paraId="06EA5755" w14:textId="1903F95D" w:rsidR="002F5E31" w:rsidRPr="00C05D6B" w:rsidRDefault="002F5E31" w:rsidP="000B38A4">
      <w:pPr>
        <w:ind w:firstLine="720"/>
        <w:rPr>
          <w:rFonts w:ascii="Garamond" w:hAnsi="Garamond" w:cs="Times New Roman"/>
        </w:rPr>
      </w:pPr>
      <w:r w:rsidRPr="00C05D6B">
        <w:rPr>
          <w:rFonts w:ascii="Garamond" w:hAnsi="Garamond" w:cs="Times New Roman"/>
        </w:rPr>
        <w:t>Such harm to candidates is in no sense “common to all members of the public.” Voters, to be sure, also have a “general interest” in an accurate vote tally. But a candidate’s interest differs in kind. An unfair and inaccurate election plainly affects those who compete for the support of the people in a different way than it affects the people who lend their support. We have no occasion to theorize about the “significance of the[se] relative interests,” or the “</w:t>
      </w:r>
      <w:proofErr w:type="spellStart"/>
      <w:r w:rsidRPr="00C05D6B">
        <w:rPr>
          <w:rFonts w:ascii="Garamond" w:hAnsi="Garamond" w:cs="Times New Roman"/>
        </w:rPr>
        <w:t>sincer</w:t>
      </w:r>
      <w:proofErr w:type="spellEnd"/>
      <w:r w:rsidRPr="00C05D6B">
        <w:rPr>
          <w:rFonts w:ascii="Garamond" w:hAnsi="Garamond" w:cs="Times New Roman"/>
        </w:rPr>
        <w:t>[</w:t>
      </w:r>
      <w:proofErr w:type="spellStart"/>
      <w:r w:rsidRPr="00C05D6B">
        <w:rPr>
          <w:rFonts w:ascii="Garamond" w:hAnsi="Garamond" w:cs="Times New Roman"/>
        </w:rPr>
        <w:t>ity</w:t>
      </w:r>
      <w:proofErr w:type="spellEnd"/>
      <w:r w:rsidRPr="00C05D6B">
        <w:rPr>
          <w:rFonts w:ascii="Garamond" w:hAnsi="Garamond" w:cs="Times New Roman"/>
        </w:rPr>
        <w:t xml:space="preserve">]” with which they are held. What matters is that the harm candidates suffer is distinct from that suffered by the “people generally.” Those who spend untold time and resources seeking to claim the right to voice the will of the people have “an undeniably different—and more particularized—interest” in knowing what that will is. </w:t>
      </w:r>
    </w:p>
    <w:p w14:paraId="67251744" w14:textId="77777777" w:rsidR="002F5E31" w:rsidRPr="00C05D6B" w:rsidRDefault="002F5E31" w:rsidP="002F5E31">
      <w:pPr>
        <w:rPr>
          <w:rFonts w:ascii="Garamond" w:hAnsi="Garamond" w:cs="Times New Roman"/>
        </w:rPr>
      </w:pPr>
    </w:p>
    <w:p w14:paraId="14FA7F2C" w14:textId="77777777" w:rsidR="002F5E31" w:rsidRPr="00C05D6B" w:rsidRDefault="002F5E31" w:rsidP="002F5E31">
      <w:pPr>
        <w:ind w:firstLine="720"/>
        <w:rPr>
          <w:rFonts w:ascii="Garamond" w:hAnsi="Garamond" w:cs="Times New Roman"/>
        </w:rPr>
      </w:pPr>
      <w:r w:rsidRPr="00C05D6B">
        <w:rPr>
          <w:rFonts w:ascii="Garamond" w:hAnsi="Garamond" w:cs="Times New Roman"/>
        </w:rPr>
        <w:t>Rules that undermine the “integrity of the electoral process” also undermine the winner's political legitimacy.  The counting of unlawful votes—or discarding of lawful ones—erodes public confidence that the election results reflect the people's will. And when public confidence in the election results falters, public confidence in the elected representative follows. To the representative, that loss of legitimacy—or its diminution—is a concrete harm. “[R]</w:t>
      </w:r>
      <w:proofErr w:type="spellStart"/>
      <w:r w:rsidRPr="00C05D6B">
        <w:rPr>
          <w:rFonts w:ascii="Garamond" w:hAnsi="Garamond" w:cs="Times New Roman"/>
        </w:rPr>
        <w:t>eputational</w:t>
      </w:r>
      <w:proofErr w:type="spellEnd"/>
      <w:r w:rsidRPr="00C05D6B">
        <w:rPr>
          <w:rFonts w:ascii="Garamond" w:hAnsi="Garamond" w:cs="Times New Roman"/>
        </w:rPr>
        <w:t xml:space="preserve"> harms,” as a general matter, are classic Article III injuries.  But they are particularly concrete for those whose very jobs depend on the support of the people.</w:t>
      </w:r>
    </w:p>
    <w:p w14:paraId="23BB5895" w14:textId="77777777" w:rsidR="002F5E31" w:rsidRPr="00C05D6B" w:rsidRDefault="002F5E31" w:rsidP="000B38A4">
      <w:pPr>
        <w:ind w:firstLine="720"/>
        <w:rPr>
          <w:rFonts w:ascii="Garamond" w:hAnsi="Garamond" w:cs="Times New Roman"/>
        </w:rPr>
      </w:pPr>
    </w:p>
    <w:p w14:paraId="68ED6AF0" w14:textId="77777777" w:rsidR="002F5E31" w:rsidRPr="00C05D6B" w:rsidRDefault="002F5E31" w:rsidP="000B38A4">
      <w:pPr>
        <w:ind w:firstLine="720"/>
        <w:rPr>
          <w:rFonts w:ascii="Garamond" w:hAnsi="Garamond" w:cs="Times New Roman"/>
        </w:rPr>
      </w:pPr>
      <w:r w:rsidRPr="00C05D6B">
        <w:rPr>
          <w:rFonts w:ascii="Garamond" w:hAnsi="Garamond" w:cs="Times New Roman"/>
        </w:rPr>
        <w:t>Candidates, in short, are not “mere bystanders” in their own elections.  They have an obvious personal stake in how the result is determined and regarded. Departures from the preordained rules cause them particularized and concrete harm. The same is true of competitors in other contests. Each runner in a 100-meter dash, for example, would suffer if the race were unexpectedly extended to 105 meters. Whether a particular runner expects to finish strong or fall off the pace in the final five meters, all would be deprived of the chance to compete for the prize that the rules define. The fastest to run 105 meters has not won the 100-meter dash. And in much the same way, an unlawful extension of vote counting deprives candidates of the opportunity to compete for election under the Constitution and laws of the United States.</w:t>
      </w:r>
    </w:p>
    <w:p w14:paraId="71E50F72" w14:textId="77777777" w:rsidR="002F5E31" w:rsidRPr="00C05D6B" w:rsidRDefault="002F5E31" w:rsidP="002F5E31">
      <w:pPr>
        <w:rPr>
          <w:rFonts w:ascii="Garamond" w:hAnsi="Garamond" w:cs="Times New Roman"/>
        </w:rPr>
      </w:pPr>
    </w:p>
    <w:p w14:paraId="772C5C9D" w14:textId="4DDF6148" w:rsidR="002F5E31" w:rsidRPr="00C05D6B" w:rsidRDefault="002F5E31" w:rsidP="002F5E31">
      <w:pPr>
        <w:ind w:firstLine="720"/>
        <w:rPr>
          <w:rFonts w:ascii="Garamond" w:hAnsi="Garamond" w:cs="Times New Roman"/>
        </w:rPr>
      </w:pPr>
      <w:r w:rsidRPr="00C05D6B">
        <w:rPr>
          <w:rFonts w:ascii="Garamond" w:hAnsi="Garamond" w:cs="Times New Roman"/>
        </w:rPr>
        <w:t xml:space="preserve">Premising standing on a candidate’s risk of election loss or failure to achieve a certain vote threshold could channel many election disputes to shortly before election day—or worse, after. Only then will many candidates be able to predict with any certainty that a rule will be outcome determinative. And only then will they be able to produce the “manner and degree of evidence required,” particularly at later “stages of the litigation,” to establish standing.  </w:t>
      </w:r>
    </w:p>
    <w:p w14:paraId="4304A42E" w14:textId="77777777" w:rsidR="002F5E31" w:rsidRPr="00C05D6B" w:rsidRDefault="002F5E31" w:rsidP="000B38A4">
      <w:pPr>
        <w:ind w:firstLine="720"/>
        <w:rPr>
          <w:rFonts w:ascii="Garamond" w:hAnsi="Garamond" w:cs="Times New Roman"/>
        </w:rPr>
      </w:pPr>
    </w:p>
    <w:p w14:paraId="7BE9F4A8" w14:textId="2CDA0F98" w:rsidR="002F5E31" w:rsidRPr="00C05D6B" w:rsidRDefault="002F5E31" w:rsidP="002F5E31">
      <w:pPr>
        <w:ind w:firstLine="720"/>
        <w:rPr>
          <w:rFonts w:ascii="Garamond" w:hAnsi="Garamond" w:cs="Times New Roman"/>
        </w:rPr>
      </w:pPr>
      <w:r w:rsidRPr="00C05D6B">
        <w:rPr>
          <w:rFonts w:ascii="Garamond" w:hAnsi="Garamond" w:cs="Times New Roman"/>
        </w:rPr>
        <w:t>Nor would requiring candidates to plead a substantial risk of harm to their vote share leave courts on any surer footing. Such an approach would force judges to assess whether an election rule is likely to disadvantage a particular candidate. And at least as respondents suggest, judges must then also ensure that any disadvantage is linked to reputational or financial harm.</w:t>
      </w:r>
    </w:p>
    <w:p w14:paraId="31AF1D26" w14:textId="77777777" w:rsidR="002F5E31" w:rsidRPr="00C05D6B" w:rsidRDefault="002F5E31" w:rsidP="000B38A4">
      <w:pPr>
        <w:ind w:firstLine="720"/>
        <w:rPr>
          <w:rFonts w:ascii="Garamond" w:hAnsi="Garamond" w:cs="Times New Roman"/>
        </w:rPr>
      </w:pPr>
    </w:p>
    <w:p w14:paraId="595BDA60" w14:textId="77777777" w:rsidR="002F5E31" w:rsidRPr="00C05D6B" w:rsidRDefault="002F5E31" w:rsidP="002F5E31">
      <w:pPr>
        <w:ind w:firstLine="720"/>
        <w:rPr>
          <w:rFonts w:ascii="Garamond" w:hAnsi="Garamond" w:cs="Times New Roman"/>
        </w:rPr>
      </w:pPr>
      <w:r w:rsidRPr="00C05D6B">
        <w:rPr>
          <w:rFonts w:ascii="Garamond" w:hAnsi="Garamond" w:cs="Times New Roman"/>
        </w:rPr>
        <w:lastRenderedPageBreak/>
        <w:t xml:space="preserve">Judges are no better qualified to make such determinations than they are to assess a candidate's likelihood of winning or losing. Even if they could do so, this approach would still channel many disputes into postelection litigation. To bring a </w:t>
      </w:r>
      <w:proofErr w:type="spellStart"/>
      <w:r w:rsidRPr="00C05D6B">
        <w:rPr>
          <w:rFonts w:ascii="Garamond" w:hAnsi="Garamond" w:cs="Times New Roman"/>
        </w:rPr>
        <w:t>preelection</w:t>
      </w:r>
      <w:proofErr w:type="spellEnd"/>
      <w:r w:rsidRPr="00C05D6B">
        <w:rPr>
          <w:rFonts w:ascii="Garamond" w:hAnsi="Garamond" w:cs="Times New Roman"/>
        </w:rPr>
        <w:t xml:space="preserve"> suit, a candidate would have to plead and prove that voters who take advantage of the challenged rule will favor his rivals. Doing so while campaigning for those same voters’ support is not just awkward, but politically dangerous.  Particularly for new election rules, it may require divulging information about vulnerabilities that rival candidates could exploit. Faced with that prospect, many candidates are sure to wait until after votes are counted to sue.</w:t>
      </w:r>
    </w:p>
    <w:p w14:paraId="242597A1" w14:textId="77777777" w:rsidR="002F5E31" w:rsidRPr="00C05D6B" w:rsidRDefault="002F5E31" w:rsidP="000B38A4">
      <w:pPr>
        <w:ind w:firstLine="720"/>
        <w:rPr>
          <w:rFonts w:ascii="Garamond" w:hAnsi="Garamond" w:cs="Times New Roman"/>
        </w:rPr>
      </w:pPr>
    </w:p>
    <w:p w14:paraId="33D56CC4" w14:textId="0BEB4840" w:rsidR="002F5E31" w:rsidRPr="00C05D6B" w:rsidRDefault="002F5E31" w:rsidP="002F5E31">
      <w:pPr>
        <w:ind w:firstLine="720"/>
        <w:rPr>
          <w:rFonts w:ascii="Garamond" w:hAnsi="Garamond" w:cs="Times New Roman"/>
        </w:rPr>
      </w:pPr>
      <w:r w:rsidRPr="00C05D6B">
        <w:rPr>
          <w:rFonts w:ascii="Garamond" w:hAnsi="Garamond" w:cs="Times New Roman"/>
        </w:rPr>
        <w:t>Adding monetary harm to the equation, as the concurrence proposes, would change none of this. Plaintiffs cannot “manufacture standing by voluntarily” incurring costs. . . . Acknowledging as much, the concurrence ultimately speculates that it is “reasonably probable” Congressman Bost’s election will be at risk because of discrepancies in late-arriving ballots.  Such conjecture—beyond finding little support in the pleadings—carries all the concerns we have explained. And the concurrence’s approach introduces a new one: Apparently, a candidate who pays poll watchers a penny would have standing, while one who relies on volunteers would not.</w:t>
      </w:r>
    </w:p>
    <w:p w14:paraId="76DB83A8" w14:textId="77777777" w:rsidR="002F5E31" w:rsidRPr="00C05D6B" w:rsidRDefault="002F5E31" w:rsidP="000B38A4">
      <w:pPr>
        <w:ind w:firstLine="720"/>
        <w:rPr>
          <w:rFonts w:ascii="Garamond" w:hAnsi="Garamond" w:cs="Times New Roman"/>
        </w:rPr>
      </w:pPr>
    </w:p>
    <w:p w14:paraId="1DBA7784" w14:textId="672A2876" w:rsidR="002F5E31" w:rsidRPr="00C05D6B" w:rsidRDefault="002F5E31" w:rsidP="000B38A4">
      <w:pPr>
        <w:ind w:firstLine="720"/>
        <w:rPr>
          <w:rFonts w:ascii="Garamond" w:hAnsi="Garamond" w:cs="Times New Roman"/>
        </w:rPr>
      </w:pPr>
      <w:r w:rsidRPr="00C05D6B">
        <w:rPr>
          <w:rFonts w:ascii="Garamond" w:hAnsi="Garamond" w:cs="Times New Roman"/>
        </w:rPr>
        <w:t>Nothing about Article III requires this result. Candidates have a concrete and particularized interest in the rules that govern the counting of votes in their elections, regardless whether those rules harm their electoral prospects or increase the cost of their campaigns. Their interest extends to the integrity of the election—and the democratic process by which they earn or lose the support of the people they seek to represent.</w:t>
      </w:r>
    </w:p>
    <w:p w14:paraId="1587D467" w14:textId="77777777" w:rsidR="002F5E31" w:rsidRPr="00C05D6B" w:rsidRDefault="002F5E31" w:rsidP="002F5E31">
      <w:pPr>
        <w:rPr>
          <w:rFonts w:ascii="Garamond" w:hAnsi="Garamond" w:cs="Times New Roman"/>
        </w:rPr>
      </w:pPr>
    </w:p>
    <w:p w14:paraId="7F297381" w14:textId="657A0FEF" w:rsidR="002F5E31" w:rsidRPr="00C05D6B" w:rsidRDefault="002F5E31" w:rsidP="000B38A4">
      <w:pPr>
        <w:ind w:firstLine="720"/>
        <w:rPr>
          <w:rFonts w:ascii="Garamond" w:hAnsi="Garamond" w:cs="Times New Roman"/>
        </w:rPr>
      </w:pPr>
      <w:r w:rsidRPr="00C05D6B">
        <w:rPr>
          <w:rFonts w:ascii="Garamond" w:hAnsi="Garamond" w:cs="Times New Roman"/>
        </w:rPr>
        <w:t>“Courts sometimes make standing law more complicated than it needs to be.” We decline respondents’ invitation to do so here. As a candidate for office, Congressman Bost has standing to challenge the rules that govern the counting of votes in his election.</w:t>
      </w:r>
    </w:p>
    <w:p w14:paraId="5ECF2CF7" w14:textId="77777777" w:rsidR="002F5E31" w:rsidRPr="00C05D6B" w:rsidRDefault="002F5E31" w:rsidP="002F5E31">
      <w:pPr>
        <w:rPr>
          <w:rFonts w:ascii="Garamond" w:hAnsi="Garamond" w:cs="Times New Roman"/>
        </w:rPr>
      </w:pPr>
    </w:p>
    <w:p w14:paraId="74410CDA" w14:textId="77777777" w:rsidR="002F5E31" w:rsidRPr="00C05D6B" w:rsidRDefault="002F5E31" w:rsidP="002F5E31">
      <w:pPr>
        <w:rPr>
          <w:rFonts w:ascii="Garamond" w:hAnsi="Garamond" w:cs="Times New Roman"/>
        </w:rPr>
      </w:pPr>
      <w:r w:rsidRPr="00C05D6B">
        <w:rPr>
          <w:rFonts w:ascii="Garamond" w:hAnsi="Garamond" w:cs="Times New Roman"/>
        </w:rPr>
        <w:t>Justice Barrett, with whom Justice Kagan joins, concurring in the judgment.</w:t>
      </w:r>
    </w:p>
    <w:p w14:paraId="26C96B9A" w14:textId="77777777" w:rsidR="002F5E31" w:rsidRPr="00C05D6B" w:rsidRDefault="002F5E31" w:rsidP="002F5E31">
      <w:pPr>
        <w:rPr>
          <w:rFonts w:ascii="Garamond" w:hAnsi="Garamond" w:cs="Times New Roman"/>
        </w:rPr>
      </w:pPr>
    </w:p>
    <w:p w14:paraId="7E970419" w14:textId="77777777" w:rsidR="002F5E31" w:rsidRPr="00C05D6B" w:rsidRDefault="002F5E31" w:rsidP="002F5E31">
      <w:pPr>
        <w:ind w:firstLine="720"/>
        <w:rPr>
          <w:rFonts w:ascii="Garamond" w:hAnsi="Garamond" w:cs="Times New Roman"/>
        </w:rPr>
      </w:pPr>
      <w:r w:rsidRPr="00C05D6B">
        <w:rPr>
          <w:rFonts w:ascii="Garamond" w:hAnsi="Garamond" w:cs="Times New Roman"/>
        </w:rPr>
        <w:t>While I agree with the Court that Congressman Bost has standing, I disagree with its reasoning. In my view, Congressman Bost has standing because he has suffered a traditional pocketbook injury, not because of his status as a candidate.</w:t>
      </w:r>
    </w:p>
    <w:p w14:paraId="651DE00E" w14:textId="77777777" w:rsidR="002F5E31" w:rsidRPr="00C05D6B" w:rsidRDefault="002F5E31" w:rsidP="000B38A4">
      <w:pPr>
        <w:ind w:firstLine="720"/>
        <w:rPr>
          <w:rFonts w:ascii="Garamond" w:hAnsi="Garamond" w:cs="Times New Roman"/>
        </w:rPr>
      </w:pPr>
    </w:p>
    <w:p w14:paraId="02852B7F" w14:textId="77777777" w:rsidR="002F5E31" w:rsidRPr="00C05D6B" w:rsidRDefault="002F5E31" w:rsidP="002F5E31">
      <w:pPr>
        <w:ind w:firstLine="720"/>
        <w:rPr>
          <w:rFonts w:ascii="Garamond" w:hAnsi="Garamond" w:cs="Times New Roman"/>
        </w:rPr>
      </w:pPr>
      <w:r w:rsidRPr="00C05D6B">
        <w:rPr>
          <w:rFonts w:ascii="Garamond" w:hAnsi="Garamond" w:cs="Times New Roman"/>
        </w:rPr>
        <w:t>Pocketbook harm is a traditional Article III injury. That is so not only when a law directly imposes costs on a plaintiff, but also when a plaintiff “reasonably incur[s] costs to mitigate or avoid” the “‘substantial risk’” of a harm caused by a statute.</w:t>
      </w:r>
    </w:p>
    <w:p w14:paraId="417BDE7B" w14:textId="77777777" w:rsidR="002F5E31" w:rsidRPr="00C05D6B" w:rsidRDefault="002F5E31" w:rsidP="000B38A4">
      <w:pPr>
        <w:ind w:firstLine="720"/>
        <w:rPr>
          <w:rFonts w:ascii="Garamond" w:hAnsi="Garamond" w:cs="Times New Roman"/>
        </w:rPr>
      </w:pPr>
    </w:p>
    <w:p w14:paraId="49E256B7" w14:textId="3D4DB382" w:rsidR="002F5E31" w:rsidRPr="00C05D6B" w:rsidRDefault="002F5E31" w:rsidP="000B38A4">
      <w:pPr>
        <w:ind w:firstLine="720"/>
        <w:rPr>
          <w:rFonts w:ascii="Garamond" w:hAnsi="Garamond" w:cs="Times New Roman"/>
        </w:rPr>
      </w:pPr>
      <w:r w:rsidRPr="00C05D6B">
        <w:rPr>
          <w:rFonts w:ascii="Garamond" w:hAnsi="Garamond" w:cs="Times New Roman"/>
        </w:rPr>
        <w:t>Congressman Bost alleges that he will “reasonably incur costs to mitigate or avoid” the “‘substantial risk’” of harm caused by the challenged statute. He claims that Illinois’s ballot-receipt deadline will increase the number of late-arriving ballots, which often “have discrepancies (e.g., insufficient information, missing signatures, dates, or postmarks) that need to be resolved.” Invalid ballots, he says, will put his election at risk and damage his reputation. To avoid these reasonably probable harms, his campaign “has spent, and will spend, money, time, and resources to monitor and respond as needed to ballots received by state election officials after the national Election Day.”  If poll watchers are not present to monitor ballot counting, county officials could “</w:t>
      </w:r>
      <w:proofErr w:type="spellStart"/>
      <w:r w:rsidRPr="00C05D6B">
        <w:rPr>
          <w:rFonts w:ascii="Garamond" w:hAnsi="Garamond" w:cs="Times New Roman"/>
        </w:rPr>
        <w:t>accep</w:t>
      </w:r>
      <w:proofErr w:type="spellEnd"/>
      <w:r w:rsidRPr="00C05D6B">
        <w:rPr>
          <w:rFonts w:ascii="Garamond" w:hAnsi="Garamond" w:cs="Times New Roman"/>
        </w:rPr>
        <w:t xml:space="preserve">[t] possibly deficient ballots in bulk.” Accordingly, it is standard practice for campaigns to send poll watchers to monitor ballot counting to ensure that any discrepancies are resolved appropriately. Because </w:t>
      </w:r>
      <w:r w:rsidRPr="00C05D6B">
        <w:rPr>
          <w:rFonts w:ascii="Garamond" w:hAnsi="Garamond" w:cs="Times New Roman"/>
        </w:rPr>
        <w:lastRenderedPageBreak/>
        <w:t>Congressman Bost’s expenditures mitigate a substantial risk of harm, he has pleaded Article III injury.</w:t>
      </w:r>
    </w:p>
    <w:p w14:paraId="54B276F0" w14:textId="77777777" w:rsidR="002F5E31" w:rsidRPr="00C05D6B" w:rsidRDefault="002F5E31" w:rsidP="002F5E31">
      <w:pPr>
        <w:rPr>
          <w:rFonts w:ascii="Garamond" w:hAnsi="Garamond" w:cs="Times New Roman"/>
        </w:rPr>
      </w:pPr>
    </w:p>
    <w:p w14:paraId="0B259170" w14:textId="10C46777" w:rsidR="002F5E31" w:rsidRPr="00C05D6B" w:rsidRDefault="002F5E31" w:rsidP="002F5E31">
      <w:pPr>
        <w:ind w:firstLine="720"/>
        <w:rPr>
          <w:rFonts w:ascii="Garamond" w:hAnsi="Garamond" w:cs="Times New Roman"/>
        </w:rPr>
      </w:pPr>
      <w:r w:rsidRPr="00C05D6B">
        <w:rPr>
          <w:rFonts w:ascii="Garamond" w:hAnsi="Garamond" w:cs="Times New Roman"/>
        </w:rPr>
        <w:t xml:space="preserve">Rather than take this straightforward path, the Court charts a novel one: To challenge “the rules that govern the counting of votes in his election,” a candidate need only allege that he is in fact a candidate in that election. The Court makes no attempt to demonstrate that the bare fact of facing changed vote-counting rules is a traditionally recognized harm. By holding that a candidate always has an interest in challenging vote-counting rules, even if those rules do not impose a competitive disadvantage on him, the Court today relieves candidates of having to show any real harm. </w:t>
      </w:r>
    </w:p>
    <w:p w14:paraId="72BEB4A7" w14:textId="77777777" w:rsidR="002F5E31" w:rsidRPr="00C05D6B" w:rsidRDefault="002F5E31" w:rsidP="000B38A4">
      <w:pPr>
        <w:ind w:firstLine="720"/>
        <w:rPr>
          <w:rFonts w:ascii="Garamond" w:hAnsi="Garamond" w:cs="Times New Roman"/>
        </w:rPr>
      </w:pPr>
    </w:p>
    <w:p w14:paraId="3B492FD5" w14:textId="0A93177C" w:rsidR="002F5E31" w:rsidRPr="00C05D6B" w:rsidRDefault="002F5E31" w:rsidP="002F5E31">
      <w:pPr>
        <w:ind w:firstLine="720"/>
        <w:rPr>
          <w:rFonts w:ascii="Garamond" w:hAnsi="Garamond" w:cs="Times New Roman"/>
        </w:rPr>
      </w:pPr>
      <w:r w:rsidRPr="00C05D6B">
        <w:rPr>
          <w:rFonts w:ascii="Garamond" w:hAnsi="Garamond" w:cs="Times New Roman"/>
        </w:rPr>
        <w:t>I cannot join the Court’s creation of a bespoke standing rule for candidates. Elections are important, but so are many things in life. We have always held candidates to the same standards as any other litigant. And we have repeatedly rejected requests to create special standing rules for particular litigants. I see no reason to afford candidates favored status.</w:t>
      </w:r>
    </w:p>
    <w:p w14:paraId="72BBD721" w14:textId="77777777" w:rsidR="002F5E31" w:rsidRPr="00C05D6B" w:rsidRDefault="002F5E31" w:rsidP="000B38A4">
      <w:pPr>
        <w:ind w:firstLine="720"/>
        <w:rPr>
          <w:rFonts w:ascii="Garamond" w:hAnsi="Garamond" w:cs="Times New Roman"/>
        </w:rPr>
      </w:pPr>
    </w:p>
    <w:p w14:paraId="01BCD66C" w14:textId="77777777" w:rsidR="002F5E31" w:rsidRPr="00C05D6B" w:rsidRDefault="002F5E31" w:rsidP="002F5E31">
      <w:pPr>
        <w:rPr>
          <w:rFonts w:ascii="Garamond" w:hAnsi="Garamond" w:cs="Times New Roman"/>
        </w:rPr>
      </w:pPr>
      <w:r w:rsidRPr="00C05D6B">
        <w:rPr>
          <w:rFonts w:ascii="Garamond" w:hAnsi="Garamond" w:cs="Times New Roman"/>
        </w:rPr>
        <w:t>Justice Jackson, with whom Justice Sotomayor joins, dissenting.</w:t>
      </w:r>
    </w:p>
    <w:p w14:paraId="47A8B508" w14:textId="77777777" w:rsidR="002F5E31" w:rsidRPr="00C05D6B" w:rsidRDefault="002F5E31" w:rsidP="002F5E31">
      <w:pPr>
        <w:rPr>
          <w:rFonts w:ascii="Garamond" w:hAnsi="Garamond" w:cs="Times New Roman"/>
        </w:rPr>
      </w:pPr>
    </w:p>
    <w:p w14:paraId="447AB11F" w14:textId="04A0B380" w:rsidR="002F5E31" w:rsidRPr="00C05D6B" w:rsidRDefault="002F5E31" w:rsidP="000B38A4">
      <w:pPr>
        <w:ind w:firstLine="720"/>
        <w:rPr>
          <w:rFonts w:ascii="Garamond" w:hAnsi="Garamond" w:cs="Times New Roman"/>
        </w:rPr>
      </w:pPr>
      <w:r w:rsidRPr="00C05D6B">
        <w:rPr>
          <w:rFonts w:ascii="Garamond" w:hAnsi="Garamond" w:cs="Times New Roman"/>
        </w:rPr>
        <w:t>Under our standing precedents, this is an easy case. Article III requires plaintiffs to assert and establish an “injury in fact”—i.e., the “invasion of a legally protected interest” that is both “concrete and particularized” and “actual or imminent.” Congressman Bost has failed to allege that the election-related law he seeks to challenge has caused him to suffer any injury that satisfies those requirements.</w:t>
      </w:r>
    </w:p>
    <w:p w14:paraId="7D7B0DDD" w14:textId="77777777" w:rsidR="002F5E31" w:rsidRPr="00C05D6B" w:rsidRDefault="002F5E31" w:rsidP="002F5E31">
      <w:pPr>
        <w:rPr>
          <w:rFonts w:ascii="Garamond" w:hAnsi="Garamond" w:cs="Times New Roman"/>
        </w:rPr>
      </w:pPr>
    </w:p>
    <w:p w14:paraId="31E9BB78" w14:textId="0982E43F" w:rsidR="002F5E31" w:rsidRPr="00C05D6B" w:rsidRDefault="002F5E31" w:rsidP="002F5E31">
      <w:pPr>
        <w:ind w:firstLine="720"/>
        <w:rPr>
          <w:rFonts w:ascii="Garamond" w:hAnsi="Garamond" w:cs="Times New Roman"/>
        </w:rPr>
      </w:pPr>
      <w:r w:rsidRPr="00C05D6B">
        <w:rPr>
          <w:rFonts w:ascii="Garamond" w:hAnsi="Garamond" w:cs="Times New Roman"/>
        </w:rPr>
        <w:t>A majority of the Court nevertheless concludes that Bost has standing to sue based solely on his status as a candidate for office. The Court thereby subtly shifts from our longstanding actual-injury rule to a presumption that certain kinds of plaintiffs are sufficiently aggrieved to satisfy Article III standing, regardless of whether they will experience any particularized harm. In my view, this dubious departure from settled law disregards both the equal treatment of litigants and judicial restraint.</w:t>
      </w:r>
    </w:p>
    <w:p w14:paraId="7A96962B" w14:textId="77777777" w:rsidR="002F5E31" w:rsidRPr="00C05D6B" w:rsidRDefault="002F5E31" w:rsidP="000B38A4">
      <w:pPr>
        <w:ind w:firstLine="720"/>
        <w:rPr>
          <w:rFonts w:ascii="Garamond" w:hAnsi="Garamond" w:cs="Times New Roman"/>
        </w:rPr>
      </w:pPr>
    </w:p>
    <w:p w14:paraId="6EC9C6D4" w14:textId="6A89943C" w:rsidR="002F5E31" w:rsidRPr="00C05D6B" w:rsidRDefault="002F5E31" w:rsidP="000B38A4">
      <w:pPr>
        <w:ind w:firstLine="720"/>
        <w:rPr>
          <w:rFonts w:ascii="Garamond" w:hAnsi="Garamond" w:cs="Times New Roman"/>
        </w:rPr>
      </w:pPr>
      <w:r w:rsidRPr="00C05D6B">
        <w:rPr>
          <w:rFonts w:ascii="Garamond" w:hAnsi="Garamond" w:cs="Times New Roman"/>
        </w:rPr>
        <w:t xml:space="preserve">Justice Barrett rightly rejects today’s bespoke candidate-standing rule. Yet her pocketbook theory would allow political candidates to spend their way past Article III's injury-in-fact requirement, despite our clear admonition that plaintiffs “cannot manufacture standing by choosing to make expenditures based on hypothetical future harm that is not certainly impending.” </w:t>
      </w:r>
    </w:p>
    <w:p w14:paraId="1739B136" w14:textId="77777777" w:rsidR="002F5E31" w:rsidRPr="00C05D6B" w:rsidRDefault="002F5E31" w:rsidP="002F5E31">
      <w:pPr>
        <w:rPr>
          <w:rFonts w:ascii="Garamond" w:hAnsi="Garamond" w:cs="Times New Roman"/>
        </w:rPr>
      </w:pPr>
    </w:p>
    <w:p w14:paraId="4DDDA3DB" w14:textId="1B95675C" w:rsidR="002F5E31" w:rsidRPr="00C05D6B" w:rsidRDefault="002F5E31" w:rsidP="002F5E31">
      <w:pPr>
        <w:ind w:firstLine="720"/>
        <w:rPr>
          <w:rFonts w:ascii="Garamond" w:hAnsi="Garamond" w:cs="Times New Roman"/>
        </w:rPr>
      </w:pPr>
      <w:r w:rsidRPr="00C05D6B">
        <w:rPr>
          <w:rFonts w:ascii="Garamond" w:hAnsi="Garamond" w:cs="Times New Roman"/>
        </w:rPr>
        <w:t>In the end, I would not allow Bost’s suit to move forward on grounds that we have deemed insufficient to establish Article III standing for other plaintiffs. Because I believe that political candidates can and should be held to the same actual-injury requirements as other litigants, I respectfully dissent.</w:t>
      </w:r>
    </w:p>
    <w:p w14:paraId="206EF84C" w14:textId="77777777" w:rsidR="002F5E31" w:rsidRPr="00C05D6B" w:rsidRDefault="002F5E31" w:rsidP="000B38A4">
      <w:pPr>
        <w:ind w:firstLine="720"/>
        <w:rPr>
          <w:rFonts w:ascii="Garamond" w:hAnsi="Garamond" w:cs="Times New Roman"/>
        </w:rPr>
      </w:pPr>
    </w:p>
    <w:p w14:paraId="4AE3F787" w14:textId="69E74B8C" w:rsidR="002F5E31" w:rsidRPr="00C05D6B" w:rsidRDefault="002F5E31" w:rsidP="000B38A4">
      <w:pPr>
        <w:ind w:firstLine="720"/>
        <w:rPr>
          <w:rFonts w:ascii="Garamond" w:hAnsi="Garamond" w:cs="Times New Roman"/>
        </w:rPr>
      </w:pPr>
      <w:r w:rsidRPr="00C05D6B">
        <w:rPr>
          <w:rFonts w:ascii="Garamond" w:hAnsi="Garamond" w:cs="Times New Roman"/>
        </w:rPr>
        <w:t xml:space="preserve">Today's decision all but ignores the particularity requirement and the democracy-preserving function that it serves. This case, the Court says, involves “[a]n unlawful election rule,” which necessarily injures candidates’ “interest in a fair process.” But, even assuming that Illinois’s rule is unlawful (as we must for standing purposes), the Court makes no real attempt to explain how that injury is particular to candidates; to the contrary, it acknowledges that voters, too, have a stake in a fair electoral process. Yet the Court insists that a candidate’s interest is “undeniably different” from that of a voter’s, because it is the candidate—and not the voter—who “compete[s]” in an election. </w:t>
      </w:r>
    </w:p>
    <w:p w14:paraId="269BD042" w14:textId="06486FC3" w:rsidR="002F5E31" w:rsidRPr="00C05D6B" w:rsidRDefault="002F5E31" w:rsidP="002F5E31">
      <w:pPr>
        <w:rPr>
          <w:rFonts w:ascii="Garamond" w:hAnsi="Garamond" w:cs="Times New Roman"/>
        </w:rPr>
      </w:pPr>
      <w:r w:rsidRPr="00C05D6B">
        <w:rPr>
          <w:rFonts w:ascii="Garamond" w:hAnsi="Garamond" w:cs="Times New Roman"/>
        </w:rPr>
        <w:lastRenderedPageBreak/>
        <w:t>That assessment gets the significance of the relative interests exactly backward. A public office is a public trust, and an election for that office is the ultimate expression of the will of the people, not a mere competition to be won or lost. In the Court’s telling, though, elections are a glorified national pastime—the competitors’ success is the main objective, and voters are mere bystanders who simply “lend their support.”  This depiction drastically devalues the role elections play in a democratic society.</w:t>
      </w:r>
    </w:p>
    <w:p w14:paraId="2BD5AC3F" w14:textId="77777777" w:rsidR="002F5E31" w:rsidRPr="00C05D6B" w:rsidRDefault="002F5E31" w:rsidP="002F5E31">
      <w:pPr>
        <w:rPr>
          <w:rFonts w:ascii="Garamond" w:hAnsi="Garamond" w:cs="Times New Roman"/>
        </w:rPr>
      </w:pPr>
    </w:p>
    <w:p w14:paraId="42914220" w14:textId="00ECB82A" w:rsidR="002F5E31" w:rsidRPr="00C05D6B" w:rsidRDefault="002F5E31" w:rsidP="000B38A4">
      <w:pPr>
        <w:ind w:firstLine="720"/>
        <w:rPr>
          <w:rFonts w:ascii="Garamond" w:hAnsi="Garamond" w:cs="Times New Roman"/>
        </w:rPr>
      </w:pPr>
      <w:r w:rsidRPr="00C05D6B">
        <w:rPr>
          <w:rFonts w:ascii="Garamond" w:hAnsi="Garamond" w:cs="Times New Roman"/>
        </w:rPr>
        <w:t>The Court similarly misrepresents the harm that occurs when unlawful election rules “</w:t>
      </w:r>
      <w:proofErr w:type="spellStart"/>
      <w:r w:rsidRPr="00C05D6B">
        <w:rPr>
          <w:rFonts w:ascii="Garamond" w:hAnsi="Garamond" w:cs="Times New Roman"/>
        </w:rPr>
        <w:t>erod</w:t>
      </w:r>
      <w:proofErr w:type="spellEnd"/>
      <w:r w:rsidRPr="00C05D6B">
        <w:rPr>
          <w:rFonts w:ascii="Garamond" w:hAnsi="Garamond" w:cs="Times New Roman"/>
        </w:rPr>
        <w:t>[e] public confidence [in] the election results.” To be sure, a tainted election can hurt a candidate if it undermines the public’s perception of that officeholder’s legitimacy and harms his reputation in the process (assuming he makes that allegation). But voters suffer too—and arguably even more so—when their fellow citizens lose confidence in the results of an election. Indeed, the same loss of faith the majority counts as injurious to candidates could be a fatal blow to the public's interest in democratic governance.</w:t>
      </w:r>
    </w:p>
    <w:p w14:paraId="7B8D1E31" w14:textId="77777777" w:rsidR="002F5E31" w:rsidRPr="00C05D6B" w:rsidRDefault="002F5E31" w:rsidP="002F5E31">
      <w:pPr>
        <w:rPr>
          <w:rFonts w:ascii="Garamond" w:hAnsi="Garamond" w:cs="Times New Roman"/>
        </w:rPr>
      </w:pPr>
    </w:p>
    <w:p w14:paraId="59A2B0C5" w14:textId="3B77BCA7" w:rsidR="002F5E31" w:rsidRPr="00C05D6B" w:rsidRDefault="002F5E31" w:rsidP="002F5E31">
      <w:pPr>
        <w:ind w:firstLine="720"/>
        <w:rPr>
          <w:rFonts w:ascii="Garamond" w:hAnsi="Garamond" w:cs="Times New Roman"/>
        </w:rPr>
      </w:pPr>
      <w:r w:rsidRPr="00C05D6B">
        <w:rPr>
          <w:rFonts w:ascii="Garamond" w:hAnsi="Garamond" w:cs="Times New Roman"/>
        </w:rPr>
        <w:t>Batting away these foundational truths, the Court finds “no occasion to theorize” about the relative significance of voters’ and candidates’ shared interest in free and fair elections.  But it is the Court's own analysis—i.e., its purported distinction between the interests of candidates and voters in fair election outcomes—that raises the comparative question, not mine.</w:t>
      </w:r>
    </w:p>
    <w:p w14:paraId="0E7E96BB" w14:textId="77777777" w:rsidR="002F5E31" w:rsidRPr="00C05D6B" w:rsidRDefault="002F5E31" w:rsidP="000B38A4">
      <w:pPr>
        <w:ind w:firstLine="720"/>
        <w:rPr>
          <w:rFonts w:ascii="Garamond" w:hAnsi="Garamond" w:cs="Times New Roman"/>
        </w:rPr>
      </w:pPr>
    </w:p>
    <w:p w14:paraId="51646C07" w14:textId="52203B0E" w:rsidR="002F5E31" w:rsidRPr="00C05D6B" w:rsidRDefault="002F5E31" w:rsidP="000B38A4">
      <w:pPr>
        <w:ind w:firstLine="720"/>
        <w:rPr>
          <w:rFonts w:ascii="Garamond" w:hAnsi="Garamond" w:cs="Times New Roman"/>
        </w:rPr>
      </w:pPr>
      <w:r w:rsidRPr="00C05D6B">
        <w:rPr>
          <w:rFonts w:ascii="Garamond" w:hAnsi="Garamond" w:cs="Times New Roman"/>
        </w:rPr>
        <w:t>In any event, I agree that we need not “theorize” about the significance of these interests, for one thing is indisputably clear: Our democracy was founded on the “self-evident” truth that a government is legitimate only insofar as it derives its “just powers from the consent of the governed.” Candidates come and go, but the voters’ collective interest in the “right to elect legislators in a free and unimpaired fashion” is enduring and indispensable.  Against this the Court’s effort to isolate and elevate a candidate’s “distinct” interest in electoral integrity, falls flat.</w:t>
      </w:r>
    </w:p>
    <w:p w14:paraId="45245859" w14:textId="77777777" w:rsidR="002F5E31" w:rsidRPr="00C05D6B" w:rsidRDefault="002F5E31" w:rsidP="002F5E31">
      <w:pPr>
        <w:rPr>
          <w:rFonts w:ascii="Garamond" w:hAnsi="Garamond" w:cs="Times New Roman"/>
        </w:rPr>
      </w:pPr>
    </w:p>
    <w:p w14:paraId="1491290E" w14:textId="648EBF15" w:rsidR="002F5E31" w:rsidRPr="00C05D6B" w:rsidRDefault="002F5E31" w:rsidP="002F5E31">
      <w:pPr>
        <w:ind w:firstLine="720"/>
        <w:rPr>
          <w:rFonts w:ascii="Garamond" w:hAnsi="Garamond" w:cs="Times New Roman"/>
        </w:rPr>
      </w:pPr>
      <w:r w:rsidRPr="00C05D6B">
        <w:rPr>
          <w:rFonts w:ascii="Garamond" w:hAnsi="Garamond" w:cs="Times New Roman"/>
        </w:rPr>
        <w:t>For today’s standing purposes, the key realization is that, in a democracy, the (existential) interest in fair and accurate elections is common to all members of the voting public. I acknowledge that “[t]hose who spend untold time and resources seeking to claim the right to voice the will of the people,” —candidates—have a particularized interest in getting the job. That is precisely why candidates do have Article III standing if an unlawful election rule creates a substantial risk of harm to that interest (the risk of an election loss). But when what is at stake is the overall fairness of the electoral process, it is the people’s shared interest in democracy itself (and not just the candidate's job prospects) that hangs in the balance.</w:t>
      </w:r>
    </w:p>
    <w:p w14:paraId="428A3C67" w14:textId="77777777" w:rsidR="002F5E31" w:rsidRPr="00C05D6B" w:rsidRDefault="002F5E31" w:rsidP="000B38A4">
      <w:pPr>
        <w:ind w:firstLine="720"/>
        <w:rPr>
          <w:rFonts w:ascii="Garamond" w:hAnsi="Garamond" w:cs="Times New Roman"/>
        </w:rPr>
      </w:pPr>
    </w:p>
    <w:p w14:paraId="1FE0AFC4" w14:textId="0D06E92A" w:rsidR="002F5E31" w:rsidRPr="00C05D6B" w:rsidRDefault="002F5E31" w:rsidP="000B38A4">
      <w:pPr>
        <w:ind w:firstLine="720"/>
        <w:rPr>
          <w:rFonts w:ascii="Garamond" w:hAnsi="Garamond" w:cs="Times New Roman"/>
        </w:rPr>
      </w:pPr>
      <w:r w:rsidRPr="00C05D6B">
        <w:rPr>
          <w:rFonts w:ascii="Garamond" w:hAnsi="Garamond" w:cs="Times New Roman"/>
        </w:rPr>
        <w:t xml:space="preserve">The Court’s standing analysis elides all this by employing the commonsense intuition that, “[w]in or lose, candidates suffer when the process departs from the law.”  But how is that a particularized injury? Anyone and everyone who is governed by law is similarly harmed by any departure from the law’s requirements. Moreover, this Court has repeatedly instructed that litigants “may not sue based only on an ‘asserted right to have the Government act in accordance with law.’” </w:t>
      </w:r>
    </w:p>
    <w:p w14:paraId="09C3B617" w14:textId="7F785D2C" w:rsidR="002F5E31" w:rsidRPr="00C05D6B" w:rsidRDefault="002F5E31" w:rsidP="002F5E31">
      <w:pPr>
        <w:rPr>
          <w:rFonts w:ascii="Garamond" w:hAnsi="Garamond" w:cs="Times New Roman"/>
        </w:rPr>
      </w:pPr>
      <w:r w:rsidRPr="00C05D6B">
        <w:rPr>
          <w:rFonts w:ascii="Garamond" w:hAnsi="Garamond" w:cs="Times New Roman"/>
        </w:rPr>
        <w:t xml:space="preserve">Here, the generalized nature of the “fair process” harm is indisputable: If Illinois’s vote-count rule is unlawful, all participants in the electoral process—not only candidates for office but also every voter who has cast a ballot in the election—would be deprived “of a fair process and an accurate result.”  But, as this Court has time and again explained, such an assertion of injury “amount[s] to little more than [an] </w:t>
      </w:r>
      <w:proofErr w:type="spellStart"/>
      <w:r w:rsidRPr="00C05D6B">
        <w:rPr>
          <w:rFonts w:ascii="Garamond" w:hAnsi="Garamond" w:cs="Times New Roman"/>
        </w:rPr>
        <w:t>attemp</w:t>
      </w:r>
      <w:proofErr w:type="spellEnd"/>
      <w:r w:rsidRPr="00C05D6B">
        <w:rPr>
          <w:rFonts w:ascii="Garamond" w:hAnsi="Garamond" w:cs="Times New Roman"/>
        </w:rPr>
        <w:t xml:space="preserve">[t] ‘to employ a federal court as a forum in which to air . . . generalized grievances about the conduct of government.” </w:t>
      </w:r>
    </w:p>
    <w:p w14:paraId="6545F047" w14:textId="77777777" w:rsidR="002F5E31" w:rsidRPr="00C05D6B" w:rsidRDefault="002F5E31" w:rsidP="002F5E31">
      <w:pPr>
        <w:rPr>
          <w:rFonts w:ascii="Garamond" w:hAnsi="Garamond" w:cs="Times New Roman"/>
        </w:rPr>
      </w:pPr>
    </w:p>
    <w:p w14:paraId="342D5990" w14:textId="77777777" w:rsidR="002F5E31" w:rsidRPr="00C05D6B" w:rsidRDefault="002F5E31" w:rsidP="000B38A4">
      <w:pPr>
        <w:ind w:firstLine="720"/>
        <w:rPr>
          <w:rFonts w:ascii="Garamond" w:hAnsi="Garamond" w:cs="Times New Roman"/>
        </w:rPr>
      </w:pPr>
      <w:r w:rsidRPr="00C05D6B">
        <w:rPr>
          <w:rFonts w:ascii="Garamond" w:hAnsi="Garamond" w:cs="Times New Roman"/>
        </w:rPr>
        <w:lastRenderedPageBreak/>
        <w:t xml:space="preserve">Indeed, our standing precedents make crystal clear that, absent a showing of particularized harm, these sorts of fair-process grievances must be resolved through the political branches. For it is in those branches “where democratic debate can occur and a wide variety of interests and views can be weighed.” </w:t>
      </w:r>
    </w:p>
    <w:p w14:paraId="18450991" w14:textId="77777777" w:rsidR="006D27AB" w:rsidRPr="00C05D6B" w:rsidRDefault="006D27AB" w:rsidP="000B38A4">
      <w:pPr>
        <w:ind w:firstLine="720"/>
        <w:rPr>
          <w:rFonts w:ascii="Garamond" w:hAnsi="Garamond" w:cs="Times New Roman"/>
        </w:rPr>
      </w:pPr>
    </w:p>
    <w:p w14:paraId="4AD1AE8C" w14:textId="2FF41F19" w:rsidR="002F5E31" w:rsidRPr="00C05D6B" w:rsidRDefault="002F5E31" w:rsidP="002F5E31">
      <w:pPr>
        <w:ind w:firstLine="720"/>
        <w:rPr>
          <w:rFonts w:ascii="Garamond" w:hAnsi="Garamond" w:cs="Times New Roman"/>
        </w:rPr>
      </w:pPr>
      <w:r w:rsidRPr="00C05D6B">
        <w:rPr>
          <w:rFonts w:ascii="Garamond" w:hAnsi="Garamond" w:cs="Times New Roman"/>
        </w:rPr>
        <w:t>Alarmingly, today’s ruling also has far-reaching implications beyond Bost's election, since dispensing with our usual standing requirements opens the floodgates to exactly the type of troubling election-related litigation the Court purportedly wants to avoid. For example, under the Court’s new harm-free candidate-standing rule, an electoral candidate who loses in a landslide can apparently still file a disruptive legal action in federal court after the election is over. All he must do is assert that an election rule somehow deprived him of a fair process—even if that rule played no role in the election's outcome or otherwise caused him harm. That possibility is especially concerning given the host of election-related regulations that States must promulgate when exercising their constitutional duty to set the “Times, Places, and Manner of holding Elections.” Art. I, § 4, cl. 1. States regulate everything from a ballot's chain of custody to its format—all of which the majority would permit candidates to challenge in court without offering any theory of how such rules harm them personally.</w:t>
      </w:r>
    </w:p>
    <w:p w14:paraId="3F3AEDC6" w14:textId="77777777" w:rsidR="002F5E31" w:rsidRPr="00C05D6B" w:rsidRDefault="002F5E31" w:rsidP="000B38A4">
      <w:pPr>
        <w:ind w:firstLine="720"/>
        <w:rPr>
          <w:rFonts w:ascii="Garamond" w:hAnsi="Garamond" w:cs="Times New Roman"/>
        </w:rPr>
      </w:pPr>
    </w:p>
    <w:p w14:paraId="69220467" w14:textId="77777777" w:rsidR="002F5E31" w:rsidRPr="00C05D6B" w:rsidRDefault="002F5E31" w:rsidP="000B38A4">
      <w:pPr>
        <w:ind w:firstLine="720"/>
        <w:rPr>
          <w:rFonts w:ascii="Garamond" w:hAnsi="Garamond" w:cs="Times New Roman"/>
        </w:rPr>
      </w:pPr>
      <w:r w:rsidRPr="00C05D6B">
        <w:rPr>
          <w:rFonts w:ascii="Garamond" w:hAnsi="Garamond" w:cs="Times New Roman"/>
        </w:rPr>
        <w:t xml:space="preserve">I am all for simplifying our standing law. But I am against doing so selectively; either Article III standing requires an actual or imminent injury in fact that is particularized to the plaintiff, or it does not. Bost has plainly failed to allege facts that support an inference of standing under our established precedents. By carving out a bespoke rule for candidate-plaintiffs—granting them standing “to challenge the rules that govern the counting of votes,” simply and solely because they are “candidate[s]” for office, the Court now complicates and destabilizes both our standing law and America's electoral processes. </w:t>
      </w:r>
    </w:p>
    <w:p w14:paraId="30B5C793" w14:textId="590FD190" w:rsidR="002F5E31" w:rsidRPr="00C05D6B" w:rsidRDefault="002F5E31" w:rsidP="000B38A4">
      <w:pPr>
        <w:rPr>
          <w:rFonts w:ascii="Garamond" w:hAnsi="Garamond" w:cs="Times New Roman"/>
        </w:rPr>
      </w:pPr>
    </w:p>
    <w:p w14:paraId="22B49974" w14:textId="19E79EC8" w:rsidR="00BA7FE1" w:rsidRPr="00C05D6B" w:rsidRDefault="00BA7FE1" w:rsidP="00BA7FE1">
      <w:pPr>
        <w:ind w:left="720"/>
        <w:rPr>
          <w:rFonts w:ascii="Garamond" w:hAnsi="Garamond" w:cs="Times New Roman"/>
          <w:b/>
          <w:bCs/>
        </w:rPr>
      </w:pPr>
      <w:r w:rsidRPr="00C05D6B">
        <w:rPr>
          <w:rFonts w:ascii="Garamond" w:hAnsi="Garamond" w:cs="Times New Roman"/>
          <w:b/>
          <w:bCs/>
        </w:rPr>
        <w:t>5.</w:t>
      </w:r>
      <w:r w:rsidRPr="00C05D6B">
        <w:rPr>
          <w:rFonts w:ascii="Garamond" w:hAnsi="Garamond" w:cs="Times New Roman"/>
          <w:b/>
          <w:bCs/>
        </w:rPr>
        <w:tab/>
        <w:t>Governmental Standing</w:t>
      </w:r>
    </w:p>
    <w:p w14:paraId="03FDB4D1" w14:textId="77777777" w:rsidR="00BA7FE1" w:rsidRPr="00C05D6B" w:rsidRDefault="00BA7FE1" w:rsidP="003125BF">
      <w:pPr>
        <w:rPr>
          <w:rFonts w:ascii="Garamond" w:hAnsi="Garamond" w:cs="Times New Roman"/>
          <w:b/>
          <w:bCs/>
        </w:rPr>
      </w:pPr>
    </w:p>
    <w:p w14:paraId="70A5D467" w14:textId="0A8B7282" w:rsidR="003125BF" w:rsidRPr="00C05D6B" w:rsidRDefault="003125BF" w:rsidP="003125BF">
      <w:pPr>
        <w:rPr>
          <w:rFonts w:ascii="Garamond" w:hAnsi="Garamond" w:cs="Times New Roman"/>
          <w:b/>
          <w:bCs/>
        </w:rPr>
      </w:pPr>
      <w:r w:rsidRPr="00C05D6B">
        <w:rPr>
          <w:rFonts w:ascii="Garamond" w:hAnsi="Garamond" w:cs="Times New Roman"/>
          <w:b/>
          <w:bCs/>
        </w:rPr>
        <w:t>(CB, p. 286, at the end of the second full paragraph)</w:t>
      </w:r>
    </w:p>
    <w:p w14:paraId="24D26F80" w14:textId="77777777" w:rsidR="003125BF" w:rsidRPr="00C05D6B" w:rsidRDefault="003125BF" w:rsidP="003125BF">
      <w:pPr>
        <w:rPr>
          <w:rFonts w:ascii="Garamond" w:hAnsi="Garamond" w:cs="Times New Roman"/>
        </w:rPr>
      </w:pPr>
    </w:p>
    <w:p w14:paraId="380C538C" w14:textId="35048475" w:rsidR="003125BF" w:rsidRPr="00C05D6B" w:rsidRDefault="003125BF" w:rsidP="003125BF">
      <w:pPr>
        <w:rPr>
          <w:rFonts w:ascii="Garamond" w:hAnsi="Garamond" w:cs="Times New Roman"/>
        </w:rPr>
      </w:pPr>
      <w:r w:rsidRPr="00C05D6B">
        <w:rPr>
          <w:rFonts w:ascii="Garamond" w:hAnsi="Garamond" w:cs="Times New Roman"/>
        </w:rPr>
        <w:tab/>
        <w:t xml:space="preserve">After </w:t>
      </w:r>
      <w:r w:rsidRPr="00C05D6B">
        <w:rPr>
          <w:rFonts w:ascii="Garamond" w:hAnsi="Garamond" w:cs="Times New Roman"/>
          <w:i/>
          <w:iCs/>
        </w:rPr>
        <w:t>Massachusetts v. EPA</w:t>
      </w:r>
      <w:r w:rsidRPr="00C05D6B">
        <w:rPr>
          <w:rFonts w:ascii="Garamond" w:hAnsi="Garamond" w:cs="Times New Roman"/>
        </w:rPr>
        <w:t xml:space="preserve">, the Court reaffirmed </w:t>
      </w:r>
      <w:r w:rsidRPr="00C05D6B">
        <w:rPr>
          <w:rFonts w:ascii="Garamond" w:hAnsi="Garamond" w:cs="Times New Roman"/>
          <w:i/>
          <w:iCs/>
        </w:rPr>
        <w:t>Mellon</w:t>
      </w:r>
      <w:r w:rsidR="00C61DAD" w:rsidRPr="00C05D6B">
        <w:rPr>
          <w:rFonts w:ascii="Garamond" w:hAnsi="Garamond" w:cs="Times New Roman"/>
        </w:rPr>
        <w:t>’</w:t>
      </w:r>
      <w:r w:rsidRPr="00C05D6B">
        <w:rPr>
          <w:rFonts w:ascii="Garamond" w:hAnsi="Garamond" w:cs="Times New Roman"/>
        </w:rPr>
        <w:t xml:space="preserve">s bar on state </w:t>
      </w:r>
      <w:proofErr w:type="spellStart"/>
      <w:r w:rsidRPr="00C05D6B">
        <w:rPr>
          <w:rFonts w:ascii="Garamond" w:hAnsi="Garamond" w:cs="Times New Roman"/>
          <w:i/>
          <w:iCs/>
        </w:rPr>
        <w:t>parens</w:t>
      </w:r>
      <w:proofErr w:type="spellEnd"/>
      <w:r w:rsidRPr="00C05D6B">
        <w:rPr>
          <w:rFonts w:ascii="Garamond" w:hAnsi="Garamond" w:cs="Times New Roman"/>
          <w:i/>
          <w:iCs/>
        </w:rPr>
        <w:t xml:space="preserve"> patriae </w:t>
      </w:r>
      <w:r w:rsidRPr="00C05D6B">
        <w:rPr>
          <w:rFonts w:ascii="Garamond" w:hAnsi="Garamond" w:cs="Times New Roman"/>
        </w:rPr>
        <w:t xml:space="preserve">suits against the federal government. See </w:t>
      </w:r>
      <w:proofErr w:type="spellStart"/>
      <w:r w:rsidRPr="00C05D6B">
        <w:rPr>
          <w:rFonts w:ascii="Garamond" w:hAnsi="Garamond" w:cs="Times New Roman"/>
        </w:rPr>
        <w:t>Haaland</w:t>
      </w:r>
      <w:proofErr w:type="spellEnd"/>
      <w:r w:rsidRPr="00C05D6B">
        <w:rPr>
          <w:rFonts w:ascii="Garamond" w:hAnsi="Garamond" w:cs="Times New Roman"/>
        </w:rPr>
        <w:t xml:space="preserve"> v. </w:t>
      </w:r>
      <w:proofErr w:type="spellStart"/>
      <w:r w:rsidRPr="00C05D6B">
        <w:rPr>
          <w:rFonts w:ascii="Garamond" w:hAnsi="Garamond" w:cs="Times New Roman"/>
        </w:rPr>
        <w:t>Brackeen</w:t>
      </w:r>
      <w:proofErr w:type="spellEnd"/>
      <w:r w:rsidR="00074968" w:rsidRPr="00C05D6B">
        <w:rPr>
          <w:rFonts w:ascii="Garamond" w:hAnsi="Garamond" w:cs="Times New Roman"/>
        </w:rPr>
        <w:fldChar w:fldCharType="begin"/>
      </w:r>
      <w:r w:rsidR="00074968" w:rsidRPr="00C05D6B">
        <w:rPr>
          <w:rFonts w:ascii="Garamond" w:hAnsi="Garamond"/>
        </w:rPr>
        <w:instrText xml:space="preserve"> TA \l "</w:instrText>
      </w:r>
      <w:r w:rsidR="00074968" w:rsidRPr="00C05D6B">
        <w:rPr>
          <w:rFonts w:ascii="Garamond" w:hAnsi="Garamond" w:cs="Times New Roman"/>
        </w:rPr>
        <w:instrText>Haaland v. Brackeen</w:instrText>
      </w:r>
      <w:r w:rsidR="00074968" w:rsidRPr="00C05D6B">
        <w:rPr>
          <w:rFonts w:ascii="Garamond" w:hAnsi="Garamond"/>
        </w:rPr>
        <w:instrText xml:space="preserve">" \s "Haaland v. Brackeen" \c 1 </w:instrText>
      </w:r>
      <w:r w:rsidR="00074968" w:rsidRPr="00C05D6B">
        <w:rPr>
          <w:rFonts w:ascii="Garamond" w:hAnsi="Garamond" w:cs="Times New Roman"/>
        </w:rPr>
        <w:fldChar w:fldCharType="end"/>
      </w:r>
      <w:r w:rsidRPr="00C05D6B">
        <w:rPr>
          <w:rFonts w:ascii="Garamond" w:hAnsi="Garamond" w:cs="Times New Roman"/>
        </w:rPr>
        <w:t xml:space="preserve"> (2023) (</w:t>
      </w:r>
      <w:r w:rsidR="00055511" w:rsidRPr="00C05D6B">
        <w:rPr>
          <w:rFonts w:ascii="Garamond" w:hAnsi="Garamond" w:cs="Times New Roman"/>
        </w:rPr>
        <w:t xml:space="preserve">holding that </w:t>
      </w:r>
      <w:r w:rsidR="006D79DB" w:rsidRPr="00C05D6B">
        <w:rPr>
          <w:rFonts w:ascii="Garamond" w:hAnsi="Garamond" w:cs="Times New Roman"/>
        </w:rPr>
        <w:t>Texas “ha</w:t>
      </w:r>
      <w:r w:rsidR="00055511" w:rsidRPr="00C05D6B">
        <w:rPr>
          <w:rFonts w:ascii="Garamond" w:hAnsi="Garamond" w:cs="Times New Roman"/>
        </w:rPr>
        <w:t>[d]</w:t>
      </w:r>
      <w:r w:rsidR="006D79DB" w:rsidRPr="00C05D6B">
        <w:rPr>
          <w:rFonts w:ascii="Garamond" w:hAnsi="Garamond" w:cs="Times New Roman"/>
        </w:rPr>
        <w:t xml:space="preserve"> no equal protection rights of its own” to assert against the family protection provisions of the Indian Child Welfare Act, and </w:t>
      </w:r>
      <w:r w:rsidR="00055511" w:rsidRPr="00C05D6B">
        <w:rPr>
          <w:rFonts w:ascii="Garamond" w:hAnsi="Garamond" w:cs="Times New Roman"/>
        </w:rPr>
        <w:t xml:space="preserve">that </w:t>
      </w:r>
      <w:r w:rsidR="006D79DB" w:rsidRPr="00C05D6B">
        <w:rPr>
          <w:rFonts w:ascii="Garamond" w:hAnsi="Garamond" w:cs="Times New Roman"/>
        </w:rPr>
        <w:t xml:space="preserve">a state does not, on behalf of the rights of its citizens, “have standing as </w:t>
      </w:r>
      <w:proofErr w:type="spellStart"/>
      <w:r w:rsidR="006D79DB" w:rsidRPr="00C05D6B">
        <w:rPr>
          <w:rFonts w:ascii="Garamond" w:hAnsi="Garamond" w:cs="Times New Roman"/>
          <w:i/>
          <w:iCs/>
        </w:rPr>
        <w:t>parens</w:t>
      </w:r>
      <w:proofErr w:type="spellEnd"/>
      <w:r w:rsidR="006D79DB" w:rsidRPr="00C05D6B">
        <w:rPr>
          <w:rFonts w:ascii="Garamond" w:hAnsi="Garamond" w:cs="Times New Roman"/>
          <w:i/>
          <w:iCs/>
        </w:rPr>
        <w:t xml:space="preserve"> patriae</w:t>
      </w:r>
      <w:r w:rsidR="006D79DB" w:rsidRPr="00C05D6B">
        <w:rPr>
          <w:rFonts w:ascii="Garamond" w:hAnsi="Garamond" w:cs="Times New Roman"/>
        </w:rPr>
        <w:t xml:space="preserve"> to bring an action against the Federal Government”</w:t>
      </w:r>
      <w:r w:rsidRPr="00C05D6B">
        <w:rPr>
          <w:rFonts w:ascii="Garamond" w:hAnsi="Garamond" w:cs="Times New Roman"/>
        </w:rPr>
        <w:t>). This bar on state standing does not extend, however, to a suit in which a state seeks to redress an injury to itself arising from federal agency action. Thus, in Biden v. Nebraska</w:t>
      </w:r>
      <w:r w:rsidR="00074968" w:rsidRPr="00C05D6B">
        <w:rPr>
          <w:rFonts w:ascii="Garamond" w:hAnsi="Garamond" w:cs="Times New Roman"/>
        </w:rPr>
        <w:fldChar w:fldCharType="begin"/>
      </w:r>
      <w:r w:rsidR="00074968" w:rsidRPr="00C05D6B">
        <w:rPr>
          <w:rFonts w:ascii="Garamond" w:hAnsi="Garamond"/>
        </w:rPr>
        <w:instrText xml:space="preserve"> TA \l "</w:instrText>
      </w:r>
      <w:r w:rsidR="00074968" w:rsidRPr="00C05D6B">
        <w:rPr>
          <w:rFonts w:ascii="Garamond" w:hAnsi="Garamond" w:cs="Times New Roman"/>
        </w:rPr>
        <w:instrText>Biden v. Nebraska</w:instrText>
      </w:r>
      <w:r w:rsidR="00074968" w:rsidRPr="00C05D6B">
        <w:rPr>
          <w:rFonts w:ascii="Garamond" w:hAnsi="Garamond"/>
        </w:rPr>
        <w:instrText xml:space="preserve">" \s "Biden v. Nebraska" \c 1 </w:instrText>
      </w:r>
      <w:r w:rsidR="00074968" w:rsidRPr="00C05D6B">
        <w:rPr>
          <w:rFonts w:ascii="Garamond" w:hAnsi="Garamond" w:cs="Times New Roman"/>
        </w:rPr>
        <w:fldChar w:fldCharType="end"/>
      </w:r>
      <w:r w:rsidRPr="00C05D6B">
        <w:rPr>
          <w:rFonts w:ascii="Garamond" w:hAnsi="Garamond" w:cs="Times New Roman"/>
        </w:rPr>
        <w:t xml:space="preserve"> (2023), the Court held that a state had standing to challenge a federal administrative loan-forgiveness program based upon alleged financial injuries to a nonprofit government corporation that provided student loans. The Court rejected the dissenting </w:t>
      </w:r>
      <w:r w:rsidR="00055511" w:rsidRPr="00C05D6B">
        <w:rPr>
          <w:rFonts w:ascii="Garamond" w:hAnsi="Garamond" w:cs="Times New Roman"/>
        </w:rPr>
        <w:t>j</w:t>
      </w:r>
      <w:r w:rsidRPr="00C05D6B">
        <w:rPr>
          <w:rFonts w:ascii="Garamond" w:hAnsi="Garamond" w:cs="Times New Roman"/>
        </w:rPr>
        <w:t>ustices</w:t>
      </w:r>
      <w:r w:rsidR="00055511" w:rsidRPr="00C05D6B">
        <w:rPr>
          <w:rFonts w:ascii="Garamond" w:hAnsi="Garamond" w:cs="Times New Roman"/>
        </w:rPr>
        <w:t>’</w:t>
      </w:r>
      <w:r w:rsidRPr="00C05D6B">
        <w:rPr>
          <w:rFonts w:ascii="Garamond" w:hAnsi="Garamond" w:cs="Times New Roman"/>
        </w:rPr>
        <w:t xml:space="preserve"> argument that the state lacked standing to sue based upon injuries to the nonprofit corporation, which had its own legal personality, was financially independen</w:t>
      </w:r>
      <w:r w:rsidR="00556A96" w:rsidRPr="00C05D6B">
        <w:rPr>
          <w:rFonts w:ascii="Garamond" w:hAnsi="Garamond" w:cs="Times New Roman"/>
        </w:rPr>
        <w:t>t</w:t>
      </w:r>
      <w:r w:rsidRPr="00C05D6B">
        <w:rPr>
          <w:rFonts w:ascii="Garamond" w:hAnsi="Garamond" w:cs="Times New Roman"/>
        </w:rPr>
        <w:t xml:space="preserve"> from the state, and was not participating in the suit. </w:t>
      </w:r>
      <w:r w:rsidR="006D79DB" w:rsidRPr="00C05D6B">
        <w:rPr>
          <w:rFonts w:ascii="Garamond" w:hAnsi="Garamond" w:cs="Times New Roman"/>
        </w:rPr>
        <w:t>The</w:t>
      </w:r>
      <w:r w:rsidRPr="00C05D6B">
        <w:rPr>
          <w:rFonts w:ascii="Garamond" w:hAnsi="Garamond" w:cs="Times New Roman"/>
        </w:rPr>
        <w:t xml:space="preserve"> nonprofit corporation was an instrumentality of the state, making an injury to it an injury to the state for standing purposes. </w:t>
      </w:r>
    </w:p>
    <w:p w14:paraId="4BEDF7BA" w14:textId="77777777" w:rsidR="003125BF" w:rsidRPr="00C05D6B" w:rsidRDefault="003125BF" w:rsidP="003125BF">
      <w:pPr>
        <w:rPr>
          <w:rFonts w:ascii="Garamond" w:hAnsi="Garamond" w:cs="Times New Roman"/>
        </w:rPr>
      </w:pPr>
    </w:p>
    <w:p w14:paraId="53DAE1A3" w14:textId="77777777" w:rsidR="006D27AB" w:rsidRPr="00C05D6B" w:rsidRDefault="006D27AB" w:rsidP="003125BF">
      <w:pPr>
        <w:rPr>
          <w:rFonts w:ascii="Garamond" w:hAnsi="Garamond" w:cs="Times New Roman"/>
          <w:b/>
          <w:bCs/>
        </w:rPr>
      </w:pPr>
    </w:p>
    <w:p w14:paraId="4CD68D5F" w14:textId="77777777" w:rsidR="006D27AB" w:rsidRPr="00C05D6B" w:rsidRDefault="006D27AB" w:rsidP="003125BF">
      <w:pPr>
        <w:rPr>
          <w:rFonts w:ascii="Garamond" w:hAnsi="Garamond" w:cs="Times New Roman"/>
          <w:b/>
          <w:bCs/>
        </w:rPr>
      </w:pPr>
    </w:p>
    <w:p w14:paraId="677DD8F5" w14:textId="77777777" w:rsidR="006D27AB" w:rsidRPr="00C05D6B" w:rsidRDefault="006D27AB" w:rsidP="003125BF">
      <w:pPr>
        <w:rPr>
          <w:rFonts w:ascii="Garamond" w:hAnsi="Garamond" w:cs="Times New Roman"/>
          <w:b/>
          <w:bCs/>
        </w:rPr>
      </w:pPr>
    </w:p>
    <w:p w14:paraId="2F9D758A" w14:textId="77777777" w:rsidR="006D27AB" w:rsidRPr="00C05D6B" w:rsidRDefault="006D27AB" w:rsidP="003125BF">
      <w:pPr>
        <w:rPr>
          <w:rFonts w:ascii="Garamond" w:hAnsi="Garamond" w:cs="Times New Roman"/>
          <w:b/>
          <w:bCs/>
        </w:rPr>
      </w:pPr>
    </w:p>
    <w:p w14:paraId="03457A8F" w14:textId="61F92F6E" w:rsidR="003125BF" w:rsidRPr="00C05D6B" w:rsidRDefault="003125BF" w:rsidP="003125BF">
      <w:pPr>
        <w:rPr>
          <w:rFonts w:ascii="Garamond" w:hAnsi="Garamond" w:cs="Times New Roman"/>
          <w:b/>
          <w:bCs/>
        </w:rPr>
      </w:pPr>
      <w:r w:rsidRPr="00C05D6B">
        <w:rPr>
          <w:rFonts w:ascii="Garamond" w:hAnsi="Garamond" w:cs="Times New Roman"/>
          <w:b/>
          <w:bCs/>
        </w:rPr>
        <w:lastRenderedPageBreak/>
        <w:t xml:space="preserve">(CB, p. 287, after carryover paragraph) </w:t>
      </w:r>
    </w:p>
    <w:p w14:paraId="1B7B6737" w14:textId="10A78907" w:rsidR="003125BF" w:rsidRPr="00C05D6B" w:rsidRDefault="003125BF" w:rsidP="002E331E">
      <w:pPr>
        <w:pStyle w:val="NormalWeb"/>
        <w:shd w:val="clear" w:color="auto" w:fill="FFFFFF"/>
        <w:spacing w:before="220"/>
        <w:ind w:firstLine="720"/>
        <w:rPr>
          <w:rFonts w:ascii="Garamond" w:hAnsi="Garamond"/>
        </w:rPr>
      </w:pPr>
      <w:r w:rsidRPr="00C05D6B">
        <w:rPr>
          <w:rFonts w:ascii="Garamond" w:hAnsi="Garamond"/>
        </w:rPr>
        <w:t xml:space="preserve">The Court has continued its pattern of not citing </w:t>
      </w:r>
      <w:r w:rsidRPr="00C05D6B">
        <w:rPr>
          <w:rFonts w:ascii="Garamond" w:hAnsi="Garamond"/>
          <w:i/>
          <w:iCs/>
        </w:rPr>
        <w:t>Massachusetts v. EPA</w:t>
      </w:r>
      <w:r w:rsidRPr="00C05D6B">
        <w:rPr>
          <w:rFonts w:ascii="Garamond" w:hAnsi="Garamond"/>
        </w:rPr>
        <w:t>’s special solicitude principle in its state standing cases. In United States v. Texas</w:t>
      </w:r>
      <w:r w:rsidR="00074968" w:rsidRPr="00C05D6B">
        <w:rPr>
          <w:rFonts w:ascii="Garamond" w:hAnsi="Garamond"/>
        </w:rPr>
        <w:fldChar w:fldCharType="begin"/>
      </w:r>
      <w:r w:rsidR="00074968" w:rsidRPr="00C05D6B">
        <w:rPr>
          <w:rFonts w:ascii="Garamond" w:hAnsi="Garamond"/>
        </w:rPr>
        <w:instrText xml:space="preserve"> TA \l "United States v. Texas" \s "United States v. Texas" \c 1 </w:instrText>
      </w:r>
      <w:r w:rsidR="00074968" w:rsidRPr="00C05D6B">
        <w:rPr>
          <w:rFonts w:ascii="Garamond" w:hAnsi="Garamond"/>
        </w:rPr>
        <w:fldChar w:fldCharType="end"/>
      </w:r>
      <w:r w:rsidRPr="00C05D6B">
        <w:rPr>
          <w:rFonts w:ascii="Garamond" w:hAnsi="Garamond"/>
        </w:rPr>
        <w:t xml:space="preserve"> (2023), the Court held that two states lacked standing to challenge the Secretary of Homeland Security’s guidelines about the enforcement of the federal immigration laws against noncitizens, concluding that they lacked standing because they were not facing an enforcement action or threatened with one. In so doing, the Court reaffirmed the holding of Linda R.S. v. Richard D.</w:t>
      </w:r>
      <w:r w:rsidR="00074968" w:rsidRPr="00C05D6B">
        <w:rPr>
          <w:rFonts w:ascii="Garamond" w:hAnsi="Garamond"/>
        </w:rPr>
        <w:fldChar w:fldCharType="begin"/>
      </w:r>
      <w:r w:rsidR="00074968" w:rsidRPr="00C05D6B">
        <w:rPr>
          <w:rFonts w:ascii="Garamond" w:hAnsi="Garamond"/>
        </w:rPr>
        <w:instrText xml:space="preserve"> TA \l "Linda R.S. v. Richard D." \s "Linda R.S. v. Richard D." \c 1 </w:instrText>
      </w:r>
      <w:r w:rsidR="00074968" w:rsidRPr="00C05D6B">
        <w:rPr>
          <w:rFonts w:ascii="Garamond" w:hAnsi="Garamond"/>
        </w:rPr>
        <w:fldChar w:fldCharType="end"/>
      </w:r>
      <w:r w:rsidRPr="00C05D6B">
        <w:rPr>
          <w:rFonts w:ascii="Garamond" w:hAnsi="Garamond"/>
        </w:rPr>
        <w:t xml:space="preserve"> (1973) that a plaintiff who </w:t>
      </w:r>
      <w:r w:rsidR="00C61DAD" w:rsidRPr="00C05D6B">
        <w:rPr>
          <w:rFonts w:ascii="Garamond" w:hAnsi="Garamond"/>
        </w:rPr>
        <w:t>“</w:t>
      </w:r>
      <w:r w:rsidRPr="00C05D6B">
        <w:rPr>
          <w:rFonts w:ascii="Garamond" w:hAnsi="Garamond"/>
        </w:rPr>
        <w:t>is neither prosecuted nor threatened with prosecution</w:t>
      </w:r>
      <w:r w:rsidR="00C61DAD" w:rsidRPr="00C05D6B">
        <w:rPr>
          <w:rFonts w:ascii="Garamond" w:hAnsi="Garamond"/>
        </w:rPr>
        <w:t>”</w:t>
      </w:r>
      <w:r w:rsidRPr="00C05D6B">
        <w:rPr>
          <w:rFonts w:ascii="Garamond" w:hAnsi="Garamond"/>
        </w:rPr>
        <w:t xml:space="preserve"> lacks Article III standing. The Court did not address the special solicitude principle and instead emphasized that the suit raised a rare standing question: whether a federal court may order the federal executive to arrest someone. According to the Court, there was no precedent for such a suit. </w:t>
      </w:r>
      <w:r w:rsidR="00DE5CB1" w:rsidRPr="00C05D6B">
        <w:rPr>
          <w:rFonts w:ascii="Garamond" w:hAnsi="Garamond"/>
        </w:rPr>
        <w:t>“In short, this Court’s precedents and longstanding historical practice establish that the States’ suit here is not the kind redressable by a federal court,” the Court concluded.</w:t>
      </w:r>
    </w:p>
    <w:p w14:paraId="59FF9D97" w14:textId="57A54ABF" w:rsidR="00C943EC" w:rsidRPr="00C05D6B" w:rsidRDefault="003125BF" w:rsidP="00C943EC">
      <w:pPr>
        <w:pStyle w:val="NormalWeb"/>
        <w:shd w:val="clear" w:color="auto" w:fill="FFFFFF"/>
        <w:spacing w:before="220" w:beforeAutospacing="0" w:after="0" w:afterAutospacing="0"/>
        <w:ind w:firstLine="720"/>
        <w:rPr>
          <w:rFonts w:ascii="Garamond" w:hAnsi="Garamond"/>
        </w:rPr>
      </w:pPr>
      <w:r w:rsidRPr="00C05D6B">
        <w:rPr>
          <w:rFonts w:ascii="Garamond" w:hAnsi="Garamond"/>
        </w:rPr>
        <w:t xml:space="preserve">The Court illustrated the limits on both state standing and private standing in </w:t>
      </w:r>
      <w:r w:rsidR="00074968" w:rsidRPr="00C05D6B">
        <w:rPr>
          <w:rFonts w:ascii="Garamond" w:hAnsi="Garamond"/>
        </w:rPr>
        <w:fldChar w:fldCharType="begin"/>
      </w:r>
      <w:r w:rsidR="00074968" w:rsidRPr="00C05D6B">
        <w:rPr>
          <w:rFonts w:ascii="Garamond" w:hAnsi="Garamond"/>
        </w:rPr>
        <w:instrText xml:space="preserve"> TA \l "</w:instrText>
      </w:r>
      <w:r w:rsidR="00074968" w:rsidRPr="00372F61">
        <w:rPr>
          <w:rFonts w:ascii="Garamond" w:hAnsi="Garamond"/>
        </w:rPr>
        <w:instrText>Murthy v. Missouri</w:instrText>
      </w:r>
      <w:r w:rsidR="00074968" w:rsidRPr="00C05D6B">
        <w:rPr>
          <w:rFonts w:ascii="Garamond" w:hAnsi="Garamond"/>
        </w:rPr>
        <w:instrText xml:space="preserve">" \s "Murthy v. Missouri" \c 1 </w:instrText>
      </w:r>
      <w:r w:rsidR="00074968" w:rsidRPr="00C05D6B">
        <w:rPr>
          <w:rFonts w:ascii="Garamond" w:hAnsi="Garamond"/>
        </w:rPr>
        <w:fldChar w:fldCharType="end"/>
      </w:r>
      <w:r w:rsidRPr="00C05D6B">
        <w:rPr>
          <w:rFonts w:ascii="Garamond" w:hAnsi="Garamond"/>
        </w:rPr>
        <w:t>Murthy v. Missouri (2024), which involved a lawsuit alleging that executive officials and agencies coerced social media companies into censoring speech about the 2020 presidential election and COVID-19. The Court held that none of the plaintiffs had Article III standing to bring this suit. The Court reaffirmed that plaintiffs bringing constitutional claims face significant hurdles when they seek prospective relief to redress an injury that arises from independent action by third parties.</w:t>
      </w:r>
    </w:p>
    <w:p w14:paraId="16775149" w14:textId="32127043" w:rsidR="003125BF" w:rsidRPr="00C05D6B" w:rsidRDefault="003125BF" w:rsidP="00BA7FE1">
      <w:pPr>
        <w:pStyle w:val="NormalWeb"/>
        <w:shd w:val="clear" w:color="auto" w:fill="FFFFFF"/>
        <w:spacing w:after="0" w:afterAutospacing="0"/>
        <w:rPr>
          <w:rFonts w:ascii="Garamond" w:hAnsi="Garamond"/>
          <w:b/>
          <w:bCs/>
          <w:smallCaps/>
        </w:rPr>
      </w:pPr>
      <w:r w:rsidRPr="00C05D6B">
        <w:rPr>
          <w:rFonts w:ascii="Garamond" w:hAnsi="Garamond"/>
          <w:b/>
          <w:bCs/>
          <w:smallCaps/>
        </w:rPr>
        <w:t>Murthy v. Missouri</w:t>
      </w:r>
      <w:r w:rsidR="00074968" w:rsidRPr="00C05D6B">
        <w:rPr>
          <w:rFonts w:ascii="Garamond" w:hAnsi="Garamond"/>
          <w:b/>
          <w:bCs/>
          <w:smallCaps/>
        </w:rPr>
        <w:fldChar w:fldCharType="begin"/>
      </w:r>
      <w:r w:rsidR="00074968" w:rsidRPr="00C05D6B">
        <w:rPr>
          <w:rFonts w:ascii="Garamond" w:hAnsi="Garamond"/>
        </w:rPr>
        <w:instrText xml:space="preserve"> TA \s "Murthy v. Missouri" </w:instrText>
      </w:r>
      <w:r w:rsidR="00074968" w:rsidRPr="00C05D6B">
        <w:rPr>
          <w:rFonts w:ascii="Garamond" w:hAnsi="Garamond"/>
          <w:b/>
          <w:bCs/>
          <w:smallCaps/>
        </w:rPr>
        <w:fldChar w:fldCharType="end"/>
      </w:r>
    </w:p>
    <w:p w14:paraId="7A760BF9" w14:textId="2FCA6101" w:rsidR="003125BF" w:rsidRPr="00C05D6B" w:rsidRDefault="003125BF" w:rsidP="00BA7FE1">
      <w:pPr>
        <w:pStyle w:val="NormalWeb"/>
        <w:shd w:val="clear" w:color="auto" w:fill="FFFFFF"/>
        <w:spacing w:before="0" w:beforeAutospacing="0" w:after="0" w:afterAutospacing="0"/>
        <w:rPr>
          <w:rFonts w:ascii="Garamond" w:hAnsi="Garamond"/>
        </w:rPr>
      </w:pPr>
      <w:r w:rsidRPr="00C05D6B">
        <w:rPr>
          <w:rFonts w:ascii="Garamond" w:hAnsi="Garamond"/>
        </w:rPr>
        <w:t xml:space="preserve">144 S. Ct. </w:t>
      </w:r>
      <w:r w:rsidR="006F7CF5" w:rsidRPr="00C05D6B">
        <w:rPr>
          <w:rFonts w:ascii="Garamond" w:hAnsi="Garamond"/>
        </w:rPr>
        <w:t>1972</w:t>
      </w:r>
      <w:r w:rsidRPr="00C05D6B">
        <w:rPr>
          <w:rFonts w:ascii="Garamond" w:hAnsi="Garamond"/>
        </w:rPr>
        <w:t xml:space="preserve"> (2024)</w:t>
      </w:r>
    </w:p>
    <w:p w14:paraId="1DB640FA" w14:textId="77777777" w:rsidR="003125BF" w:rsidRPr="00C05D6B" w:rsidRDefault="003125BF" w:rsidP="003125BF">
      <w:pPr>
        <w:pStyle w:val="NormalWeb"/>
        <w:shd w:val="clear" w:color="auto" w:fill="FFFFFF"/>
        <w:spacing w:before="220" w:after="0"/>
        <w:rPr>
          <w:rFonts w:ascii="Garamond" w:hAnsi="Garamond"/>
        </w:rPr>
      </w:pPr>
      <w:r w:rsidRPr="00C05D6B">
        <w:rPr>
          <w:rFonts w:ascii="Garamond" w:hAnsi="Garamond"/>
        </w:rPr>
        <w:t>Justice Barrett delivered the opinion of the Court.</w:t>
      </w:r>
    </w:p>
    <w:p w14:paraId="73E7717C" w14:textId="01F82082"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During the 2020 election season and the COVID</w:t>
      </w:r>
      <w:r w:rsidR="00050125" w:rsidRPr="00C05D6B">
        <w:rPr>
          <w:rFonts w:ascii="Garamond" w:hAnsi="Garamond"/>
        </w:rPr>
        <w:t>-</w:t>
      </w:r>
      <w:r w:rsidRPr="00C05D6B">
        <w:rPr>
          <w:rFonts w:ascii="Garamond" w:hAnsi="Garamond"/>
        </w:rPr>
        <w:t>19 pandemic, social-media platforms frequently removed, demoted, or fact checked posts containing allegedly false or misleading information. At the same time, federal officials, concerned about the spread of “misinformation” on social media, communicated extensively with the platforms about their content-moderation efforts.</w:t>
      </w:r>
    </w:p>
    <w:p w14:paraId="10F9AADF"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The plaintiffs, two States and five social-media users, sued dozens of Executive Branch officials and agencies, alleging that they pressured the platforms to suppress protected speech in violation of the First Amendment. The Fifth Circuit agreed, concluding that the officials’ communications rendered them responsible for the private platforms’ moderation decisions. It then affirmed a sweeping preliminary injunction.</w:t>
      </w:r>
    </w:p>
    <w:p w14:paraId="551CD433"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The Fifth Circuit was wrong to do so. To establish standing, the plaintiffs must demonstrate a substantial risk that, in the near future, they will suffer an injury that is traceable to a Government defendant and redressable by the injunction they seek. Because no plaintiff has carried that burden, none has standing to seek a preliminary injunction.</w:t>
      </w:r>
    </w:p>
    <w:p w14:paraId="4E05824A" w14:textId="77777777" w:rsidR="003125BF" w:rsidRPr="00C05D6B" w:rsidRDefault="003125BF" w:rsidP="003125BF">
      <w:pPr>
        <w:pStyle w:val="NormalWeb"/>
        <w:shd w:val="clear" w:color="auto" w:fill="FFFFFF"/>
        <w:spacing w:before="220" w:after="0"/>
        <w:rPr>
          <w:rFonts w:ascii="Garamond" w:hAnsi="Garamond"/>
        </w:rPr>
      </w:pPr>
      <w:r w:rsidRPr="00C05D6B">
        <w:rPr>
          <w:rFonts w:ascii="Garamond" w:hAnsi="Garamond"/>
        </w:rPr>
        <w:t>I</w:t>
      </w:r>
    </w:p>
    <w:p w14:paraId="446441F3" w14:textId="2703D719"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With their billions of active users, the world</w:t>
      </w:r>
      <w:r w:rsidR="00C61DAD" w:rsidRPr="00C05D6B">
        <w:rPr>
          <w:rFonts w:ascii="Garamond" w:hAnsi="Garamond"/>
        </w:rPr>
        <w:t>’</w:t>
      </w:r>
      <w:r w:rsidRPr="00C05D6B">
        <w:rPr>
          <w:rFonts w:ascii="Garamond" w:hAnsi="Garamond"/>
        </w:rPr>
        <w:t xml:space="preserve">s major social-media companies host a “staggering” amount of content on their platforms. Yet for many of these companies, including </w:t>
      </w:r>
      <w:r w:rsidRPr="00C05D6B">
        <w:rPr>
          <w:rFonts w:ascii="Garamond" w:hAnsi="Garamond"/>
        </w:rPr>
        <w:lastRenderedPageBreak/>
        <w:t>Facebook, Twitter, and YouTube, not everything goes. Under their longstanding content-moderation policies, the platforms have taken a range of actions to suppress certain categories of speech. They place warning labels on some posts, while deleting others. They also “demote” content so that it is less visible to other users. And they may suspend or ban users who frequently post content that violates platform policies.</w:t>
      </w:r>
    </w:p>
    <w:p w14:paraId="5542E4C9"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For years, the platforms have targeted speech they judge to be false or misleading. For instance, in 2016, Facebook began fact checking and demoting posts containing misleading claims about elections. Since 2018, Facebook has removed health-related misinformation, including false claims about a measles outbreak in Samoa and the polio vaccine in Pakistan. Likewise, in 2019, YouTube announced that it would “demonetize” channels that promote anti-vaccine messages.</w:t>
      </w:r>
    </w:p>
    <w:p w14:paraId="024FE73D" w14:textId="3DCFCD09"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In 2020, with the outbreak of COVID</w:t>
      </w:r>
      <w:r w:rsidR="00050125" w:rsidRPr="00C05D6B">
        <w:rPr>
          <w:rFonts w:ascii="Garamond" w:hAnsi="Garamond"/>
        </w:rPr>
        <w:t>-</w:t>
      </w:r>
      <w:r w:rsidRPr="00C05D6B">
        <w:rPr>
          <w:rFonts w:ascii="Garamond" w:hAnsi="Garamond"/>
        </w:rPr>
        <w:t>19, the platforms announced that they would enforce their policies against users who post false or misleading content about the pandemic. As early as January 2020, Facebook deleted posts it deemed false regarding “cures,” “treatments,” and the effect of “physical distancing.” And it demoted posts containing what it described as “conspiracy theories about the origin of the virus.” Twitter and YouTube began applying their policies in March and May 2020, respectively. Throughout the pandemic, the platforms removed or reduced posts questioning the efficacy and safety of mask wearing and the COVID</w:t>
      </w:r>
      <w:r w:rsidR="00050125" w:rsidRPr="00C05D6B">
        <w:rPr>
          <w:rFonts w:ascii="Garamond" w:hAnsi="Garamond"/>
        </w:rPr>
        <w:t>-</w:t>
      </w:r>
      <w:r w:rsidRPr="00C05D6B">
        <w:rPr>
          <w:rFonts w:ascii="Garamond" w:hAnsi="Garamond"/>
        </w:rPr>
        <w:t>19 vaccine, along with posts on related topics.</w:t>
      </w:r>
    </w:p>
    <w:p w14:paraId="4E66B812" w14:textId="73F03DE6"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The platforms also applied their misinformation policies during the 2020 Presidential election season. Facebook, in late 2019, unveiled measures to counter foreign interference campaigns and voter suppression efforts. One month before the election, multiple platforms suppressed a report about Hunter Biden</w:t>
      </w:r>
      <w:r w:rsidR="00477096" w:rsidRPr="00C05D6B">
        <w:rPr>
          <w:rFonts w:ascii="Garamond" w:hAnsi="Garamond"/>
        </w:rPr>
        <w:t>’</w:t>
      </w:r>
      <w:r w:rsidRPr="00C05D6B">
        <w:rPr>
          <w:rFonts w:ascii="Garamond" w:hAnsi="Garamond"/>
        </w:rPr>
        <w:t>s laptop, believing that the story originated from a Russian hack-and-leak operation. After the election, the platforms took action against users or posts that questioned the integrity of the election results.</w:t>
      </w:r>
    </w:p>
    <w:p w14:paraId="55B06B1F" w14:textId="37E9B16A"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Over the past few years, various federal officials regularly spoke with the platforms about COVID</w:t>
      </w:r>
      <w:r w:rsidR="00050125" w:rsidRPr="00C05D6B">
        <w:rPr>
          <w:rFonts w:ascii="Garamond" w:hAnsi="Garamond"/>
        </w:rPr>
        <w:t>-</w:t>
      </w:r>
      <w:r w:rsidRPr="00C05D6B">
        <w:rPr>
          <w:rFonts w:ascii="Garamond" w:hAnsi="Garamond"/>
        </w:rPr>
        <w:t>19 and election-related misinformation. Officials at the White House, the Office of the Surgeon General, and the Centers for Disease Control and Prevention (CDC) focused on COVID</w:t>
      </w:r>
      <w:r w:rsidR="00050125" w:rsidRPr="00C05D6B">
        <w:rPr>
          <w:rFonts w:ascii="Garamond" w:hAnsi="Garamond"/>
        </w:rPr>
        <w:t>-</w:t>
      </w:r>
      <w:r w:rsidRPr="00C05D6B">
        <w:rPr>
          <w:rFonts w:ascii="Garamond" w:hAnsi="Garamond"/>
        </w:rPr>
        <w:t>19 content, while the Federal Bureau of Investigation (FBI) and the Cybersecurity and Infrastructure Security Agency (CISA) concentrated on elections.</w:t>
      </w:r>
    </w:p>
    <w:p w14:paraId="6C0A7A45" w14:textId="329ECF68"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i/>
          <w:iCs/>
        </w:rPr>
        <w:t>White House.</w:t>
      </w:r>
      <w:r w:rsidRPr="00C05D6B">
        <w:rPr>
          <w:rFonts w:ascii="Garamond" w:hAnsi="Garamond"/>
        </w:rPr>
        <w:t xml:space="preserve"> In early 2021, and continuing primarily through that year, the Director of Digital Strategy and members of the COVID</w:t>
      </w:r>
      <w:r w:rsidR="00050125" w:rsidRPr="00C05D6B">
        <w:rPr>
          <w:rFonts w:ascii="Garamond" w:hAnsi="Garamond"/>
        </w:rPr>
        <w:t>-</w:t>
      </w:r>
      <w:r w:rsidRPr="00C05D6B">
        <w:rPr>
          <w:rFonts w:ascii="Garamond" w:hAnsi="Garamond"/>
        </w:rPr>
        <w:t>19 response team interacted with the platforms about their efforts to suppress vaccine misinformation. They expressed concern that Facebook in particular was “one of the top drivers of vaccine hesitancy,” due to the spread of allegedly false or misleading claims on the platform. Thus, the officials peppered Facebook (and to a lesser extent, Twitter and YouTube) with detailed questions about their policies, pushed them to suppress certain content, and sometimes recommended policy changes. Some of these communications were more aggressive than others. Publicly, White House communications officials called on the platforms to do more to address COVID</w:t>
      </w:r>
      <w:r w:rsidR="00050125" w:rsidRPr="00C05D6B">
        <w:rPr>
          <w:rFonts w:ascii="Garamond" w:hAnsi="Garamond"/>
        </w:rPr>
        <w:t>-</w:t>
      </w:r>
      <w:r w:rsidRPr="00C05D6B">
        <w:rPr>
          <w:rFonts w:ascii="Garamond" w:hAnsi="Garamond"/>
        </w:rPr>
        <w:t>19 misinformation—and, perhaps as motivation, raised the possibility of reforms aimed at the platforms, including changes to the antitrust laws and 47 U.S.C. § 230.</w:t>
      </w:r>
    </w:p>
    <w:p w14:paraId="6901AC7D"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i/>
          <w:iCs/>
        </w:rPr>
        <w:t>Surgeon General.</w:t>
      </w:r>
      <w:r w:rsidRPr="00C05D6B">
        <w:rPr>
          <w:rFonts w:ascii="Garamond" w:hAnsi="Garamond"/>
        </w:rPr>
        <w:t xml:space="preserve"> In July 2021, Surgeon General Vivek Murthy issued a health advisory on misinformation. The advisory encouraged platforms to “[r]</w:t>
      </w:r>
      <w:proofErr w:type="spellStart"/>
      <w:r w:rsidRPr="00C05D6B">
        <w:rPr>
          <w:rFonts w:ascii="Garamond" w:hAnsi="Garamond"/>
        </w:rPr>
        <w:t>edesign</w:t>
      </w:r>
      <w:proofErr w:type="spellEnd"/>
      <w:r w:rsidRPr="00C05D6B">
        <w:rPr>
          <w:rFonts w:ascii="Garamond" w:hAnsi="Garamond"/>
        </w:rPr>
        <w:t xml:space="preserve"> recommendation algorithms to </w:t>
      </w:r>
      <w:r w:rsidRPr="00C05D6B">
        <w:rPr>
          <w:rFonts w:ascii="Garamond" w:hAnsi="Garamond"/>
        </w:rPr>
        <w:lastRenderedPageBreak/>
        <w:t>avoid amplifying misinformation,” “[</w:t>
      </w:r>
      <w:proofErr w:type="spellStart"/>
      <w:r w:rsidRPr="00C05D6B">
        <w:rPr>
          <w:rFonts w:ascii="Garamond" w:hAnsi="Garamond"/>
        </w:rPr>
        <w:t>i</w:t>
      </w:r>
      <w:proofErr w:type="spellEnd"/>
      <w:r w:rsidRPr="00C05D6B">
        <w:rPr>
          <w:rFonts w:ascii="Garamond" w:hAnsi="Garamond"/>
        </w:rPr>
        <w:t>]</w:t>
      </w:r>
      <w:proofErr w:type="spellStart"/>
      <w:r w:rsidRPr="00C05D6B">
        <w:rPr>
          <w:rFonts w:ascii="Garamond" w:hAnsi="Garamond"/>
        </w:rPr>
        <w:t>mpose</w:t>
      </w:r>
      <w:proofErr w:type="spellEnd"/>
      <w:r w:rsidRPr="00C05D6B">
        <w:rPr>
          <w:rFonts w:ascii="Garamond" w:hAnsi="Garamond"/>
        </w:rPr>
        <w:t xml:space="preserve"> clear consequences for accounts that repeatedly violate platform policies,” and “[p]</w:t>
      </w:r>
      <w:proofErr w:type="spellStart"/>
      <w:r w:rsidRPr="00C05D6B">
        <w:rPr>
          <w:rFonts w:ascii="Garamond" w:hAnsi="Garamond"/>
        </w:rPr>
        <w:t>rovide</w:t>
      </w:r>
      <w:proofErr w:type="spellEnd"/>
      <w:r w:rsidRPr="00C05D6B">
        <w:rPr>
          <w:rFonts w:ascii="Garamond" w:hAnsi="Garamond"/>
        </w:rPr>
        <w:t xml:space="preserve"> information from trusted and credible sources to prevent misconceptions from taking hold.” At a press conference to announce the advisory, Surgeon General Murthy argued that the platforms should “operate with greater transparency and accountability.” </w:t>
      </w:r>
    </w:p>
    <w:p w14:paraId="00432855" w14:textId="118791D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i/>
          <w:iCs/>
        </w:rPr>
        <w:t>CDC.</w:t>
      </w:r>
      <w:r w:rsidRPr="00C05D6B">
        <w:rPr>
          <w:rFonts w:ascii="Garamond" w:hAnsi="Garamond"/>
        </w:rPr>
        <w:t xml:space="preserve"> Like the White House, the CDC frequently communicated with the platforms about COVID</w:t>
      </w:r>
      <w:r w:rsidR="00050125" w:rsidRPr="00C05D6B">
        <w:rPr>
          <w:rFonts w:ascii="Garamond" w:hAnsi="Garamond"/>
        </w:rPr>
        <w:t>-</w:t>
      </w:r>
      <w:r w:rsidRPr="00C05D6B">
        <w:rPr>
          <w:rFonts w:ascii="Garamond" w:hAnsi="Garamond"/>
        </w:rPr>
        <w:t>19 misinformation. In early 2020, Facebook reached out to the agency, seeking authoritative information about the virus that it could post on the platform. The following year, the CDC's communications expanded to other platforms, including Twitter and YouTube. The CDC hosted meetings and sent reports to the platforms, alerting them to misinformation trends and flagging example posts. The platforms often asked the agency for fact checks on specific claims.</w:t>
      </w:r>
    </w:p>
    <w:p w14:paraId="2B6EEE17"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i/>
          <w:iCs/>
        </w:rPr>
        <w:t>FBI and CISA.</w:t>
      </w:r>
      <w:r w:rsidRPr="00C05D6B">
        <w:rPr>
          <w:rFonts w:ascii="Garamond" w:hAnsi="Garamond"/>
        </w:rPr>
        <w:t xml:space="preserve"> These agencies communicated with the platforms about election-related misinformation. They hosted meetings with several platforms in advance of the 2020 Presidential election and the 2022 midterms. The FBI alerted the platforms to posts containing false information about voting, as well as pernicious foreign influence campaigns that might spread on their sites. Shortly before the 2020 election, the FBI warned the platforms about the potential for a Russian hack-and-leak operation. Some companies then updated their moderation policies to prohibit users from posting hacked materials. Until mid-2022, CISA, through its “</w:t>
      </w:r>
      <w:proofErr w:type="spellStart"/>
      <w:r w:rsidRPr="00C05D6B">
        <w:rPr>
          <w:rFonts w:ascii="Garamond" w:hAnsi="Garamond"/>
        </w:rPr>
        <w:t>switchboarding</w:t>
      </w:r>
      <w:proofErr w:type="spellEnd"/>
      <w:r w:rsidRPr="00C05D6B">
        <w:rPr>
          <w:rFonts w:ascii="Garamond" w:hAnsi="Garamond"/>
        </w:rPr>
        <w:t>” operations, forwarded third-party reports of election-related misinformation to the platforms. These communications typically stated that the agency “w[</w:t>
      </w:r>
      <w:proofErr w:type="spellStart"/>
      <w:r w:rsidRPr="00C05D6B">
        <w:rPr>
          <w:rFonts w:ascii="Garamond" w:hAnsi="Garamond"/>
        </w:rPr>
        <w:t>ould</w:t>
      </w:r>
      <w:proofErr w:type="spellEnd"/>
      <w:r w:rsidRPr="00C05D6B">
        <w:rPr>
          <w:rFonts w:ascii="Garamond" w:hAnsi="Garamond"/>
        </w:rPr>
        <w:t xml:space="preserve">] not take any action, favorable or unfavorable, toward social media companies based on decisions about how or whether to use this information.” </w:t>
      </w:r>
    </w:p>
    <w:p w14:paraId="59B0BE73" w14:textId="18F29C68"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Respondents are two States and five individual social-media users. The individual plaintiffs—three doctors, the owner of a news website, and a healthcare activist—allege that various platforms removed or demoted their COVID</w:t>
      </w:r>
      <w:r w:rsidR="00050125" w:rsidRPr="00C05D6B">
        <w:rPr>
          <w:rFonts w:ascii="Garamond" w:hAnsi="Garamond"/>
        </w:rPr>
        <w:t>-</w:t>
      </w:r>
      <w:r w:rsidRPr="00C05D6B">
        <w:rPr>
          <w:rFonts w:ascii="Garamond" w:hAnsi="Garamond"/>
        </w:rPr>
        <w:t>19 or election-related content between 2020 and 2023. The States, Missouri and Louisiana, claim that the platforms have suppressed the speech of state entities and officials, as well as their citizens’ speech.</w:t>
      </w:r>
    </w:p>
    <w:p w14:paraId="6C871EB0" w14:textId="095A4736"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Though the platforms restricted the plaintiffs’ content, the plaintiffs maintain that the Federal Government was behind it. Acting on that belief, the plaintiffs sued dozens of Executive Branch officials and agencies, alleging that they pressured the platforms to censor the plaintiffs’ speech in violation of the First Amendment. The States filed their complaint on May 5, 2022. The next month, they moved for a preliminary injunction, seeking to stop the defendants from “taking any steps to demand, urge, encourage, pressure, or otherwise induce” any platform “to censor, suppress, remove, de-platform, suspend, shadow-ban, de-boost, restrict access to content, or take any other adverse action against any speaker, content, or viewpoint expressed on social media.”</w:t>
      </w:r>
      <w:r w:rsidR="00055511" w:rsidRPr="00C05D6B">
        <w:rPr>
          <w:rFonts w:ascii="Garamond" w:hAnsi="Garamond"/>
        </w:rPr>
        <w:t xml:space="preserve"> </w:t>
      </w:r>
      <w:r w:rsidRPr="00C05D6B">
        <w:rPr>
          <w:rFonts w:ascii="Garamond" w:hAnsi="Garamond"/>
        </w:rPr>
        <w:t>The individual plaintiffs joined the suit on August 2, 2022.</w:t>
      </w:r>
    </w:p>
    <w:p w14:paraId="16B128C5" w14:textId="676A99C3"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After granting extensive discovery, the District Court issued a preliminary injunction.  The court held that officials at the White House, the Surgeon General</w:t>
      </w:r>
      <w:r w:rsidR="00C61DAD" w:rsidRPr="00C05D6B">
        <w:rPr>
          <w:rFonts w:ascii="Garamond" w:hAnsi="Garamond"/>
        </w:rPr>
        <w:t>’</w:t>
      </w:r>
      <w:r w:rsidRPr="00C05D6B">
        <w:rPr>
          <w:rFonts w:ascii="Garamond" w:hAnsi="Garamond"/>
        </w:rPr>
        <w:t>s Office, the CDC, the FBI, and CISA likely “coerced” or “significantly encouraged” the platforms “to such extent that the[</w:t>
      </w:r>
      <w:proofErr w:type="spellStart"/>
      <w:r w:rsidRPr="00C05D6B">
        <w:rPr>
          <w:rFonts w:ascii="Garamond" w:hAnsi="Garamond"/>
        </w:rPr>
        <w:t>ir</w:t>
      </w:r>
      <w:proofErr w:type="spellEnd"/>
      <w:r w:rsidRPr="00C05D6B">
        <w:rPr>
          <w:rFonts w:ascii="Garamond" w:hAnsi="Garamond"/>
        </w:rPr>
        <w:t xml:space="preserve"> content-moderation] decision[s] should be deemed to be the decisions of the Government.” It enjoined those agencies, along with scores of named and unnamed officials and employees, from taking actions “for the purpose of urging, encouraging, pressuring, or inducing in any manner the </w:t>
      </w:r>
      <w:r w:rsidRPr="00C05D6B">
        <w:rPr>
          <w:rFonts w:ascii="Garamond" w:hAnsi="Garamond"/>
        </w:rPr>
        <w:lastRenderedPageBreak/>
        <w:t xml:space="preserve">removal, deletion, suppression, or reduction of content containing protected free speech posted on social-medial platforms.”  </w:t>
      </w:r>
    </w:p>
    <w:p w14:paraId="2575D786" w14:textId="48B6625C"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Following a grant of panel rehearing, the Fifth Circuit first held that the individual plaintiffs had Article III standing to seek injunctive relief, reasoning that the social-media companies had suppressed the plaintiffs’ speech in the past and were likely to do so again in the future</w:t>
      </w:r>
      <w:r w:rsidR="006D79DB" w:rsidRPr="00C05D6B">
        <w:rPr>
          <w:rFonts w:ascii="Garamond" w:hAnsi="Garamond"/>
        </w:rPr>
        <w:t>.</w:t>
      </w:r>
      <w:r w:rsidRPr="00C05D6B">
        <w:rPr>
          <w:rFonts w:ascii="Garamond" w:hAnsi="Garamond"/>
        </w:rPr>
        <w:t xml:space="preserve"> The court also concluded that the States had standing, both because the platforms had restricted the posts of individual state officials and because the States have the “right to listen” to their citizens on social media. On the merits, the Fifth Circuit explained that “a private party</w:t>
      </w:r>
      <w:r w:rsidR="00C61DAD" w:rsidRPr="00C05D6B">
        <w:rPr>
          <w:rFonts w:ascii="Garamond" w:hAnsi="Garamond"/>
        </w:rPr>
        <w:t>’</w:t>
      </w:r>
      <w:r w:rsidRPr="00C05D6B">
        <w:rPr>
          <w:rFonts w:ascii="Garamond" w:hAnsi="Garamond"/>
        </w:rPr>
        <w:t xml:space="preserve">s conduct may be state action if the government coerced or significantly encouraged it.” Applying those tests, the Fifth Circuit determined that White House officials, in conjunction with the Surgeon General's Office, likely both coerced and significantly encouraged the platforms to moderate content. </w:t>
      </w:r>
    </w:p>
    <w:p w14:paraId="34D9EDDF" w14:textId="77777777" w:rsidR="003125BF" w:rsidRPr="00C05D6B" w:rsidRDefault="003125BF" w:rsidP="003125BF">
      <w:pPr>
        <w:pStyle w:val="NormalWeb"/>
        <w:shd w:val="clear" w:color="auto" w:fill="FFFFFF"/>
        <w:spacing w:before="220" w:after="0"/>
        <w:rPr>
          <w:rFonts w:ascii="Garamond" w:hAnsi="Garamond"/>
        </w:rPr>
      </w:pPr>
      <w:r w:rsidRPr="00C05D6B">
        <w:rPr>
          <w:rFonts w:ascii="Garamond" w:hAnsi="Garamond"/>
        </w:rPr>
        <w:t>II</w:t>
      </w:r>
    </w:p>
    <w:p w14:paraId="278754B6" w14:textId="77777777" w:rsidR="003125BF" w:rsidRPr="00C05D6B" w:rsidRDefault="003125BF" w:rsidP="003125BF">
      <w:pPr>
        <w:pStyle w:val="NormalWeb"/>
        <w:shd w:val="clear" w:color="auto" w:fill="FFFFFF"/>
        <w:spacing w:before="220" w:after="0"/>
        <w:rPr>
          <w:rFonts w:ascii="Garamond" w:hAnsi="Garamond"/>
        </w:rPr>
      </w:pPr>
      <w:r w:rsidRPr="00C05D6B">
        <w:rPr>
          <w:rFonts w:ascii="Garamond" w:hAnsi="Garamond"/>
        </w:rPr>
        <w:t>A</w:t>
      </w:r>
    </w:p>
    <w:p w14:paraId="5D74281E" w14:textId="5E8C1FB5"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The plaintiffs claim standing based on the “direct censorship” of their own speech as well as their “right to listen” to others who faced social-media censorship. Notably, both theories depend on the </w:t>
      </w:r>
      <w:r w:rsidRPr="00C05D6B">
        <w:rPr>
          <w:rFonts w:ascii="Garamond" w:hAnsi="Garamond"/>
          <w:i/>
          <w:iCs/>
        </w:rPr>
        <w:t>platform</w:t>
      </w:r>
      <w:r w:rsidR="00C61DAD" w:rsidRPr="00C05D6B">
        <w:rPr>
          <w:rFonts w:ascii="Garamond" w:hAnsi="Garamond"/>
          <w:i/>
          <w:iCs/>
        </w:rPr>
        <w:t>’</w:t>
      </w:r>
      <w:r w:rsidRPr="00C05D6B">
        <w:rPr>
          <w:rFonts w:ascii="Garamond" w:hAnsi="Garamond"/>
          <w:i/>
          <w:iCs/>
        </w:rPr>
        <w:t>s</w:t>
      </w:r>
      <w:r w:rsidRPr="00C05D6B">
        <w:rPr>
          <w:rFonts w:ascii="Garamond" w:hAnsi="Garamond"/>
        </w:rPr>
        <w:t xml:space="preserve"> actions—yet the plaintiffs do not seek to enjoin the platforms from restricting any posts or accounts. They seek to enjoin </w:t>
      </w:r>
      <w:r w:rsidRPr="00C05D6B">
        <w:rPr>
          <w:rFonts w:ascii="Garamond" w:hAnsi="Garamond"/>
          <w:i/>
          <w:iCs/>
        </w:rPr>
        <w:t>Government agencies and officials</w:t>
      </w:r>
      <w:r w:rsidRPr="00C05D6B">
        <w:rPr>
          <w:rFonts w:ascii="Garamond" w:hAnsi="Garamond"/>
        </w:rPr>
        <w:t xml:space="preserve"> from pressuring or encouraging the platforms to suppress protected speech in the future.</w:t>
      </w:r>
    </w:p>
    <w:p w14:paraId="020A0D3E" w14:textId="592557A3" w:rsidR="003125BF" w:rsidRPr="00C05D6B" w:rsidRDefault="003125BF" w:rsidP="006D79DB">
      <w:pPr>
        <w:pStyle w:val="NormalWeb"/>
        <w:shd w:val="clear" w:color="auto" w:fill="FFFFFF"/>
        <w:spacing w:before="220" w:after="0"/>
        <w:ind w:firstLine="720"/>
        <w:rPr>
          <w:rFonts w:ascii="Garamond" w:hAnsi="Garamond"/>
        </w:rPr>
      </w:pPr>
      <w:r w:rsidRPr="00C05D6B">
        <w:rPr>
          <w:rFonts w:ascii="Garamond" w:hAnsi="Garamond"/>
        </w:rPr>
        <w:t xml:space="preserve">The one-step-removed, anticipatory nature of their alleged injuries presents the plaintiffs with two particular challenges. </w:t>
      </w:r>
      <w:r w:rsidRPr="00C05D6B">
        <w:rPr>
          <w:rFonts w:ascii="Garamond" w:hAnsi="Garamond"/>
          <w:i/>
          <w:iCs/>
        </w:rPr>
        <w:t>First</w:t>
      </w:r>
      <w:r w:rsidRPr="00C05D6B">
        <w:rPr>
          <w:rFonts w:ascii="Garamond" w:hAnsi="Garamond"/>
        </w:rPr>
        <w:t>, it is a bedrock principle that a federal court cannot redress “injury that results from the independent action of some third party not before the court.</w:t>
      </w:r>
      <w:r w:rsidR="006D79DB" w:rsidRPr="00C05D6B">
        <w:rPr>
          <w:rFonts w:ascii="Garamond" w:hAnsi="Garamond"/>
        </w:rPr>
        <w:t>”</w:t>
      </w:r>
      <w:r w:rsidRPr="00C05D6B">
        <w:rPr>
          <w:rFonts w:ascii="Garamond" w:hAnsi="Garamond"/>
        </w:rPr>
        <w:t xml:space="preserve"> </w:t>
      </w:r>
      <w:r w:rsidR="006D79DB" w:rsidRPr="00C05D6B">
        <w:rPr>
          <w:rFonts w:ascii="Garamond" w:hAnsi="Garamond"/>
        </w:rPr>
        <w:t xml:space="preserve">Simon v. Eastern Ky. Welfare Rights Org. (1976). </w:t>
      </w:r>
      <w:r w:rsidRPr="00C05D6B">
        <w:rPr>
          <w:rFonts w:ascii="Garamond" w:hAnsi="Garamond"/>
        </w:rPr>
        <w:t>In keeping with this principle, we have “been reluctant to endorse standing theories that require guesswork as to how independent decisionmakers will exercise their judgment.”</w:t>
      </w:r>
      <w:r w:rsidR="006D79DB" w:rsidRPr="00C05D6B">
        <w:rPr>
          <w:rFonts w:ascii="Garamond" w:hAnsi="Garamond"/>
        </w:rPr>
        <w:t xml:space="preserve"> Clapper v. Amnesty Intl. (2013). </w:t>
      </w:r>
      <w:r w:rsidRPr="00C05D6B">
        <w:rPr>
          <w:rFonts w:ascii="Garamond" w:hAnsi="Garamond"/>
        </w:rPr>
        <w:t xml:space="preserve">Rather than guesswork, the plaintiffs must show that the third-party platforms “will likely react in predictable ways” to the defendants’ conduct. </w:t>
      </w:r>
      <w:r w:rsidR="006D79DB" w:rsidRPr="00C05D6B">
        <w:rPr>
          <w:rFonts w:ascii="Garamond" w:hAnsi="Garamond"/>
        </w:rPr>
        <w:t>Dept. of Comm. v. New York (2019).</w:t>
      </w:r>
      <w:r w:rsidR="006D79DB" w:rsidRPr="00C05D6B">
        <w:rPr>
          <w:rFonts w:ascii="Garamond" w:hAnsi="Garamond"/>
          <w:i/>
          <w:iCs/>
        </w:rPr>
        <w:t xml:space="preserve"> </w:t>
      </w:r>
      <w:r w:rsidRPr="00C05D6B">
        <w:rPr>
          <w:rFonts w:ascii="Garamond" w:hAnsi="Garamond"/>
          <w:i/>
          <w:iCs/>
        </w:rPr>
        <w:t>Second</w:t>
      </w:r>
      <w:r w:rsidRPr="00C05D6B">
        <w:rPr>
          <w:rFonts w:ascii="Garamond" w:hAnsi="Garamond"/>
        </w:rPr>
        <w:t xml:space="preserve">, because the plaintiffs request forward-looking relief, they must face “a real and immediate threat of repeated injury.” </w:t>
      </w:r>
      <w:r w:rsidR="006D79DB" w:rsidRPr="00C05D6B">
        <w:rPr>
          <w:rFonts w:ascii="Garamond" w:hAnsi="Garamond"/>
        </w:rPr>
        <w:t xml:space="preserve">O’Shea v. Littleton (1974). </w:t>
      </w:r>
      <w:r w:rsidRPr="00C05D6B">
        <w:rPr>
          <w:rFonts w:ascii="Garamond" w:hAnsi="Garamond"/>
        </w:rPr>
        <w:t>Putting these requirements together, the plaintiffs must show a substantial risk that, in the near future, at least one platform will restrict the speech of at least one plaintiff in response to the actions of at least one Government defendant. On this record, that is a tall order.</w:t>
      </w:r>
    </w:p>
    <w:p w14:paraId="56AABFB1" w14:textId="77777777" w:rsidR="003125BF" w:rsidRPr="00C05D6B" w:rsidRDefault="003125BF" w:rsidP="003125BF">
      <w:pPr>
        <w:pStyle w:val="NormalWeb"/>
        <w:shd w:val="clear" w:color="auto" w:fill="FFFFFF"/>
        <w:spacing w:before="220" w:after="0"/>
        <w:rPr>
          <w:rFonts w:ascii="Garamond" w:hAnsi="Garamond"/>
        </w:rPr>
      </w:pPr>
      <w:r w:rsidRPr="00C05D6B">
        <w:rPr>
          <w:rFonts w:ascii="Garamond" w:hAnsi="Garamond"/>
        </w:rPr>
        <w:t>B</w:t>
      </w:r>
    </w:p>
    <w:p w14:paraId="6F88BDAB"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The plaintiffs’ primary theory of standing involves their “direct censorship injuries.” They claim that the restrictions they have experienced in the past on various platforms are traceable to the defendants and that the platforms will continue to censor their speech at the behest of the defendants. So we first consider whether the plaintiffs have demonstrated traceability for their past injuries.</w:t>
      </w:r>
    </w:p>
    <w:p w14:paraId="6BE14E31" w14:textId="68129310"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Here, a note of caution: If the plaintiffs were seeking compensatory relief, the traceability of their past injuries would be the whole ball game. But because the plaintiffs are seeking only forward-looking relief, the past injuries are relevant only for their predictive value. If a plaintiff demonstrates </w:t>
      </w:r>
      <w:r w:rsidRPr="00C05D6B">
        <w:rPr>
          <w:rFonts w:ascii="Garamond" w:hAnsi="Garamond"/>
        </w:rPr>
        <w:lastRenderedPageBreak/>
        <w:t>that a particular Government defendant was behind her past social-media restriction, it will be easier for her to prove that she faces a continued risk of future restriction that is likely to be traceable to that same defendant. Conversely, if a plaintiff cannot trace her past injury to one of the defendants, it will be much harder for her to make that showing. In the latter situation, the plaintiff would essentially have to build her case from scratch, showing why she has some newfound reason to fear that one of the named defendants will coerce her chosen platform to restrict future speech on a topic about which she plans to post—in this case, either COVID</w:t>
      </w:r>
      <w:r w:rsidR="00050125" w:rsidRPr="00C05D6B">
        <w:rPr>
          <w:rFonts w:ascii="Garamond" w:hAnsi="Garamond"/>
        </w:rPr>
        <w:t>-</w:t>
      </w:r>
      <w:r w:rsidRPr="00C05D6B">
        <w:rPr>
          <w:rFonts w:ascii="Garamond" w:hAnsi="Garamond"/>
        </w:rPr>
        <w:t>19 or the upcoming election. Keep in mind, therefore, that the past is relevant only insofar as it is a launching pad for a showing of imminent future injury.</w:t>
      </w:r>
    </w:p>
    <w:p w14:paraId="3D819E6B" w14:textId="089FF829"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The primary weakness in the record of past restrictions is the lack of specific causation findings with respect to any discrete instance of content moderation. The District Court made none. Nor did the Fifth Circuit, which approached standing at a high level of generality. The platforms, it reasoned, “have engaged in censorship of certain viewpoints on key issues,” while “the government has engaged in a years-long pressure campaign” to ensure that the platforms suppress those viewpoints. The platforms’ “censorship decisions”—including those affecting the plaintiffs—were thus “likely attributable at least in part to the platforms’ reluctance to risk” the consequences of refusing to “adhere to the government</w:t>
      </w:r>
      <w:r w:rsidR="00055511" w:rsidRPr="00C05D6B">
        <w:rPr>
          <w:rFonts w:ascii="Garamond" w:hAnsi="Garamond"/>
        </w:rPr>
        <w:t>’</w:t>
      </w:r>
      <w:r w:rsidRPr="00C05D6B">
        <w:rPr>
          <w:rFonts w:ascii="Garamond" w:hAnsi="Garamond"/>
        </w:rPr>
        <w:t xml:space="preserve">s directives.” </w:t>
      </w:r>
    </w:p>
    <w:p w14:paraId="30A74903" w14:textId="2BA0CE24"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We reject this overly broad assertion. As already discussed, the platforms moderated similar content long before any of the Government defendants engaged in the challenged conduct. In fact, the platforms, acting independently, had strengthened their pre-existing content-moderation policies before the Government defendants got involved. For instance, Facebook announced an expansion of its COVID</w:t>
      </w:r>
      <w:r w:rsidR="00C61DAD" w:rsidRPr="00C05D6B">
        <w:rPr>
          <w:rFonts w:ascii="Garamond" w:hAnsi="Garamond"/>
        </w:rPr>
        <w:t>-</w:t>
      </w:r>
      <w:r w:rsidRPr="00C05D6B">
        <w:rPr>
          <w:rFonts w:ascii="Garamond" w:hAnsi="Garamond"/>
        </w:rPr>
        <w:t>19 misinformation policies in early February 2021, before White House officials began communicating with the platform. And the platforms continued to exercise their independent judgment even after communications with the defendants began. For example, on several occasions, various platforms explained that White House officials had flagged content that did not violate company policy. Moreover, the platforms did not speak only with the defendants about content moderation; they also regularly consulted with outside experts.</w:t>
      </w:r>
    </w:p>
    <w:p w14:paraId="1CA8BF46"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This evidence indicates that the platforms had independent incentives to moderate content and often exercised their own judgment. To be sure, the record reflects that the Government defendants played a role in at least some of the platforms’ moderation choices. But the Fifth Circuit, by attributing </w:t>
      </w:r>
      <w:r w:rsidRPr="00C05D6B">
        <w:rPr>
          <w:rFonts w:ascii="Garamond" w:hAnsi="Garamond"/>
          <w:i/>
          <w:iCs/>
        </w:rPr>
        <w:t>every</w:t>
      </w:r>
      <w:r w:rsidRPr="00C05D6B">
        <w:rPr>
          <w:rFonts w:ascii="Garamond" w:hAnsi="Garamond"/>
        </w:rPr>
        <w:t xml:space="preserve"> platform decision at least in part to the defendants, glossed over complexities in the evidence. </w:t>
      </w:r>
    </w:p>
    <w:p w14:paraId="10BEA957" w14:textId="306201B1"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The Fifth Circuit also erred by treating the defendants, plaintiffs, and platforms each as a unified whole. Our decisions make clear that “standing is not dispensed in gross.”</w:t>
      </w:r>
      <w:r w:rsidR="006D79DB" w:rsidRPr="00C05D6B">
        <w:rPr>
          <w:rFonts w:ascii="Garamond" w:hAnsi="Garamond"/>
        </w:rPr>
        <w:t xml:space="preserve"> TransUnion LLC v. Ramirez (2021).</w:t>
      </w:r>
      <w:r w:rsidRPr="00C05D6B">
        <w:rPr>
          <w:rFonts w:ascii="Garamond" w:hAnsi="Garamond"/>
        </w:rPr>
        <w:t xml:space="preserve"> That is, “plaintiffs must demonstrate standing for each claim that they press” against each defendant, “and for each form of relief that they seek.”</w:t>
      </w:r>
      <w:r w:rsidR="006D79DB" w:rsidRPr="00C05D6B">
        <w:rPr>
          <w:rFonts w:ascii="Garamond" w:hAnsi="Garamond"/>
        </w:rPr>
        <w:t xml:space="preserve"> </w:t>
      </w:r>
      <w:r w:rsidRPr="00C05D6B">
        <w:rPr>
          <w:rFonts w:ascii="Garamond" w:hAnsi="Garamond"/>
        </w:rPr>
        <w:t>Here, for every defendant, there must be at least one plaintiff with standing to seek an injunction. This requires a certain threshold showing: namely, that a particular defendant pressured a particular platform to censor a particular topic before that platform suppressed a particular plaintiff’s speech on that topic.</w:t>
      </w:r>
    </w:p>
    <w:p w14:paraId="7D7317F6" w14:textId="3AE7ABFB"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Heeding these conditions is critically important in a sprawling suit like this one. The plaintiffs faced speech restrictions on different platforms, about different topics, at different times. Different groups of defendants communicated with different platforms, about different topics, at </w:t>
      </w:r>
      <w:r w:rsidRPr="00C05D6B">
        <w:rPr>
          <w:rFonts w:ascii="Garamond" w:hAnsi="Garamond"/>
        </w:rPr>
        <w:lastRenderedPageBreak/>
        <w:t>different times. And even where the plaintiff, platform, time, content, and defendant line up, the links must be evaluated in light of the platform</w:t>
      </w:r>
      <w:r w:rsidR="00055511" w:rsidRPr="00C05D6B">
        <w:rPr>
          <w:rFonts w:ascii="Garamond" w:hAnsi="Garamond"/>
        </w:rPr>
        <w:t>’</w:t>
      </w:r>
      <w:r w:rsidRPr="00C05D6B">
        <w:rPr>
          <w:rFonts w:ascii="Garamond" w:hAnsi="Garamond"/>
        </w:rPr>
        <w:t>s independent incentives to moderate content. As discussed, the platforms began to suppress the plaintiffs’ COVID</w:t>
      </w:r>
      <w:r w:rsidR="00C61DAD" w:rsidRPr="00C05D6B">
        <w:rPr>
          <w:rFonts w:ascii="Garamond" w:hAnsi="Garamond"/>
        </w:rPr>
        <w:t>-</w:t>
      </w:r>
      <w:r w:rsidRPr="00C05D6B">
        <w:rPr>
          <w:rFonts w:ascii="Garamond" w:hAnsi="Garamond"/>
        </w:rPr>
        <w:t xml:space="preserve">19 content before the defendants’ challenged communications started, which complicates the plaintiffs’ effort to demonstrate that each platform acted due to “government-coerced enforcement” of its policies, rather than in its own judgment as an “‘independent </w:t>
      </w:r>
      <w:proofErr w:type="spellStart"/>
      <w:r w:rsidRPr="00C05D6B">
        <w:rPr>
          <w:rFonts w:ascii="Garamond" w:hAnsi="Garamond"/>
        </w:rPr>
        <w:t>acto</w:t>
      </w:r>
      <w:proofErr w:type="spellEnd"/>
      <w:r w:rsidRPr="00C05D6B">
        <w:rPr>
          <w:rFonts w:ascii="Garamond" w:hAnsi="Garamond"/>
        </w:rPr>
        <w:t xml:space="preserve">[r].” </w:t>
      </w:r>
    </w:p>
    <w:p w14:paraId="436B42C3"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The plaintiffs rely on allegations of past Government censorship as evidence that future censorship is likely. But they fail, by and large, to link their past social-media restrictions to the defendants’ communications with the platforms. Thus, the events of the past do little to help any of the plaintiffs establish standing to seek an injunction to prevent future harms.</w:t>
      </w:r>
    </w:p>
    <w:p w14:paraId="04ECF934" w14:textId="594AE92D"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To obtain forward-looking relief, the plaintiffs must establish a substantial risk of future injury that is traceable to the Government defendants and likely to be redressed by an injunction against them. To carry that burden, the plaintiffs must proffer evidence that the defendants’ “allegedly wrongful behavior w[</w:t>
      </w:r>
      <w:proofErr w:type="spellStart"/>
      <w:r w:rsidRPr="00C05D6B">
        <w:rPr>
          <w:rFonts w:ascii="Garamond" w:hAnsi="Garamond"/>
        </w:rPr>
        <w:t>ould</w:t>
      </w:r>
      <w:proofErr w:type="spellEnd"/>
      <w:r w:rsidRPr="00C05D6B">
        <w:rPr>
          <w:rFonts w:ascii="Garamond" w:hAnsi="Garamond"/>
        </w:rPr>
        <w:t xml:space="preserve">] </w:t>
      </w:r>
      <w:r w:rsidRPr="00C05D6B">
        <w:rPr>
          <w:rFonts w:ascii="Garamond" w:hAnsi="Garamond"/>
          <w:i/>
          <w:iCs/>
        </w:rPr>
        <w:t xml:space="preserve">likely </w:t>
      </w:r>
      <w:r w:rsidRPr="00C05D6B">
        <w:rPr>
          <w:rFonts w:ascii="Garamond" w:hAnsi="Garamond"/>
        </w:rPr>
        <w:t>occur or continue.”</w:t>
      </w:r>
      <w:r w:rsidR="006D79DB" w:rsidRPr="00C05D6B">
        <w:rPr>
          <w:rFonts w:ascii="Garamond" w:hAnsi="Garamond"/>
        </w:rPr>
        <w:t xml:space="preserve"> Friends of the Earth, Inc. v. Laidlaw </w:t>
      </w:r>
      <w:proofErr w:type="spellStart"/>
      <w:r w:rsidR="006D79DB" w:rsidRPr="00C05D6B">
        <w:rPr>
          <w:rFonts w:ascii="Garamond" w:hAnsi="Garamond"/>
        </w:rPr>
        <w:t>Envt</w:t>
      </w:r>
      <w:proofErr w:type="spellEnd"/>
      <w:r w:rsidR="006D79DB" w:rsidRPr="00C05D6B">
        <w:rPr>
          <w:rFonts w:ascii="Garamond" w:hAnsi="Garamond"/>
        </w:rPr>
        <w:t>. S</w:t>
      </w:r>
      <w:r w:rsidR="00C85178" w:rsidRPr="00C05D6B">
        <w:rPr>
          <w:rFonts w:ascii="Garamond" w:hAnsi="Garamond"/>
        </w:rPr>
        <w:t>ervs</w:t>
      </w:r>
      <w:r w:rsidR="006D79DB" w:rsidRPr="00C05D6B">
        <w:rPr>
          <w:rFonts w:ascii="Garamond" w:hAnsi="Garamond"/>
        </w:rPr>
        <w:t>. (2000).</w:t>
      </w:r>
      <w:r w:rsidRPr="00C05D6B">
        <w:rPr>
          <w:rFonts w:ascii="Garamond" w:hAnsi="Garamond"/>
        </w:rPr>
        <w:t xml:space="preserve"> At the preliminary injunction stage, the plaintiffs must show that they are likely to succeed in carrying that burden. But without proof of an ongoing pressure campaign, it is entirely speculative that the platforms’ future moderation decisions will be attributable, even in part, to the defendants.</w:t>
      </w:r>
    </w:p>
    <w:p w14:paraId="1220E283" w14:textId="34DACE76"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The plaintiffs treat the defendants as a monolith, claiming broadly that “the </w:t>
      </w:r>
      <w:proofErr w:type="spellStart"/>
      <w:r w:rsidRPr="00C05D6B">
        <w:rPr>
          <w:rFonts w:ascii="Garamond" w:hAnsi="Garamond"/>
        </w:rPr>
        <w:t>governmen</w:t>
      </w:r>
      <w:proofErr w:type="spellEnd"/>
      <w:r w:rsidRPr="00C05D6B">
        <w:rPr>
          <w:rFonts w:ascii="Garamond" w:hAnsi="Garamond"/>
        </w:rPr>
        <w:t xml:space="preserve">[t]” continues to communicate with the platforms about “content-moderation issues.” But we must confirm that </w:t>
      </w:r>
      <w:r w:rsidRPr="00C05D6B">
        <w:rPr>
          <w:rFonts w:ascii="Garamond" w:hAnsi="Garamond"/>
          <w:i/>
          <w:iCs/>
        </w:rPr>
        <w:t>each</w:t>
      </w:r>
      <w:r w:rsidRPr="00C05D6B">
        <w:rPr>
          <w:rFonts w:ascii="Garamond" w:hAnsi="Garamond"/>
        </w:rPr>
        <w:t xml:space="preserve"> Government defendant continues to engage in the challenged conduct, which is “coercion” and “significant encouragement,” not mere “communication.” Plus, the plaintiffs have only explicitly identified an interest in speaking about COVID</w:t>
      </w:r>
      <w:r w:rsidR="00050125" w:rsidRPr="00C05D6B">
        <w:rPr>
          <w:rFonts w:ascii="Garamond" w:hAnsi="Garamond"/>
        </w:rPr>
        <w:t>-</w:t>
      </w:r>
      <w:r w:rsidRPr="00C05D6B">
        <w:rPr>
          <w:rFonts w:ascii="Garamond" w:hAnsi="Garamond"/>
        </w:rPr>
        <w:t>19 or elections—so the defendants’ discussions about content-moderation issues must focus on those topics.</w:t>
      </w:r>
    </w:p>
    <w:p w14:paraId="129E6BEC" w14:textId="37D8885E"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The plaintiffs’ counterarguments do not persuade. </w:t>
      </w:r>
      <w:r w:rsidRPr="00C05D6B">
        <w:rPr>
          <w:rFonts w:ascii="Garamond" w:hAnsi="Garamond"/>
          <w:i/>
          <w:iCs/>
        </w:rPr>
        <w:t>First</w:t>
      </w:r>
      <w:r w:rsidRPr="00C05D6B">
        <w:rPr>
          <w:rFonts w:ascii="Garamond" w:hAnsi="Garamond"/>
        </w:rPr>
        <w:t>, they argue that they suffer “continuing, present adverse effects” from their past restrictions, as they must now self-censor on social media. But the plaintiffs “cannot manufacture standing merely by inflicting harm on themselves based on their fears of hypothetical future harm that is not certainly impending.”</w:t>
      </w:r>
      <w:r w:rsidR="006D79DB" w:rsidRPr="00C05D6B">
        <w:rPr>
          <w:rFonts w:ascii="Garamond" w:hAnsi="Garamond"/>
        </w:rPr>
        <w:t xml:space="preserve"> </w:t>
      </w:r>
      <w:r w:rsidR="006D79DB" w:rsidRPr="00C05D6B">
        <w:rPr>
          <w:rFonts w:ascii="Garamond" w:hAnsi="Garamond"/>
          <w:i/>
          <w:iCs/>
        </w:rPr>
        <w:t>Clapper</w:t>
      </w:r>
      <w:r w:rsidR="006D79DB" w:rsidRPr="00C05D6B">
        <w:rPr>
          <w:rFonts w:ascii="Garamond" w:hAnsi="Garamond"/>
        </w:rPr>
        <w:t xml:space="preserve">. </w:t>
      </w:r>
      <w:r w:rsidRPr="00C05D6B">
        <w:rPr>
          <w:rFonts w:ascii="Garamond" w:hAnsi="Garamond"/>
        </w:rPr>
        <w:t xml:space="preserve"> And as we explained, the plaintiffs have not shown that they are likely to face a risk of future censorship traceable to the </w:t>
      </w:r>
      <w:r w:rsidRPr="00C05D6B">
        <w:rPr>
          <w:rFonts w:ascii="Garamond" w:hAnsi="Garamond"/>
          <w:i/>
          <w:iCs/>
        </w:rPr>
        <w:t>defendants</w:t>
      </w:r>
      <w:r w:rsidRPr="00C05D6B">
        <w:rPr>
          <w:rFonts w:ascii="Garamond" w:hAnsi="Garamond"/>
        </w:rPr>
        <w:t xml:space="preserve">. Indeed, even before the defendants entered the scene, the plaintiffs “had a similar incentive to engage in” self-censorship, given the platforms’ independent content moderation. So it is “difficult to see how” the plaintiffs’ self-censorship “can be traced to” the defendants.  </w:t>
      </w:r>
    </w:p>
    <w:p w14:paraId="629EF647" w14:textId="2F7551D4"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i/>
          <w:iCs/>
        </w:rPr>
        <w:t>Second</w:t>
      </w:r>
      <w:r w:rsidRPr="00C05D6B">
        <w:rPr>
          <w:rFonts w:ascii="Garamond" w:hAnsi="Garamond"/>
        </w:rPr>
        <w:t xml:space="preserve">, the plaintiffs and the dissent suggest that the platforms continue to suppress their speech according to policies initially adopted under Government pressure. That may be true. But the plaintiffs have a redressability problem. “To determine whether an injury is redressable,” we “consider the relationship between ‘the judicial relief requested’ and the ‘injury’ suffered.” The plaintiffs assert several injuries—their past social-media restrictions, current self-censorship, and likely social-media restrictions in the future. The requested judicial relief, meanwhile, is an injunction stopping certain Government agencies and employees from coercing or encouraging the platforms to suppress speech. A court </w:t>
      </w:r>
      <w:r w:rsidRPr="00C05D6B">
        <w:rPr>
          <w:rFonts w:ascii="Garamond" w:hAnsi="Garamond"/>
          <w:i/>
          <w:iCs/>
        </w:rPr>
        <w:t>could</w:t>
      </w:r>
      <w:r w:rsidRPr="00C05D6B">
        <w:rPr>
          <w:rFonts w:ascii="Garamond" w:hAnsi="Garamond"/>
        </w:rPr>
        <w:t xml:space="preserve"> prevent these Government defendants from interfering with the platforms’ independent application of their policies. But without evidence of continued pressure </w:t>
      </w:r>
      <w:r w:rsidRPr="00C05D6B">
        <w:rPr>
          <w:rFonts w:ascii="Garamond" w:hAnsi="Garamond"/>
        </w:rPr>
        <w:lastRenderedPageBreak/>
        <w:t xml:space="preserve">from the defendants, it appears that the platforms remain free to enforce, or not to enforce, those policies—even those tainted by initial governmental coercion. The platforms are “not parties to the suit, and there is no reason they should be obliged to honor an incidental legal determination the suit produced.” </w:t>
      </w:r>
    </w:p>
    <w:p w14:paraId="075AEED1" w14:textId="42D103B0"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Indeed, the available evidence indicates that the platforms have enforced their policies against COVID</w:t>
      </w:r>
      <w:r w:rsidR="00050125" w:rsidRPr="00C05D6B">
        <w:rPr>
          <w:rFonts w:ascii="Garamond" w:hAnsi="Garamond"/>
        </w:rPr>
        <w:t>-</w:t>
      </w:r>
      <w:r w:rsidRPr="00C05D6B">
        <w:rPr>
          <w:rFonts w:ascii="Garamond" w:hAnsi="Garamond"/>
        </w:rPr>
        <w:t xml:space="preserve">19 misinformation even as the Federal Government has wound down its own pandemic response measures. </w:t>
      </w:r>
    </w:p>
    <w:p w14:paraId="4688866A"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We conclude briefly with the plaintiffs’ “right to listen” theory. The individual plaintiffs claim an interest in reading and engaging with the content of other speakers on social media. The First Amendment, they argue, protects that interest. Thus, the plaintiffs assert injuries based on the restrictions that countless other social-media users have experienced.</w:t>
      </w:r>
    </w:p>
    <w:p w14:paraId="7E997D13" w14:textId="1D3E8D9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This theory is startlingly broad, as it would grant all social-media users the right to sue over </w:t>
      </w:r>
      <w:r w:rsidRPr="00C05D6B">
        <w:rPr>
          <w:rFonts w:ascii="Garamond" w:hAnsi="Garamond"/>
          <w:i/>
          <w:iCs/>
        </w:rPr>
        <w:t>someone else</w:t>
      </w:r>
      <w:r w:rsidR="00050125" w:rsidRPr="00C05D6B">
        <w:rPr>
          <w:rFonts w:ascii="Garamond" w:hAnsi="Garamond"/>
          <w:i/>
          <w:iCs/>
        </w:rPr>
        <w:t>’</w:t>
      </w:r>
      <w:r w:rsidRPr="00C05D6B">
        <w:rPr>
          <w:rFonts w:ascii="Garamond" w:hAnsi="Garamond"/>
          <w:i/>
          <w:iCs/>
        </w:rPr>
        <w:t>s</w:t>
      </w:r>
      <w:r w:rsidRPr="00C05D6B">
        <w:rPr>
          <w:rFonts w:ascii="Garamond" w:hAnsi="Garamond"/>
        </w:rPr>
        <w:t xml:space="preserve"> censorship—at least so long as they claim an interest in that person</w:t>
      </w:r>
      <w:r w:rsidR="00050125" w:rsidRPr="00C05D6B">
        <w:rPr>
          <w:rFonts w:ascii="Garamond" w:hAnsi="Garamond"/>
        </w:rPr>
        <w:t>’</w:t>
      </w:r>
      <w:r w:rsidRPr="00C05D6B">
        <w:rPr>
          <w:rFonts w:ascii="Garamond" w:hAnsi="Garamond"/>
        </w:rPr>
        <w:t>s speech. This Court has “never accepted such a boundless theory of standing.” While we have recognized a “First Amendment right to ‘receive information and ideas,</w:t>
      </w:r>
      <w:r w:rsidR="00092043" w:rsidRPr="00C05D6B">
        <w:rPr>
          <w:rFonts w:ascii="Garamond" w:hAnsi="Garamond"/>
        </w:rPr>
        <w:t>’”</w:t>
      </w:r>
      <w:r w:rsidRPr="00C05D6B">
        <w:rPr>
          <w:rFonts w:ascii="Garamond" w:hAnsi="Garamond"/>
        </w:rPr>
        <w:t xml:space="preserve"> we have identified a cognizable injury only where the listener has a concrete, specific connection to the speaker. </w:t>
      </w:r>
      <w:r w:rsidR="006D79DB" w:rsidRPr="00C05D6B">
        <w:rPr>
          <w:rFonts w:ascii="Garamond" w:hAnsi="Garamond"/>
        </w:rPr>
        <w:t>Kleindienst v. Mandel (1972) [(upholding standing of professors based on First Amendment interest in challenging visa denial of a person they had invited to speak at a conference)]; Virginia Bd. of Pharmacy v. Virginia Citizens Consumer Council (1976) (prescription drug consumers had an interest in challenging the prohibition on advertising the price of those drugs).</w:t>
      </w:r>
    </w:p>
    <w:p w14:paraId="616049AC" w14:textId="67286645"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The plaintiffs, without any concrete link between their injuries and the defendants’ conduct, ask us to conduct a review of the years-long communications between dozens of federal officials, across different agencies, with different social-media platforms, about different topics. This Court</w:t>
      </w:r>
      <w:r w:rsidR="00050125" w:rsidRPr="00C05D6B">
        <w:rPr>
          <w:rFonts w:ascii="Garamond" w:hAnsi="Garamond"/>
        </w:rPr>
        <w:t>’</w:t>
      </w:r>
      <w:r w:rsidRPr="00C05D6B">
        <w:rPr>
          <w:rFonts w:ascii="Garamond" w:hAnsi="Garamond"/>
        </w:rPr>
        <w:t>s standing doctrine prevents us from “</w:t>
      </w:r>
      <w:proofErr w:type="spellStart"/>
      <w:r w:rsidRPr="00C05D6B">
        <w:rPr>
          <w:rFonts w:ascii="Garamond" w:hAnsi="Garamond"/>
        </w:rPr>
        <w:t>exercis</w:t>
      </w:r>
      <w:proofErr w:type="spellEnd"/>
      <w:r w:rsidRPr="00C05D6B">
        <w:rPr>
          <w:rFonts w:ascii="Garamond" w:hAnsi="Garamond"/>
        </w:rPr>
        <w:t>[</w:t>
      </w:r>
      <w:proofErr w:type="spellStart"/>
      <w:r w:rsidRPr="00C05D6B">
        <w:rPr>
          <w:rFonts w:ascii="Garamond" w:hAnsi="Garamond"/>
        </w:rPr>
        <w:t>ing</w:t>
      </w:r>
      <w:proofErr w:type="spellEnd"/>
      <w:r w:rsidRPr="00C05D6B">
        <w:rPr>
          <w:rFonts w:ascii="Garamond" w:hAnsi="Garamond"/>
        </w:rPr>
        <w:t xml:space="preserve"> such] general legal oversight” of the other branches of Government. </w:t>
      </w:r>
    </w:p>
    <w:p w14:paraId="45F72A6B" w14:textId="77777777" w:rsidR="003125BF" w:rsidRPr="00C05D6B" w:rsidRDefault="003125BF" w:rsidP="003125BF">
      <w:pPr>
        <w:pStyle w:val="NormalWeb"/>
        <w:shd w:val="clear" w:color="auto" w:fill="FFFFFF"/>
        <w:spacing w:before="220" w:after="0"/>
        <w:rPr>
          <w:rFonts w:ascii="Garamond" w:hAnsi="Garamond"/>
        </w:rPr>
      </w:pPr>
      <w:r w:rsidRPr="00C05D6B">
        <w:rPr>
          <w:rFonts w:ascii="Garamond" w:hAnsi="Garamond"/>
        </w:rPr>
        <w:t>Justice Alito, with whom Justice Thomas and Justice Gorsuch join, dissenting.</w:t>
      </w:r>
    </w:p>
    <w:p w14:paraId="7E10429A" w14:textId="524E16CA"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Freedom of speech serves many valuable purposes, but its most important role is protection of speech that is essential to democratic self-government, and speech that advances humanity's store of knowledge, thought, and expression in fields such as science, medicine, history, the social sciences, philosophy, and the arts.</w:t>
      </w:r>
    </w:p>
    <w:p w14:paraId="50D81C02" w14:textId="33DFB0EB"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The speech at issue falls squarely into those categories. It concerns the COVID</w:t>
      </w:r>
      <w:r w:rsidR="00050125" w:rsidRPr="00C05D6B">
        <w:rPr>
          <w:rFonts w:ascii="Garamond" w:hAnsi="Garamond"/>
        </w:rPr>
        <w:t>-</w:t>
      </w:r>
      <w:r w:rsidRPr="00C05D6B">
        <w:rPr>
          <w:rFonts w:ascii="Garamond" w:hAnsi="Garamond"/>
        </w:rPr>
        <w:t>19 virus, which has killed more than a million Americans. Our country</w:t>
      </w:r>
      <w:r w:rsidR="00477096" w:rsidRPr="00C05D6B">
        <w:rPr>
          <w:rFonts w:ascii="Garamond" w:hAnsi="Garamond"/>
        </w:rPr>
        <w:t>’</w:t>
      </w:r>
      <w:r w:rsidRPr="00C05D6B">
        <w:rPr>
          <w:rFonts w:ascii="Garamond" w:hAnsi="Garamond"/>
        </w:rPr>
        <w:t>s response to the COVID</w:t>
      </w:r>
      <w:r w:rsidR="00050125" w:rsidRPr="00C05D6B">
        <w:rPr>
          <w:rFonts w:ascii="Garamond" w:hAnsi="Garamond"/>
        </w:rPr>
        <w:t>-</w:t>
      </w:r>
      <w:r w:rsidRPr="00C05D6B">
        <w:rPr>
          <w:rFonts w:ascii="Garamond" w:hAnsi="Garamond"/>
        </w:rPr>
        <w:t>19 pandemic was and remains a matter of enormous medical, social, political, geopolitical, and economic importance, and our dedication to a free marketplace of ideas demands that dissenting views on such matters be allowed. I assume that a fair portion of what social media users had to say about COVID</w:t>
      </w:r>
      <w:r w:rsidR="00050125" w:rsidRPr="00C05D6B">
        <w:rPr>
          <w:rFonts w:ascii="Garamond" w:hAnsi="Garamond"/>
        </w:rPr>
        <w:t>-</w:t>
      </w:r>
      <w:r w:rsidRPr="00C05D6B">
        <w:rPr>
          <w:rFonts w:ascii="Garamond" w:hAnsi="Garamond"/>
        </w:rPr>
        <w:t>19 and the pandemic was of little lasting value. Some was undoubtedly untrue or misleading, and some may have been downright dangerous. But we now know that valuable speech was also suppressed. That is what inevitably happens when entry to the marketplace of ideas is restricted.</w:t>
      </w:r>
    </w:p>
    <w:p w14:paraId="0DB7618E"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lastRenderedPageBreak/>
        <w:t xml:space="preserve">Of course, purely private entities like newspapers are not subject to the First Amendment, and as a result, they may publish or decline to publish whatever they wish. But government officials may not coerce private entities to suppress speech, see National Rifle Association of America v. </w:t>
      </w:r>
      <w:proofErr w:type="spellStart"/>
      <w:r w:rsidRPr="00C05D6B">
        <w:rPr>
          <w:rFonts w:ascii="Garamond" w:hAnsi="Garamond"/>
        </w:rPr>
        <w:t>Vullo</w:t>
      </w:r>
      <w:proofErr w:type="spellEnd"/>
      <w:r w:rsidRPr="00C05D6B">
        <w:rPr>
          <w:rFonts w:ascii="Garamond" w:hAnsi="Garamond"/>
        </w:rPr>
        <w:t>, (2024), and that is what happened in this case.</w:t>
      </w:r>
    </w:p>
    <w:p w14:paraId="4F263C7B"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The record before us is vast. It contains evidence of communications between many different government actors and a variety of internet platforms, as well as evidence regarding the effects of those interactions on the seven different plaintiffs. </w:t>
      </w:r>
    </w:p>
    <w:p w14:paraId="08EB27DC" w14:textId="5CCB791F"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With the inquiry focused in this way, here is what the record plainly shows. For months in 2021 and 2022, a coterie of officials at the highest levels of the Federal Government continuously harried and implicitly threatened Facebook with potentially crippling consequences if it did not comply with their wishes about the suppression of certain COVID</w:t>
      </w:r>
      <w:r w:rsidR="00050125" w:rsidRPr="00C05D6B">
        <w:rPr>
          <w:rFonts w:ascii="Garamond" w:hAnsi="Garamond"/>
        </w:rPr>
        <w:t>-</w:t>
      </w:r>
      <w:r w:rsidRPr="00C05D6B">
        <w:rPr>
          <w:rFonts w:ascii="Garamond" w:hAnsi="Garamond"/>
        </w:rPr>
        <w:t xml:space="preserve">19-related speech. Not surprisingly, Facebook repeatedly yielded. These past and threatened future injuries were caused by and traceable to censorship that the officials coerced, and the injunctive relief </w:t>
      </w:r>
      <w:r w:rsidR="00BF20E4" w:rsidRPr="00C05D6B">
        <w:rPr>
          <w:rFonts w:ascii="Garamond" w:hAnsi="Garamond"/>
        </w:rPr>
        <w:t xml:space="preserve">[Hines] </w:t>
      </w:r>
      <w:r w:rsidRPr="00C05D6B">
        <w:rPr>
          <w:rFonts w:ascii="Garamond" w:hAnsi="Garamond"/>
        </w:rPr>
        <w:t>sought was an available and suitable remedy. This evidence was more than sufficient to establish standing to sue, and consequently, we are obligated to tackle the free speech issue that the case presents. The Court, however, shirks that duty and thus permits the successful campaign of coercion in this case to stand as an attractive model for future officials who want to control what the people say, hear, and think.</w:t>
      </w:r>
    </w:p>
    <w:p w14:paraId="4064C8FC" w14:textId="03CAA5C3"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That is regrettable. What the officials did in this case was more subtle than the ham-handed censorship found to be unconstitutional in </w:t>
      </w:r>
      <w:proofErr w:type="spellStart"/>
      <w:r w:rsidRPr="00C05D6B">
        <w:rPr>
          <w:rFonts w:ascii="Garamond" w:hAnsi="Garamond"/>
          <w:i/>
          <w:iCs/>
        </w:rPr>
        <w:t>Vullo</w:t>
      </w:r>
      <w:proofErr w:type="spellEnd"/>
      <w:r w:rsidRPr="00C05D6B">
        <w:rPr>
          <w:rFonts w:ascii="Garamond" w:hAnsi="Garamond"/>
        </w:rPr>
        <w:t>, but it was no less coercive. And because of the perpetrators’ high positions, it was even more dangerous. It was blatantly unconstitutional, and the country may come to regret the Court</w:t>
      </w:r>
      <w:r w:rsidR="00055511" w:rsidRPr="00C05D6B">
        <w:rPr>
          <w:rFonts w:ascii="Garamond" w:hAnsi="Garamond"/>
        </w:rPr>
        <w:t>’</w:t>
      </w:r>
      <w:r w:rsidRPr="00C05D6B">
        <w:rPr>
          <w:rFonts w:ascii="Garamond" w:hAnsi="Garamond"/>
        </w:rPr>
        <w:t>s failure to say so. Officials who read today</w:t>
      </w:r>
      <w:r w:rsidR="00050125" w:rsidRPr="00C05D6B">
        <w:rPr>
          <w:rFonts w:ascii="Garamond" w:hAnsi="Garamond"/>
        </w:rPr>
        <w:t>’</w:t>
      </w:r>
      <w:r w:rsidRPr="00C05D6B">
        <w:rPr>
          <w:rFonts w:ascii="Garamond" w:hAnsi="Garamond"/>
        </w:rPr>
        <w:t xml:space="preserve">s decision together with </w:t>
      </w:r>
      <w:proofErr w:type="spellStart"/>
      <w:r w:rsidRPr="00C05D6B">
        <w:rPr>
          <w:rFonts w:ascii="Garamond" w:hAnsi="Garamond"/>
          <w:i/>
          <w:iCs/>
        </w:rPr>
        <w:t>Vullo</w:t>
      </w:r>
      <w:proofErr w:type="spellEnd"/>
      <w:r w:rsidRPr="00C05D6B">
        <w:rPr>
          <w:rFonts w:ascii="Garamond" w:hAnsi="Garamond"/>
        </w:rPr>
        <w:t xml:space="preserve"> will get the message. If a coercive campaign is carried out with enough sophistication, it may get by. That is not a message this Court should send.</w:t>
      </w:r>
    </w:p>
    <w:p w14:paraId="757F4FDF"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First, social media have become a leading source of news for many Americans, and with the decline of other media, their importance may grow.</w:t>
      </w:r>
    </w:p>
    <w:p w14:paraId="30282688" w14:textId="77777777"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Second, internet platforms, although rich and powerful, are at the same time far more vulnerable to Government pressure than other news sources. If a President dislikes a particular newspaper, he (fortunately) lacks the ability to put the paper out of business. But for Facebook and many other social media platforms, the situation is fundamentally different. They are critically dependent on the protection provided by § 230 of the Communications Decency Act of 1996, which shields them from civil liability for content they spread. They are vulnerable to antitrust actions; indeed, Facebook CEO Mark Zuckerberg has described a potential antitrust lawsuit as an “existential” threat to his company. And because their substantial overseas operations may be subjected to tough regulation in the European Union and other foreign jurisdictions, they rely on the Federal Government's diplomatic efforts to protect their interests.</w:t>
      </w:r>
    </w:p>
    <w:p w14:paraId="0F5B0773" w14:textId="1135FE93"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For these and other reasons, internet platforms have a powerful incentive to please important federal officials, and the record in this case shows that high-ranking officials skillfully exploited Facebook</w:t>
      </w:r>
      <w:r w:rsidR="00050125" w:rsidRPr="00C05D6B">
        <w:rPr>
          <w:rFonts w:ascii="Garamond" w:hAnsi="Garamond"/>
        </w:rPr>
        <w:t>’</w:t>
      </w:r>
      <w:r w:rsidRPr="00C05D6B">
        <w:rPr>
          <w:rFonts w:ascii="Garamond" w:hAnsi="Garamond"/>
        </w:rPr>
        <w:t>s vulnerability. When Facebook did not heed their requests as quickly or as fully as the officials wanted, the platform was publicly accused of “killing people” and subtly threatened with retaliation.</w:t>
      </w:r>
    </w:p>
    <w:p w14:paraId="32398AAA" w14:textId="5F73FEB4"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lastRenderedPageBreak/>
        <w:t>Not surprisingly these efforts bore fruit. Facebook adopted new rules that better conformed to the officials’ wishes, and many users who expressed disapproved views about the pandemic or COVID</w:t>
      </w:r>
      <w:r w:rsidR="00050125" w:rsidRPr="00C05D6B">
        <w:rPr>
          <w:rFonts w:ascii="Garamond" w:hAnsi="Garamond"/>
        </w:rPr>
        <w:t>-</w:t>
      </w:r>
      <w:r w:rsidRPr="00C05D6B">
        <w:rPr>
          <w:rFonts w:ascii="Garamond" w:hAnsi="Garamond"/>
        </w:rPr>
        <w:t>19 vaccines were “</w:t>
      </w:r>
      <w:proofErr w:type="spellStart"/>
      <w:r w:rsidRPr="00C05D6B">
        <w:rPr>
          <w:rFonts w:ascii="Garamond" w:hAnsi="Garamond"/>
        </w:rPr>
        <w:t>deplatformed</w:t>
      </w:r>
      <w:proofErr w:type="spellEnd"/>
      <w:r w:rsidRPr="00C05D6B">
        <w:rPr>
          <w:rFonts w:ascii="Garamond" w:hAnsi="Garamond"/>
        </w:rPr>
        <w:t>” or otherwise injured.</w:t>
      </w:r>
    </w:p>
    <w:p w14:paraId="648964F6" w14:textId="7FFF38A9" w:rsidR="003125BF" w:rsidRPr="00C05D6B" w:rsidRDefault="003125BF" w:rsidP="003125BF">
      <w:pPr>
        <w:pStyle w:val="NormalWeb"/>
        <w:shd w:val="clear" w:color="auto" w:fill="FFFFFF"/>
        <w:spacing w:before="220" w:after="0"/>
        <w:ind w:firstLine="720"/>
        <w:rPr>
          <w:rFonts w:ascii="Garamond" w:hAnsi="Garamond"/>
        </w:rPr>
      </w:pPr>
      <w:r w:rsidRPr="00C05D6B">
        <w:rPr>
          <w:rFonts w:ascii="Garamond" w:hAnsi="Garamond"/>
        </w:rPr>
        <w:t xml:space="preserve">[Justice Alito then discussed the merits and said that the plaintiffs were likely to win on their First Amendment claim of government coercion.] </w:t>
      </w:r>
    </w:p>
    <w:p w14:paraId="3C0307B7" w14:textId="6981AE96" w:rsidR="00BA7FE1" w:rsidRPr="00C05D6B" w:rsidRDefault="00BA7FE1" w:rsidP="00BA7FE1">
      <w:pPr>
        <w:ind w:left="720"/>
        <w:rPr>
          <w:rFonts w:ascii="Garamond" w:hAnsi="Garamond" w:cs="Times New Roman"/>
          <w:b/>
          <w:bCs/>
        </w:rPr>
      </w:pPr>
      <w:r w:rsidRPr="00C05D6B">
        <w:rPr>
          <w:rFonts w:ascii="Garamond" w:hAnsi="Garamond" w:cs="Times New Roman"/>
          <w:b/>
          <w:bCs/>
        </w:rPr>
        <w:t>6.</w:t>
      </w:r>
      <w:r w:rsidRPr="00C05D6B">
        <w:rPr>
          <w:rFonts w:ascii="Garamond" w:hAnsi="Garamond" w:cs="Times New Roman"/>
          <w:b/>
          <w:bCs/>
        </w:rPr>
        <w:tab/>
        <w:t>Representational Standing: Organizational Standing and Legislative Standing</w:t>
      </w:r>
    </w:p>
    <w:p w14:paraId="1F1B691C" w14:textId="77777777" w:rsidR="00BA7FE1" w:rsidRPr="00C05D6B" w:rsidRDefault="00BA7FE1" w:rsidP="003125BF">
      <w:pPr>
        <w:rPr>
          <w:rFonts w:ascii="Garamond" w:hAnsi="Garamond" w:cs="Times New Roman"/>
          <w:b/>
          <w:bCs/>
        </w:rPr>
      </w:pPr>
    </w:p>
    <w:p w14:paraId="05F31CF8" w14:textId="370E55EC" w:rsidR="003125BF" w:rsidRPr="00C05D6B" w:rsidRDefault="003125BF" w:rsidP="003125BF">
      <w:pPr>
        <w:rPr>
          <w:rFonts w:ascii="Garamond" w:hAnsi="Garamond" w:cs="Times New Roman"/>
          <w:b/>
          <w:bCs/>
        </w:rPr>
      </w:pPr>
      <w:r w:rsidRPr="00C05D6B">
        <w:rPr>
          <w:rFonts w:ascii="Garamond" w:hAnsi="Garamond" w:cs="Times New Roman"/>
          <w:b/>
          <w:bCs/>
        </w:rPr>
        <w:t>(CB, p. 288, after last full paragraph)</w:t>
      </w:r>
    </w:p>
    <w:p w14:paraId="5AAB0346" w14:textId="77777777" w:rsidR="003125BF" w:rsidRPr="00C05D6B" w:rsidRDefault="003125BF" w:rsidP="003125BF">
      <w:pPr>
        <w:rPr>
          <w:rFonts w:ascii="Garamond" w:hAnsi="Garamond" w:cs="Times New Roman"/>
        </w:rPr>
      </w:pPr>
    </w:p>
    <w:p w14:paraId="025DAE4C" w14:textId="04F27F32" w:rsidR="003125BF" w:rsidRPr="00C05D6B" w:rsidRDefault="003125BF" w:rsidP="003125BF">
      <w:pPr>
        <w:rPr>
          <w:rFonts w:ascii="Garamond" w:hAnsi="Garamond" w:cs="Times New Roman"/>
        </w:rPr>
      </w:pPr>
      <w:r w:rsidRPr="00C05D6B">
        <w:rPr>
          <w:rFonts w:ascii="Garamond" w:hAnsi="Garamond" w:cs="Times New Roman"/>
        </w:rPr>
        <w:tab/>
        <w:t>In Students for Fair Admissions v. President and Fellows of Harvard College</w:t>
      </w:r>
      <w:r w:rsidR="00074968" w:rsidRPr="00C05D6B">
        <w:rPr>
          <w:rFonts w:ascii="Garamond" w:hAnsi="Garamond" w:cs="Times New Roman"/>
        </w:rPr>
        <w:fldChar w:fldCharType="begin"/>
      </w:r>
      <w:r w:rsidR="00074968" w:rsidRPr="00C05D6B">
        <w:rPr>
          <w:rFonts w:ascii="Garamond" w:hAnsi="Garamond"/>
        </w:rPr>
        <w:instrText xml:space="preserve"> TA \s "Students for Fair Admissions v. President and Fellows of Harvard College" </w:instrText>
      </w:r>
      <w:r w:rsidR="00074968" w:rsidRPr="00C05D6B">
        <w:rPr>
          <w:rFonts w:ascii="Garamond" w:hAnsi="Garamond" w:cs="Times New Roman"/>
        </w:rPr>
        <w:fldChar w:fldCharType="end"/>
      </w:r>
      <w:r w:rsidRPr="00C05D6B">
        <w:rPr>
          <w:rFonts w:ascii="Garamond" w:hAnsi="Garamond" w:cs="Times New Roman"/>
        </w:rPr>
        <w:t xml:space="preserve"> (2023), however, the Court applied the </w:t>
      </w:r>
      <w:r w:rsidRPr="00C05D6B">
        <w:rPr>
          <w:rFonts w:ascii="Garamond" w:hAnsi="Garamond" w:cs="Times New Roman"/>
          <w:i/>
          <w:iCs/>
        </w:rPr>
        <w:t xml:space="preserve">Hunt </w:t>
      </w:r>
      <w:r w:rsidRPr="00C05D6B">
        <w:rPr>
          <w:rFonts w:ascii="Garamond" w:hAnsi="Garamond" w:cs="Times New Roman"/>
        </w:rPr>
        <w:t>test and held that a 501(c)(3) nonprofit with about 50 members had organization</w:t>
      </w:r>
      <w:r w:rsidR="00BA7FE1" w:rsidRPr="00C05D6B">
        <w:rPr>
          <w:rFonts w:ascii="Garamond" w:hAnsi="Garamond" w:cs="Times New Roman"/>
        </w:rPr>
        <w:t>al</w:t>
      </w:r>
      <w:r w:rsidRPr="00C05D6B">
        <w:rPr>
          <w:rFonts w:ascii="Garamond" w:hAnsi="Garamond" w:cs="Times New Roman"/>
        </w:rPr>
        <w:t xml:space="preserve"> standing to challenge affirmative action programs at Harvard College and the University of North Carolina. The defendants argued that the nonprofit was not a bona fide association because it lacked sufficient </w:t>
      </w:r>
      <w:r w:rsidR="00050125" w:rsidRPr="00C05D6B">
        <w:rPr>
          <w:rFonts w:ascii="Garamond" w:hAnsi="Garamond" w:cs="Times New Roman"/>
        </w:rPr>
        <w:t>“</w:t>
      </w:r>
      <w:r w:rsidRPr="00C05D6B">
        <w:rPr>
          <w:rFonts w:ascii="Garamond" w:hAnsi="Garamond" w:cs="Times New Roman"/>
        </w:rPr>
        <w:t>indicia of membership</w:t>
      </w:r>
      <w:r w:rsidR="00050125" w:rsidRPr="00C05D6B">
        <w:rPr>
          <w:rFonts w:ascii="Garamond" w:hAnsi="Garamond" w:cs="Times New Roman"/>
        </w:rPr>
        <w:t>”</w:t>
      </w:r>
      <w:r w:rsidRPr="00C05D6B">
        <w:rPr>
          <w:rFonts w:ascii="Garamond" w:hAnsi="Garamond" w:cs="Times New Roman"/>
        </w:rPr>
        <w:t xml:space="preserve"> under </w:t>
      </w:r>
      <w:r w:rsidRPr="00C05D6B">
        <w:rPr>
          <w:rFonts w:ascii="Garamond" w:hAnsi="Garamond" w:cs="Times New Roman"/>
          <w:i/>
          <w:iCs/>
        </w:rPr>
        <w:t>Hunt</w:t>
      </w:r>
      <w:r w:rsidRPr="00C05D6B">
        <w:rPr>
          <w:rFonts w:ascii="Garamond" w:hAnsi="Garamond" w:cs="Times New Roman"/>
        </w:rPr>
        <w:t xml:space="preserve">. The Court rejected that argument, stressing that the </w:t>
      </w:r>
      <w:r w:rsidR="00050125" w:rsidRPr="00C05D6B">
        <w:rPr>
          <w:rFonts w:ascii="Garamond" w:hAnsi="Garamond" w:cs="Times New Roman"/>
        </w:rPr>
        <w:t>“</w:t>
      </w:r>
      <w:r w:rsidRPr="00C05D6B">
        <w:rPr>
          <w:rFonts w:ascii="Garamond" w:hAnsi="Garamond" w:cs="Times New Roman"/>
        </w:rPr>
        <w:t>indicia of membership</w:t>
      </w:r>
      <w:r w:rsidR="00050125" w:rsidRPr="00C05D6B">
        <w:rPr>
          <w:rFonts w:ascii="Garamond" w:hAnsi="Garamond" w:cs="Times New Roman"/>
        </w:rPr>
        <w:t>”</w:t>
      </w:r>
      <w:r w:rsidRPr="00C05D6B">
        <w:rPr>
          <w:rFonts w:ascii="Garamond" w:hAnsi="Garamond" w:cs="Times New Roman"/>
        </w:rPr>
        <w:t xml:space="preserve"> analysis was necessary in </w:t>
      </w:r>
      <w:r w:rsidRPr="00C05D6B">
        <w:rPr>
          <w:rFonts w:ascii="Garamond" w:hAnsi="Garamond" w:cs="Times New Roman"/>
          <w:i/>
          <w:iCs/>
        </w:rPr>
        <w:t xml:space="preserve">Hunt </w:t>
      </w:r>
      <w:r w:rsidRPr="00C05D6B">
        <w:rPr>
          <w:rFonts w:ascii="Garamond" w:hAnsi="Garamond" w:cs="Times New Roman"/>
        </w:rPr>
        <w:t xml:space="preserve">because the organization in that case was a state agency that had members </w:t>
      </w:r>
      <w:r w:rsidR="00050125" w:rsidRPr="00C05D6B">
        <w:rPr>
          <w:rFonts w:ascii="Garamond" w:hAnsi="Garamond" w:cs="Times New Roman"/>
        </w:rPr>
        <w:t>“</w:t>
      </w:r>
      <w:r w:rsidRPr="00C05D6B">
        <w:rPr>
          <w:rFonts w:ascii="Garamond" w:hAnsi="Garamond" w:cs="Times New Roman"/>
        </w:rPr>
        <w:t>in substance, if not in form.</w:t>
      </w:r>
      <w:r w:rsidR="00050125" w:rsidRPr="00C05D6B">
        <w:rPr>
          <w:rFonts w:ascii="Garamond" w:hAnsi="Garamond" w:cs="Times New Roman"/>
        </w:rPr>
        <w:t>”</w:t>
      </w:r>
      <w:r w:rsidRPr="00C05D6B">
        <w:rPr>
          <w:rFonts w:ascii="Garamond" w:hAnsi="Garamond" w:cs="Times New Roman"/>
        </w:rPr>
        <w:t xml:space="preserve"> By contrast, the nonprofit in </w:t>
      </w:r>
      <w:r w:rsidRPr="00C05D6B">
        <w:rPr>
          <w:rFonts w:ascii="Garamond" w:hAnsi="Garamond" w:cs="Times New Roman"/>
          <w:i/>
          <w:iCs/>
        </w:rPr>
        <w:t xml:space="preserve">SFFA </w:t>
      </w:r>
      <w:r w:rsidRPr="00C05D6B">
        <w:rPr>
          <w:rFonts w:ascii="Garamond" w:hAnsi="Garamond" w:cs="Times New Roman"/>
        </w:rPr>
        <w:t xml:space="preserve">was </w:t>
      </w:r>
      <w:r w:rsidR="00050125" w:rsidRPr="00C05D6B">
        <w:rPr>
          <w:rFonts w:ascii="Garamond" w:hAnsi="Garamond" w:cs="Times New Roman"/>
        </w:rPr>
        <w:t>“</w:t>
      </w:r>
      <w:r w:rsidRPr="00C05D6B">
        <w:rPr>
          <w:rFonts w:ascii="Garamond" w:hAnsi="Garamond" w:cs="Times New Roman"/>
        </w:rPr>
        <w:t>indisputably a voluntary membership organization with identifiable members.</w:t>
      </w:r>
      <w:r w:rsidR="00050125" w:rsidRPr="00C05D6B">
        <w:rPr>
          <w:rFonts w:ascii="Garamond" w:hAnsi="Garamond" w:cs="Times New Roman"/>
        </w:rPr>
        <w:t>”</w:t>
      </w:r>
      <w:r w:rsidR="00BA7FE1" w:rsidRPr="00C05D6B">
        <w:rPr>
          <w:rFonts w:ascii="Garamond" w:hAnsi="Garamond" w:cs="Times New Roman"/>
        </w:rPr>
        <w:t xml:space="preserve"> On the merits, </w:t>
      </w:r>
      <w:r w:rsidRPr="00C05D6B">
        <w:rPr>
          <w:rFonts w:ascii="Garamond" w:hAnsi="Garamond" w:cs="Times New Roman"/>
        </w:rPr>
        <w:t xml:space="preserve">the Court held that race-based affirmative action programs at two universities were unlawful under Title VI and the Equal Protection Clause. </w:t>
      </w:r>
    </w:p>
    <w:p w14:paraId="093D32F2" w14:textId="77777777" w:rsidR="003125BF" w:rsidRPr="00C05D6B" w:rsidRDefault="003125BF" w:rsidP="003125BF">
      <w:pPr>
        <w:rPr>
          <w:rFonts w:ascii="Garamond" w:hAnsi="Garamond" w:cs="Times New Roman"/>
        </w:rPr>
      </w:pPr>
    </w:p>
    <w:p w14:paraId="0AFDB7B3" w14:textId="10E42A5E" w:rsidR="001828D5" w:rsidRPr="00C05D6B" w:rsidRDefault="001828D5" w:rsidP="001828D5">
      <w:pPr>
        <w:rPr>
          <w:rFonts w:ascii="Garamond" w:eastAsia="Times New Roman" w:hAnsi="Garamond" w:cs="Times New Roman"/>
          <w:color w:val="000000" w:themeColor="text1"/>
        </w:rPr>
      </w:pPr>
      <w:r w:rsidRPr="00C05D6B">
        <w:rPr>
          <w:rFonts w:ascii="Garamond" w:hAnsi="Garamond" w:cs="Times New Roman"/>
        </w:rPr>
        <w:tab/>
        <w:t>Another recent standing decision involving a religious organization, First Choice Women’s Resource Centers, Inc. v. Davenport</w:t>
      </w:r>
      <w:r w:rsidR="002F4EC9" w:rsidRPr="00C05D6B">
        <w:rPr>
          <w:rFonts w:ascii="Garamond" w:hAnsi="Garamond" w:cs="Times New Roman"/>
        </w:rPr>
        <w:fldChar w:fldCharType="begin"/>
      </w:r>
      <w:r w:rsidR="002F4EC9" w:rsidRPr="00C05D6B">
        <w:rPr>
          <w:rFonts w:ascii="Garamond" w:hAnsi="Garamond"/>
        </w:rPr>
        <w:instrText xml:space="preserve"> TA \l "</w:instrText>
      </w:r>
      <w:r w:rsidR="002F4EC9" w:rsidRPr="00C05D6B">
        <w:rPr>
          <w:rFonts w:ascii="Garamond" w:hAnsi="Garamond" w:cs="Times New Roman"/>
        </w:rPr>
        <w:instrText>First Choice Women’s Resource Centers, Inc. v. Davenport</w:instrText>
      </w:r>
      <w:r w:rsidR="002F4EC9" w:rsidRPr="00C05D6B">
        <w:rPr>
          <w:rFonts w:ascii="Garamond" w:hAnsi="Garamond"/>
        </w:rPr>
        <w:instrText xml:space="preserve">" \s "First Choice Women’s Resource Centers, Inc. v. Davenport" \c 1 </w:instrText>
      </w:r>
      <w:r w:rsidR="002F4EC9" w:rsidRPr="00C05D6B">
        <w:rPr>
          <w:rFonts w:ascii="Garamond" w:hAnsi="Garamond" w:cs="Times New Roman"/>
        </w:rPr>
        <w:fldChar w:fldCharType="end"/>
      </w:r>
      <w:r w:rsidRPr="00C05D6B">
        <w:rPr>
          <w:rFonts w:ascii="Garamond" w:hAnsi="Garamond" w:cs="Times New Roman"/>
        </w:rPr>
        <w:t xml:space="preserve"> (2026), affirmed the importance of organizational standing and associational rights. The Court stated that “</w:t>
      </w:r>
      <w:r w:rsidRPr="00C05D6B">
        <w:rPr>
          <w:rFonts w:ascii="Garamond" w:eastAsia="Times New Roman" w:hAnsi="Garamond" w:cs="Times New Roman"/>
          <w:color w:val="000000" w:themeColor="text1"/>
        </w:rPr>
        <w:t xml:space="preserve">associational rights carry special significance for political, social, religious, and other minorities,” and “that governments can infringe freedom of association in varied ways.” It held that the organizational plaintiff had “established a present injury to its First Amendment associational rights” based upon a subpoena demanding it to reveal the identity of and information about its donors. According to the complaint, the Attorney General who demanded this information “had publicly called pro-life groups ‘extremists’ and suggested that ‘charges’ might be brought against them.” The Court concluded that “our cases have long recognized that demands for a charity’s private member or donor information” threaten First Amendment rights to associate and advocate to the government.  </w:t>
      </w:r>
    </w:p>
    <w:p w14:paraId="44E9E93C" w14:textId="77777777" w:rsidR="001828D5" w:rsidRPr="00C05D6B" w:rsidRDefault="001828D5" w:rsidP="001828D5">
      <w:pPr>
        <w:rPr>
          <w:rFonts w:ascii="Garamond" w:hAnsi="Garamond" w:cs="Times New Roman"/>
        </w:rPr>
      </w:pPr>
    </w:p>
    <w:p w14:paraId="799C1343" w14:textId="0301E99E" w:rsidR="00BA7FE1" w:rsidRPr="00C05D6B" w:rsidRDefault="00BA7FE1" w:rsidP="00BA7FE1">
      <w:pPr>
        <w:rPr>
          <w:rFonts w:ascii="Garamond" w:hAnsi="Garamond" w:cs="Times New Roman"/>
          <w:b/>
          <w:bCs/>
          <w:i/>
          <w:iCs/>
        </w:rPr>
      </w:pPr>
      <w:r w:rsidRPr="00C05D6B">
        <w:rPr>
          <w:rFonts w:ascii="Garamond" w:hAnsi="Garamond" w:cs="Times New Roman"/>
          <w:b/>
          <w:bCs/>
          <w:i/>
          <w:iCs/>
        </w:rPr>
        <w:t>D.</w:t>
      </w:r>
      <w:r w:rsidRPr="00C05D6B">
        <w:rPr>
          <w:rFonts w:ascii="Garamond" w:hAnsi="Garamond" w:cs="Times New Roman"/>
          <w:b/>
          <w:bCs/>
          <w:i/>
          <w:iCs/>
        </w:rPr>
        <w:tab/>
        <w:t>Mootness</w:t>
      </w:r>
    </w:p>
    <w:p w14:paraId="739BE51A" w14:textId="77777777" w:rsidR="00BA7FE1" w:rsidRPr="00C05D6B" w:rsidRDefault="00BA7FE1" w:rsidP="00BA7FE1">
      <w:pPr>
        <w:rPr>
          <w:rFonts w:ascii="Garamond" w:hAnsi="Garamond" w:cs="Times New Roman"/>
          <w:b/>
          <w:bCs/>
          <w:i/>
          <w:iCs/>
        </w:rPr>
      </w:pPr>
    </w:p>
    <w:p w14:paraId="3EB108B6" w14:textId="288959DB" w:rsidR="00BA7FE1" w:rsidRPr="00C05D6B" w:rsidRDefault="00BA7FE1" w:rsidP="00BA7FE1">
      <w:pPr>
        <w:ind w:left="720"/>
        <w:rPr>
          <w:rFonts w:ascii="Garamond" w:hAnsi="Garamond" w:cs="Times New Roman"/>
          <w:b/>
          <w:bCs/>
        </w:rPr>
      </w:pPr>
      <w:r w:rsidRPr="00C05D6B">
        <w:rPr>
          <w:rFonts w:ascii="Garamond" w:hAnsi="Garamond" w:cs="Times New Roman"/>
          <w:b/>
          <w:bCs/>
        </w:rPr>
        <w:t>3.</w:t>
      </w:r>
      <w:r w:rsidRPr="00C05D6B">
        <w:rPr>
          <w:rFonts w:ascii="Garamond" w:hAnsi="Garamond" w:cs="Times New Roman"/>
          <w:b/>
          <w:bCs/>
        </w:rPr>
        <w:tab/>
        <w:t>Exceptions to Mootness</w:t>
      </w:r>
    </w:p>
    <w:p w14:paraId="5E9954AA" w14:textId="77777777" w:rsidR="00BA7FE1" w:rsidRPr="00C05D6B" w:rsidRDefault="00BA7FE1" w:rsidP="00BA7FE1">
      <w:pPr>
        <w:rPr>
          <w:rFonts w:ascii="Garamond" w:hAnsi="Garamond" w:cs="Times New Roman"/>
          <w:b/>
          <w:bCs/>
        </w:rPr>
      </w:pPr>
    </w:p>
    <w:p w14:paraId="4E6F92C1" w14:textId="11EED0BB" w:rsidR="00BA7FE1" w:rsidRPr="00C05D6B" w:rsidRDefault="00BA7FE1" w:rsidP="00BA7FE1">
      <w:pPr>
        <w:ind w:left="1440"/>
        <w:rPr>
          <w:rFonts w:ascii="Garamond" w:hAnsi="Garamond" w:cs="Times New Roman"/>
          <w:b/>
          <w:bCs/>
        </w:rPr>
      </w:pPr>
      <w:r w:rsidRPr="00C05D6B">
        <w:rPr>
          <w:rFonts w:ascii="Garamond" w:hAnsi="Garamond" w:cs="Times New Roman"/>
          <w:b/>
          <w:bCs/>
        </w:rPr>
        <w:t>c.</w:t>
      </w:r>
      <w:r w:rsidRPr="00C05D6B">
        <w:rPr>
          <w:rFonts w:ascii="Garamond" w:hAnsi="Garamond" w:cs="Times New Roman"/>
          <w:b/>
          <w:bCs/>
        </w:rPr>
        <w:tab/>
        <w:t>Voluntary Cessation</w:t>
      </w:r>
    </w:p>
    <w:p w14:paraId="7F06F9AB" w14:textId="77777777" w:rsidR="003125BF" w:rsidRPr="00C05D6B" w:rsidRDefault="003125BF" w:rsidP="003125BF">
      <w:pPr>
        <w:rPr>
          <w:rFonts w:ascii="Garamond" w:hAnsi="Garamond" w:cs="Times New Roman"/>
        </w:rPr>
      </w:pPr>
    </w:p>
    <w:p w14:paraId="4E6F963C" w14:textId="0B38339D" w:rsidR="00BA7FE1" w:rsidRPr="00C05D6B" w:rsidRDefault="00BA7FE1" w:rsidP="00BA7FE1">
      <w:pPr>
        <w:rPr>
          <w:rFonts w:ascii="Garamond" w:hAnsi="Garamond" w:cs="Times New Roman"/>
          <w:b/>
          <w:bCs/>
        </w:rPr>
      </w:pPr>
      <w:r w:rsidRPr="00C05D6B">
        <w:rPr>
          <w:rFonts w:ascii="Garamond" w:hAnsi="Garamond" w:cs="Times New Roman"/>
          <w:b/>
          <w:bCs/>
        </w:rPr>
        <w:t xml:space="preserve">(CB, p. 337, after the </w:t>
      </w:r>
      <w:proofErr w:type="spellStart"/>
      <w:r w:rsidRPr="00C05D6B">
        <w:rPr>
          <w:rFonts w:ascii="Garamond" w:hAnsi="Garamond" w:cs="Times New Roman"/>
          <w:b/>
          <w:bCs/>
        </w:rPr>
        <w:t>dinkus</w:t>
      </w:r>
      <w:proofErr w:type="spellEnd"/>
      <w:r w:rsidRPr="00C05D6B">
        <w:rPr>
          <w:rFonts w:ascii="Garamond" w:hAnsi="Garamond" w:cs="Times New Roman"/>
          <w:b/>
          <w:bCs/>
        </w:rPr>
        <w:t xml:space="preserve"> at the end of </w:t>
      </w:r>
      <w:proofErr w:type="spellStart"/>
      <w:r w:rsidRPr="00C05D6B">
        <w:rPr>
          <w:rFonts w:ascii="Garamond" w:hAnsi="Garamond" w:cs="Times New Roman"/>
          <w:b/>
          <w:bCs/>
        </w:rPr>
        <w:t>Defunis</w:t>
      </w:r>
      <w:proofErr w:type="spellEnd"/>
      <w:r w:rsidRPr="00C05D6B">
        <w:rPr>
          <w:rFonts w:ascii="Garamond" w:hAnsi="Garamond" w:cs="Times New Roman"/>
          <w:b/>
          <w:bCs/>
        </w:rPr>
        <w:t xml:space="preserve"> v. </w:t>
      </w:r>
      <w:proofErr w:type="spellStart"/>
      <w:r w:rsidRPr="00C05D6B">
        <w:rPr>
          <w:rFonts w:ascii="Garamond" w:hAnsi="Garamond" w:cs="Times New Roman"/>
          <w:b/>
          <w:bCs/>
        </w:rPr>
        <w:t>Odegaard</w:t>
      </w:r>
      <w:proofErr w:type="spellEnd"/>
      <w:r w:rsidR="00074968" w:rsidRPr="00C05D6B">
        <w:rPr>
          <w:rFonts w:ascii="Garamond" w:hAnsi="Garamond" w:cs="Times New Roman"/>
        </w:rPr>
        <w:fldChar w:fldCharType="begin"/>
      </w:r>
      <w:r w:rsidR="00074968" w:rsidRPr="00C05D6B">
        <w:rPr>
          <w:rFonts w:ascii="Garamond" w:hAnsi="Garamond"/>
        </w:rPr>
        <w:instrText xml:space="preserve"> TA \l "</w:instrText>
      </w:r>
      <w:r w:rsidR="00074968" w:rsidRPr="00C05D6B">
        <w:rPr>
          <w:rFonts w:ascii="Garamond" w:hAnsi="Garamond" w:cs="Times New Roman"/>
        </w:rPr>
        <w:instrText>Defunis v. Odegaard</w:instrText>
      </w:r>
      <w:r w:rsidR="00074968" w:rsidRPr="00C05D6B">
        <w:rPr>
          <w:rFonts w:ascii="Garamond" w:hAnsi="Garamond"/>
        </w:rPr>
        <w:instrText xml:space="preserve">" \s "Defunis v. Odegaard" \c 1 </w:instrText>
      </w:r>
      <w:r w:rsidR="00074968" w:rsidRPr="00C05D6B">
        <w:rPr>
          <w:rFonts w:ascii="Garamond" w:hAnsi="Garamond" w:cs="Times New Roman"/>
        </w:rPr>
        <w:fldChar w:fldCharType="end"/>
      </w:r>
      <w:r w:rsidRPr="00C05D6B">
        <w:rPr>
          <w:rFonts w:ascii="Garamond" w:hAnsi="Garamond" w:cs="Times New Roman"/>
          <w:b/>
          <w:bCs/>
        </w:rPr>
        <w:t xml:space="preserve"> (1974))</w:t>
      </w:r>
    </w:p>
    <w:p w14:paraId="6DB83253" w14:textId="77777777" w:rsidR="00BA7FE1" w:rsidRPr="00C05D6B" w:rsidRDefault="00BA7FE1" w:rsidP="003125BF">
      <w:pPr>
        <w:rPr>
          <w:rFonts w:ascii="Garamond" w:hAnsi="Garamond" w:cs="Times New Roman"/>
        </w:rPr>
      </w:pPr>
    </w:p>
    <w:p w14:paraId="117FC7AE" w14:textId="030597E7" w:rsidR="00F27F80" w:rsidRPr="00C05D6B" w:rsidRDefault="00F27F80" w:rsidP="00BA7FE1">
      <w:pPr>
        <w:ind w:firstLine="360"/>
        <w:rPr>
          <w:rFonts w:ascii="Garamond" w:hAnsi="Garamond" w:cs="Times New Roman"/>
        </w:rPr>
      </w:pPr>
      <w:r w:rsidRPr="00C05D6B">
        <w:rPr>
          <w:rFonts w:ascii="Garamond" w:hAnsi="Garamond" w:cs="Times New Roman"/>
        </w:rPr>
        <w:tab/>
        <w:t xml:space="preserve">Generally, neither “voluntary cessation of allegedly illegal conduct” nor a defendant’s promise to cease such conduct is sufficient to render a case moot. </w:t>
      </w:r>
      <w:r w:rsidRPr="00C05D6B">
        <w:rPr>
          <w:rFonts w:ascii="Garamond" w:hAnsi="Garamond" w:cs="Times New Roman"/>
          <w:i/>
          <w:iCs/>
        </w:rPr>
        <w:t>See</w:t>
      </w:r>
      <w:r w:rsidRPr="00C05D6B">
        <w:rPr>
          <w:rFonts w:ascii="Garamond" w:hAnsi="Garamond" w:cs="Times New Roman"/>
        </w:rPr>
        <w:t xml:space="preserve"> United States v. W.T. Grant Co.</w:t>
      </w:r>
      <w:r w:rsidR="00074968" w:rsidRPr="00C05D6B">
        <w:rPr>
          <w:rFonts w:ascii="Garamond" w:hAnsi="Garamond" w:cs="Times New Roman"/>
        </w:rPr>
        <w:fldChar w:fldCharType="begin"/>
      </w:r>
      <w:r w:rsidR="00074968" w:rsidRPr="00C05D6B">
        <w:rPr>
          <w:rFonts w:ascii="Garamond" w:hAnsi="Garamond"/>
        </w:rPr>
        <w:instrText xml:space="preserve"> TA \l "</w:instrText>
      </w:r>
      <w:r w:rsidR="00074968" w:rsidRPr="00C05D6B">
        <w:rPr>
          <w:rFonts w:ascii="Garamond" w:hAnsi="Garamond" w:cs="Times New Roman"/>
        </w:rPr>
        <w:instrText>United States v. W.T. Grant Co.</w:instrText>
      </w:r>
      <w:r w:rsidR="00074968" w:rsidRPr="00C05D6B">
        <w:rPr>
          <w:rFonts w:ascii="Garamond" w:hAnsi="Garamond"/>
        </w:rPr>
        <w:instrText xml:space="preserve">" \s "United States v. W.T. Grant Co." \c 1 </w:instrText>
      </w:r>
      <w:r w:rsidR="00074968" w:rsidRPr="00C05D6B">
        <w:rPr>
          <w:rFonts w:ascii="Garamond" w:hAnsi="Garamond" w:cs="Times New Roman"/>
        </w:rPr>
        <w:fldChar w:fldCharType="end"/>
      </w:r>
      <w:r w:rsidRPr="00C05D6B">
        <w:rPr>
          <w:rFonts w:ascii="Garamond" w:hAnsi="Garamond" w:cs="Times New Roman"/>
        </w:rPr>
        <w:t xml:space="preserve"> (1953). Voluntary cessation of illegal conduct will only moot a case “if subsequent events made it absolutely clear that the allegedly wrongful behavior could not reasonably be expected to recur.”  Friends of the Earth v. Laidlaw Env’t Servs.</w:t>
      </w:r>
      <w:r w:rsidR="00074968" w:rsidRPr="00C05D6B">
        <w:rPr>
          <w:rFonts w:ascii="Garamond" w:hAnsi="Garamond" w:cs="Times New Roman"/>
        </w:rPr>
        <w:fldChar w:fldCharType="begin"/>
      </w:r>
      <w:r w:rsidR="00074968" w:rsidRPr="00C05D6B">
        <w:rPr>
          <w:rFonts w:ascii="Garamond" w:hAnsi="Garamond"/>
        </w:rPr>
        <w:instrText xml:space="preserve"> TA \l "</w:instrText>
      </w:r>
      <w:r w:rsidR="00074968" w:rsidRPr="00C05D6B">
        <w:rPr>
          <w:rFonts w:ascii="Garamond" w:hAnsi="Garamond" w:cs="Times New Roman"/>
        </w:rPr>
        <w:instrText>Friends of the Earth v. Laidlaw Env’t Servs.</w:instrText>
      </w:r>
      <w:r w:rsidR="00074968" w:rsidRPr="00C05D6B">
        <w:rPr>
          <w:rFonts w:ascii="Garamond" w:hAnsi="Garamond"/>
        </w:rPr>
        <w:instrText xml:space="preserve">" \s "Friends of the Earth v. Laidlaw Env’t Servs." \c 1 </w:instrText>
      </w:r>
      <w:r w:rsidR="00074968" w:rsidRPr="00C05D6B">
        <w:rPr>
          <w:rFonts w:ascii="Garamond" w:hAnsi="Garamond" w:cs="Times New Roman"/>
        </w:rPr>
        <w:fldChar w:fldCharType="end"/>
      </w:r>
      <w:r w:rsidRPr="00C05D6B">
        <w:rPr>
          <w:rFonts w:ascii="Garamond" w:hAnsi="Garamond" w:cs="Times New Roman"/>
        </w:rPr>
        <w:t xml:space="preserve"> (2000). The Court recently affirmed these principles in </w:t>
      </w:r>
      <w:r w:rsidR="00074968" w:rsidRPr="00C05D6B">
        <w:rPr>
          <w:rFonts w:ascii="Garamond" w:hAnsi="Garamond" w:cs="Times New Roman"/>
        </w:rPr>
        <w:lastRenderedPageBreak/>
        <w:fldChar w:fldCharType="begin"/>
      </w:r>
      <w:r w:rsidR="00074968" w:rsidRPr="00C05D6B">
        <w:rPr>
          <w:rFonts w:ascii="Garamond" w:hAnsi="Garamond"/>
        </w:rPr>
        <w:instrText xml:space="preserve"> TA \l "</w:instrText>
      </w:r>
      <w:r w:rsidR="00074968" w:rsidRPr="00F5595D">
        <w:rPr>
          <w:rFonts w:ascii="Garamond" w:hAnsi="Garamond" w:cs="Times New Roman"/>
        </w:rPr>
        <w:instrText>Fed. Bureau of Investigation v. Fikre</w:instrText>
      </w:r>
      <w:r w:rsidR="00074968" w:rsidRPr="00C05D6B">
        <w:rPr>
          <w:rFonts w:ascii="Garamond" w:hAnsi="Garamond"/>
        </w:rPr>
        <w:instrText xml:space="preserve">" \s "Fed. Bureau of Investigation v. Fikre" \c 1 </w:instrText>
      </w:r>
      <w:r w:rsidR="00074968" w:rsidRPr="00C05D6B">
        <w:rPr>
          <w:rFonts w:ascii="Garamond" w:hAnsi="Garamond" w:cs="Times New Roman"/>
        </w:rPr>
        <w:fldChar w:fldCharType="end"/>
      </w:r>
      <w:r w:rsidRPr="00C05D6B">
        <w:rPr>
          <w:rFonts w:ascii="Garamond" w:hAnsi="Garamond" w:cs="Times New Roman"/>
        </w:rPr>
        <w:t xml:space="preserve">Fed. Bureau of Investigation v. </w:t>
      </w:r>
      <w:proofErr w:type="spellStart"/>
      <w:r w:rsidRPr="00C05D6B">
        <w:rPr>
          <w:rFonts w:ascii="Garamond" w:hAnsi="Garamond" w:cs="Times New Roman"/>
        </w:rPr>
        <w:t>Fikre</w:t>
      </w:r>
      <w:proofErr w:type="spellEnd"/>
      <w:r w:rsidRPr="00C05D6B">
        <w:rPr>
          <w:rFonts w:ascii="Garamond" w:hAnsi="Garamond" w:cs="Times New Roman"/>
          <w:i/>
          <w:iCs/>
        </w:rPr>
        <w:t xml:space="preserve"> </w:t>
      </w:r>
      <w:r w:rsidRPr="00C05D6B">
        <w:rPr>
          <w:rFonts w:ascii="Garamond" w:hAnsi="Garamond" w:cs="Times New Roman"/>
        </w:rPr>
        <w:t xml:space="preserve">(2024). In that case, the federal government placed a naturalized American citizen on a “No Fly list,” prohibiting him from engaging in air travel. Because the citizen was abroad on a business trip, his placement on the list left him stranded, unable to return home to the United States. As a result, he sought prospective relief in a federal lawsuit, alleging an absence of procedural due process and discrimination on account of his race, national origin, and religion. The federal government then removed him from the list, and ultimately provided some assurances that it would not place him on the list again. </w:t>
      </w:r>
      <w:r w:rsidR="00055511" w:rsidRPr="00C05D6B">
        <w:rPr>
          <w:rFonts w:ascii="Garamond" w:hAnsi="Garamond" w:cs="Times New Roman"/>
        </w:rPr>
        <w:t>T</w:t>
      </w:r>
      <w:r w:rsidRPr="00C05D6B">
        <w:rPr>
          <w:rFonts w:ascii="Garamond" w:hAnsi="Garamond" w:cs="Times New Roman"/>
        </w:rPr>
        <w:t>he Court confronted whether those assurances divested federal courts of continued jurisdiction.</w:t>
      </w:r>
    </w:p>
    <w:p w14:paraId="6E1C06F8" w14:textId="77777777" w:rsidR="00F27F80" w:rsidRPr="00C05D6B" w:rsidRDefault="00F27F80" w:rsidP="00F27F80">
      <w:pPr>
        <w:ind w:firstLine="360"/>
        <w:jc w:val="both"/>
        <w:rPr>
          <w:rFonts w:ascii="Garamond" w:hAnsi="Garamond" w:cs="Times New Roman"/>
        </w:rPr>
      </w:pPr>
      <w:r w:rsidRPr="00C05D6B">
        <w:rPr>
          <w:rFonts w:ascii="Garamond" w:hAnsi="Garamond" w:cs="Times New Roman"/>
        </w:rPr>
        <w:t xml:space="preserve"> </w:t>
      </w:r>
    </w:p>
    <w:p w14:paraId="0BE839C6" w14:textId="2415D62A" w:rsidR="00F27F80" w:rsidRPr="00C05D6B" w:rsidRDefault="00F27F80" w:rsidP="00BA7FE1">
      <w:pPr>
        <w:rPr>
          <w:rFonts w:ascii="Garamond" w:hAnsi="Garamond" w:cs="Times New Roman"/>
          <w:b/>
          <w:bCs/>
        </w:rPr>
      </w:pPr>
      <w:r w:rsidRPr="00C05D6B">
        <w:rPr>
          <w:rFonts w:ascii="Garamond" w:hAnsi="Garamond" w:cs="Times New Roman"/>
          <w:b/>
          <w:bCs/>
          <w:smallCaps/>
        </w:rPr>
        <w:t xml:space="preserve">Fed. Bureau of Investigation v. </w:t>
      </w:r>
      <w:proofErr w:type="spellStart"/>
      <w:r w:rsidRPr="00C05D6B">
        <w:rPr>
          <w:rFonts w:ascii="Garamond" w:hAnsi="Garamond" w:cs="Times New Roman"/>
          <w:b/>
          <w:bCs/>
          <w:smallCaps/>
        </w:rPr>
        <w:t>Fikre</w:t>
      </w:r>
      <w:proofErr w:type="spellEnd"/>
      <w:r w:rsidR="00074968" w:rsidRPr="00C05D6B">
        <w:rPr>
          <w:rFonts w:ascii="Garamond" w:hAnsi="Garamond" w:cs="Times New Roman"/>
          <w:b/>
          <w:bCs/>
          <w:smallCaps/>
        </w:rPr>
        <w:fldChar w:fldCharType="begin"/>
      </w:r>
      <w:r w:rsidR="00074968" w:rsidRPr="00C05D6B">
        <w:rPr>
          <w:rFonts w:ascii="Garamond" w:hAnsi="Garamond"/>
        </w:rPr>
        <w:instrText xml:space="preserve"> TA \s "Fed. Bureau of Investigation v. Fikre" </w:instrText>
      </w:r>
      <w:r w:rsidR="00074968" w:rsidRPr="00C05D6B">
        <w:rPr>
          <w:rFonts w:ascii="Garamond" w:hAnsi="Garamond" w:cs="Times New Roman"/>
          <w:b/>
          <w:bCs/>
          <w:smallCaps/>
        </w:rPr>
        <w:fldChar w:fldCharType="end"/>
      </w:r>
      <w:r w:rsidRPr="00C05D6B">
        <w:rPr>
          <w:rFonts w:ascii="Garamond" w:hAnsi="Garamond" w:cs="Times New Roman"/>
          <w:b/>
          <w:bCs/>
        </w:rPr>
        <w:t xml:space="preserve"> </w:t>
      </w:r>
    </w:p>
    <w:p w14:paraId="178CD5ED" w14:textId="03C63572" w:rsidR="00285176" w:rsidRPr="00C05D6B" w:rsidRDefault="00285176" w:rsidP="00BA7FE1">
      <w:pPr>
        <w:rPr>
          <w:rFonts w:ascii="Garamond" w:hAnsi="Garamond" w:cs="Times New Roman"/>
        </w:rPr>
      </w:pPr>
      <w:r w:rsidRPr="00C05D6B">
        <w:rPr>
          <w:rFonts w:ascii="Garamond" w:hAnsi="Garamond" w:cs="Times New Roman"/>
        </w:rPr>
        <w:t>601 U.S. 234 (2024)</w:t>
      </w:r>
    </w:p>
    <w:p w14:paraId="66FD26E9" w14:textId="77777777" w:rsidR="00F27F80" w:rsidRPr="00C05D6B" w:rsidRDefault="00F27F80" w:rsidP="00F27F80">
      <w:pPr>
        <w:rPr>
          <w:rFonts w:ascii="Garamond" w:hAnsi="Garamond" w:cs="Times New Roman"/>
        </w:rPr>
      </w:pPr>
    </w:p>
    <w:p w14:paraId="18CAAB83" w14:textId="40684993" w:rsidR="00F27F80" w:rsidRPr="00C05D6B" w:rsidRDefault="00F27F80" w:rsidP="00F27F80">
      <w:pPr>
        <w:rPr>
          <w:rFonts w:ascii="Garamond" w:hAnsi="Garamond" w:cs="Times New Roman"/>
        </w:rPr>
      </w:pPr>
      <w:r w:rsidRPr="00C05D6B">
        <w:rPr>
          <w:rFonts w:ascii="Garamond" w:hAnsi="Garamond" w:cs="Times New Roman"/>
        </w:rPr>
        <w:t>Justice G</w:t>
      </w:r>
      <w:r w:rsidR="00285176" w:rsidRPr="00C05D6B">
        <w:rPr>
          <w:rFonts w:ascii="Garamond" w:hAnsi="Garamond" w:cs="Times New Roman"/>
        </w:rPr>
        <w:t>orsuch</w:t>
      </w:r>
      <w:r w:rsidRPr="00C05D6B">
        <w:rPr>
          <w:rFonts w:ascii="Garamond" w:hAnsi="Garamond" w:cs="Times New Roman"/>
        </w:rPr>
        <w:t xml:space="preserve"> delivered the opinion of the Court.</w:t>
      </w:r>
    </w:p>
    <w:p w14:paraId="32228586" w14:textId="77777777" w:rsidR="00F27F80" w:rsidRPr="00C05D6B" w:rsidRDefault="00F27F80" w:rsidP="00F27F80">
      <w:pPr>
        <w:rPr>
          <w:rFonts w:ascii="Garamond" w:hAnsi="Garamond" w:cs="Times New Roman"/>
        </w:rPr>
      </w:pPr>
    </w:p>
    <w:p w14:paraId="716943B6" w14:textId="08A13564" w:rsidR="00F27F80" w:rsidRPr="00C05D6B" w:rsidRDefault="00F27F80" w:rsidP="00F27F80">
      <w:pPr>
        <w:rPr>
          <w:rFonts w:ascii="Garamond" w:hAnsi="Garamond" w:cs="Times New Roman"/>
        </w:rPr>
      </w:pPr>
      <w:r w:rsidRPr="00C05D6B">
        <w:rPr>
          <w:rFonts w:ascii="Garamond" w:hAnsi="Garamond" w:cs="Times New Roman"/>
        </w:rPr>
        <w:tab/>
        <w:t xml:space="preserve">Yonas </w:t>
      </w:r>
      <w:proofErr w:type="spellStart"/>
      <w:r w:rsidRPr="00C05D6B">
        <w:rPr>
          <w:rFonts w:ascii="Garamond" w:hAnsi="Garamond" w:cs="Times New Roman"/>
        </w:rPr>
        <w:t>Fikre</w:t>
      </w:r>
      <w:proofErr w:type="spellEnd"/>
      <w:r w:rsidRPr="00C05D6B">
        <w:rPr>
          <w:rFonts w:ascii="Garamond" w:hAnsi="Garamond" w:cs="Times New Roman"/>
        </w:rPr>
        <w:t xml:space="preserve">, a U.S. citizen, brought suit alleging that the government placed him on the </w:t>
      </w:r>
      <w:proofErr w:type="gramStart"/>
      <w:r w:rsidRPr="00C05D6B">
        <w:rPr>
          <w:rFonts w:ascii="Garamond" w:hAnsi="Garamond" w:cs="Times New Roman"/>
        </w:rPr>
        <w:t>No Fly</w:t>
      </w:r>
      <w:proofErr w:type="gramEnd"/>
      <w:r w:rsidRPr="00C05D6B">
        <w:rPr>
          <w:rFonts w:ascii="Garamond" w:hAnsi="Garamond" w:cs="Times New Roman"/>
        </w:rPr>
        <w:t xml:space="preserve"> List unlawfully. Later, the government removed him from the list. The only question we are asked to decide is whether the government</w:t>
      </w:r>
      <w:r w:rsidR="00050125" w:rsidRPr="00C05D6B">
        <w:rPr>
          <w:rFonts w:ascii="Garamond" w:hAnsi="Garamond" w:cs="Times New Roman"/>
        </w:rPr>
        <w:t>’</w:t>
      </w:r>
      <w:r w:rsidRPr="00C05D6B">
        <w:rPr>
          <w:rFonts w:ascii="Garamond" w:hAnsi="Garamond" w:cs="Times New Roman"/>
        </w:rPr>
        <w:t xml:space="preserve">s action suffices to render Mr. </w:t>
      </w:r>
      <w:proofErr w:type="spellStart"/>
      <w:r w:rsidRPr="00C05D6B">
        <w:rPr>
          <w:rFonts w:ascii="Garamond" w:hAnsi="Garamond" w:cs="Times New Roman"/>
        </w:rPr>
        <w:t>Fikre’s</w:t>
      </w:r>
      <w:proofErr w:type="spellEnd"/>
      <w:r w:rsidRPr="00C05D6B">
        <w:rPr>
          <w:rFonts w:ascii="Garamond" w:hAnsi="Garamond" w:cs="Times New Roman"/>
        </w:rPr>
        <w:t xml:space="preserve"> claims moot.</w:t>
      </w:r>
    </w:p>
    <w:p w14:paraId="6E579BBE" w14:textId="77777777" w:rsidR="00F27F80" w:rsidRPr="00C05D6B" w:rsidRDefault="00F27F80" w:rsidP="00F27F80">
      <w:pPr>
        <w:rPr>
          <w:rFonts w:ascii="Garamond" w:hAnsi="Garamond" w:cs="Times New Roman"/>
        </w:rPr>
      </w:pPr>
    </w:p>
    <w:p w14:paraId="31FEC72E" w14:textId="77777777" w:rsidR="00F27F80" w:rsidRPr="00C05D6B" w:rsidRDefault="00F27F80" w:rsidP="00285176">
      <w:pPr>
        <w:rPr>
          <w:rFonts w:ascii="Garamond" w:hAnsi="Garamond" w:cs="Times New Roman"/>
        </w:rPr>
      </w:pPr>
      <w:r w:rsidRPr="00C05D6B">
        <w:rPr>
          <w:rFonts w:ascii="Garamond" w:hAnsi="Garamond" w:cs="Times New Roman"/>
        </w:rPr>
        <w:t>I</w:t>
      </w:r>
    </w:p>
    <w:p w14:paraId="29811A9F" w14:textId="77777777" w:rsidR="00285176" w:rsidRPr="00C05D6B" w:rsidRDefault="00285176" w:rsidP="00285176">
      <w:pPr>
        <w:rPr>
          <w:rFonts w:ascii="Garamond" w:hAnsi="Garamond" w:cs="Times New Roman"/>
        </w:rPr>
      </w:pPr>
    </w:p>
    <w:p w14:paraId="162BECA1" w14:textId="77777777" w:rsidR="00F27F80" w:rsidRPr="00C05D6B" w:rsidRDefault="00F27F80" w:rsidP="00285176">
      <w:pPr>
        <w:rPr>
          <w:rFonts w:ascii="Garamond" w:hAnsi="Garamond" w:cs="Times New Roman"/>
        </w:rPr>
      </w:pPr>
      <w:r w:rsidRPr="00C05D6B">
        <w:rPr>
          <w:rFonts w:ascii="Garamond" w:hAnsi="Garamond" w:cs="Times New Roman"/>
        </w:rPr>
        <w:t>A</w:t>
      </w:r>
    </w:p>
    <w:p w14:paraId="2E21A9D1" w14:textId="77777777" w:rsidR="00F27F80" w:rsidRPr="00C05D6B" w:rsidRDefault="00F27F80" w:rsidP="00F27F80">
      <w:pPr>
        <w:jc w:val="center"/>
        <w:rPr>
          <w:rFonts w:ascii="Garamond" w:hAnsi="Garamond" w:cs="Times New Roman"/>
        </w:rPr>
      </w:pPr>
    </w:p>
    <w:p w14:paraId="5C7C7BC9" w14:textId="77777777" w:rsidR="00F27F80" w:rsidRPr="00C05D6B" w:rsidRDefault="00F27F80" w:rsidP="00F27F80">
      <w:pPr>
        <w:rPr>
          <w:rFonts w:ascii="Garamond" w:hAnsi="Garamond" w:cs="Times New Roman"/>
        </w:rPr>
      </w:pPr>
      <w:r w:rsidRPr="00C05D6B">
        <w:rPr>
          <w:rFonts w:ascii="Garamond" w:hAnsi="Garamond" w:cs="Times New Roman"/>
        </w:rPr>
        <w:tab/>
        <w:t xml:space="preserve">In the aftermath of the September 11, 2001, terrorist attacks, the federal government rapidly expanded its </w:t>
      </w:r>
      <w:proofErr w:type="gramStart"/>
      <w:r w:rsidRPr="00C05D6B">
        <w:rPr>
          <w:rFonts w:ascii="Garamond" w:hAnsi="Garamond" w:cs="Times New Roman"/>
        </w:rPr>
        <w:t>No Fly</w:t>
      </w:r>
      <w:proofErr w:type="gramEnd"/>
      <w:r w:rsidRPr="00C05D6B">
        <w:rPr>
          <w:rFonts w:ascii="Garamond" w:hAnsi="Garamond" w:cs="Times New Roman"/>
        </w:rPr>
        <w:t xml:space="preserve"> List. By 2016, the government forbade approximately 81,000 individuals from flying into, out of, within, or over the United States. Many of the details surrounding the </w:t>
      </w:r>
      <w:proofErr w:type="gramStart"/>
      <w:r w:rsidRPr="00C05D6B">
        <w:rPr>
          <w:rFonts w:ascii="Garamond" w:hAnsi="Garamond" w:cs="Times New Roman"/>
        </w:rPr>
        <w:t>No Fly</w:t>
      </w:r>
      <w:proofErr w:type="gramEnd"/>
      <w:r w:rsidRPr="00C05D6B">
        <w:rPr>
          <w:rFonts w:ascii="Garamond" w:hAnsi="Garamond" w:cs="Times New Roman"/>
        </w:rPr>
        <w:t xml:space="preserve"> List are not publicly available. Some are classified, and it appears no statute or publicly promulgated regulation describes the standards the government employs when adding individuals to, or removing them from, the list. </w:t>
      </w:r>
    </w:p>
    <w:p w14:paraId="3397C0EE" w14:textId="77777777" w:rsidR="00285176" w:rsidRPr="00C05D6B" w:rsidRDefault="00285176" w:rsidP="00F27F80">
      <w:pPr>
        <w:rPr>
          <w:rFonts w:ascii="Garamond" w:hAnsi="Garamond" w:cs="Times New Roman"/>
        </w:rPr>
      </w:pPr>
    </w:p>
    <w:p w14:paraId="2EA5A516" w14:textId="77777777" w:rsidR="00F27F80" w:rsidRPr="00C05D6B" w:rsidRDefault="00F27F80" w:rsidP="00F27F80">
      <w:pPr>
        <w:rPr>
          <w:rFonts w:ascii="Garamond" w:hAnsi="Garamond" w:cs="Times New Roman"/>
        </w:rPr>
      </w:pPr>
      <w:r w:rsidRPr="00C05D6B">
        <w:rPr>
          <w:rFonts w:ascii="Garamond" w:hAnsi="Garamond" w:cs="Times New Roman"/>
        </w:rPr>
        <w:tab/>
        <w:t xml:space="preserve">In his complaint, Mr. </w:t>
      </w:r>
      <w:proofErr w:type="spellStart"/>
      <w:r w:rsidRPr="00C05D6B">
        <w:rPr>
          <w:rFonts w:ascii="Garamond" w:hAnsi="Garamond" w:cs="Times New Roman"/>
        </w:rPr>
        <w:t>Fikre</w:t>
      </w:r>
      <w:proofErr w:type="spellEnd"/>
      <w:r w:rsidRPr="00C05D6B">
        <w:rPr>
          <w:rFonts w:ascii="Garamond" w:hAnsi="Garamond" w:cs="Times New Roman"/>
        </w:rPr>
        <w:t xml:space="preserve"> challenged his placement on the </w:t>
      </w:r>
      <w:proofErr w:type="gramStart"/>
      <w:r w:rsidRPr="00C05D6B">
        <w:rPr>
          <w:rFonts w:ascii="Garamond" w:hAnsi="Garamond" w:cs="Times New Roman"/>
        </w:rPr>
        <w:t>No Fly</w:t>
      </w:r>
      <w:proofErr w:type="gramEnd"/>
      <w:r w:rsidRPr="00C05D6B">
        <w:rPr>
          <w:rFonts w:ascii="Garamond" w:hAnsi="Garamond" w:cs="Times New Roman"/>
        </w:rPr>
        <w:t xml:space="preserve"> List. In support of his suit, he pleaded a number of facts:</w:t>
      </w:r>
    </w:p>
    <w:p w14:paraId="7B44437C" w14:textId="77777777" w:rsidR="00285176" w:rsidRPr="00C05D6B" w:rsidRDefault="00285176" w:rsidP="00F27F80">
      <w:pPr>
        <w:rPr>
          <w:rFonts w:ascii="Garamond" w:hAnsi="Garamond" w:cs="Times New Roman"/>
        </w:rPr>
      </w:pPr>
    </w:p>
    <w:p w14:paraId="23BB1961" w14:textId="51282DBF" w:rsidR="00F27F80" w:rsidRPr="00C05D6B" w:rsidRDefault="00F27F80" w:rsidP="00F27F80">
      <w:pPr>
        <w:rPr>
          <w:rFonts w:ascii="Garamond" w:hAnsi="Garamond" w:cs="Times New Roman"/>
        </w:rPr>
      </w:pPr>
      <w:r w:rsidRPr="00C05D6B">
        <w:rPr>
          <w:rFonts w:ascii="Garamond" w:hAnsi="Garamond" w:cs="Times New Roman"/>
        </w:rPr>
        <w:tab/>
        <w:t xml:space="preserve">Mr. </w:t>
      </w:r>
      <w:proofErr w:type="spellStart"/>
      <w:r w:rsidRPr="00C05D6B">
        <w:rPr>
          <w:rFonts w:ascii="Garamond" w:hAnsi="Garamond" w:cs="Times New Roman"/>
        </w:rPr>
        <w:t>Fikre</w:t>
      </w:r>
      <w:proofErr w:type="spellEnd"/>
      <w:r w:rsidRPr="00C05D6B">
        <w:rPr>
          <w:rFonts w:ascii="Garamond" w:hAnsi="Garamond" w:cs="Times New Roman"/>
        </w:rPr>
        <w:t xml:space="preserve"> and his family moved [from Eritrea] to Sudan before eventually immigrating to the United States. In time, Mr. </w:t>
      </w:r>
      <w:proofErr w:type="spellStart"/>
      <w:r w:rsidRPr="00C05D6B">
        <w:rPr>
          <w:rFonts w:ascii="Garamond" w:hAnsi="Garamond" w:cs="Times New Roman"/>
        </w:rPr>
        <w:t>Fikre</w:t>
      </w:r>
      <w:proofErr w:type="spellEnd"/>
      <w:r w:rsidRPr="00C05D6B">
        <w:rPr>
          <w:rFonts w:ascii="Garamond" w:hAnsi="Garamond" w:cs="Times New Roman"/>
        </w:rPr>
        <w:t xml:space="preserve"> became a U.S. citizen, and as an adult he lived in Portland, Oregon. After working for an American cell phone company, he decided to start his own business involving the distribution and retail sale of consumer electronic products in his native East Africa. In pursuit of this new venture, he traveled to Sudan in late 2009 where some of his extended family still lived. </w:t>
      </w:r>
    </w:p>
    <w:p w14:paraId="501C2C3D" w14:textId="77777777" w:rsidR="00285176" w:rsidRPr="00C05D6B" w:rsidRDefault="00285176" w:rsidP="00F27F80">
      <w:pPr>
        <w:rPr>
          <w:rFonts w:ascii="Garamond" w:hAnsi="Garamond" w:cs="Times New Roman"/>
        </w:rPr>
      </w:pPr>
    </w:p>
    <w:p w14:paraId="5BC976A7" w14:textId="164B27F6" w:rsidR="00F27F80" w:rsidRPr="00C05D6B" w:rsidRDefault="00F27F80" w:rsidP="00F27F80">
      <w:pPr>
        <w:rPr>
          <w:rFonts w:ascii="Garamond" w:hAnsi="Garamond" w:cs="Times New Roman"/>
        </w:rPr>
      </w:pPr>
      <w:r w:rsidRPr="00C05D6B">
        <w:rPr>
          <w:rFonts w:ascii="Garamond" w:hAnsi="Garamond" w:cs="Times New Roman"/>
        </w:rPr>
        <w:tab/>
        <w:t xml:space="preserve">On arrival, Mr. </w:t>
      </w:r>
      <w:proofErr w:type="spellStart"/>
      <w:r w:rsidRPr="00C05D6B">
        <w:rPr>
          <w:rFonts w:ascii="Garamond" w:hAnsi="Garamond" w:cs="Times New Roman"/>
        </w:rPr>
        <w:t>Fikre</w:t>
      </w:r>
      <w:proofErr w:type="spellEnd"/>
      <w:r w:rsidRPr="00C05D6B">
        <w:rPr>
          <w:rFonts w:ascii="Garamond" w:hAnsi="Garamond" w:cs="Times New Roman"/>
        </w:rPr>
        <w:t xml:space="preserve"> informed U. S. officials of his interest in pursuing business opportunities in the country. Eventually, he received an invitation to the U. S. embassy—ostensibly for a luncheon. But, once there, </w:t>
      </w:r>
      <w:proofErr w:type="spellStart"/>
      <w:r w:rsidRPr="00C05D6B">
        <w:rPr>
          <w:rFonts w:ascii="Garamond" w:hAnsi="Garamond" w:cs="Times New Roman"/>
        </w:rPr>
        <w:t>Fikre</w:t>
      </w:r>
      <w:proofErr w:type="spellEnd"/>
      <w:r w:rsidRPr="00C05D6B">
        <w:rPr>
          <w:rFonts w:ascii="Garamond" w:hAnsi="Garamond" w:cs="Times New Roman"/>
        </w:rPr>
        <w:t xml:space="preserve"> was whisked instead to a small meeting room with two FBI agents. The agents told him that the government had placed him on the </w:t>
      </w:r>
      <w:proofErr w:type="gramStart"/>
      <w:r w:rsidRPr="00C05D6B">
        <w:rPr>
          <w:rFonts w:ascii="Garamond" w:hAnsi="Garamond" w:cs="Times New Roman"/>
        </w:rPr>
        <w:t>No Fly</w:t>
      </w:r>
      <w:proofErr w:type="gramEnd"/>
      <w:r w:rsidRPr="00C05D6B">
        <w:rPr>
          <w:rFonts w:ascii="Garamond" w:hAnsi="Garamond" w:cs="Times New Roman"/>
        </w:rPr>
        <w:t xml:space="preserve"> List, so he “could not return to the United States.” The agents then questioned him “extensively about the events, activities, and leadership” of the Portland mosque he attended. They asked him to serve as an FBI informant and report on other members of his religious community, offering to “take steps to remove [him] from the </w:t>
      </w:r>
      <w:proofErr w:type="gramStart"/>
      <w:r w:rsidRPr="00C05D6B">
        <w:rPr>
          <w:rFonts w:ascii="Garamond" w:hAnsi="Garamond" w:cs="Times New Roman"/>
        </w:rPr>
        <w:t>No Fly</w:t>
      </w:r>
      <w:proofErr w:type="gramEnd"/>
      <w:r w:rsidRPr="00C05D6B">
        <w:rPr>
          <w:rFonts w:ascii="Garamond" w:hAnsi="Garamond" w:cs="Times New Roman"/>
        </w:rPr>
        <w:t xml:space="preserve"> List” if he agreed. Mr. </w:t>
      </w:r>
      <w:proofErr w:type="spellStart"/>
      <w:r w:rsidRPr="00C05D6B">
        <w:rPr>
          <w:rFonts w:ascii="Garamond" w:hAnsi="Garamond" w:cs="Times New Roman"/>
        </w:rPr>
        <w:t>Fikre</w:t>
      </w:r>
      <w:proofErr w:type="spellEnd"/>
      <w:r w:rsidRPr="00C05D6B">
        <w:rPr>
          <w:rFonts w:ascii="Garamond" w:hAnsi="Garamond" w:cs="Times New Roman"/>
        </w:rPr>
        <w:t xml:space="preserve"> refused and eventually departed. The next day, an agent told him over the phone that, “‘[w]</w:t>
      </w:r>
      <w:proofErr w:type="spellStart"/>
      <w:r w:rsidRPr="00C05D6B">
        <w:rPr>
          <w:rFonts w:ascii="Garamond" w:hAnsi="Garamond" w:cs="Times New Roman"/>
        </w:rPr>
        <w:t>henever</w:t>
      </w:r>
      <w:proofErr w:type="spellEnd"/>
      <w:r w:rsidRPr="00C05D6B">
        <w:rPr>
          <w:rFonts w:ascii="Garamond" w:hAnsi="Garamond" w:cs="Times New Roman"/>
        </w:rPr>
        <w:t xml:space="preserve"> you want to go home[,] you come to </w:t>
      </w:r>
      <w:r w:rsidRPr="00C05D6B">
        <w:rPr>
          <w:rFonts w:ascii="Garamond" w:hAnsi="Garamond" w:cs="Times New Roman"/>
        </w:rPr>
        <w:lastRenderedPageBreak/>
        <w:t xml:space="preserve">the embassy.’” Mr. </w:t>
      </w:r>
      <w:proofErr w:type="spellStart"/>
      <w:r w:rsidRPr="00C05D6B">
        <w:rPr>
          <w:rFonts w:ascii="Garamond" w:hAnsi="Garamond" w:cs="Times New Roman"/>
        </w:rPr>
        <w:t>Fikre</w:t>
      </w:r>
      <w:proofErr w:type="spellEnd"/>
      <w:r w:rsidRPr="00C05D6B">
        <w:rPr>
          <w:rFonts w:ascii="Garamond" w:hAnsi="Garamond" w:cs="Times New Roman"/>
        </w:rPr>
        <w:t xml:space="preserve"> took this to mean that he “would not be removed from the </w:t>
      </w:r>
      <w:proofErr w:type="gramStart"/>
      <w:r w:rsidRPr="00C05D6B">
        <w:rPr>
          <w:rFonts w:ascii="Garamond" w:hAnsi="Garamond" w:cs="Times New Roman"/>
        </w:rPr>
        <w:t>No Fly</w:t>
      </w:r>
      <w:proofErr w:type="gramEnd"/>
      <w:r w:rsidRPr="00C05D6B">
        <w:rPr>
          <w:rFonts w:ascii="Garamond" w:hAnsi="Garamond" w:cs="Times New Roman"/>
        </w:rPr>
        <w:t xml:space="preserve"> List and he could not travel to the United States unless he became” an FBI informant. </w:t>
      </w:r>
    </w:p>
    <w:p w14:paraId="3D69B763" w14:textId="77777777" w:rsidR="00285176" w:rsidRPr="00C05D6B" w:rsidRDefault="00285176" w:rsidP="00F27F80">
      <w:pPr>
        <w:rPr>
          <w:rFonts w:ascii="Garamond" w:hAnsi="Garamond" w:cs="Times New Roman"/>
        </w:rPr>
      </w:pPr>
    </w:p>
    <w:p w14:paraId="5AD9CB65" w14:textId="77777777" w:rsidR="00F27F80" w:rsidRPr="00C05D6B" w:rsidRDefault="00F27F80" w:rsidP="00F27F80">
      <w:pPr>
        <w:rPr>
          <w:rFonts w:ascii="Garamond" w:hAnsi="Garamond" w:cs="Times New Roman"/>
        </w:rPr>
      </w:pPr>
      <w:r w:rsidRPr="00C05D6B">
        <w:rPr>
          <w:rFonts w:ascii="Garamond" w:hAnsi="Garamond" w:cs="Times New Roman"/>
        </w:rPr>
        <w:tab/>
        <w:t xml:space="preserve">Several weeks later, Mr. </w:t>
      </w:r>
      <w:proofErr w:type="spellStart"/>
      <w:r w:rsidRPr="00C05D6B">
        <w:rPr>
          <w:rFonts w:ascii="Garamond" w:hAnsi="Garamond" w:cs="Times New Roman"/>
        </w:rPr>
        <w:t>Fikre</w:t>
      </w:r>
      <w:proofErr w:type="spellEnd"/>
      <w:r w:rsidRPr="00C05D6B">
        <w:rPr>
          <w:rFonts w:ascii="Garamond" w:hAnsi="Garamond" w:cs="Times New Roman"/>
        </w:rPr>
        <w:t xml:space="preserve"> traveled to the United Arab Emirates to advance his business plans. Eventually, however, authorities there “arrested, imprisoned, and tortured him.” They interrogated him, too, about his Portland mosque, its events, leader, and fundraising activities. One interrogator told Mr. </w:t>
      </w:r>
      <w:proofErr w:type="spellStart"/>
      <w:r w:rsidRPr="00C05D6B">
        <w:rPr>
          <w:rFonts w:ascii="Garamond" w:hAnsi="Garamond" w:cs="Times New Roman"/>
        </w:rPr>
        <w:t>Fikre</w:t>
      </w:r>
      <w:proofErr w:type="spellEnd"/>
      <w:r w:rsidRPr="00C05D6B">
        <w:rPr>
          <w:rFonts w:ascii="Garamond" w:hAnsi="Garamond" w:cs="Times New Roman"/>
        </w:rPr>
        <w:t xml:space="preserve"> that the FBI had solicited his interrogation and detention. After holding him for 106 days, authorities arranged to have Mr. </w:t>
      </w:r>
      <w:proofErr w:type="spellStart"/>
      <w:r w:rsidRPr="00C05D6B">
        <w:rPr>
          <w:rFonts w:ascii="Garamond" w:hAnsi="Garamond" w:cs="Times New Roman"/>
        </w:rPr>
        <w:t>Fikre</w:t>
      </w:r>
      <w:proofErr w:type="spellEnd"/>
      <w:r w:rsidRPr="00C05D6B">
        <w:rPr>
          <w:rFonts w:ascii="Garamond" w:hAnsi="Garamond" w:cs="Times New Roman"/>
        </w:rPr>
        <w:t xml:space="preserve"> flown to Sweden where he had a relative. He remained there until February 2015, when the Swedish government returned him to Portland by private jet. </w:t>
      </w:r>
    </w:p>
    <w:p w14:paraId="705CBCA7" w14:textId="77777777" w:rsidR="00F27F80" w:rsidRPr="00C05D6B" w:rsidRDefault="00F27F80" w:rsidP="00F27F80">
      <w:pPr>
        <w:rPr>
          <w:rFonts w:ascii="Garamond" w:hAnsi="Garamond" w:cs="Times New Roman"/>
        </w:rPr>
      </w:pPr>
    </w:p>
    <w:p w14:paraId="30BE4024" w14:textId="77777777" w:rsidR="00F27F80" w:rsidRPr="00C05D6B" w:rsidRDefault="00F27F80" w:rsidP="00285176">
      <w:pPr>
        <w:rPr>
          <w:rFonts w:ascii="Garamond" w:hAnsi="Garamond" w:cs="Times New Roman"/>
        </w:rPr>
      </w:pPr>
      <w:r w:rsidRPr="00C05D6B">
        <w:rPr>
          <w:rFonts w:ascii="Garamond" w:hAnsi="Garamond" w:cs="Times New Roman"/>
        </w:rPr>
        <w:t>B</w:t>
      </w:r>
    </w:p>
    <w:p w14:paraId="0DAF6718" w14:textId="77777777" w:rsidR="00F27F80" w:rsidRPr="00C05D6B" w:rsidRDefault="00F27F80" w:rsidP="00F27F80">
      <w:pPr>
        <w:jc w:val="center"/>
        <w:rPr>
          <w:rFonts w:ascii="Garamond" w:hAnsi="Garamond" w:cs="Times New Roman"/>
        </w:rPr>
      </w:pPr>
    </w:p>
    <w:p w14:paraId="1D12B82C" w14:textId="77777777" w:rsidR="00F27F80" w:rsidRPr="00C05D6B" w:rsidRDefault="00F27F80" w:rsidP="00F27F80">
      <w:pPr>
        <w:rPr>
          <w:rFonts w:ascii="Garamond" w:hAnsi="Garamond" w:cs="Times New Roman"/>
        </w:rPr>
      </w:pPr>
      <w:r w:rsidRPr="00C05D6B">
        <w:rPr>
          <w:rFonts w:ascii="Garamond" w:hAnsi="Garamond" w:cs="Times New Roman"/>
        </w:rPr>
        <w:tab/>
        <w:t xml:space="preserve">While still in Sweden, Mr. </w:t>
      </w:r>
      <w:proofErr w:type="spellStart"/>
      <w:r w:rsidRPr="00C05D6B">
        <w:rPr>
          <w:rFonts w:ascii="Garamond" w:hAnsi="Garamond" w:cs="Times New Roman"/>
        </w:rPr>
        <w:t>Fikre</w:t>
      </w:r>
      <w:proofErr w:type="spellEnd"/>
      <w:r w:rsidRPr="00C05D6B">
        <w:rPr>
          <w:rFonts w:ascii="Garamond" w:hAnsi="Garamond" w:cs="Times New Roman"/>
        </w:rPr>
        <w:t xml:space="preserve"> filed this suit. In his complaint, he alleged that the government had violated his rights to procedural due process by failing to provide any meaningful notice of his addition to the </w:t>
      </w:r>
      <w:proofErr w:type="gramStart"/>
      <w:r w:rsidRPr="00C05D6B">
        <w:rPr>
          <w:rFonts w:ascii="Garamond" w:hAnsi="Garamond" w:cs="Times New Roman"/>
        </w:rPr>
        <w:t>No Fly</w:t>
      </w:r>
      <w:proofErr w:type="gramEnd"/>
      <w:r w:rsidRPr="00C05D6B">
        <w:rPr>
          <w:rFonts w:ascii="Garamond" w:hAnsi="Garamond" w:cs="Times New Roman"/>
        </w:rPr>
        <w:t xml:space="preserve"> List, any information about the factual basis for his listing, and any appropriate way to secure redress. Further, he claimed, the government had placed him on the list for constitutionally impermissible reasons, including his race, national origin, and religious beliefs. By way of relief, he sought a declaratory judgment confirming that the government had violated his rights, as well as an injunction prohibiting it from keeping him on the </w:t>
      </w:r>
      <w:proofErr w:type="gramStart"/>
      <w:r w:rsidRPr="00C05D6B">
        <w:rPr>
          <w:rFonts w:ascii="Garamond" w:hAnsi="Garamond" w:cs="Times New Roman"/>
        </w:rPr>
        <w:t>No Fly</w:t>
      </w:r>
      <w:proofErr w:type="gramEnd"/>
      <w:r w:rsidRPr="00C05D6B">
        <w:rPr>
          <w:rFonts w:ascii="Garamond" w:hAnsi="Garamond" w:cs="Times New Roman"/>
        </w:rPr>
        <w:t xml:space="preserve"> List. </w:t>
      </w:r>
    </w:p>
    <w:p w14:paraId="5C10E0DD" w14:textId="77777777" w:rsidR="00285176" w:rsidRPr="00C05D6B" w:rsidRDefault="00285176" w:rsidP="00F27F80">
      <w:pPr>
        <w:rPr>
          <w:rFonts w:ascii="Garamond" w:hAnsi="Garamond" w:cs="Times New Roman"/>
        </w:rPr>
      </w:pPr>
    </w:p>
    <w:p w14:paraId="72302927" w14:textId="6D6F3E3C" w:rsidR="00F27F80" w:rsidRPr="00C05D6B" w:rsidRDefault="00F27F80" w:rsidP="00F27F80">
      <w:pPr>
        <w:rPr>
          <w:rFonts w:ascii="Garamond" w:hAnsi="Garamond" w:cs="Times New Roman"/>
        </w:rPr>
      </w:pPr>
      <w:r w:rsidRPr="00C05D6B">
        <w:rPr>
          <w:rFonts w:ascii="Garamond" w:hAnsi="Garamond" w:cs="Times New Roman"/>
        </w:rPr>
        <w:tab/>
        <w:t xml:space="preserve">Eventually, in May 2016, the government notified Mr. </w:t>
      </w:r>
      <w:proofErr w:type="spellStart"/>
      <w:r w:rsidRPr="00C05D6B">
        <w:rPr>
          <w:rFonts w:ascii="Garamond" w:hAnsi="Garamond" w:cs="Times New Roman"/>
        </w:rPr>
        <w:t>Fikre</w:t>
      </w:r>
      <w:proofErr w:type="spellEnd"/>
      <w:r w:rsidRPr="00C05D6B">
        <w:rPr>
          <w:rFonts w:ascii="Garamond" w:hAnsi="Garamond" w:cs="Times New Roman"/>
        </w:rPr>
        <w:t xml:space="preserve"> that it had removed him from the </w:t>
      </w:r>
      <w:proofErr w:type="gramStart"/>
      <w:r w:rsidRPr="00C05D6B">
        <w:rPr>
          <w:rFonts w:ascii="Garamond" w:hAnsi="Garamond" w:cs="Times New Roman"/>
        </w:rPr>
        <w:t>No Fly</w:t>
      </w:r>
      <w:proofErr w:type="gramEnd"/>
      <w:r w:rsidRPr="00C05D6B">
        <w:rPr>
          <w:rFonts w:ascii="Garamond" w:hAnsi="Garamond" w:cs="Times New Roman"/>
        </w:rPr>
        <w:t xml:space="preserve"> List. No explanation accompanied the decision. But, in court, the government argued that its administrative action rendered his lawsuit moot; even accepting all his allegations as true, the government said, dismissal had to follow as a matter of law. It did not contest the truth of Mr. </w:t>
      </w:r>
      <w:proofErr w:type="spellStart"/>
      <w:r w:rsidRPr="00C05D6B">
        <w:rPr>
          <w:rFonts w:ascii="Garamond" w:hAnsi="Garamond" w:cs="Times New Roman"/>
        </w:rPr>
        <w:t>Fikre’s</w:t>
      </w:r>
      <w:proofErr w:type="spellEnd"/>
      <w:r w:rsidRPr="00C05D6B">
        <w:rPr>
          <w:rFonts w:ascii="Garamond" w:hAnsi="Garamond" w:cs="Times New Roman"/>
        </w:rPr>
        <w:t xml:space="preserve"> allegations concerning his experiences. But the government relied on a declaration from the Acting Deputy Director for Operations of the Terrorist Screening Center. The declaration represented that Mr. </w:t>
      </w:r>
      <w:proofErr w:type="spellStart"/>
      <w:r w:rsidRPr="00C05D6B">
        <w:rPr>
          <w:rFonts w:ascii="Garamond" w:hAnsi="Garamond" w:cs="Times New Roman"/>
        </w:rPr>
        <w:t>Fikre</w:t>
      </w:r>
      <w:proofErr w:type="spellEnd"/>
      <w:r w:rsidRPr="00C05D6B">
        <w:rPr>
          <w:rFonts w:ascii="Garamond" w:hAnsi="Garamond" w:cs="Times New Roman"/>
        </w:rPr>
        <w:t xml:space="preserve"> “will not be placed on the </w:t>
      </w:r>
      <w:proofErr w:type="gramStart"/>
      <w:r w:rsidRPr="00C05D6B">
        <w:rPr>
          <w:rFonts w:ascii="Garamond" w:hAnsi="Garamond" w:cs="Times New Roman"/>
        </w:rPr>
        <w:t>No Fly</w:t>
      </w:r>
      <w:proofErr w:type="gramEnd"/>
      <w:r w:rsidRPr="00C05D6B">
        <w:rPr>
          <w:rFonts w:ascii="Garamond" w:hAnsi="Garamond" w:cs="Times New Roman"/>
        </w:rPr>
        <w:t xml:space="preserve"> List in the future based on the currently available information.” Persuaded by the government</w:t>
      </w:r>
      <w:r w:rsidR="00050125" w:rsidRPr="00C05D6B">
        <w:rPr>
          <w:rFonts w:ascii="Garamond" w:hAnsi="Garamond" w:cs="Times New Roman"/>
        </w:rPr>
        <w:t>’</w:t>
      </w:r>
      <w:r w:rsidRPr="00C05D6B">
        <w:rPr>
          <w:rFonts w:ascii="Garamond" w:hAnsi="Garamond" w:cs="Times New Roman"/>
        </w:rPr>
        <w:t xml:space="preserve">s latest motion, the district court dismissed Mr. </w:t>
      </w:r>
      <w:proofErr w:type="spellStart"/>
      <w:r w:rsidRPr="00C05D6B">
        <w:rPr>
          <w:rFonts w:ascii="Garamond" w:hAnsi="Garamond" w:cs="Times New Roman"/>
        </w:rPr>
        <w:t>Fikre</w:t>
      </w:r>
      <w:r w:rsidR="00E155AE" w:rsidRPr="00C05D6B">
        <w:rPr>
          <w:rFonts w:ascii="Garamond" w:hAnsi="Garamond" w:cs="Times New Roman"/>
        </w:rPr>
        <w:t>’</w:t>
      </w:r>
      <w:r w:rsidRPr="00C05D6B">
        <w:rPr>
          <w:rFonts w:ascii="Garamond" w:hAnsi="Garamond" w:cs="Times New Roman"/>
        </w:rPr>
        <w:t>s</w:t>
      </w:r>
      <w:proofErr w:type="spellEnd"/>
      <w:r w:rsidRPr="00C05D6B">
        <w:rPr>
          <w:rFonts w:ascii="Garamond" w:hAnsi="Garamond" w:cs="Times New Roman"/>
        </w:rPr>
        <w:t xml:space="preserve"> claims as moot. The Ninth Circuit reversed. </w:t>
      </w:r>
    </w:p>
    <w:p w14:paraId="3CA7ADB6" w14:textId="77777777" w:rsidR="00F27F80" w:rsidRPr="00C05D6B" w:rsidRDefault="00F27F80" w:rsidP="00F27F80">
      <w:pPr>
        <w:rPr>
          <w:rFonts w:ascii="Garamond" w:hAnsi="Garamond" w:cs="Times New Roman"/>
        </w:rPr>
      </w:pPr>
    </w:p>
    <w:p w14:paraId="07BFF237" w14:textId="77777777" w:rsidR="00F27F80" w:rsidRPr="00C05D6B" w:rsidRDefault="00F27F80" w:rsidP="00285176">
      <w:pPr>
        <w:rPr>
          <w:rFonts w:ascii="Garamond" w:hAnsi="Garamond" w:cs="Times New Roman"/>
        </w:rPr>
      </w:pPr>
      <w:r w:rsidRPr="00C05D6B">
        <w:rPr>
          <w:rFonts w:ascii="Garamond" w:hAnsi="Garamond" w:cs="Times New Roman"/>
        </w:rPr>
        <w:t>II</w:t>
      </w:r>
    </w:p>
    <w:p w14:paraId="69BBEC50" w14:textId="77777777" w:rsidR="00F27F80" w:rsidRPr="00C05D6B" w:rsidRDefault="00F27F80" w:rsidP="00F27F80">
      <w:pPr>
        <w:jc w:val="center"/>
        <w:rPr>
          <w:rFonts w:ascii="Garamond" w:hAnsi="Garamond" w:cs="Times New Roman"/>
        </w:rPr>
      </w:pPr>
    </w:p>
    <w:p w14:paraId="6965AC13" w14:textId="2B89E0D9" w:rsidR="00F27F80" w:rsidRPr="00C05D6B" w:rsidRDefault="00F27F80" w:rsidP="00F27F80">
      <w:pPr>
        <w:rPr>
          <w:rFonts w:ascii="Garamond" w:hAnsi="Garamond" w:cs="Times New Roman"/>
        </w:rPr>
      </w:pPr>
      <w:r w:rsidRPr="00C05D6B">
        <w:rPr>
          <w:rFonts w:ascii="Garamond" w:hAnsi="Garamond" w:cs="Times New Roman"/>
        </w:rPr>
        <w:tab/>
        <w:t>The Constitution grants federal courts jurisdiction to decide “Cases” or “Controversies.” Art. III, §§ 1, 2. A court with jurisdiction has a “virtually unflagging obligation” to hear and resolve questions properly before it. Colorado River Water Conservation Dist. v. United States (1976). But the converse also holds true. Sometimes, events in the world overtake those in the courtroom, and a complaining party manages to secure outside of litigation all the relief he might have won in it. When that happens, a federal court must dismiss the case as moot. It must because federal judges are not counselors or academics; they are not free to take up hypothetical questions that pique a party</w:t>
      </w:r>
      <w:r w:rsidR="00055511" w:rsidRPr="00C05D6B">
        <w:rPr>
          <w:rFonts w:ascii="Garamond" w:hAnsi="Garamond" w:cs="Times New Roman"/>
        </w:rPr>
        <w:t>’</w:t>
      </w:r>
      <w:r w:rsidRPr="00C05D6B">
        <w:rPr>
          <w:rFonts w:ascii="Garamond" w:hAnsi="Garamond" w:cs="Times New Roman"/>
        </w:rPr>
        <w:t xml:space="preserve">s curiosity or their own. The limited authority vested in federal courts to decide cases and controversies means that they may no more pronounce on past actions that do not have any continuing effect in the world than they may shirk decision on those that do. </w:t>
      </w:r>
    </w:p>
    <w:p w14:paraId="2BB33B1E" w14:textId="77777777" w:rsidR="00285176" w:rsidRPr="00C05D6B" w:rsidRDefault="00285176" w:rsidP="00F27F80">
      <w:pPr>
        <w:rPr>
          <w:rFonts w:ascii="Garamond" w:hAnsi="Garamond" w:cs="Times New Roman"/>
        </w:rPr>
      </w:pPr>
    </w:p>
    <w:p w14:paraId="7C874E22" w14:textId="5C562CEC" w:rsidR="00F27F80" w:rsidRPr="00C05D6B" w:rsidRDefault="00F27F80" w:rsidP="00F27F80">
      <w:pPr>
        <w:rPr>
          <w:rFonts w:ascii="Garamond" w:hAnsi="Garamond" w:cs="Times New Roman"/>
        </w:rPr>
      </w:pPr>
      <w:r w:rsidRPr="00C05D6B">
        <w:rPr>
          <w:rFonts w:ascii="Garamond" w:hAnsi="Garamond" w:cs="Times New Roman"/>
        </w:rPr>
        <w:tab/>
        <w:t>None of this implies that a defendant may “automatically moot a case” by the simple expedient of suspending its challenged conduct after it is sued. Instead, our precedents hold, a defendant</w:t>
      </w:r>
      <w:r w:rsidR="00050125" w:rsidRPr="00C05D6B">
        <w:rPr>
          <w:rFonts w:ascii="Garamond" w:hAnsi="Garamond" w:cs="Times New Roman"/>
        </w:rPr>
        <w:t>’</w:t>
      </w:r>
      <w:r w:rsidRPr="00C05D6B">
        <w:rPr>
          <w:rFonts w:ascii="Garamond" w:hAnsi="Garamond" w:cs="Times New Roman"/>
        </w:rPr>
        <w:t xml:space="preserve">s “‘voluntary cessation of a challenged practice’” will moot a case only if the defendant </w:t>
      </w:r>
      <w:r w:rsidRPr="00C05D6B">
        <w:rPr>
          <w:rFonts w:ascii="Garamond" w:hAnsi="Garamond" w:cs="Times New Roman"/>
        </w:rPr>
        <w:lastRenderedPageBreak/>
        <w:t xml:space="preserve">can show that the practice cannot “‘reasonably be expected to recur.’” Friends of the Earth, Inc. v. Laidlaw Environmental Services (TOC), Inc. (2000); </w:t>
      </w:r>
      <w:r w:rsidRPr="00C05D6B">
        <w:rPr>
          <w:rFonts w:ascii="Garamond" w:hAnsi="Garamond" w:cs="Times New Roman"/>
          <w:i/>
          <w:iCs/>
        </w:rPr>
        <w:t>see</w:t>
      </w:r>
      <w:r w:rsidRPr="00C05D6B">
        <w:rPr>
          <w:rFonts w:ascii="Garamond" w:hAnsi="Garamond" w:cs="Times New Roman"/>
        </w:rPr>
        <w:t xml:space="preserve"> United States v. W. T. Grant Co. (1953).</w:t>
      </w:r>
    </w:p>
    <w:p w14:paraId="29C8DB1A" w14:textId="77777777" w:rsidR="00285176" w:rsidRPr="00C05D6B" w:rsidRDefault="00285176" w:rsidP="00F27F80">
      <w:pPr>
        <w:rPr>
          <w:rFonts w:ascii="Garamond" w:hAnsi="Garamond" w:cs="Times New Roman"/>
        </w:rPr>
      </w:pPr>
    </w:p>
    <w:p w14:paraId="6DCD6A81" w14:textId="6383B30C" w:rsidR="00F27F80" w:rsidRPr="00C05D6B" w:rsidRDefault="00F27F80" w:rsidP="00F27F80">
      <w:pPr>
        <w:rPr>
          <w:rFonts w:ascii="Garamond" w:hAnsi="Garamond" w:cs="Times New Roman"/>
        </w:rPr>
      </w:pPr>
      <w:r w:rsidRPr="00C05D6B">
        <w:rPr>
          <w:rFonts w:ascii="Garamond" w:hAnsi="Garamond" w:cs="Times New Roman"/>
        </w:rPr>
        <w:tab/>
        <w:t>We have described this as a “formidable burden.”</w:t>
      </w:r>
      <w:r w:rsidR="006D79DB" w:rsidRPr="00C05D6B">
        <w:rPr>
          <w:rFonts w:ascii="Garamond" w:hAnsi="Garamond" w:cs="Times New Roman"/>
        </w:rPr>
        <w:t xml:space="preserve"> </w:t>
      </w:r>
      <w:r w:rsidR="006D79DB" w:rsidRPr="00C05D6B">
        <w:rPr>
          <w:rFonts w:ascii="Garamond" w:hAnsi="Garamond" w:cs="Times New Roman"/>
          <w:i/>
          <w:iCs/>
        </w:rPr>
        <w:t>Friends of the Earth</w:t>
      </w:r>
      <w:r w:rsidR="006D79DB" w:rsidRPr="00C05D6B">
        <w:rPr>
          <w:rFonts w:ascii="Garamond" w:hAnsi="Garamond" w:cs="Times New Roman"/>
        </w:rPr>
        <w:t>.</w:t>
      </w:r>
      <w:r w:rsidRPr="00C05D6B">
        <w:rPr>
          <w:rFonts w:ascii="Garamond" w:hAnsi="Garamond" w:cs="Times New Roman"/>
        </w:rPr>
        <w:t xml:space="preserve"> And the reason for it is simple: “The Constitution deals with substance,” not strategies.</w:t>
      </w:r>
      <w:r w:rsidR="006D79DB" w:rsidRPr="00C05D6B">
        <w:rPr>
          <w:rFonts w:ascii="Garamond" w:hAnsi="Garamond" w:cs="Times New Roman"/>
        </w:rPr>
        <w:t xml:space="preserve"> Cummings v. Missouri (1867).</w:t>
      </w:r>
      <w:r w:rsidRPr="00C05D6B">
        <w:rPr>
          <w:rFonts w:ascii="Garamond" w:hAnsi="Garamond" w:cs="Times New Roman"/>
        </w:rPr>
        <w:t xml:space="preserve"> Were the rule more forgiving, a defendant might suspend its challenged conduct after being sued, win dismissal, and later pick up where it left off; it might even repeat “this cycle” as necessary until it achieves all of its allegedly “unlawful ends.”</w:t>
      </w:r>
      <w:r w:rsidR="006D79DB" w:rsidRPr="00C05D6B">
        <w:rPr>
          <w:rFonts w:ascii="Garamond" w:hAnsi="Garamond" w:cs="Times New Roman"/>
        </w:rPr>
        <w:t xml:space="preserve"> Already, LLC v. Nike (2013).</w:t>
      </w:r>
      <w:r w:rsidRPr="00C05D6B">
        <w:rPr>
          <w:rFonts w:ascii="Garamond" w:hAnsi="Garamond" w:cs="Times New Roman"/>
        </w:rPr>
        <w:t xml:space="preserve"> A live case or controversy cannot be so easily disguised, and a federal court's constitutional authority cannot be so readily manipulated. To show that a case is truly moot, a defendant must prove “‘no reasonable expectation’” remains that it will “return to [its] old ways.”</w:t>
      </w:r>
      <w:r w:rsidR="006D79DB" w:rsidRPr="00C05D6B">
        <w:rPr>
          <w:rFonts w:ascii="Garamond" w:hAnsi="Garamond" w:cs="Times New Roman"/>
        </w:rPr>
        <w:t xml:space="preserve"> U.S. v. W.T. Grant Co.</w:t>
      </w:r>
      <w:r w:rsidRPr="00C05D6B">
        <w:rPr>
          <w:rFonts w:ascii="Garamond" w:hAnsi="Garamond" w:cs="Times New Roman"/>
        </w:rPr>
        <w:t xml:space="preserve"> </w:t>
      </w:r>
      <w:r w:rsidR="006D79DB" w:rsidRPr="00C05D6B">
        <w:rPr>
          <w:rFonts w:ascii="Garamond" w:hAnsi="Garamond" w:cs="Times New Roman"/>
        </w:rPr>
        <w:t xml:space="preserve">(1953). </w:t>
      </w:r>
      <w:r w:rsidRPr="00C05D6B">
        <w:rPr>
          <w:rFonts w:ascii="Garamond" w:hAnsi="Garamond" w:cs="Times New Roman"/>
        </w:rPr>
        <w:t xml:space="preserve">That much holds for governmental defendants no less than for private ones. </w:t>
      </w:r>
    </w:p>
    <w:p w14:paraId="688E47D6" w14:textId="77777777" w:rsidR="00285176" w:rsidRPr="00C05D6B" w:rsidRDefault="00285176" w:rsidP="00F27F80">
      <w:pPr>
        <w:rPr>
          <w:rFonts w:ascii="Garamond" w:hAnsi="Garamond" w:cs="Times New Roman"/>
        </w:rPr>
      </w:pPr>
    </w:p>
    <w:p w14:paraId="7C7BD650" w14:textId="5312049D" w:rsidR="00F27F80" w:rsidRPr="00C05D6B" w:rsidRDefault="00F27F80" w:rsidP="00F27F80">
      <w:pPr>
        <w:rPr>
          <w:rFonts w:ascii="Garamond" w:hAnsi="Garamond" w:cs="Times New Roman"/>
        </w:rPr>
      </w:pPr>
      <w:r w:rsidRPr="00C05D6B">
        <w:rPr>
          <w:rFonts w:ascii="Garamond" w:hAnsi="Garamond" w:cs="Times New Roman"/>
        </w:rPr>
        <w:tab/>
        <w:t xml:space="preserve">Viewed in that light, this case is not moot. To appreciate why, it is enough to consider one aspect of Mr. </w:t>
      </w:r>
      <w:proofErr w:type="spellStart"/>
      <w:r w:rsidRPr="00C05D6B">
        <w:rPr>
          <w:rFonts w:ascii="Garamond" w:hAnsi="Garamond" w:cs="Times New Roman"/>
        </w:rPr>
        <w:t>Fikre</w:t>
      </w:r>
      <w:r w:rsidR="00050125" w:rsidRPr="00C05D6B">
        <w:rPr>
          <w:rFonts w:ascii="Garamond" w:hAnsi="Garamond" w:cs="Times New Roman"/>
        </w:rPr>
        <w:t>’</w:t>
      </w:r>
      <w:r w:rsidRPr="00C05D6B">
        <w:rPr>
          <w:rFonts w:ascii="Garamond" w:hAnsi="Garamond" w:cs="Times New Roman"/>
        </w:rPr>
        <w:t>s</w:t>
      </w:r>
      <w:proofErr w:type="spellEnd"/>
      <w:r w:rsidRPr="00C05D6B">
        <w:rPr>
          <w:rFonts w:ascii="Garamond" w:hAnsi="Garamond" w:cs="Times New Roman"/>
        </w:rPr>
        <w:t xml:space="preserve"> complaint. He contends that the government placed him on the </w:t>
      </w:r>
      <w:proofErr w:type="gramStart"/>
      <w:r w:rsidRPr="00C05D6B">
        <w:rPr>
          <w:rFonts w:ascii="Garamond" w:hAnsi="Garamond" w:cs="Times New Roman"/>
        </w:rPr>
        <w:t>No Fly</w:t>
      </w:r>
      <w:proofErr w:type="gramEnd"/>
      <w:r w:rsidRPr="00C05D6B">
        <w:rPr>
          <w:rFonts w:ascii="Garamond" w:hAnsi="Garamond" w:cs="Times New Roman"/>
        </w:rPr>
        <w:t xml:space="preserve"> List for constitutionally impermissible reasons, including his religious beliefs. In support of his claim, Mr. </w:t>
      </w:r>
      <w:proofErr w:type="spellStart"/>
      <w:r w:rsidRPr="00C05D6B">
        <w:rPr>
          <w:rFonts w:ascii="Garamond" w:hAnsi="Garamond" w:cs="Times New Roman"/>
        </w:rPr>
        <w:t>Fikre</w:t>
      </w:r>
      <w:proofErr w:type="spellEnd"/>
      <w:r w:rsidRPr="00C05D6B">
        <w:rPr>
          <w:rFonts w:ascii="Garamond" w:hAnsi="Garamond" w:cs="Times New Roman"/>
        </w:rPr>
        <w:t xml:space="preserve"> alleges (among other things) that FBI agents interrogated him about a mosque in Portland he once attended and threatened to keep him on the </w:t>
      </w:r>
      <w:proofErr w:type="gramStart"/>
      <w:r w:rsidRPr="00C05D6B">
        <w:rPr>
          <w:rFonts w:ascii="Garamond" w:hAnsi="Garamond" w:cs="Times New Roman"/>
        </w:rPr>
        <w:t>No Fly</w:t>
      </w:r>
      <w:proofErr w:type="gramEnd"/>
      <w:r w:rsidRPr="00C05D6B">
        <w:rPr>
          <w:rFonts w:ascii="Garamond" w:hAnsi="Garamond" w:cs="Times New Roman"/>
        </w:rPr>
        <w:t xml:space="preserve"> List unless he agreed to serve as an informant against his co-religionists. Accepting these as-yet uncontested allegations, the government</w:t>
      </w:r>
      <w:r w:rsidR="00050125" w:rsidRPr="00C05D6B">
        <w:rPr>
          <w:rFonts w:ascii="Garamond" w:hAnsi="Garamond" w:cs="Times New Roman"/>
        </w:rPr>
        <w:t>’</w:t>
      </w:r>
      <w:r w:rsidRPr="00C05D6B">
        <w:rPr>
          <w:rFonts w:ascii="Garamond" w:hAnsi="Garamond" w:cs="Times New Roman"/>
        </w:rPr>
        <w:t xml:space="preserve">s representation that it will not relist Mr. </w:t>
      </w:r>
      <w:proofErr w:type="spellStart"/>
      <w:r w:rsidRPr="00C05D6B">
        <w:rPr>
          <w:rFonts w:ascii="Garamond" w:hAnsi="Garamond" w:cs="Times New Roman"/>
        </w:rPr>
        <w:t>Fikre</w:t>
      </w:r>
      <w:proofErr w:type="spellEnd"/>
      <w:r w:rsidRPr="00C05D6B">
        <w:rPr>
          <w:rFonts w:ascii="Garamond" w:hAnsi="Garamond" w:cs="Times New Roman"/>
        </w:rPr>
        <w:t xml:space="preserve"> based on “currently available information” may mean that his past actions are not enough to warrant his relisting. But, as the court of appeals observed, none of that speaks to whether the government might relist him if he does the same or similar things in the future—say, attend a particular mosque or refuse renewed overtures to serve as an informant. Put simply, the government</w:t>
      </w:r>
      <w:r w:rsidR="00050125" w:rsidRPr="00C05D6B">
        <w:rPr>
          <w:rFonts w:ascii="Garamond" w:hAnsi="Garamond" w:cs="Times New Roman"/>
        </w:rPr>
        <w:t>’</w:t>
      </w:r>
      <w:r w:rsidRPr="00C05D6B">
        <w:rPr>
          <w:rFonts w:ascii="Garamond" w:hAnsi="Garamond" w:cs="Times New Roman"/>
        </w:rPr>
        <w:t xml:space="preserve">s sparse declaration falls short of demonstrating that it cannot reasonably be expected to do again in the future what it is alleged to have done in the past. </w:t>
      </w:r>
    </w:p>
    <w:p w14:paraId="4622E27E" w14:textId="77777777" w:rsidR="00285176" w:rsidRPr="00C05D6B" w:rsidRDefault="00285176" w:rsidP="00F27F80">
      <w:pPr>
        <w:rPr>
          <w:rFonts w:ascii="Garamond" w:hAnsi="Garamond" w:cs="Times New Roman"/>
        </w:rPr>
      </w:pPr>
    </w:p>
    <w:p w14:paraId="35D9BA37" w14:textId="77777777" w:rsidR="00F27F80" w:rsidRPr="00C05D6B" w:rsidRDefault="00F27F80" w:rsidP="00F27F80">
      <w:pPr>
        <w:rPr>
          <w:rFonts w:ascii="Garamond" w:hAnsi="Garamond" w:cs="Times New Roman"/>
        </w:rPr>
      </w:pPr>
      <w:r w:rsidRPr="00C05D6B">
        <w:rPr>
          <w:rFonts w:ascii="Garamond" w:hAnsi="Garamond" w:cs="Times New Roman"/>
        </w:rPr>
        <w:tab/>
        <w:t xml:space="preserve">If its declaration alone will not do, the government asks us to consider two further things. First, it points to the fact that it removed Mr. </w:t>
      </w:r>
      <w:proofErr w:type="spellStart"/>
      <w:r w:rsidRPr="00C05D6B">
        <w:rPr>
          <w:rFonts w:ascii="Garamond" w:hAnsi="Garamond" w:cs="Times New Roman"/>
        </w:rPr>
        <w:t>Fikre</w:t>
      </w:r>
      <w:proofErr w:type="spellEnd"/>
      <w:r w:rsidRPr="00C05D6B">
        <w:rPr>
          <w:rFonts w:ascii="Garamond" w:hAnsi="Garamond" w:cs="Times New Roman"/>
        </w:rPr>
        <w:t xml:space="preserve"> from the </w:t>
      </w:r>
      <w:proofErr w:type="gramStart"/>
      <w:r w:rsidRPr="00C05D6B">
        <w:rPr>
          <w:rFonts w:ascii="Garamond" w:hAnsi="Garamond" w:cs="Times New Roman"/>
        </w:rPr>
        <w:t>No Fly</w:t>
      </w:r>
      <w:proofErr w:type="gramEnd"/>
      <w:r w:rsidRPr="00C05D6B">
        <w:rPr>
          <w:rFonts w:ascii="Garamond" w:hAnsi="Garamond" w:cs="Times New Roman"/>
        </w:rPr>
        <w:t xml:space="preserve"> List in 2016. The government acknowledges that it took this action only after he filed suit. But, it stresses, the parties have now sparred in court for some years since his delisting. Second, the government surmises that, during this period, Mr. </w:t>
      </w:r>
      <w:proofErr w:type="spellStart"/>
      <w:r w:rsidRPr="00C05D6B">
        <w:rPr>
          <w:rFonts w:ascii="Garamond" w:hAnsi="Garamond" w:cs="Times New Roman"/>
        </w:rPr>
        <w:t>Fikre</w:t>
      </w:r>
      <w:proofErr w:type="spellEnd"/>
      <w:r w:rsidRPr="00C05D6B">
        <w:rPr>
          <w:rFonts w:ascii="Garamond" w:hAnsi="Garamond" w:cs="Times New Roman"/>
        </w:rPr>
        <w:t xml:space="preserve"> “presumably has joined religious organizations” and interacted freely with his co-religionists. Together, the government submits, these points make it unlikely he will face relisting in the future.</w:t>
      </w:r>
    </w:p>
    <w:p w14:paraId="1A2C6AE9" w14:textId="77777777" w:rsidR="00285176" w:rsidRPr="00C05D6B" w:rsidRDefault="00285176" w:rsidP="00F27F80">
      <w:pPr>
        <w:rPr>
          <w:rFonts w:ascii="Garamond" w:hAnsi="Garamond" w:cs="Times New Roman"/>
        </w:rPr>
      </w:pPr>
    </w:p>
    <w:p w14:paraId="7CC9B342" w14:textId="7D1DFE1F" w:rsidR="00F27F80" w:rsidRPr="00C05D6B" w:rsidRDefault="00F27F80" w:rsidP="00F27F80">
      <w:pPr>
        <w:rPr>
          <w:rFonts w:ascii="Garamond" w:hAnsi="Garamond" w:cs="Times New Roman"/>
        </w:rPr>
      </w:pPr>
      <w:r w:rsidRPr="00C05D6B">
        <w:rPr>
          <w:rFonts w:ascii="Garamond" w:hAnsi="Garamond" w:cs="Times New Roman"/>
        </w:rPr>
        <w:tab/>
        <w:t>That, too, is insufficient to warrant dismissal. A case does not automatically become moot when a defendant suspends its challenged conduct and then carries on litigating for some specified period. Nor can a defendant</w:t>
      </w:r>
      <w:r w:rsidR="00050125" w:rsidRPr="00C05D6B">
        <w:rPr>
          <w:rFonts w:ascii="Garamond" w:hAnsi="Garamond" w:cs="Times New Roman"/>
        </w:rPr>
        <w:t>’</w:t>
      </w:r>
      <w:r w:rsidRPr="00C05D6B">
        <w:rPr>
          <w:rFonts w:ascii="Garamond" w:hAnsi="Garamond" w:cs="Times New Roman"/>
        </w:rPr>
        <w:t>s speculation about a plaintiff’s actions make up for a lack of assurance about its own. In all cases, it is the defendant</w:t>
      </w:r>
      <w:r w:rsidR="00050125" w:rsidRPr="00C05D6B">
        <w:rPr>
          <w:rFonts w:ascii="Garamond" w:hAnsi="Garamond" w:cs="Times New Roman"/>
        </w:rPr>
        <w:t>’</w:t>
      </w:r>
      <w:r w:rsidRPr="00C05D6B">
        <w:rPr>
          <w:rFonts w:ascii="Garamond" w:hAnsi="Garamond" w:cs="Times New Roman"/>
        </w:rPr>
        <w:t xml:space="preserve">s “burden to establish” that it cannot reasonably be expected to resume its challenged conduct—whether the suit happens to be new or long lingering, and whether the challenged conduct might recur immediately or later at some more propitious moment. Nothing the government offers here satisfies that formidable standard. </w:t>
      </w:r>
    </w:p>
    <w:p w14:paraId="7B8864B2" w14:textId="77777777" w:rsidR="00285176" w:rsidRPr="00C05D6B" w:rsidRDefault="00285176" w:rsidP="00F27F80">
      <w:pPr>
        <w:rPr>
          <w:rFonts w:ascii="Garamond" w:hAnsi="Garamond" w:cs="Times New Roman"/>
        </w:rPr>
      </w:pPr>
    </w:p>
    <w:p w14:paraId="60EEDEAA" w14:textId="71B36A6D" w:rsidR="00F27F80" w:rsidRPr="00C05D6B" w:rsidRDefault="00F27F80" w:rsidP="00F27F80">
      <w:pPr>
        <w:rPr>
          <w:rFonts w:ascii="Garamond" w:hAnsi="Garamond" w:cs="Times New Roman"/>
        </w:rPr>
      </w:pPr>
      <w:r w:rsidRPr="00C05D6B">
        <w:rPr>
          <w:rFonts w:ascii="Garamond" w:hAnsi="Garamond" w:cs="Times New Roman"/>
        </w:rPr>
        <w:tab/>
        <w:t>Yes, a party</w:t>
      </w:r>
      <w:r w:rsidR="00050125" w:rsidRPr="00C05D6B">
        <w:rPr>
          <w:rFonts w:ascii="Garamond" w:hAnsi="Garamond" w:cs="Times New Roman"/>
        </w:rPr>
        <w:t>’</w:t>
      </w:r>
      <w:r w:rsidRPr="00C05D6B">
        <w:rPr>
          <w:rFonts w:ascii="Garamond" w:hAnsi="Garamond" w:cs="Times New Roman"/>
        </w:rPr>
        <w:t>s repudiation of its past conduct may sometimes help demonstrate that conduct is unlikely to recur. But often a case will become moot even when a defendant “vehemently” insists on the propriety of “the conduct that precipitated the lawsuit.”</w:t>
      </w:r>
      <w:r w:rsidR="006D79DB" w:rsidRPr="00C05D6B">
        <w:rPr>
          <w:rFonts w:ascii="Garamond" w:hAnsi="Garamond" w:cs="Times New Roman"/>
        </w:rPr>
        <w:t xml:space="preserve"> </w:t>
      </w:r>
      <w:r w:rsidR="006D79DB" w:rsidRPr="00C05D6B">
        <w:rPr>
          <w:rFonts w:ascii="Garamond" w:hAnsi="Garamond" w:cs="Times New Roman"/>
          <w:i/>
          <w:iCs/>
        </w:rPr>
        <w:t>Already</w:t>
      </w:r>
      <w:r w:rsidR="006D79DB" w:rsidRPr="00C05D6B">
        <w:rPr>
          <w:rFonts w:ascii="Garamond" w:hAnsi="Garamond" w:cs="Times New Roman"/>
        </w:rPr>
        <w:t xml:space="preserve">. </w:t>
      </w:r>
      <w:r w:rsidRPr="00C05D6B">
        <w:rPr>
          <w:rFonts w:ascii="Garamond" w:hAnsi="Garamond" w:cs="Times New Roman"/>
        </w:rPr>
        <w:t xml:space="preserve"> What matters is not whether a defendant repudiates its past actions, but what repudiation can prove about its future conduct. It is </w:t>
      </w:r>
      <w:r w:rsidRPr="00C05D6B">
        <w:rPr>
          <w:rFonts w:ascii="Garamond" w:hAnsi="Garamond" w:cs="Times New Roman"/>
        </w:rPr>
        <w:lastRenderedPageBreak/>
        <w:t>on that consideration alone—the potential for a defendant</w:t>
      </w:r>
      <w:r w:rsidR="00050125" w:rsidRPr="00C05D6B">
        <w:rPr>
          <w:rFonts w:ascii="Garamond" w:hAnsi="Garamond" w:cs="Times New Roman"/>
        </w:rPr>
        <w:t>’</w:t>
      </w:r>
      <w:r w:rsidRPr="00C05D6B">
        <w:rPr>
          <w:rFonts w:ascii="Garamond" w:hAnsi="Garamond" w:cs="Times New Roman"/>
        </w:rPr>
        <w:t>s future conduct—that we rest our judgment.</w:t>
      </w:r>
    </w:p>
    <w:p w14:paraId="176036AD" w14:textId="77777777" w:rsidR="006D79DB" w:rsidRPr="00C05D6B" w:rsidRDefault="006D79DB" w:rsidP="00F27F80">
      <w:pPr>
        <w:rPr>
          <w:rFonts w:ascii="Garamond" w:hAnsi="Garamond" w:cs="Times New Roman"/>
        </w:rPr>
      </w:pPr>
    </w:p>
    <w:p w14:paraId="4D473855" w14:textId="0694C2FE" w:rsidR="00002E08" w:rsidRPr="00C05D6B" w:rsidRDefault="00F27F80" w:rsidP="00002E08">
      <w:pPr>
        <w:rPr>
          <w:rFonts w:ascii="Garamond" w:hAnsi="Garamond" w:cs="Times New Roman"/>
        </w:rPr>
      </w:pPr>
      <w:r w:rsidRPr="00C05D6B">
        <w:rPr>
          <w:rFonts w:ascii="Garamond" w:hAnsi="Garamond" w:cs="Times New Roman"/>
        </w:rPr>
        <w:tab/>
        <w:t>To be sure, litigating disputes that potentially touch on matters of national security beyond the motion-to-dismiss stage can present evidentiary challenges for parties and courts alike. Careful attention must be paid to the handling of classified or privileged information. For our present purposes, however, it is enough to know both sides agree that adhering to traditional mootness principles is especially important in this national-security context. And adhering to those principles here, “it is impossible to conclude” the government has so far “borne [its] burden” of proving that this dispute is moot.</w:t>
      </w:r>
      <w:r w:rsidR="006D79DB" w:rsidRPr="00C05D6B">
        <w:rPr>
          <w:rFonts w:ascii="Garamond" w:hAnsi="Garamond" w:cs="Times New Roman"/>
        </w:rPr>
        <w:t xml:space="preserve"> </w:t>
      </w:r>
      <w:proofErr w:type="spellStart"/>
      <w:r w:rsidR="006D79DB" w:rsidRPr="00C05D6B">
        <w:rPr>
          <w:rFonts w:ascii="Garamond" w:hAnsi="Garamond" w:cs="Times New Roman"/>
        </w:rPr>
        <w:t>Adarand</w:t>
      </w:r>
      <w:proofErr w:type="spellEnd"/>
      <w:r w:rsidR="006D79DB" w:rsidRPr="00C05D6B">
        <w:rPr>
          <w:rFonts w:ascii="Garamond" w:hAnsi="Garamond" w:cs="Times New Roman"/>
        </w:rPr>
        <w:t xml:space="preserve"> Constructors Inc. v. Slater (2000).</w:t>
      </w:r>
    </w:p>
    <w:p w14:paraId="0A006D2D" w14:textId="5CFE6FF4" w:rsidR="006D79DB" w:rsidRPr="00C05D6B" w:rsidRDefault="006D79DB" w:rsidP="00002E08">
      <w:pPr>
        <w:rPr>
          <w:rFonts w:ascii="Garamond" w:hAnsi="Garamond" w:cs="Times New Roman"/>
        </w:rPr>
      </w:pPr>
    </w:p>
    <w:p w14:paraId="2819C161" w14:textId="256316EE" w:rsidR="006D79DB" w:rsidRPr="00C05D6B" w:rsidRDefault="006D79DB" w:rsidP="00002E08">
      <w:pPr>
        <w:rPr>
          <w:rFonts w:ascii="Garamond" w:hAnsi="Garamond" w:cs="Times New Roman"/>
        </w:rPr>
      </w:pPr>
      <w:r w:rsidRPr="00C05D6B">
        <w:rPr>
          <w:rFonts w:ascii="Garamond" w:hAnsi="Garamond" w:cs="Times New Roman"/>
        </w:rPr>
        <w:tab/>
        <w:t xml:space="preserve">The judgment of the Court of Appeals for the Ninth Circuit is </w:t>
      </w:r>
      <w:r w:rsidRPr="00C05D6B">
        <w:rPr>
          <w:rFonts w:ascii="Garamond" w:hAnsi="Garamond" w:cs="Times New Roman"/>
          <w:i/>
          <w:iCs/>
        </w:rPr>
        <w:t>affirmed</w:t>
      </w:r>
      <w:r w:rsidRPr="00C05D6B">
        <w:rPr>
          <w:rFonts w:ascii="Garamond" w:hAnsi="Garamond" w:cs="Times New Roman"/>
        </w:rPr>
        <w:t>.</w:t>
      </w:r>
    </w:p>
    <w:p w14:paraId="657379FB" w14:textId="1CFBE6F3" w:rsidR="006D79DB" w:rsidRPr="00C05D6B" w:rsidRDefault="006D79DB" w:rsidP="00002E08">
      <w:pPr>
        <w:rPr>
          <w:rFonts w:ascii="Garamond" w:hAnsi="Garamond" w:cs="Times New Roman"/>
        </w:rPr>
      </w:pPr>
    </w:p>
    <w:p w14:paraId="06D7AA8F" w14:textId="64C8FE42" w:rsidR="006D79DB" w:rsidRPr="00C05D6B" w:rsidRDefault="006D79DB" w:rsidP="00002E08">
      <w:pPr>
        <w:rPr>
          <w:rFonts w:ascii="Garamond" w:hAnsi="Garamond" w:cs="Times New Roman"/>
        </w:rPr>
      </w:pPr>
      <w:r w:rsidRPr="00C05D6B">
        <w:rPr>
          <w:rFonts w:ascii="Garamond" w:hAnsi="Garamond" w:cs="Times New Roman"/>
        </w:rPr>
        <w:t>[The concurring opinion of Justice Alito, joined by Justice Kavanaugh, is omitted.]</w:t>
      </w:r>
    </w:p>
    <w:p w14:paraId="7BC531F9" w14:textId="77777777" w:rsidR="009B1076" w:rsidRPr="00C05D6B" w:rsidRDefault="009B1076" w:rsidP="00002E08">
      <w:pPr>
        <w:rPr>
          <w:rFonts w:ascii="Garamond" w:hAnsi="Garamond" w:cs="Times New Roman"/>
        </w:rPr>
      </w:pPr>
    </w:p>
    <w:p w14:paraId="024BC06A" w14:textId="0E293A05" w:rsidR="009B1076" w:rsidRPr="00C05D6B" w:rsidRDefault="00C943EC" w:rsidP="009B1076">
      <w:pPr>
        <w:rPr>
          <w:rFonts w:ascii="Garamond" w:eastAsia="Times New Roman" w:hAnsi="Garamond" w:cs="Times New Roman"/>
          <w:b/>
          <w:bCs/>
        </w:rPr>
      </w:pPr>
      <w:r w:rsidRPr="00C05D6B">
        <w:rPr>
          <w:rFonts w:ascii="Garamond" w:eastAsia="Times New Roman" w:hAnsi="Garamond" w:cs="Times New Roman"/>
          <w:b/>
          <w:bCs/>
        </w:rPr>
        <w:t>(CB</w:t>
      </w:r>
      <w:r w:rsidR="009B1076" w:rsidRPr="00C05D6B">
        <w:rPr>
          <w:rFonts w:ascii="Garamond" w:eastAsia="Times New Roman" w:hAnsi="Garamond" w:cs="Times New Roman"/>
          <w:b/>
          <w:bCs/>
        </w:rPr>
        <w:t xml:space="preserve"> p. 394, end of third paragraph</w:t>
      </w:r>
      <w:r w:rsidRPr="00C05D6B">
        <w:rPr>
          <w:rFonts w:ascii="Garamond" w:eastAsia="Times New Roman" w:hAnsi="Garamond" w:cs="Times New Roman"/>
          <w:b/>
          <w:bCs/>
        </w:rPr>
        <w:t>)</w:t>
      </w:r>
    </w:p>
    <w:p w14:paraId="0014E4A0" w14:textId="77777777" w:rsidR="009F73D4" w:rsidRPr="00C05D6B" w:rsidRDefault="009F73D4" w:rsidP="009B1076">
      <w:pPr>
        <w:rPr>
          <w:rFonts w:ascii="Garamond" w:hAnsi="Garamond" w:cstheme="majorBidi"/>
        </w:rPr>
      </w:pPr>
    </w:p>
    <w:p w14:paraId="2F21511D" w14:textId="5726E237" w:rsidR="009B1076" w:rsidRPr="00C05D6B" w:rsidRDefault="009B1076" w:rsidP="009B1076">
      <w:pPr>
        <w:ind w:firstLine="720"/>
        <w:rPr>
          <w:rFonts w:ascii="Garamond" w:hAnsi="Garamond" w:cs="Times New Roman"/>
        </w:rPr>
      </w:pPr>
      <w:r w:rsidRPr="00C05D6B">
        <w:rPr>
          <w:rFonts w:ascii="Garamond" w:hAnsi="Garamond" w:cs="Times New Roman"/>
        </w:rPr>
        <w:t xml:space="preserve">In </w:t>
      </w:r>
      <w:proofErr w:type="spellStart"/>
      <w:r w:rsidRPr="00C05D6B">
        <w:rPr>
          <w:rFonts w:ascii="Garamond" w:hAnsi="Garamond" w:cs="Times New Roman"/>
        </w:rPr>
        <w:t>Bouarfa</w:t>
      </w:r>
      <w:proofErr w:type="spellEnd"/>
      <w:r w:rsidRPr="00C05D6B">
        <w:rPr>
          <w:rFonts w:ascii="Garamond" w:hAnsi="Garamond" w:cs="Times New Roman"/>
        </w:rPr>
        <w:t xml:space="preserve"> v. Mayorkas</w:t>
      </w:r>
      <w:r w:rsidR="00074968" w:rsidRPr="00C05D6B">
        <w:rPr>
          <w:rFonts w:ascii="Garamond" w:hAnsi="Garamond" w:cs="Times New Roman"/>
        </w:rPr>
        <w:fldChar w:fldCharType="begin"/>
      </w:r>
      <w:r w:rsidR="00074968" w:rsidRPr="00C05D6B">
        <w:rPr>
          <w:rFonts w:ascii="Garamond" w:hAnsi="Garamond"/>
        </w:rPr>
        <w:instrText xml:space="preserve"> TA \l "</w:instrText>
      </w:r>
      <w:r w:rsidR="00074968" w:rsidRPr="00C05D6B">
        <w:rPr>
          <w:rFonts w:ascii="Garamond" w:hAnsi="Garamond" w:cs="Times New Roman"/>
        </w:rPr>
        <w:instrText>Bouarfa v. Mayorkas</w:instrText>
      </w:r>
      <w:r w:rsidR="00074968" w:rsidRPr="00C05D6B">
        <w:rPr>
          <w:rFonts w:ascii="Garamond" w:hAnsi="Garamond"/>
        </w:rPr>
        <w:instrText xml:space="preserve">" \s "Bouarfa v. Mayorkas" \c 1 </w:instrText>
      </w:r>
      <w:r w:rsidR="00074968" w:rsidRPr="00C05D6B">
        <w:rPr>
          <w:rFonts w:ascii="Garamond" w:hAnsi="Garamond" w:cs="Times New Roman"/>
        </w:rPr>
        <w:fldChar w:fldCharType="end"/>
      </w:r>
      <w:r w:rsidRPr="00C05D6B">
        <w:rPr>
          <w:rFonts w:ascii="Garamond" w:hAnsi="Garamond" w:cs="Times New Roman"/>
        </w:rPr>
        <w:t xml:space="preserve"> (2024), the Supreme Court unanimously held that revocation of a visa petition based on a sham marriage was a statutorily designated discretionary decision that is not subject to judicial review under the Immigration and Nationality Act’s jurisdiction-stripping provision.</w:t>
      </w:r>
      <w:r w:rsidR="00477096" w:rsidRPr="00C05D6B">
        <w:rPr>
          <w:rFonts w:ascii="Garamond" w:hAnsi="Garamond" w:cs="Times New Roman"/>
        </w:rPr>
        <w:t xml:space="preserve"> </w:t>
      </w:r>
      <w:r w:rsidRPr="00C05D6B">
        <w:rPr>
          <w:rFonts w:ascii="Garamond" w:hAnsi="Garamond" w:cs="Times New Roman"/>
        </w:rPr>
        <w:t>The Court cited Webster v. Doe</w:t>
      </w:r>
      <w:r w:rsidR="00074968" w:rsidRPr="00C05D6B">
        <w:rPr>
          <w:rFonts w:ascii="Garamond" w:hAnsi="Garamond" w:cs="Times New Roman"/>
        </w:rPr>
        <w:fldChar w:fldCharType="begin"/>
      </w:r>
      <w:r w:rsidR="00074968" w:rsidRPr="00C05D6B">
        <w:rPr>
          <w:rFonts w:ascii="Garamond" w:hAnsi="Garamond"/>
        </w:rPr>
        <w:instrText xml:space="preserve"> TA \l "</w:instrText>
      </w:r>
      <w:r w:rsidR="00074968" w:rsidRPr="00C05D6B">
        <w:rPr>
          <w:rFonts w:ascii="Garamond" w:hAnsi="Garamond" w:cs="Times New Roman"/>
        </w:rPr>
        <w:instrText>Webster v. Doe</w:instrText>
      </w:r>
      <w:r w:rsidR="00074968" w:rsidRPr="00C05D6B">
        <w:rPr>
          <w:rFonts w:ascii="Garamond" w:hAnsi="Garamond"/>
        </w:rPr>
        <w:instrText xml:space="preserve">" \s "Webster v. Doe" \c 1 </w:instrText>
      </w:r>
      <w:r w:rsidR="00074968" w:rsidRPr="00C05D6B">
        <w:rPr>
          <w:rFonts w:ascii="Garamond" w:hAnsi="Garamond" w:cs="Times New Roman"/>
        </w:rPr>
        <w:fldChar w:fldCharType="end"/>
      </w:r>
      <w:r w:rsidRPr="00C05D6B">
        <w:rPr>
          <w:rFonts w:ascii="Garamond" w:hAnsi="Garamond" w:cs="Times New Roman"/>
        </w:rPr>
        <w:t xml:space="preserve"> </w:t>
      </w:r>
      <w:r w:rsidR="00477096" w:rsidRPr="00C05D6B">
        <w:rPr>
          <w:rFonts w:ascii="Garamond" w:hAnsi="Garamond" w:cs="Times New Roman"/>
        </w:rPr>
        <w:t xml:space="preserve">(1988) </w:t>
      </w:r>
      <w:r w:rsidRPr="00C05D6B">
        <w:rPr>
          <w:rFonts w:ascii="Garamond" w:hAnsi="Garamond" w:cs="Times New Roman"/>
        </w:rPr>
        <w:t>for the power of Congress to strip jurisdiction of statutory claims and noted that in “certain contexts,</w:t>
      </w:r>
      <w:r w:rsidR="00C0332C">
        <w:rPr>
          <w:rFonts w:ascii="Garamond" w:hAnsi="Garamond" w:cs="Times New Roman"/>
        </w:rPr>
        <w:t>”</w:t>
      </w:r>
      <w:r w:rsidRPr="00C05D6B">
        <w:rPr>
          <w:rFonts w:ascii="Garamond" w:hAnsi="Garamond" w:cs="Times New Roman"/>
        </w:rPr>
        <w:t xml:space="preserve"> Congress has restored </w:t>
      </w:r>
      <w:r w:rsidR="006A6EA4" w:rsidRPr="00C05D6B">
        <w:rPr>
          <w:rFonts w:ascii="Garamond" w:hAnsi="Garamond" w:cs="Times New Roman"/>
        </w:rPr>
        <w:t xml:space="preserve">judicial </w:t>
      </w:r>
      <w:r w:rsidRPr="00C05D6B">
        <w:rPr>
          <w:rFonts w:ascii="Garamond" w:hAnsi="Garamond" w:cs="Times New Roman"/>
        </w:rPr>
        <w:t>review over “constitutional claims or questions of law” in the INA.</w:t>
      </w:r>
      <w:r w:rsidR="00477096" w:rsidRPr="00C05D6B">
        <w:rPr>
          <w:rFonts w:ascii="Garamond" w:hAnsi="Garamond" w:cs="Times New Roman"/>
        </w:rPr>
        <w:t xml:space="preserve"> </w:t>
      </w:r>
      <w:r w:rsidRPr="00C05D6B">
        <w:rPr>
          <w:rFonts w:ascii="Garamond" w:hAnsi="Garamond" w:cs="Times New Roman"/>
        </w:rPr>
        <w:t xml:space="preserve">In this case, however, the plaintiff raised no constitutional claims.  </w:t>
      </w:r>
    </w:p>
    <w:p w14:paraId="42BB9744" w14:textId="77777777" w:rsidR="009B1076" w:rsidRPr="00C05D6B" w:rsidRDefault="009B1076" w:rsidP="00002E08">
      <w:pPr>
        <w:rPr>
          <w:rFonts w:ascii="Garamond" w:eastAsia="Times New Roman" w:hAnsi="Garamond" w:cs="Times New Roman"/>
          <w:b/>
          <w:bCs/>
        </w:rPr>
      </w:pPr>
    </w:p>
    <w:p w14:paraId="73485BDF" w14:textId="77777777" w:rsidR="00002E08" w:rsidRPr="00C05D6B" w:rsidRDefault="00002E08">
      <w:pPr>
        <w:spacing w:after="160" w:line="278" w:lineRule="auto"/>
        <w:rPr>
          <w:rFonts w:ascii="Garamond" w:hAnsi="Garamond" w:cs="Times New Roman"/>
          <w:b/>
          <w:bCs/>
        </w:rPr>
      </w:pPr>
      <w:r w:rsidRPr="00C05D6B">
        <w:rPr>
          <w:rFonts w:ascii="Garamond" w:hAnsi="Garamond" w:cs="Times New Roman"/>
          <w:b/>
          <w:bCs/>
        </w:rPr>
        <w:br w:type="page"/>
      </w:r>
    </w:p>
    <w:p w14:paraId="56BFB654" w14:textId="17300BEF" w:rsidR="00002E08" w:rsidRPr="00C05D6B" w:rsidRDefault="00002E08" w:rsidP="009F73D4">
      <w:pPr>
        <w:jc w:val="center"/>
        <w:rPr>
          <w:rFonts w:ascii="Garamond" w:hAnsi="Garamond" w:cs="Times New Roman"/>
          <w:b/>
          <w:bCs/>
        </w:rPr>
      </w:pPr>
      <w:r w:rsidRPr="00C05D6B">
        <w:rPr>
          <w:rFonts w:ascii="Garamond" w:hAnsi="Garamond" w:cs="Times New Roman"/>
          <w:b/>
          <w:bCs/>
        </w:rPr>
        <w:lastRenderedPageBreak/>
        <w:t>______________________________________________________________________________</w:t>
      </w:r>
    </w:p>
    <w:p w14:paraId="283C7DAD" w14:textId="77777777" w:rsidR="00926DEE" w:rsidRPr="00C05D6B" w:rsidRDefault="00926DEE" w:rsidP="00926DEE">
      <w:pPr>
        <w:jc w:val="center"/>
        <w:rPr>
          <w:rFonts w:ascii="Garamond" w:hAnsi="Garamond" w:cs="Times New Roman"/>
          <w:b/>
          <w:bCs/>
        </w:rPr>
      </w:pPr>
    </w:p>
    <w:p w14:paraId="33AE20B4"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Chapter 4</w:t>
      </w:r>
    </w:p>
    <w:p w14:paraId="3A295E7A" w14:textId="77777777" w:rsidR="00926DEE" w:rsidRPr="00C05D6B" w:rsidRDefault="00926DEE" w:rsidP="00926DEE">
      <w:pPr>
        <w:jc w:val="center"/>
        <w:rPr>
          <w:rFonts w:ascii="Garamond" w:hAnsi="Garamond" w:cs="Times New Roman"/>
          <w:b/>
          <w:bCs/>
          <w:i/>
          <w:iCs/>
          <w:sz w:val="40"/>
          <w:szCs w:val="40"/>
        </w:rPr>
      </w:pPr>
    </w:p>
    <w:p w14:paraId="601A33ED"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Congressional Control of Federal and State Adjudication</w:t>
      </w:r>
    </w:p>
    <w:p w14:paraId="68E884B4" w14:textId="77777777" w:rsidR="00002E08" w:rsidRPr="00C05D6B" w:rsidRDefault="00002E08" w:rsidP="00002E08">
      <w:pPr>
        <w:jc w:val="center"/>
        <w:rPr>
          <w:rFonts w:ascii="Garamond" w:hAnsi="Garamond" w:cs="Times New Roman"/>
          <w:b/>
          <w:bCs/>
        </w:rPr>
      </w:pPr>
      <w:r w:rsidRPr="00C05D6B">
        <w:rPr>
          <w:rFonts w:ascii="Garamond" w:hAnsi="Garamond" w:cs="Times New Roman"/>
          <w:b/>
          <w:bCs/>
        </w:rPr>
        <w:t>______________________________________________________________________________</w:t>
      </w:r>
    </w:p>
    <w:p w14:paraId="414F99A9" w14:textId="77777777" w:rsidR="00F27F80" w:rsidRPr="00C05D6B" w:rsidRDefault="00F27F80" w:rsidP="003125BF">
      <w:pPr>
        <w:rPr>
          <w:rFonts w:ascii="Garamond" w:eastAsia="Times New Roman" w:hAnsi="Garamond" w:cs="Times New Roman"/>
          <w:b/>
          <w:bCs/>
        </w:rPr>
      </w:pPr>
    </w:p>
    <w:p w14:paraId="2EFCB114" w14:textId="627F41BD" w:rsidR="0045159D" w:rsidRPr="00C05D6B" w:rsidRDefault="0045159D" w:rsidP="00285176">
      <w:pPr>
        <w:ind w:left="720" w:hanging="720"/>
        <w:rPr>
          <w:rFonts w:ascii="Garamond" w:eastAsia="Times New Roman" w:hAnsi="Garamond" w:cs="Times New Roman"/>
          <w:b/>
          <w:bCs/>
          <w:i/>
          <w:iCs/>
        </w:rPr>
      </w:pPr>
      <w:r w:rsidRPr="00C05D6B">
        <w:rPr>
          <w:rFonts w:ascii="Garamond" w:eastAsia="Times New Roman" w:hAnsi="Garamond" w:cs="Times New Roman"/>
          <w:b/>
          <w:bCs/>
          <w:i/>
          <w:iCs/>
        </w:rPr>
        <w:t>A.</w:t>
      </w:r>
      <w:r w:rsidRPr="00C05D6B">
        <w:rPr>
          <w:rFonts w:ascii="Garamond" w:eastAsia="Times New Roman" w:hAnsi="Garamond" w:cs="Times New Roman"/>
          <w:b/>
          <w:bCs/>
          <w:i/>
          <w:iCs/>
        </w:rPr>
        <w:tab/>
        <w:t>Congressional Control of Federal and State Adjudication</w:t>
      </w:r>
    </w:p>
    <w:p w14:paraId="44B19076" w14:textId="77777777" w:rsidR="0045159D" w:rsidRPr="00C05D6B" w:rsidRDefault="0045159D" w:rsidP="00285176">
      <w:pPr>
        <w:ind w:left="720" w:hanging="720"/>
        <w:rPr>
          <w:rFonts w:ascii="Garamond" w:eastAsia="Times New Roman" w:hAnsi="Garamond" w:cs="Times New Roman"/>
          <w:b/>
          <w:bCs/>
          <w:i/>
          <w:iCs/>
        </w:rPr>
      </w:pPr>
    </w:p>
    <w:p w14:paraId="4E7BC44B" w14:textId="298C2AC7" w:rsidR="0045159D" w:rsidRPr="00C05D6B" w:rsidRDefault="0045159D" w:rsidP="00285176">
      <w:pPr>
        <w:ind w:left="720" w:hanging="720"/>
        <w:rPr>
          <w:rFonts w:ascii="Garamond" w:eastAsia="Times New Roman" w:hAnsi="Garamond" w:cs="Times New Roman"/>
          <w:b/>
          <w:bCs/>
          <w:i/>
          <w:iCs/>
        </w:rPr>
      </w:pPr>
      <w:r w:rsidRPr="00C05D6B">
        <w:rPr>
          <w:rFonts w:ascii="Garamond" w:eastAsia="Times New Roman" w:hAnsi="Garamond" w:cs="Times New Roman"/>
          <w:b/>
          <w:bCs/>
          <w:i/>
          <w:iCs/>
        </w:rPr>
        <w:tab/>
        <w:t>1.</w:t>
      </w:r>
      <w:r w:rsidRPr="00C05D6B">
        <w:rPr>
          <w:rFonts w:ascii="Garamond" w:eastAsia="Times New Roman" w:hAnsi="Garamond" w:cs="Times New Roman"/>
          <w:b/>
          <w:bCs/>
          <w:i/>
          <w:iCs/>
        </w:rPr>
        <w:tab/>
        <w:t>Lower Federal Court Jurisdiction</w:t>
      </w:r>
    </w:p>
    <w:p w14:paraId="0EFE95A2" w14:textId="77777777" w:rsidR="0045159D" w:rsidRPr="00C05D6B" w:rsidRDefault="0045159D" w:rsidP="00285176">
      <w:pPr>
        <w:ind w:left="720" w:hanging="720"/>
        <w:rPr>
          <w:rFonts w:ascii="Garamond" w:eastAsia="Times New Roman" w:hAnsi="Garamond" w:cs="Times New Roman"/>
          <w:b/>
          <w:bCs/>
          <w:i/>
          <w:iCs/>
        </w:rPr>
      </w:pPr>
    </w:p>
    <w:p w14:paraId="4D729246" w14:textId="054B2173" w:rsidR="0045159D" w:rsidRPr="00C05D6B" w:rsidRDefault="0045159D" w:rsidP="0045159D">
      <w:pPr>
        <w:ind w:left="2160" w:hanging="720"/>
        <w:rPr>
          <w:rFonts w:ascii="Garamond" w:eastAsia="Times New Roman" w:hAnsi="Garamond" w:cs="Times New Roman"/>
          <w:b/>
          <w:bCs/>
          <w:i/>
          <w:iCs/>
        </w:rPr>
      </w:pPr>
      <w:r w:rsidRPr="00C05D6B">
        <w:rPr>
          <w:rFonts w:ascii="Garamond" w:eastAsia="Times New Roman" w:hAnsi="Garamond" w:cs="Times New Roman"/>
          <w:b/>
          <w:bCs/>
          <w:i/>
          <w:iCs/>
        </w:rPr>
        <w:t>a.</w:t>
      </w:r>
      <w:r w:rsidRPr="00C05D6B">
        <w:rPr>
          <w:rFonts w:ascii="Garamond" w:eastAsia="Times New Roman" w:hAnsi="Garamond" w:cs="Times New Roman"/>
          <w:b/>
          <w:bCs/>
          <w:i/>
          <w:iCs/>
        </w:rPr>
        <w:tab/>
        <w:t>Congressional Restriction on the Jurisdiction of Lower Federal Courts and Statutory Limitations on Federal Remedies</w:t>
      </w:r>
    </w:p>
    <w:p w14:paraId="06939A2A" w14:textId="77777777" w:rsidR="0045159D" w:rsidRPr="00C05D6B" w:rsidRDefault="0045159D" w:rsidP="0045159D">
      <w:pPr>
        <w:rPr>
          <w:rFonts w:ascii="Garamond" w:eastAsia="Times New Roman" w:hAnsi="Garamond" w:cs="Times New Roman"/>
          <w:b/>
          <w:bCs/>
          <w:i/>
          <w:iCs/>
        </w:rPr>
      </w:pPr>
    </w:p>
    <w:p w14:paraId="3DA4AC01" w14:textId="3A9C6C4F" w:rsidR="0045159D" w:rsidRPr="00C05D6B" w:rsidRDefault="0045159D" w:rsidP="0045159D">
      <w:pPr>
        <w:rPr>
          <w:rFonts w:ascii="Garamond" w:eastAsia="Times New Roman" w:hAnsi="Garamond" w:cs="Times New Roman"/>
          <w:b/>
          <w:bCs/>
        </w:rPr>
      </w:pPr>
      <w:r w:rsidRPr="00C05D6B">
        <w:rPr>
          <w:rFonts w:ascii="Garamond" w:eastAsia="Times New Roman" w:hAnsi="Garamond" w:cs="Times New Roman"/>
          <w:b/>
          <w:bCs/>
        </w:rPr>
        <w:t>(CB, p. 394, after first full paragraph)</w:t>
      </w:r>
    </w:p>
    <w:p w14:paraId="581CA2F5" w14:textId="77777777" w:rsidR="0045159D" w:rsidRPr="00C05D6B" w:rsidRDefault="0045159D" w:rsidP="0045159D">
      <w:pPr>
        <w:rPr>
          <w:rFonts w:ascii="Garamond" w:eastAsia="Times New Roman" w:hAnsi="Garamond" w:cs="Times New Roman"/>
          <w:b/>
          <w:bCs/>
        </w:rPr>
      </w:pPr>
    </w:p>
    <w:p w14:paraId="4CF46631" w14:textId="3DDE8867" w:rsidR="0045159D" w:rsidRPr="00C05D6B" w:rsidRDefault="0045159D" w:rsidP="0045159D">
      <w:pPr>
        <w:rPr>
          <w:rFonts w:ascii="Garamond" w:eastAsia="Times New Roman" w:hAnsi="Garamond" w:cs="Times New Roman"/>
        </w:rPr>
      </w:pPr>
      <w:r w:rsidRPr="00C05D6B">
        <w:rPr>
          <w:rFonts w:ascii="Garamond" w:eastAsia="Times New Roman" w:hAnsi="Garamond" w:cs="Times New Roman"/>
        </w:rPr>
        <w:tab/>
        <w:t xml:space="preserve">The Court revisited the clear statement rule of </w:t>
      </w:r>
      <w:r w:rsidRPr="00C05D6B">
        <w:rPr>
          <w:rFonts w:ascii="Garamond" w:eastAsia="Times New Roman" w:hAnsi="Garamond" w:cs="Times New Roman"/>
          <w:i/>
          <w:iCs/>
        </w:rPr>
        <w:t>Webster</w:t>
      </w:r>
      <w:r w:rsidR="001C67E5" w:rsidRPr="00C05D6B">
        <w:rPr>
          <w:rFonts w:ascii="Garamond" w:eastAsia="Times New Roman" w:hAnsi="Garamond" w:cs="Times New Roman"/>
          <w:i/>
          <w:iCs/>
        </w:rPr>
        <w:t xml:space="preserve"> </w:t>
      </w:r>
      <w:r w:rsidR="001C67E5" w:rsidRPr="00C05D6B">
        <w:rPr>
          <w:rFonts w:ascii="Garamond" w:eastAsia="Times New Roman" w:hAnsi="Garamond" w:cs="Times New Roman"/>
        </w:rPr>
        <w:t>and statutory preclusion of judicial review</w:t>
      </w:r>
      <w:r w:rsidRPr="00C05D6B">
        <w:rPr>
          <w:rFonts w:ascii="Garamond" w:eastAsia="Times New Roman" w:hAnsi="Garamond" w:cs="Times New Roman"/>
          <w:i/>
          <w:iCs/>
        </w:rPr>
        <w:t xml:space="preserve"> </w:t>
      </w:r>
      <w:r w:rsidRPr="00C05D6B">
        <w:rPr>
          <w:rFonts w:ascii="Garamond" w:eastAsia="Times New Roman" w:hAnsi="Garamond" w:cs="Times New Roman"/>
        </w:rPr>
        <w:t>in Mullin v. Doe</w:t>
      </w:r>
      <w:r w:rsidR="009B1B78" w:rsidRPr="00C05D6B">
        <w:rPr>
          <w:rFonts w:ascii="Garamond" w:eastAsia="Times New Roman" w:hAnsi="Garamond" w:cs="Times New Roman"/>
        </w:rPr>
        <w:fldChar w:fldCharType="begin"/>
      </w:r>
      <w:r w:rsidR="009B1B78" w:rsidRPr="00C05D6B">
        <w:rPr>
          <w:rFonts w:ascii="Garamond" w:hAnsi="Garamond"/>
        </w:rPr>
        <w:instrText xml:space="preserve"> TA \l "</w:instrText>
      </w:r>
      <w:r w:rsidR="009B1B78" w:rsidRPr="00C05D6B">
        <w:rPr>
          <w:rFonts w:ascii="Garamond" w:eastAsia="Times New Roman" w:hAnsi="Garamond" w:cs="Times New Roman"/>
        </w:rPr>
        <w:instrText>Mullin v. Doe</w:instrText>
      </w:r>
      <w:r w:rsidR="009B1B78" w:rsidRPr="00C05D6B">
        <w:rPr>
          <w:rFonts w:ascii="Garamond" w:hAnsi="Garamond"/>
        </w:rPr>
        <w:instrText xml:space="preserve">" \s "Mullin v. Doe" \c 1 </w:instrText>
      </w:r>
      <w:r w:rsidR="009B1B78" w:rsidRPr="00C05D6B">
        <w:rPr>
          <w:rFonts w:ascii="Garamond" w:eastAsia="Times New Roman" w:hAnsi="Garamond" w:cs="Times New Roman"/>
        </w:rPr>
        <w:fldChar w:fldCharType="end"/>
      </w:r>
      <w:r w:rsidRPr="00C05D6B">
        <w:rPr>
          <w:rFonts w:ascii="Garamond" w:eastAsia="Times New Roman" w:hAnsi="Garamond" w:cs="Times New Roman"/>
        </w:rPr>
        <w:t xml:space="preserve"> (2026)</w:t>
      </w:r>
      <w:r w:rsidR="001C67E5" w:rsidRPr="00C05D6B">
        <w:rPr>
          <w:rFonts w:ascii="Garamond" w:eastAsia="Times New Roman" w:hAnsi="Garamond" w:cs="Times New Roman"/>
        </w:rPr>
        <w:t xml:space="preserve">. The competing opinions make clear that the debate in </w:t>
      </w:r>
      <w:r w:rsidR="001C67E5" w:rsidRPr="00C05D6B">
        <w:rPr>
          <w:rFonts w:ascii="Garamond" w:eastAsia="Times New Roman" w:hAnsi="Garamond" w:cs="Times New Roman"/>
          <w:i/>
          <w:iCs/>
        </w:rPr>
        <w:t xml:space="preserve">Webster </w:t>
      </w:r>
      <w:r w:rsidR="001C67E5" w:rsidRPr="00C05D6B">
        <w:rPr>
          <w:rFonts w:ascii="Garamond" w:eastAsia="Times New Roman" w:hAnsi="Garamond" w:cs="Times New Roman"/>
        </w:rPr>
        <w:t>has persisted to this day and also suggest how the Justices’ view of the merits may influence their jurisdictional reasoning. The case arose from the Trump Administration’s ending of the Temporary Protected Status (TPS) of individuals from Syria and Haiti, a decision that exposed them to the possibility of deportation. The TPS statute had an express provision precluding review of “any determination . . . with respect to the . . . termination” of a TPS designation. 8 U.S.C. § 1254a(b)(5)(A)</w:t>
      </w:r>
      <w:r w:rsidR="009B1B78" w:rsidRPr="00C05D6B">
        <w:rPr>
          <w:rFonts w:ascii="Garamond" w:eastAsia="Times New Roman" w:hAnsi="Garamond" w:cs="Times New Roman"/>
        </w:rPr>
        <w:fldChar w:fldCharType="begin"/>
      </w:r>
      <w:r w:rsidR="009B1B78" w:rsidRPr="00C05D6B">
        <w:rPr>
          <w:rFonts w:ascii="Garamond" w:hAnsi="Garamond"/>
        </w:rPr>
        <w:instrText xml:space="preserve"> TA \l "</w:instrText>
      </w:r>
      <w:r w:rsidR="009B1B78" w:rsidRPr="00C05D6B">
        <w:rPr>
          <w:rFonts w:ascii="Garamond" w:eastAsia="Times New Roman" w:hAnsi="Garamond" w:cs="Times New Roman"/>
        </w:rPr>
        <w:instrText>8 U.S.C. § 1254a(b)(5)(A)</w:instrText>
      </w:r>
      <w:r w:rsidR="009B1B78" w:rsidRPr="00C05D6B">
        <w:rPr>
          <w:rFonts w:ascii="Garamond" w:hAnsi="Garamond"/>
        </w:rPr>
        <w:instrText xml:space="preserve">" \s "8 U.S.C. § 1254a(b)(5)(A)" \c 2 </w:instrText>
      </w:r>
      <w:r w:rsidR="009B1B78" w:rsidRPr="00C05D6B">
        <w:rPr>
          <w:rFonts w:ascii="Garamond" w:eastAsia="Times New Roman" w:hAnsi="Garamond" w:cs="Times New Roman"/>
        </w:rPr>
        <w:fldChar w:fldCharType="end"/>
      </w:r>
      <w:r w:rsidR="001C67E5" w:rsidRPr="00C05D6B">
        <w:rPr>
          <w:rFonts w:ascii="Garamond" w:eastAsia="Times New Roman" w:hAnsi="Garamond" w:cs="Times New Roman"/>
        </w:rPr>
        <w:t>. One of the respondents raised an equal protection claim based upon evidence of racial</w:t>
      </w:r>
      <w:r w:rsidR="00FF0C67" w:rsidRPr="00C05D6B">
        <w:rPr>
          <w:rFonts w:ascii="Garamond" w:eastAsia="Times New Roman" w:hAnsi="Garamond" w:cs="Times New Roman"/>
        </w:rPr>
        <w:t>ly</w:t>
      </w:r>
      <w:r w:rsidR="001C67E5" w:rsidRPr="00C05D6B">
        <w:rPr>
          <w:rFonts w:ascii="Garamond" w:eastAsia="Times New Roman" w:hAnsi="Garamond" w:cs="Times New Roman"/>
        </w:rPr>
        <w:t xml:space="preserve"> discriminatory reasons for the Administration’s policy. A majority of the Court rejected that claim on the merits, thus avoiding the question of </w:t>
      </w:r>
      <w:r w:rsidR="001C67E5" w:rsidRPr="00C05D6B">
        <w:rPr>
          <w:rFonts w:ascii="Garamond" w:eastAsia="Times New Roman" w:hAnsi="Garamond" w:cs="Times New Roman"/>
          <w:i/>
          <w:iCs/>
        </w:rPr>
        <w:t>Webster</w:t>
      </w:r>
      <w:r w:rsidR="001C67E5" w:rsidRPr="00C05D6B">
        <w:rPr>
          <w:rFonts w:ascii="Garamond" w:eastAsia="Times New Roman" w:hAnsi="Garamond" w:cs="Times New Roman"/>
        </w:rPr>
        <w:t xml:space="preserve">’s applicability, while Justice Thomas wrote separately to argue against </w:t>
      </w:r>
      <w:r w:rsidR="001C67E5" w:rsidRPr="00C05D6B">
        <w:rPr>
          <w:rFonts w:ascii="Garamond" w:eastAsia="Times New Roman" w:hAnsi="Garamond" w:cs="Times New Roman"/>
          <w:i/>
          <w:iCs/>
        </w:rPr>
        <w:t>Webster</w:t>
      </w:r>
      <w:r w:rsidR="001C67E5" w:rsidRPr="00C05D6B">
        <w:rPr>
          <w:rFonts w:ascii="Garamond" w:eastAsia="Times New Roman" w:hAnsi="Garamond" w:cs="Times New Roman"/>
        </w:rPr>
        <w:t xml:space="preserve">’s rule. The majority held that the respondents’ statutory claims were barred from judicial review by the TPS statute. The dissenting Justices, by contrast, argued that </w:t>
      </w:r>
      <w:r w:rsidR="001C67E5" w:rsidRPr="00C05D6B">
        <w:rPr>
          <w:rFonts w:ascii="Garamond" w:eastAsia="Times New Roman" w:hAnsi="Garamond" w:cs="Times New Roman"/>
          <w:i/>
          <w:iCs/>
        </w:rPr>
        <w:t xml:space="preserve">Webster </w:t>
      </w:r>
      <w:r w:rsidR="001C67E5" w:rsidRPr="00C05D6B">
        <w:rPr>
          <w:rFonts w:ascii="Garamond" w:eastAsia="Times New Roman" w:hAnsi="Garamond" w:cs="Times New Roman"/>
        </w:rPr>
        <w:t>applied and that the respondents should have access to a judicial forum for both their statutory and constitutional claims.</w:t>
      </w:r>
      <w:r w:rsidR="00164169" w:rsidRPr="00C05D6B">
        <w:rPr>
          <w:rFonts w:ascii="Garamond" w:eastAsia="Times New Roman" w:hAnsi="Garamond" w:cs="Times New Roman"/>
        </w:rPr>
        <w:t xml:space="preserve"> Note that the case got to the Court through a petition challenging the lower courts’ grants of preliminary relief, raising the question whether the Court should have resolved it in such a posture. </w:t>
      </w:r>
    </w:p>
    <w:p w14:paraId="7BA05C93" w14:textId="77777777" w:rsidR="0045159D" w:rsidRPr="00C05D6B" w:rsidRDefault="0045159D" w:rsidP="0045159D">
      <w:pPr>
        <w:rPr>
          <w:rFonts w:ascii="Garamond" w:eastAsia="Times New Roman" w:hAnsi="Garamond" w:cs="Times New Roman"/>
        </w:rPr>
      </w:pPr>
    </w:p>
    <w:p w14:paraId="14855265" w14:textId="3590DA97" w:rsidR="0045159D" w:rsidRPr="00C05D6B" w:rsidRDefault="0045159D" w:rsidP="0045159D">
      <w:pPr>
        <w:rPr>
          <w:rFonts w:ascii="Garamond" w:hAnsi="Garamond" w:cs="Times New Roman"/>
          <w:b/>
          <w:bCs/>
          <w:lang w:val="nl-NL"/>
        </w:rPr>
      </w:pPr>
      <w:r w:rsidRPr="00C05D6B">
        <w:rPr>
          <w:rFonts w:ascii="Garamond" w:hAnsi="Garamond" w:cs="Times New Roman"/>
          <w:b/>
          <w:bCs/>
          <w:smallCaps/>
          <w:lang w:val="nl-NL"/>
        </w:rPr>
        <w:t>Mullin v. Doe</w:t>
      </w:r>
      <w:r w:rsidR="009B1B78" w:rsidRPr="00C05D6B">
        <w:rPr>
          <w:rFonts w:ascii="Garamond" w:hAnsi="Garamond" w:cs="Times New Roman"/>
          <w:b/>
          <w:bCs/>
          <w:smallCaps/>
          <w:lang w:val="nl-NL"/>
        </w:rPr>
        <w:fldChar w:fldCharType="begin"/>
      </w:r>
      <w:r w:rsidR="009B1B78" w:rsidRPr="00364403">
        <w:rPr>
          <w:rFonts w:ascii="Garamond" w:hAnsi="Garamond"/>
          <w:lang w:val="nl-NL"/>
        </w:rPr>
        <w:instrText xml:space="preserve"> TA \s "Mullin v. Doe" </w:instrText>
      </w:r>
      <w:r w:rsidR="009B1B78" w:rsidRPr="00C05D6B">
        <w:rPr>
          <w:rFonts w:ascii="Garamond" w:hAnsi="Garamond" w:cs="Times New Roman"/>
          <w:b/>
          <w:bCs/>
          <w:smallCaps/>
          <w:lang w:val="nl-NL"/>
        </w:rPr>
        <w:fldChar w:fldCharType="end"/>
      </w:r>
    </w:p>
    <w:p w14:paraId="59B6ADBA" w14:textId="0A1999B8" w:rsidR="0045159D" w:rsidRPr="00C05D6B" w:rsidRDefault="0045159D" w:rsidP="0045159D">
      <w:pPr>
        <w:rPr>
          <w:rFonts w:ascii="Garamond" w:hAnsi="Garamond" w:cs="Times New Roman"/>
          <w:lang w:val="nl-NL"/>
        </w:rPr>
      </w:pPr>
      <w:r w:rsidRPr="00C05D6B">
        <w:rPr>
          <w:rFonts w:ascii="Garamond" w:hAnsi="Garamond" w:cs="Times New Roman"/>
          <w:lang w:val="nl-NL"/>
        </w:rPr>
        <w:t>146 S. Ct. 2121 (2026)</w:t>
      </w:r>
    </w:p>
    <w:p w14:paraId="5033ABE2" w14:textId="77777777" w:rsidR="0045159D" w:rsidRPr="00C05D6B" w:rsidRDefault="0045159D" w:rsidP="0045159D">
      <w:pPr>
        <w:rPr>
          <w:rFonts w:ascii="Garamond" w:hAnsi="Garamond" w:cs="Times New Roman"/>
          <w:lang w:val="nl-NL"/>
        </w:rPr>
      </w:pPr>
    </w:p>
    <w:p w14:paraId="6955EBD8" w14:textId="417F621D" w:rsidR="0045159D" w:rsidRPr="00C05D6B" w:rsidRDefault="0045159D" w:rsidP="0045159D">
      <w:pPr>
        <w:rPr>
          <w:rFonts w:ascii="Garamond" w:hAnsi="Garamond" w:cs="Times New Roman"/>
        </w:rPr>
      </w:pPr>
      <w:r w:rsidRPr="00C05D6B">
        <w:rPr>
          <w:rFonts w:ascii="Garamond" w:hAnsi="Garamond" w:cs="Times New Roman"/>
        </w:rPr>
        <w:t>Justice Alito delivered the opinion of the Court.</w:t>
      </w:r>
    </w:p>
    <w:p w14:paraId="067B4178" w14:textId="77777777" w:rsidR="0045159D" w:rsidRPr="00C05D6B" w:rsidRDefault="0045159D" w:rsidP="0045159D">
      <w:pPr>
        <w:rPr>
          <w:rFonts w:ascii="Garamond" w:eastAsia="Times New Roman" w:hAnsi="Garamond" w:cs="Times New Roman"/>
        </w:rPr>
      </w:pPr>
    </w:p>
    <w:p w14:paraId="495DA34F" w14:textId="77777777" w:rsidR="0045159D" w:rsidRPr="00C05D6B" w:rsidRDefault="0045159D" w:rsidP="0045159D">
      <w:pPr>
        <w:ind w:firstLine="720"/>
        <w:rPr>
          <w:rFonts w:ascii="Garamond" w:eastAsia="Times New Roman" w:hAnsi="Garamond" w:cs="Times New Roman"/>
        </w:rPr>
      </w:pPr>
      <w:r w:rsidRPr="00C05D6B">
        <w:rPr>
          <w:rFonts w:ascii="Garamond" w:eastAsia="Times New Roman" w:hAnsi="Garamond" w:cs="Times New Roman"/>
        </w:rPr>
        <w:t>In these cases, we consider whether respondents, who challenge the termination of Temporary Protected Status (TPS) for aliens from Syria and Haiti, are entitled to orders postponing the terminations during litigation. We hold that they are not.</w:t>
      </w:r>
    </w:p>
    <w:p w14:paraId="281E32B5" w14:textId="77777777" w:rsidR="0045159D" w:rsidRPr="00C05D6B" w:rsidRDefault="0045159D" w:rsidP="000B38A4">
      <w:pPr>
        <w:ind w:firstLine="720"/>
        <w:rPr>
          <w:rFonts w:ascii="Garamond" w:eastAsia="Times New Roman" w:hAnsi="Garamond" w:cs="Times New Roman"/>
        </w:rPr>
      </w:pPr>
    </w:p>
    <w:p w14:paraId="284EDBED" w14:textId="55322486"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 xml:space="preserve">The TPS statute plainly bars consideration of respondents’ non-constitutional claims. It allows “no judicial review of any determination . . . with respect to the . . . termination” of a TPS </w:t>
      </w:r>
      <w:r w:rsidRPr="00C05D6B">
        <w:rPr>
          <w:rFonts w:ascii="Garamond" w:eastAsia="Times New Roman" w:hAnsi="Garamond" w:cs="Times New Roman"/>
        </w:rPr>
        <w:lastRenderedPageBreak/>
        <w:t>designation. 8 U.S.C. § 1254a(b)(5)(A). The term “determination” can be used to describe either an individual decision or the whole process leading to a final decision, and under either understanding of the term, § 1254a(b)(5)(A) squarely bars all of respondents’ non-constitutional claims.</w:t>
      </w:r>
    </w:p>
    <w:p w14:paraId="66F20A5A" w14:textId="77777777" w:rsidR="0045159D" w:rsidRPr="00C05D6B" w:rsidRDefault="0045159D" w:rsidP="0045159D">
      <w:pPr>
        <w:rPr>
          <w:rFonts w:ascii="Garamond" w:eastAsia="Times New Roman" w:hAnsi="Garamond" w:cs="Times New Roman"/>
        </w:rPr>
      </w:pPr>
    </w:p>
    <w:p w14:paraId="7457DED9" w14:textId="23596C6C"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 xml:space="preserve">The sole constitutional claim before us will likely fail. Citing statements made by President Trump and former Secretary of Homeland Security Kristi </w:t>
      </w:r>
      <w:proofErr w:type="spellStart"/>
      <w:r w:rsidRPr="00C05D6B">
        <w:rPr>
          <w:rFonts w:ascii="Garamond" w:eastAsia="Times New Roman" w:hAnsi="Garamond" w:cs="Times New Roman"/>
        </w:rPr>
        <w:t>Noem</w:t>
      </w:r>
      <w:proofErr w:type="spellEnd"/>
      <w:r w:rsidRPr="00C05D6B">
        <w:rPr>
          <w:rFonts w:ascii="Garamond" w:eastAsia="Times New Roman" w:hAnsi="Garamond" w:cs="Times New Roman"/>
        </w:rPr>
        <w:t>, one set of respondents advances an equal protection claim that Haiti’s TPS designation was terminated because of the racial makeup of that country’s population. But, ironically, one of respondents’ other arguments undermines the equal protection claim by offering a strong, race-neutral explanation for Haiti's termination: namely, that the current administration, which has terminated every TPS designation that has come up for renewal, simply opposes the TPS program, at least as it has been implemented in the past.</w:t>
      </w:r>
    </w:p>
    <w:p w14:paraId="5DCF2AEC" w14:textId="77777777" w:rsidR="0045159D" w:rsidRPr="00C05D6B" w:rsidRDefault="0045159D" w:rsidP="0045159D">
      <w:pPr>
        <w:rPr>
          <w:rFonts w:ascii="Garamond" w:eastAsia="Times New Roman" w:hAnsi="Garamond" w:cs="Times New Roman"/>
        </w:rPr>
      </w:pPr>
    </w:p>
    <w:p w14:paraId="6A0D1D2C" w14:textId="0909F380" w:rsidR="0045159D" w:rsidRPr="00C05D6B" w:rsidRDefault="0045159D" w:rsidP="0045159D">
      <w:pPr>
        <w:ind w:firstLine="720"/>
        <w:rPr>
          <w:rFonts w:ascii="Garamond" w:eastAsia="Times New Roman" w:hAnsi="Garamond" w:cs="Times New Roman"/>
        </w:rPr>
      </w:pPr>
      <w:r w:rsidRPr="00C05D6B">
        <w:rPr>
          <w:rFonts w:ascii="Garamond" w:eastAsia="Times New Roman" w:hAnsi="Garamond" w:cs="Times New Roman"/>
        </w:rPr>
        <w:t>We first consider respondents’ non-constitutional claims and conclude that we are barred from reviewing them. A provision of the TPS statute, 8 U.S.C. § 1254a(b)(5)(A), provides: “There is no judicial review of any determination of the [Secretary of Homeland Security] with respect to the designation, or termination or extension of a designation, of a foreign state under this subsection.” This text is clear, and its plain meaning is very broad.</w:t>
      </w:r>
    </w:p>
    <w:p w14:paraId="1A6567B2" w14:textId="77777777" w:rsidR="0045159D" w:rsidRPr="00C05D6B" w:rsidRDefault="0045159D" w:rsidP="000B38A4">
      <w:pPr>
        <w:ind w:firstLine="720"/>
        <w:rPr>
          <w:rFonts w:ascii="Garamond" w:eastAsia="Times New Roman" w:hAnsi="Garamond" w:cs="Times New Roman"/>
        </w:rPr>
      </w:pPr>
    </w:p>
    <w:p w14:paraId="142501DF" w14:textId="0D9DB99A"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 xml:space="preserve">We start with the key term “determination,” which may mean several different things. It may be used as a synonym for “decision.” The term may also be used to describe the chain of events leading up to a decision. </w:t>
      </w:r>
    </w:p>
    <w:p w14:paraId="6AC5762A" w14:textId="3838F4DB" w:rsidR="0045159D" w:rsidRPr="00C05D6B" w:rsidRDefault="0045159D" w:rsidP="0045159D">
      <w:pPr>
        <w:rPr>
          <w:rFonts w:ascii="Garamond" w:eastAsia="Times New Roman" w:hAnsi="Garamond" w:cs="Times New Roman"/>
        </w:rPr>
      </w:pPr>
    </w:p>
    <w:p w14:paraId="34532544" w14:textId="3E7CD6BB" w:rsidR="0045159D" w:rsidRPr="00C05D6B" w:rsidRDefault="0045159D" w:rsidP="0045159D">
      <w:pPr>
        <w:ind w:firstLine="720"/>
        <w:rPr>
          <w:rFonts w:ascii="Garamond" w:eastAsia="Times New Roman" w:hAnsi="Garamond" w:cs="Times New Roman"/>
        </w:rPr>
      </w:pPr>
      <w:r w:rsidRPr="00C05D6B">
        <w:rPr>
          <w:rFonts w:ascii="Garamond" w:eastAsia="Times New Roman" w:hAnsi="Garamond" w:cs="Times New Roman"/>
        </w:rPr>
        <w:t>Not only is it common to use the term “determination” in this broad sense, but other terms in the judicial-review bar—particularly the phrase “with respect to”—support this broad understanding. That phrase “generally has a broadening effect, ensuring that the scope of a provision covers not only its subject but also matters relating to that subject.” Patel v. Garland (2022) (internal quotation marks omitted).</w:t>
      </w:r>
    </w:p>
    <w:p w14:paraId="07F615CA" w14:textId="77777777" w:rsidR="0045159D" w:rsidRPr="00C05D6B" w:rsidRDefault="0045159D" w:rsidP="000B38A4">
      <w:pPr>
        <w:ind w:firstLine="720"/>
        <w:rPr>
          <w:rFonts w:ascii="Garamond" w:eastAsia="Times New Roman" w:hAnsi="Garamond" w:cs="Times New Roman"/>
        </w:rPr>
      </w:pPr>
    </w:p>
    <w:p w14:paraId="74C96CDA" w14:textId="77777777"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Under either of these definitions, § 1254a(b)(5)(A) bars respondents’ non-constitutional claims. Each claim concerns a discrete decision made by the Secretary—for example, her decision to consult the State Department in a particular manner and her decision that country conditions in Syria and Haiti justified termination of their TPS designations. And all those steps were part of the process that led to her final decision to terminate these countries’ TPS designations. Indeed, the same result would follow if “determination” referred only to that final decision. In that event, all the preceding decisions would be “with respect to” that decision. So, under any dictionary definition of “determination,” the judicial-review bar applies to respondents’ non-constitutional claims.</w:t>
      </w:r>
    </w:p>
    <w:p w14:paraId="2A033A1A" w14:textId="77777777" w:rsidR="0045159D" w:rsidRPr="00C05D6B" w:rsidRDefault="0045159D" w:rsidP="0045159D">
      <w:pPr>
        <w:rPr>
          <w:rFonts w:ascii="Garamond" w:eastAsia="Times New Roman" w:hAnsi="Garamond" w:cs="Times New Roman"/>
        </w:rPr>
      </w:pPr>
    </w:p>
    <w:p w14:paraId="57C4D5A6" w14:textId="506A5B07" w:rsidR="0045159D" w:rsidRPr="00C05D6B" w:rsidRDefault="0045159D" w:rsidP="0045159D">
      <w:pPr>
        <w:ind w:firstLine="720"/>
        <w:rPr>
          <w:rFonts w:ascii="Garamond" w:eastAsia="Times New Roman" w:hAnsi="Garamond" w:cs="Times New Roman"/>
        </w:rPr>
      </w:pPr>
      <w:r w:rsidRPr="00C05D6B">
        <w:rPr>
          <w:rFonts w:ascii="Garamond" w:eastAsia="Times New Roman" w:hAnsi="Garamond" w:cs="Times New Roman"/>
        </w:rPr>
        <w:t>We recognize that “when a statutory provision ‘is reasonably susceptible to divergent interpretation, we adopt the reading that accords with’” the traditional and basic principle that “‘executive determinations generally are subject to judicial review.’” Guerrero-</w:t>
      </w:r>
      <w:proofErr w:type="spellStart"/>
      <w:r w:rsidRPr="00C05D6B">
        <w:rPr>
          <w:rFonts w:ascii="Garamond" w:eastAsia="Times New Roman" w:hAnsi="Garamond" w:cs="Times New Roman"/>
        </w:rPr>
        <w:t>Lasprilla</w:t>
      </w:r>
      <w:proofErr w:type="spellEnd"/>
      <w:r w:rsidRPr="00C05D6B">
        <w:rPr>
          <w:rFonts w:ascii="Garamond" w:eastAsia="Times New Roman" w:hAnsi="Garamond" w:cs="Times New Roman"/>
        </w:rPr>
        <w:t xml:space="preserve"> v. Barr (2020)</w:t>
      </w:r>
      <w:r w:rsidR="001C67E5" w:rsidRPr="00C05D6B">
        <w:rPr>
          <w:rFonts w:ascii="Garamond" w:eastAsia="Times New Roman" w:hAnsi="Garamond" w:cs="Times New Roman"/>
        </w:rPr>
        <w:t xml:space="preserve">. </w:t>
      </w:r>
      <w:r w:rsidRPr="00C05D6B">
        <w:rPr>
          <w:rFonts w:ascii="Garamond" w:eastAsia="Times New Roman" w:hAnsi="Garamond" w:cs="Times New Roman"/>
        </w:rPr>
        <w:t>But here, the text of the TPS judicial-review bar very clearly overcomes the general presumption in favor of judicial review.</w:t>
      </w:r>
    </w:p>
    <w:p w14:paraId="4BD5CAC6" w14:textId="77777777" w:rsidR="001C67E5" w:rsidRPr="00C05D6B" w:rsidRDefault="001C67E5" w:rsidP="000B38A4">
      <w:pPr>
        <w:ind w:firstLine="720"/>
        <w:rPr>
          <w:rFonts w:ascii="Garamond" w:eastAsia="Times New Roman" w:hAnsi="Garamond" w:cs="Times New Roman"/>
        </w:rPr>
      </w:pPr>
    </w:p>
    <w:p w14:paraId="354513BA" w14:textId="2C453C2F" w:rsidR="0045159D" w:rsidRPr="00C05D6B" w:rsidRDefault="0045159D" w:rsidP="001C67E5">
      <w:pPr>
        <w:ind w:firstLine="720"/>
        <w:rPr>
          <w:rFonts w:ascii="Garamond" w:eastAsia="Times New Roman" w:hAnsi="Garamond" w:cs="Times New Roman"/>
        </w:rPr>
      </w:pPr>
      <w:r w:rsidRPr="00C05D6B">
        <w:rPr>
          <w:rFonts w:ascii="Garamond" w:eastAsia="Times New Roman" w:hAnsi="Garamond" w:cs="Times New Roman"/>
        </w:rPr>
        <w:t xml:space="preserve">Moving beyond the text and precedent, respondents contend that our interpretation of the judicial-review bar could protect many shocking abuses of TPS. For example, a rogue Secretary in one fell swoop could issue a 50-year TPS designation, contrary to the 18-month statutory cap. Or a Secretary could terminate a TPS designation based on a coin-flip. The Government responds to each of respondents’ farfetched hypotheticals and concludes that some but not all could in fact be </w:t>
      </w:r>
      <w:r w:rsidRPr="00C05D6B">
        <w:rPr>
          <w:rFonts w:ascii="Garamond" w:eastAsia="Times New Roman" w:hAnsi="Garamond" w:cs="Times New Roman"/>
        </w:rPr>
        <w:lastRenderedPageBreak/>
        <w:t xml:space="preserve">redressed by the courts. But whether or not that assessment is correct, the fact remains that if a Secretary engaged in the sort of conduct that respondents imagine, Congress would have ample means to stop that abuse, including, for example, through the annual appropriations process. “Sometimes Congress decides that the political process is the proper forum for remedying improper conduct.” National TPS Alliance v. </w:t>
      </w:r>
      <w:proofErr w:type="spellStart"/>
      <w:r w:rsidRPr="00C05D6B">
        <w:rPr>
          <w:rFonts w:ascii="Garamond" w:eastAsia="Times New Roman" w:hAnsi="Garamond" w:cs="Times New Roman"/>
        </w:rPr>
        <w:t>Noem</w:t>
      </w:r>
      <w:proofErr w:type="spellEnd"/>
      <w:r w:rsidR="001C67E5" w:rsidRPr="00C05D6B">
        <w:rPr>
          <w:rFonts w:ascii="Garamond" w:eastAsia="Times New Roman" w:hAnsi="Garamond" w:cs="Times New Roman"/>
        </w:rPr>
        <w:t xml:space="preserve"> (9th Cir. 2026) </w:t>
      </w:r>
      <w:r w:rsidRPr="00C05D6B">
        <w:rPr>
          <w:rFonts w:ascii="Garamond" w:eastAsia="Times New Roman" w:hAnsi="Garamond" w:cs="Times New Roman"/>
        </w:rPr>
        <w:t>(</w:t>
      </w:r>
      <w:proofErr w:type="spellStart"/>
      <w:r w:rsidRPr="00C05D6B">
        <w:rPr>
          <w:rFonts w:ascii="Garamond" w:eastAsia="Times New Roman" w:hAnsi="Garamond" w:cs="Times New Roman"/>
        </w:rPr>
        <w:t>Bumatay</w:t>
      </w:r>
      <w:proofErr w:type="spellEnd"/>
      <w:r w:rsidRPr="00C05D6B">
        <w:rPr>
          <w:rFonts w:ascii="Garamond" w:eastAsia="Times New Roman" w:hAnsi="Garamond" w:cs="Times New Roman"/>
        </w:rPr>
        <w:t>, J., dissenting from denial of reh</w:t>
      </w:r>
      <w:r w:rsidR="001C67E5" w:rsidRPr="00C05D6B">
        <w:rPr>
          <w:rFonts w:ascii="Garamond" w:eastAsia="Times New Roman" w:hAnsi="Garamond" w:cs="Times New Roman"/>
        </w:rPr>
        <w:t>’</w:t>
      </w:r>
      <w:r w:rsidRPr="00C05D6B">
        <w:rPr>
          <w:rFonts w:ascii="Garamond" w:eastAsia="Times New Roman" w:hAnsi="Garamond" w:cs="Times New Roman"/>
        </w:rPr>
        <w:t xml:space="preserve">g </w:t>
      </w:r>
      <w:proofErr w:type="spellStart"/>
      <w:r w:rsidRPr="00C05D6B">
        <w:rPr>
          <w:rFonts w:ascii="Garamond" w:eastAsia="Times New Roman" w:hAnsi="Garamond" w:cs="Times New Roman"/>
        </w:rPr>
        <w:t>en</w:t>
      </w:r>
      <w:proofErr w:type="spellEnd"/>
      <w:r w:rsidRPr="00C05D6B">
        <w:rPr>
          <w:rFonts w:ascii="Garamond" w:eastAsia="Times New Roman" w:hAnsi="Garamond" w:cs="Times New Roman"/>
        </w:rPr>
        <w:t xml:space="preserve"> banc).</w:t>
      </w:r>
    </w:p>
    <w:p w14:paraId="773E6F54" w14:textId="77777777" w:rsidR="001C67E5" w:rsidRPr="00C05D6B" w:rsidRDefault="001C67E5" w:rsidP="000B38A4">
      <w:pPr>
        <w:ind w:firstLine="720"/>
        <w:rPr>
          <w:rFonts w:ascii="Garamond" w:eastAsia="Times New Roman" w:hAnsi="Garamond" w:cs="Times New Roman"/>
        </w:rPr>
      </w:pPr>
    </w:p>
    <w:p w14:paraId="361298EB" w14:textId="42D8296F"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 xml:space="preserve">We continue with </w:t>
      </w:r>
      <w:r w:rsidR="001C67E5" w:rsidRPr="00C05D6B">
        <w:rPr>
          <w:rFonts w:ascii="Garamond" w:eastAsia="Times New Roman" w:hAnsi="Garamond" w:cs="Times New Roman"/>
        </w:rPr>
        <w:t>[the]</w:t>
      </w:r>
      <w:r w:rsidRPr="00C05D6B">
        <w:rPr>
          <w:rFonts w:ascii="Garamond" w:eastAsia="Times New Roman" w:hAnsi="Garamond" w:cs="Times New Roman"/>
        </w:rPr>
        <w:t xml:space="preserve"> respondents’ equal protection claim.</w:t>
      </w:r>
    </w:p>
    <w:p w14:paraId="02813AC1" w14:textId="762C7764" w:rsidR="0045159D" w:rsidRPr="00C05D6B" w:rsidRDefault="0045159D" w:rsidP="0045159D">
      <w:pPr>
        <w:rPr>
          <w:rFonts w:ascii="Garamond" w:eastAsia="Times New Roman" w:hAnsi="Garamond" w:cs="Times New Roman"/>
        </w:rPr>
      </w:pPr>
    </w:p>
    <w:p w14:paraId="32B7A740" w14:textId="77B2EE85" w:rsidR="0045159D" w:rsidRPr="00C05D6B" w:rsidRDefault="0045159D" w:rsidP="001C67E5">
      <w:pPr>
        <w:ind w:firstLine="720"/>
        <w:rPr>
          <w:rFonts w:ascii="Garamond" w:eastAsia="Times New Roman" w:hAnsi="Garamond" w:cs="Times New Roman"/>
        </w:rPr>
      </w:pPr>
      <w:r w:rsidRPr="00C05D6B">
        <w:rPr>
          <w:rFonts w:ascii="Garamond" w:eastAsia="Times New Roman" w:hAnsi="Garamond" w:cs="Times New Roman"/>
        </w:rPr>
        <w:t>We have held that “where Congress intends to preclude judicial review of constitutional claims its intent to do so must be clear.” Webster v. Doe</w:t>
      </w:r>
      <w:r w:rsidR="001C67E5" w:rsidRPr="00C05D6B">
        <w:rPr>
          <w:rFonts w:ascii="Garamond" w:eastAsia="Times New Roman" w:hAnsi="Garamond" w:cs="Times New Roman"/>
        </w:rPr>
        <w:t xml:space="preserve"> (1988)</w:t>
      </w:r>
      <w:r w:rsidRPr="00C05D6B">
        <w:rPr>
          <w:rFonts w:ascii="Garamond" w:eastAsia="Times New Roman" w:hAnsi="Garamond" w:cs="Times New Roman"/>
        </w:rPr>
        <w:t xml:space="preserve">. In this case, we need not resolve whether the TPS statute meets that clear-statement rule because we conclude that </w:t>
      </w:r>
      <w:r w:rsidR="001C67E5" w:rsidRPr="00C05D6B">
        <w:rPr>
          <w:rFonts w:ascii="Garamond" w:eastAsia="Times New Roman" w:hAnsi="Garamond" w:cs="Times New Roman"/>
        </w:rPr>
        <w:t>[the]</w:t>
      </w:r>
      <w:r w:rsidRPr="00C05D6B">
        <w:rPr>
          <w:rFonts w:ascii="Garamond" w:eastAsia="Times New Roman" w:hAnsi="Garamond" w:cs="Times New Roman"/>
        </w:rPr>
        <w:t xml:space="preserve"> respondents’ constitutional claim is unlikely to succeed on the merits.</w:t>
      </w:r>
    </w:p>
    <w:p w14:paraId="35931E91" w14:textId="77777777" w:rsidR="001C67E5" w:rsidRPr="00C05D6B" w:rsidRDefault="001C67E5" w:rsidP="000B38A4">
      <w:pPr>
        <w:ind w:firstLine="720"/>
        <w:rPr>
          <w:rFonts w:ascii="Garamond" w:eastAsia="Times New Roman" w:hAnsi="Garamond" w:cs="Times New Roman"/>
        </w:rPr>
      </w:pPr>
    </w:p>
    <w:p w14:paraId="4A981160" w14:textId="77777777" w:rsidR="0045159D" w:rsidRPr="00C05D6B" w:rsidRDefault="0045159D" w:rsidP="001C67E5">
      <w:pPr>
        <w:ind w:firstLine="720"/>
        <w:rPr>
          <w:rFonts w:ascii="Garamond" w:eastAsia="Times New Roman" w:hAnsi="Garamond" w:cs="Times New Roman"/>
        </w:rPr>
      </w:pPr>
      <w:r w:rsidRPr="00C05D6B">
        <w:rPr>
          <w:rFonts w:ascii="Garamond" w:eastAsia="Times New Roman" w:hAnsi="Garamond" w:cs="Times New Roman"/>
        </w:rPr>
        <w:t>None of the cited statements by either the President or the Secretary was overtly racial, and in substance all expressed policy views that could rest on race-neutral justifications. For example, one may oppose TPS and favor tighter restrictions on immigration for economic or other reasons that have nothing to do with race. And a person without racial bias can provide a harshly unfavorable description of living conditions in some of the countries with TPS designations. The criteria for TPS designations guarantee that many, if not most, designated countries have such characteristics.</w:t>
      </w:r>
    </w:p>
    <w:p w14:paraId="39AB09FC" w14:textId="77777777" w:rsidR="001C67E5" w:rsidRPr="00C05D6B" w:rsidRDefault="001C67E5" w:rsidP="000B38A4">
      <w:pPr>
        <w:ind w:firstLine="720"/>
        <w:rPr>
          <w:rFonts w:ascii="Garamond" w:eastAsia="Times New Roman" w:hAnsi="Garamond" w:cs="Times New Roman"/>
        </w:rPr>
      </w:pPr>
    </w:p>
    <w:p w14:paraId="46DF7986" w14:textId="10C0F173" w:rsidR="0045159D" w:rsidRPr="00C05D6B" w:rsidRDefault="0045159D" w:rsidP="001C67E5">
      <w:pPr>
        <w:ind w:firstLine="720"/>
        <w:rPr>
          <w:rFonts w:ascii="Garamond" w:eastAsia="Times New Roman" w:hAnsi="Garamond" w:cs="Times New Roman"/>
        </w:rPr>
      </w:pPr>
      <w:r w:rsidRPr="00C05D6B">
        <w:rPr>
          <w:rFonts w:ascii="Garamond" w:eastAsia="Times New Roman" w:hAnsi="Garamond" w:cs="Times New Roman"/>
        </w:rPr>
        <w:t xml:space="preserve">It may be that only the termination of a TPS designation for a Nordic or Germanic country would be sufficient in </w:t>
      </w:r>
      <w:r w:rsidR="001C67E5" w:rsidRPr="00C05D6B">
        <w:rPr>
          <w:rFonts w:ascii="Garamond" w:eastAsia="Times New Roman" w:hAnsi="Garamond" w:cs="Times New Roman"/>
        </w:rPr>
        <w:t>[the respondents’]</w:t>
      </w:r>
      <w:r w:rsidRPr="00C05D6B">
        <w:rPr>
          <w:rFonts w:ascii="Garamond" w:eastAsia="Times New Roman" w:hAnsi="Garamond" w:cs="Times New Roman"/>
        </w:rPr>
        <w:t xml:space="preserve"> judgment to show that the Secretary</w:t>
      </w:r>
      <w:r w:rsidR="001C67E5" w:rsidRPr="00C05D6B">
        <w:rPr>
          <w:rFonts w:ascii="Garamond" w:eastAsia="Times New Roman" w:hAnsi="Garamond" w:cs="Times New Roman"/>
        </w:rPr>
        <w:t>’</w:t>
      </w:r>
      <w:r w:rsidRPr="00C05D6B">
        <w:rPr>
          <w:rFonts w:ascii="Garamond" w:eastAsia="Times New Roman" w:hAnsi="Garamond" w:cs="Times New Roman"/>
        </w:rPr>
        <w:t>s unbroken record of TPS terminations was race-neutral. However, no such test case has come up during the present administration. Only one European nation—Ukraine—had a TPS designation when the President began his second term, and that country</w:t>
      </w:r>
      <w:r w:rsidR="001C67E5" w:rsidRPr="00C05D6B">
        <w:rPr>
          <w:rFonts w:ascii="Garamond" w:eastAsia="Times New Roman" w:hAnsi="Garamond" w:cs="Times New Roman"/>
        </w:rPr>
        <w:t>’</w:t>
      </w:r>
      <w:r w:rsidRPr="00C05D6B">
        <w:rPr>
          <w:rFonts w:ascii="Garamond" w:eastAsia="Times New Roman" w:hAnsi="Garamond" w:cs="Times New Roman"/>
        </w:rPr>
        <w:t>s TPS designation has not yet come up for review. The only other European states ever designated for TPS were the war-torn provinces of Kosovo and Bosnia-Herzegovina. The great majority of countries granted TPS have ranked among the poorest nations of the world, and no European nation falls into that category.</w:t>
      </w:r>
    </w:p>
    <w:p w14:paraId="1CD43D94" w14:textId="77777777" w:rsidR="001C67E5" w:rsidRPr="00C05D6B" w:rsidRDefault="001C67E5" w:rsidP="000B38A4">
      <w:pPr>
        <w:ind w:firstLine="720"/>
        <w:rPr>
          <w:rFonts w:ascii="Garamond" w:eastAsia="Times New Roman" w:hAnsi="Garamond" w:cs="Times New Roman"/>
        </w:rPr>
      </w:pPr>
    </w:p>
    <w:p w14:paraId="0645E7DE" w14:textId="39E5CB09" w:rsidR="0045159D" w:rsidRPr="00C05D6B" w:rsidRDefault="0045159D" w:rsidP="001C67E5">
      <w:pPr>
        <w:ind w:firstLine="720"/>
        <w:rPr>
          <w:rFonts w:ascii="Garamond" w:eastAsia="Times New Roman" w:hAnsi="Garamond" w:cs="Times New Roman"/>
        </w:rPr>
      </w:pPr>
      <w:r w:rsidRPr="00C05D6B">
        <w:rPr>
          <w:rFonts w:ascii="Garamond" w:eastAsia="Times New Roman" w:hAnsi="Garamond" w:cs="Times New Roman"/>
        </w:rPr>
        <w:t xml:space="preserve">Viewing all the relevant evidence, we conclude that </w:t>
      </w:r>
      <w:r w:rsidR="001C67E5" w:rsidRPr="00C05D6B">
        <w:rPr>
          <w:rFonts w:ascii="Garamond" w:eastAsia="Times New Roman" w:hAnsi="Garamond" w:cs="Times New Roman"/>
        </w:rPr>
        <w:t xml:space="preserve">[the] </w:t>
      </w:r>
      <w:r w:rsidRPr="00C05D6B">
        <w:rPr>
          <w:rFonts w:ascii="Garamond" w:eastAsia="Times New Roman" w:hAnsi="Garamond" w:cs="Times New Roman"/>
        </w:rPr>
        <w:t>respondents are unlikely to prove that race was a motivating factor in the decision to terminate Haiti</w:t>
      </w:r>
      <w:r w:rsidR="001C67E5" w:rsidRPr="00C05D6B">
        <w:rPr>
          <w:rFonts w:ascii="Garamond" w:eastAsia="Times New Roman" w:hAnsi="Garamond" w:cs="Times New Roman"/>
        </w:rPr>
        <w:t>’</w:t>
      </w:r>
      <w:r w:rsidRPr="00C05D6B">
        <w:rPr>
          <w:rFonts w:ascii="Garamond" w:eastAsia="Times New Roman" w:hAnsi="Garamond" w:cs="Times New Roman"/>
        </w:rPr>
        <w:t>s TPS designation. It follows that they are not entitled to interim relief on their equal protection claim.</w:t>
      </w:r>
    </w:p>
    <w:p w14:paraId="7A856408" w14:textId="77777777" w:rsidR="001C67E5" w:rsidRPr="00C05D6B" w:rsidRDefault="001C67E5" w:rsidP="000B38A4">
      <w:pPr>
        <w:ind w:firstLine="720"/>
        <w:rPr>
          <w:rFonts w:ascii="Garamond" w:eastAsia="Times New Roman" w:hAnsi="Garamond" w:cs="Times New Roman"/>
        </w:rPr>
      </w:pPr>
    </w:p>
    <w:p w14:paraId="42DCEF7D" w14:textId="581322B0" w:rsidR="0045159D" w:rsidRPr="00C05D6B" w:rsidRDefault="0045159D" w:rsidP="0045159D">
      <w:pPr>
        <w:rPr>
          <w:rFonts w:ascii="Garamond" w:eastAsia="Times New Roman" w:hAnsi="Garamond" w:cs="Times New Roman"/>
        </w:rPr>
      </w:pPr>
      <w:r w:rsidRPr="00C05D6B">
        <w:rPr>
          <w:rFonts w:ascii="Garamond" w:eastAsia="Times New Roman" w:hAnsi="Garamond" w:cs="Times New Roman"/>
        </w:rPr>
        <w:t>Justice Thomas</w:t>
      </w:r>
      <w:r w:rsidR="001C67E5" w:rsidRPr="00C05D6B">
        <w:rPr>
          <w:rFonts w:ascii="Garamond" w:eastAsia="Times New Roman" w:hAnsi="Garamond" w:cs="Times New Roman"/>
        </w:rPr>
        <w:t xml:space="preserve">, concurring. </w:t>
      </w:r>
    </w:p>
    <w:p w14:paraId="7F0FE10C" w14:textId="77777777" w:rsidR="001C67E5" w:rsidRPr="00C05D6B" w:rsidRDefault="001C67E5" w:rsidP="0045159D">
      <w:pPr>
        <w:rPr>
          <w:rFonts w:ascii="Garamond" w:eastAsia="Times New Roman" w:hAnsi="Garamond" w:cs="Times New Roman"/>
        </w:rPr>
      </w:pPr>
    </w:p>
    <w:p w14:paraId="30DC5EF6" w14:textId="7D5FEF31" w:rsidR="0045159D" w:rsidRPr="00C05D6B" w:rsidRDefault="0045159D" w:rsidP="001C67E5">
      <w:pPr>
        <w:ind w:firstLine="720"/>
        <w:rPr>
          <w:rFonts w:ascii="Garamond" w:eastAsia="Times New Roman" w:hAnsi="Garamond" w:cs="Times New Roman"/>
        </w:rPr>
      </w:pPr>
      <w:r w:rsidRPr="00C05D6B">
        <w:rPr>
          <w:rFonts w:ascii="Garamond" w:eastAsia="Times New Roman" w:hAnsi="Garamond" w:cs="Times New Roman"/>
        </w:rPr>
        <w:t xml:space="preserve">I join the opinion of the Court in full. I write separately to address two more fundamental problems with the </w:t>
      </w:r>
      <w:r w:rsidR="001C67E5" w:rsidRPr="00C05D6B">
        <w:rPr>
          <w:rFonts w:ascii="Garamond" w:eastAsia="Times New Roman" w:hAnsi="Garamond" w:cs="Times New Roman"/>
        </w:rPr>
        <w:t>[]</w:t>
      </w:r>
      <w:r w:rsidRPr="00C05D6B">
        <w:rPr>
          <w:rFonts w:ascii="Garamond" w:eastAsia="Times New Roman" w:hAnsi="Garamond" w:cs="Times New Roman"/>
        </w:rPr>
        <w:t xml:space="preserve"> respondents’ suit. First, their equal protection claim, while meritless under the Court</w:t>
      </w:r>
      <w:r w:rsidR="001C67E5" w:rsidRPr="00C05D6B">
        <w:rPr>
          <w:rFonts w:ascii="Garamond" w:eastAsia="Times New Roman" w:hAnsi="Garamond" w:cs="Times New Roman"/>
        </w:rPr>
        <w:t>’s</w:t>
      </w:r>
      <w:r w:rsidRPr="00C05D6B">
        <w:rPr>
          <w:rFonts w:ascii="Garamond" w:eastAsia="Times New Roman" w:hAnsi="Garamond" w:cs="Times New Roman"/>
        </w:rPr>
        <w:t xml:space="preserve"> precedents, was also beyond the District Court</w:t>
      </w:r>
      <w:r w:rsidR="001C67E5" w:rsidRPr="00C05D6B">
        <w:rPr>
          <w:rFonts w:ascii="Garamond" w:eastAsia="Times New Roman" w:hAnsi="Garamond" w:cs="Times New Roman"/>
        </w:rPr>
        <w:t>’</w:t>
      </w:r>
      <w:r w:rsidRPr="00C05D6B">
        <w:rPr>
          <w:rFonts w:ascii="Garamond" w:eastAsia="Times New Roman" w:hAnsi="Garamond" w:cs="Times New Roman"/>
        </w:rPr>
        <w:t>s jurisdiction. Second, even assuming jurisdiction, the equal protection claim fails for the additional reason that aliens have no equal protection rights against the Federal Government.</w:t>
      </w:r>
    </w:p>
    <w:p w14:paraId="54465E96" w14:textId="77777777" w:rsidR="001C67E5" w:rsidRPr="00C05D6B" w:rsidRDefault="001C67E5" w:rsidP="000B38A4">
      <w:pPr>
        <w:ind w:firstLine="720"/>
        <w:rPr>
          <w:rFonts w:ascii="Garamond" w:eastAsia="Times New Roman" w:hAnsi="Garamond" w:cs="Times New Roman"/>
        </w:rPr>
      </w:pPr>
    </w:p>
    <w:p w14:paraId="097E5CAF" w14:textId="580E4B41" w:rsidR="0045159D" w:rsidRPr="00C05D6B" w:rsidRDefault="0045159D" w:rsidP="00164169">
      <w:pPr>
        <w:ind w:firstLine="720"/>
        <w:rPr>
          <w:rFonts w:ascii="Garamond" w:eastAsia="Times New Roman" w:hAnsi="Garamond" w:cs="Times New Roman"/>
        </w:rPr>
      </w:pPr>
      <w:r w:rsidRPr="00C05D6B">
        <w:rPr>
          <w:rFonts w:ascii="Garamond" w:eastAsia="Times New Roman" w:hAnsi="Garamond" w:cs="Times New Roman"/>
        </w:rPr>
        <w:t>Respondents suggest that the plain language of the statute should not apply. According to this Court</w:t>
      </w:r>
      <w:r w:rsidR="001C67E5" w:rsidRPr="00C05D6B">
        <w:rPr>
          <w:rFonts w:ascii="Garamond" w:eastAsia="Times New Roman" w:hAnsi="Garamond" w:cs="Times New Roman"/>
        </w:rPr>
        <w:t>’</w:t>
      </w:r>
      <w:r w:rsidRPr="00C05D6B">
        <w:rPr>
          <w:rFonts w:ascii="Garamond" w:eastAsia="Times New Roman" w:hAnsi="Garamond" w:cs="Times New Roman"/>
        </w:rPr>
        <w:t>s modern precedent, constitutional avoidance requires a clear statement to bar judicial review of constitutional claims. See Webster v. Doe</w:t>
      </w:r>
      <w:r w:rsidR="001C67E5" w:rsidRPr="00C05D6B">
        <w:rPr>
          <w:rFonts w:ascii="Garamond" w:eastAsia="Times New Roman" w:hAnsi="Garamond" w:cs="Times New Roman"/>
        </w:rPr>
        <w:t xml:space="preserve"> (1988)</w:t>
      </w:r>
      <w:r w:rsidRPr="00C05D6B">
        <w:rPr>
          <w:rFonts w:ascii="Garamond" w:eastAsia="Times New Roman" w:hAnsi="Garamond" w:cs="Times New Roman"/>
        </w:rPr>
        <w:t>. Barring all judicial consideration of a constitutional challenge to the Secretary</w:t>
      </w:r>
      <w:r w:rsidR="001C67E5" w:rsidRPr="00C05D6B">
        <w:rPr>
          <w:rFonts w:ascii="Garamond" w:eastAsia="Times New Roman" w:hAnsi="Garamond" w:cs="Times New Roman"/>
        </w:rPr>
        <w:t>’</w:t>
      </w:r>
      <w:r w:rsidRPr="00C05D6B">
        <w:rPr>
          <w:rFonts w:ascii="Garamond" w:eastAsia="Times New Roman" w:hAnsi="Garamond" w:cs="Times New Roman"/>
        </w:rPr>
        <w:t>s TPS determination could, these precedents say, “</w:t>
      </w:r>
      <w:proofErr w:type="spellStart"/>
      <w:r w:rsidRPr="00C05D6B">
        <w:rPr>
          <w:rFonts w:ascii="Garamond" w:eastAsia="Times New Roman" w:hAnsi="Garamond" w:cs="Times New Roman"/>
        </w:rPr>
        <w:t>rais</w:t>
      </w:r>
      <w:proofErr w:type="spellEnd"/>
      <w:r w:rsidRPr="00C05D6B">
        <w:rPr>
          <w:rFonts w:ascii="Garamond" w:eastAsia="Times New Roman" w:hAnsi="Garamond" w:cs="Times New Roman"/>
        </w:rPr>
        <w:t xml:space="preserve">[e] a serious constitutional question of the validity of the statute as so construed.” Weinberger v. </w:t>
      </w:r>
      <w:proofErr w:type="spellStart"/>
      <w:r w:rsidRPr="00C05D6B">
        <w:rPr>
          <w:rFonts w:ascii="Garamond" w:eastAsia="Times New Roman" w:hAnsi="Garamond" w:cs="Times New Roman"/>
        </w:rPr>
        <w:t>Salfi</w:t>
      </w:r>
      <w:proofErr w:type="spellEnd"/>
      <w:r w:rsidR="001C67E5" w:rsidRPr="00C05D6B">
        <w:rPr>
          <w:rFonts w:ascii="Garamond" w:eastAsia="Times New Roman" w:hAnsi="Garamond" w:cs="Times New Roman"/>
        </w:rPr>
        <w:t xml:space="preserve"> </w:t>
      </w:r>
      <w:r w:rsidRPr="00C05D6B">
        <w:rPr>
          <w:rFonts w:ascii="Garamond" w:eastAsia="Times New Roman" w:hAnsi="Garamond" w:cs="Times New Roman"/>
        </w:rPr>
        <w:lastRenderedPageBreak/>
        <w:t>(1975). Accordingly, the argument goes, courts should avoid interpreting the statute to have barred such review unless its intent to do so was clear, which respondents appear to doubt.</w:t>
      </w:r>
      <w:r w:rsidR="00164169" w:rsidRPr="00C05D6B">
        <w:rPr>
          <w:rFonts w:ascii="Garamond" w:eastAsia="Times New Roman" w:hAnsi="Garamond" w:cs="Times New Roman"/>
        </w:rPr>
        <w:t xml:space="preserve"> </w:t>
      </w:r>
      <w:r w:rsidRPr="00C05D6B">
        <w:rPr>
          <w:rFonts w:ascii="Garamond" w:eastAsia="Times New Roman" w:hAnsi="Garamond" w:cs="Times New Roman"/>
        </w:rPr>
        <w:t xml:space="preserve">I am unconvinced </w:t>
      </w:r>
      <w:r w:rsidR="00164169" w:rsidRPr="00C05D6B">
        <w:rPr>
          <w:rFonts w:ascii="Garamond" w:eastAsia="Times New Roman" w:hAnsi="Garamond" w:cs="Times New Roman"/>
        </w:rPr>
        <w:t>. . . .</w:t>
      </w:r>
    </w:p>
    <w:p w14:paraId="3B460589" w14:textId="77777777" w:rsidR="00164169" w:rsidRPr="00C05D6B" w:rsidRDefault="00164169" w:rsidP="000B38A4">
      <w:pPr>
        <w:ind w:firstLine="720"/>
        <w:rPr>
          <w:rFonts w:ascii="Garamond" w:eastAsia="Times New Roman" w:hAnsi="Garamond" w:cs="Times New Roman"/>
        </w:rPr>
      </w:pPr>
    </w:p>
    <w:p w14:paraId="4FB66BB5" w14:textId="24A84A35" w:rsidR="0045159D" w:rsidRPr="00C05D6B" w:rsidRDefault="00164169" w:rsidP="00164169">
      <w:pPr>
        <w:ind w:firstLine="720"/>
        <w:rPr>
          <w:rFonts w:ascii="Garamond" w:eastAsia="Times New Roman" w:hAnsi="Garamond" w:cs="Times New Roman"/>
        </w:rPr>
      </w:pPr>
      <w:r w:rsidRPr="00C05D6B">
        <w:rPr>
          <w:rFonts w:ascii="Garamond" w:eastAsia="Times New Roman" w:hAnsi="Garamond" w:cs="Times New Roman"/>
        </w:rPr>
        <w:t>[E]</w:t>
      </w:r>
      <w:proofErr w:type="spellStart"/>
      <w:r w:rsidR="0045159D" w:rsidRPr="00C05D6B">
        <w:rPr>
          <w:rFonts w:ascii="Garamond" w:eastAsia="Times New Roman" w:hAnsi="Garamond" w:cs="Times New Roman"/>
        </w:rPr>
        <w:t>ven</w:t>
      </w:r>
      <w:proofErr w:type="spellEnd"/>
      <w:r w:rsidR="0045159D" w:rsidRPr="00C05D6B">
        <w:rPr>
          <w:rFonts w:ascii="Garamond" w:eastAsia="Times New Roman" w:hAnsi="Garamond" w:cs="Times New Roman"/>
        </w:rPr>
        <w:t xml:space="preserve"> if § 1254a(b)(5)(A) were ambiguous, a judicial-review bar would raise no “serious constitutional question” in the first place. </w:t>
      </w:r>
      <w:r w:rsidR="0045159D" w:rsidRPr="00C05D6B">
        <w:rPr>
          <w:rFonts w:ascii="Garamond" w:eastAsia="Times New Roman" w:hAnsi="Garamond" w:cs="Times New Roman"/>
          <w:i/>
          <w:iCs/>
        </w:rPr>
        <w:t>Weinberger</w:t>
      </w:r>
      <w:r w:rsidR="0045159D" w:rsidRPr="00C05D6B">
        <w:rPr>
          <w:rFonts w:ascii="Garamond" w:eastAsia="Times New Roman" w:hAnsi="Garamond" w:cs="Times New Roman"/>
        </w:rPr>
        <w:t>. Because inferior federal courts are creatures of statute, U. S. Const., Art. I, § 8, cl. 9, they “possess no jurisdiction but what is given them by the power that creates them,” United States v. Hudson</w:t>
      </w:r>
      <w:r w:rsidRPr="00C05D6B">
        <w:rPr>
          <w:rFonts w:ascii="Garamond" w:eastAsia="Times New Roman" w:hAnsi="Garamond" w:cs="Times New Roman"/>
        </w:rPr>
        <w:t xml:space="preserve"> (1812); </w:t>
      </w:r>
      <w:r w:rsidR="0045159D" w:rsidRPr="00C05D6B">
        <w:rPr>
          <w:rFonts w:ascii="Garamond" w:eastAsia="Times New Roman" w:hAnsi="Garamond" w:cs="Times New Roman"/>
        </w:rPr>
        <w:t>accord Trainmen v. Toledo, P. &amp; W. R. Co.</w:t>
      </w:r>
      <w:r w:rsidRPr="00C05D6B">
        <w:rPr>
          <w:rFonts w:ascii="Garamond" w:eastAsia="Times New Roman" w:hAnsi="Garamond" w:cs="Times New Roman"/>
        </w:rPr>
        <w:t xml:space="preserve"> (1944) </w:t>
      </w:r>
      <w:r w:rsidR="0045159D" w:rsidRPr="00C05D6B">
        <w:rPr>
          <w:rFonts w:ascii="Garamond" w:eastAsia="Times New Roman" w:hAnsi="Garamond" w:cs="Times New Roman"/>
        </w:rPr>
        <w:t>(explaining that Congress has “plenary control over the jurisdiction of the federal courts”). So, Congress has the authority to deprive district courts of jurisdiction to decide particular kinds of claims.</w:t>
      </w:r>
    </w:p>
    <w:p w14:paraId="035CA632" w14:textId="77777777" w:rsidR="00164169" w:rsidRPr="00C05D6B" w:rsidRDefault="00164169" w:rsidP="000B38A4">
      <w:pPr>
        <w:ind w:firstLine="720"/>
        <w:rPr>
          <w:rFonts w:ascii="Garamond" w:eastAsia="Times New Roman" w:hAnsi="Garamond" w:cs="Times New Roman"/>
        </w:rPr>
      </w:pPr>
    </w:p>
    <w:p w14:paraId="244ED932" w14:textId="086B641A" w:rsidR="0045159D" w:rsidRPr="00C05D6B" w:rsidRDefault="0045159D" w:rsidP="00164169">
      <w:pPr>
        <w:ind w:firstLine="720"/>
        <w:rPr>
          <w:rFonts w:ascii="Garamond" w:eastAsia="Times New Roman" w:hAnsi="Garamond" w:cs="Times New Roman"/>
        </w:rPr>
      </w:pPr>
      <w:r w:rsidRPr="00C05D6B">
        <w:rPr>
          <w:rFonts w:ascii="Garamond" w:eastAsia="Times New Roman" w:hAnsi="Garamond" w:cs="Times New Roman"/>
        </w:rPr>
        <w:t xml:space="preserve">It makes no difference that the </w:t>
      </w:r>
      <w:r w:rsidR="00164169" w:rsidRPr="00C05D6B">
        <w:rPr>
          <w:rFonts w:ascii="Garamond" w:eastAsia="Times New Roman" w:hAnsi="Garamond" w:cs="Times New Roman"/>
        </w:rPr>
        <w:t>[]</w:t>
      </w:r>
      <w:r w:rsidRPr="00C05D6B">
        <w:rPr>
          <w:rFonts w:ascii="Garamond" w:eastAsia="Times New Roman" w:hAnsi="Garamond" w:cs="Times New Roman"/>
        </w:rPr>
        <w:t xml:space="preserve"> respondents alleged a violation of the Constitution. As Justice Scalia put it, “What could possibly be the basis for” doubting Congress's authority to bar judicial review of constitutional claims? </w:t>
      </w:r>
      <w:r w:rsidRPr="00C05D6B">
        <w:rPr>
          <w:rFonts w:ascii="Garamond" w:eastAsia="Times New Roman" w:hAnsi="Garamond" w:cs="Times New Roman"/>
          <w:i/>
          <w:iCs/>
        </w:rPr>
        <w:t>Webster</w:t>
      </w:r>
      <w:r w:rsidR="00164169" w:rsidRPr="00C05D6B">
        <w:rPr>
          <w:rFonts w:ascii="Garamond" w:eastAsia="Times New Roman" w:hAnsi="Garamond" w:cs="Times New Roman"/>
        </w:rPr>
        <w:t xml:space="preserve">. </w:t>
      </w:r>
    </w:p>
    <w:p w14:paraId="2D1B7565" w14:textId="77777777" w:rsidR="00164169" w:rsidRPr="00C05D6B" w:rsidRDefault="00164169" w:rsidP="000B38A4">
      <w:pPr>
        <w:ind w:firstLine="720"/>
        <w:rPr>
          <w:rFonts w:ascii="Garamond" w:eastAsia="Times New Roman" w:hAnsi="Garamond" w:cs="Times New Roman"/>
        </w:rPr>
      </w:pPr>
    </w:p>
    <w:p w14:paraId="7FEF0FDA" w14:textId="2384BA95" w:rsidR="0045159D" w:rsidRPr="00C05D6B" w:rsidRDefault="0045159D" w:rsidP="0045159D">
      <w:pPr>
        <w:rPr>
          <w:rFonts w:ascii="Garamond" w:eastAsia="Times New Roman" w:hAnsi="Garamond" w:cs="Times New Roman"/>
        </w:rPr>
      </w:pPr>
      <w:r w:rsidRPr="00C05D6B">
        <w:rPr>
          <w:rFonts w:ascii="Garamond" w:eastAsia="Times New Roman" w:hAnsi="Garamond" w:cs="Times New Roman"/>
        </w:rPr>
        <w:t>Justice Kagan</w:t>
      </w:r>
      <w:r w:rsidR="00164169" w:rsidRPr="00C05D6B">
        <w:rPr>
          <w:rFonts w:ascii="Garamond" w:eastAsia="Times New Roman" w:hAnsi="Garamond" w:cs="Times New Roman"/>
        </w:rPr>
        <w:t>, with whom Justice Sotomayor and Justice Jackson join, dissenting.</w:t>
      </w:r>
      <w:r w:rsidRPr="00C05D6B">
        <w:rPr>
          <w:rFonts w:ascii="Garamond" w:eastAsia="Times New Roman" w:hAnsi="Garamond" w:cs="Times New Roman"/>
        </w:rPr>
        <w:t xml:space="preserve"> </w:t>
      </w:r>
    </w:p>
    <w:p w14:paraId="73FA58E1" w14:textId="77777777" w:rsidR="00164169" w:rsidRPr="00C05D6B" w:rsidRDefault="00164169" w:rsidP="0045159D">
      <w:pPr>
        <w:rPr>
          <w:rFonts w:ascii="Garamond" w:eastAsia="Times New Roman" w:hAnsi="Garamond" w:cs="Times New Roman"/>
        </w:rPr>
      </w:pPr>
    </w:p>
    <w:p w14:paraId="11402359" w14:textId="59AF25A2"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For over a decade, the Government has provided humanitarian relief to Haitian and Syrian nationals in the United States through the Temporary Protected Status (TPS) program. The Secretary of Homeland Security first designated Haiti for the program in 2010 after an earthquake devastated the country; the Secretary designated Syria in 2012 because of the government and military</w:t>
      </w:r>
      <w:r w:rsidR="00164169" w:rsidRPr="00C05D6B">
        <w:rPr>
          <w:rFonts w:ascii="Garamond" w:eastAsia="Times New Roman" w:hAnsi="Garamond" w:cs="Times New Roman"/>
        </w:rPr>
        <w:t>’</w:t>
      </w:r>
      <w:r w:rsidRPr="00C05D6B">
        <w:rPr>
          <w:rFonts w:ascii="Garamond" w:eastAsia="Times New Roman" w:hAnsi="Garamond" w:cs="Times New Roman"/>
        </w:rPr>
        <w:t>s brutal repression of the country</w:t>
      </w:r>
      <w:r w:rsidR="00164169" w:rsidRPr="00C05D6B">
        <w:rPr>
          <w:rFonts w:ascii="Garamond" w:eastAsia="Times New Roman" w:hAnsi="Garamond" w:cs="Times New Roman"/>
        </w:rPr>
        <w:t>’</w:t>
      </w:r>
      <w:r w:rsidRPr="00C05D6B">
        <w:rPr>
          <w:rFonts w:ascii="Garamond" w:eastAsia="Times New Roman" w:hAnsi="Garamond" w:cs="Times New Roman"/>
        </w:rPr>
        <w:t>s civilian population. Since those initial designations, Secretaries have repeatedly examined the conditions in the two countries, and have repeatedly determined that they remain too dangerous to permit safe return. As a result, those countries’ TPS designations have been extended year after year, and hundreds of thousands of Haitians and Syrians have been able to live and work here.</w:t>
      </w:r>
    </w:p>
    <w:p w14:paraId="6498B844" w14:textId="77777777" w:rsidR="0045159D" w:rsidRPr="00C05D6B" w:rsidRDefault="0045159D" w:rsidP="0045159D">
      <w:pPr>
        <w:rPr>
          <w:rFonts w:ascii="Garamond" w:eastAsia="Times New Roman" w:hAnsi="Garamond" w:cs="Times New Roman"/>
        </w:rPr>
      </w:pPr>
      <w:r w:rsidRPr="00C05D6B">
        <w:rPr>
          <w:rFonts w:ascii="Garamond" w:eastAsia="Times New Roman" w:hAnsi="Garamond" w:cs="Times New Roman"/>
        </w:rPr>
        <w:t xml:space="preserve"> </w:t>
      </w:r>
    </w:p>
    <w:p w14:paraId="51E1E59D" w14:textId="38BFBF6A"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 xml:space="preserve">But that is no longer so, and the suits before us challenge that change. Last year, then-Secretary Kristi </w:t>
      </w:r>
      <w:proofErr w:type="spellStart"/>
      <w:r w:rsidRPr="00C05D6B">
        <w:rPr>
          <w:rFonts w:ascii="Garamond" w:eastAsia="Times New Roman" w:hAnsi="Garamond" w:cs="Times New Roman"/>
        </w:rPr>
        <w:t>Noem</w:t>
      </w:r>
      <w:proofErr w:type="spellEnd"/>
      <w:r w:rsidRPr="00C05D6B">
        <w:rPr>
          <w:rFonts w:ascii="Garamond" w:eastAsia="Times New Roman" w:hAnsi="Garamond" w:cs="Times New Roman"/>
        </w:rPr>
        <w:t>, at the instigation of President Trump, terminated Haiti</w:t>
      </w:r>
      <w:r w:rsidR="00164169" w:rsidRPr="00C05D6B">
        <w:rPr>
          <w:rFonts w:ascii="Garamond" w:eastAsia="Times New Roman" w:hAnsi="Garamond" w:cs="Times New Roman"/>
        </w:rPr>
        <w:t>’</w:t>
      </w:r>
      <w:r w:rsidRPr="00C05D6B">
        <w:rPr>
          <w:rFonts w:ascii="Garamond" w:eastAsia="Times New Roman" w:hAnsi="Garamond" w:cs="Times New Roman"/>
        </w:rPr>
        <w:t>s and Syria</w:t>
      </w:r>
      <w:r w:rsidR="00164169" w:rsidRPr="00C05D6B">
        <w:rPr>
          <w:rFonts w:ascii="Garamond" w:eastAsia="Times New Roman" w:hAnsi="Garamond" w:cs="Times New Roman"/>
        </w:rPr>
        <w:t>’</w:t>
      </w:r>
      <w:r w:rsidRPr="00C05D6B">
        <w:rPr>
          <w:rFonts w:ascii="Garamond" w:eastAsia="Times New Roman" w:hAnsi="Garamond" w:cs="Times New Roman"/>
        </w:rPr>
        <w:t>s TPS designations, declaring the countries now safe. Haitian and Syrian TPS holders brought these cases, and sought interim relief allowing them to stay here while the litigation progressed. The District Courts granted that relief, finding (among other things) that the terminations were likely unlawful. Both courts concluded that the Secretary probably violated the TPS statute by ordering the terminations without first consulting with other agencies about current country conditions. And the District Court in the Haiti litigation found as well that the plaintiffs had a likely successful equal protection claim, in part because statements made by the President showed that a racially discriminatory purpose had entered into the TPS termination.</w:t>
      </w:r>
    </w:p>
    <w:p w14:paraId="62329ADD" w14:textId="77777777" w:rsidR="0045159D" w:rsidRPr="00C05D6B" w:rsidRDefault="0045159D" w:rsidP="0045159D">
      <w:pPr>
        <w:rPr>
          <w:rFonts w:ascii="Garamond" w:eastAsia="Times New Roman" w:hAnsi="Garamond" w:cs="Times New Roman"/>
        </w:rPr>
      </w:pPr>
      <w:r w:rsidRPr="00C05D6B">
        <w:rPr>
          <w:rFonts w:ascii="Garamond" w:eastAsia="Times New Roman" w:hAnsi="Garamond" w:cs="Times New Roman"/>
        </w:rPr>
        <w:t xml:space="preserve"> </w:t>
      </w:r>
    </w:p>
    <w:p w14:paraId="4A6C0087" w14:textId="23BDA673" w:rsidR="0045159D" w:rsidRPr="00C05D6B" w:rsidRDefault="0045159D" w:rsidP="00164169">
      <w:pPr>
        <w:ind w:firstLine="720"/>
        <w:rPr>
          <w:rFonts w:ascii="Garamond" w:eastAsia="Times New Roman" w:hAnsi="Garamond" w:cs="Times New Roman"/>
        </w:rPr>
      </w:pPr>
      <w:r w:rsidRPr="00C05D6B">
        <w:rPr>
          <w:rFonts w:ascii="Garamond" w:eastAsia="Times New Roman" w:hAnsi="Garamond" w:cs="Times New Roman"/>
        </w:rPr>
        <w:t>Today the Court undoes that preliminary relief—insisting that the terminations take effect now—based on two mistakes about the plaintiffs’ likelihood of success. First, the majority asserts that the Secretary's compliance with the TPS statute is in every respect unreviewable by the courts. But in fact the statute allows judicial review of whether the Secretary adhered to the procedures it mandates—which is what the plaintiffs dispute here. Second, the majority claims to see no evidence that race played any role in the Haiti decision. But the evidence is there, plain to see, in the President</w:t>
      </w:r>
      <w:r w:rsidR="00164169" w:rsidRPr="00C05D6B">
        <w:rPr>
          <w:rFonts w:ascii="Garamond" w:eastAsia="Times New Roman" w:hAnsi="Garamond" w:cs="Times New Roman"/>
        </w:rPr>
        <w:t>’</w:t>
      </w:r>
      <w:r w:rsidRPr="00C05D6B">
        <w:rPr>
          <w:rFonts w:ascii="Garamond" w:eastAsia="Times New Roman" w:hAnsi="Garamond" w:cs="Times New Roman"/>
        </w:rPr>
        <w:t xml:space="preserve">s statements, which the majority (and for that matter, his own lawyers) cannot even bear to repeat. Once that much is established, the case for interim relief is made: There is no dispute that the plaintiffs will suffer irreparable harm absent postponement of the TPS decisions. So the </w:t>
      </w:r>
      <w:r w:rsidRPr="00C05D6B">
        <w:rPr>
          <w:rFonts w:ascii="Garamond" w:eastAsia="Times New Roman" w:hAnsi="Garamond" w:cs="Times New Roman"/>
        </w:rPr>
        <w:lastRenderedPageBreak/>
        <w:t>plaintiffs are entitled to stay in this country while these suits go forward. Respectfully, I dissent from the Court</w:t>
      </w:r>
      <w:r w:rsidR="00164169" w:rsidRPr="00C05D6B">
        <w:rPr>
          <w:rFonts w:ascii="Garamond" w:eastAsia="Times New Roman" w:hAnsi="Garamond" w:cs="Times New Roman"/>
        </w:rPr>
        <w:t>’</w:t>
      </w:r>
      <w:r w:rsidRPr="00C05D6B">
        <w:rPr>
          <w:rFonts w:ascii="Garamond" w:eastAsia="Times New Roman" w:hAnsi="Garamond" w:cs="Times New Roman"/>
        </w:rPr>
        <w:t>s decision that they may instead be put on the next plane.</w:t>
      </w:r>
    </w:p>
    <w:p w14:paraId="1D5D8F8F" w14:textId="77777777" w:rsidR="00164169" w:rsidRPr="00C05D6B" w:rsidRDefault="00164169" w:rsidP="000B38A4">
      <w:pPr>
        <w:ind w:firstLine="720"/>
        <w:rPr>
          <w:rFonts w:ascii="Garamond" w:eastAsia="Times New Roman" w:hAnsi="Garamond" w:cs="Times New Roman"/>
        </w:rPr>
      </w:pPr>
    </w:p>
    <w:p w14:paraId="2C5D18A1" w14:textId="404A33A9"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The plaintiffs’ failure-to-consult claims are brought under the Administrative Procedure Act, which means judicial review is available unless “a relevant statute precludes it” or the challenged “action is committed to agency discretion by law.” Department of Commerce v. New York</w:t>
      </w:r>
      <w:r w:rsidR="00164169" w:rsidRPr="00C05D6B">
        <w:rPr>
          <w:rFonts w:ascii="Garamond" w:eastAsia="Times New Roman" w:hAnsi="Garamond" w:cs="Times New Roman"/>
        </w:rPr>
        <w:t xml:space="preserve"> (2019); </w:t>
      </w:r>
      <w:r w:rsidRPr="00C05D6B">
        <w:rPr>
          <w:rFonts w:ascii="Garamond" w:eastAsia="Times New Roman" w:hAnsi="Garamond" w:cs="Times New Roman"/>
          <w:i/>
          <w:iCs/>
        </w:rPr>
        <w:t>see</w:t>
      </w:r>
      <w:r w:rsidRPr="00C05D6B">
        <w:rPr>
          <w:rFonts w:ascii="Garamond" w:eastAsia="Times New Roman" w:hAnsi="Garamond" w:cs="Times New Roman"/>
        </w:rPr>
        <w:t xml:space="preserve"> 5 U.S.C. § 701(a). Neither the Government nor the majority contends that the actions in dispute are committed to the agency</w:t>
      </w:r>
      <w:r w:rsidR="00164169" w:rsidRPr="00C05D6B">
        <w:rPr>
          <w:rFonts w:ascii="Garamond" w:eastAsia="Times New Roman" w:hAnsi="Garamond" w:cs="Times New Roman"/>
        </w:rPr>
        <w:t>’</w:t>
      </w:r>
      <w:r w:rsidRPr="00C05D6B">
        <w:rPr>
          <w:rFonts w:ascii="Garamond" w:eastAsia="Times New Roman" w:hAnsi="Garamond" w:cs="Times New Roman"/>
        </w:rPr>
        <w:t>s discretion, so the issue here is whether the TPS statute prevents courts from reviewing the Secretary</w:t>
      </w:r>
      <w:r w:rsidR="00164169" w:rsidRPr="00C05D6B">
        <w:rPr>
          <w:rFonts w:ascii="Garamond" w:eastAsia="Times New Roman" w:hAnsi="Garamond" w:cs="Times New Roman"/>
        </w:rPr>
        <w:t>’</w:t>
      </w:r>
      <w:r w:rsidRPr="00C05D6B">
        <w:rPr>
          <w:rFonts w:ascii="Garamond" w:eastAsia="Times New Roman" w:hAnsi="Garamond" w:cs="Times New Roman"/>
        </w:rPr>
        <w:t>s compliance with its mandatory procedures.</w:t>
      </w:r>
    </w:p>
    <w:p w14:paraId="0A86AD50" w14:textId="77777777" w:rsidR="0045159D" w:rsidRPr="00C05D6B" w:rsidRDefault="0045159D" w:rsidP="0045159D">
      <w:pPr>
        <w:rPr>
          <w:rFonts w:ascii="Garamond" w:eastAsia="Times New Roman" w:hAnsi="Garamond" w:cs="Times New Roman"/>
        </w:rPr>
      </w:pPr>
      <w:r w:rsidRPr="00C05D6B">
        <w:rPr>
          <w:rFonts w:ascii="Garamond" w:eastAsia="Times New Roman" w:hAnsi="Garamond" w:cs="Times New Roman"/>
        </w:rPr>
        <w:t xml:space="preserve"> </w:t>
      </w:r>
    </w:p>
    <w:p w14:paraId="6BB37ADA" w14:textId="2B39C33E"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The statute does no such thing. Its judicial-review bar applies not to everything the Secretary does under the law, but only to her “determination” “with respect to the designation, or termination or extension of a designation, of a foreign state.” 8 U.S.C. § 1254a(b)(5)(A). To preclude review of those determinations is of course to insulate critical matters from judicial scrutiny. Suppose the Secretary determines that a country no longer qualifies for a TPS designation even though the record shows the opposite—that country conditions are as dire as ever. Under the statute, no court may second-guess that determination. But still, the review bar has limits. It does nothing to stop courts from reviewing things other than the Secretary</w:t>
      </w:r>
      <w:r w:rsidR="00164169" w:rsidRPr="00C05D6B">
        <w:rPr>
          <w:rFonts w:ascii="Garamond" w:eastAsia="Times New Roman" w:hAnsi="Garamond" w:cs="Times New Roman"/>
        </w:rPr>
        <w:t>’</w:t>
      </w:r>
      <w:r w:rsidRPr="00C05D6B">
        <w:rPr>
          <w:rFonts w:ascii="Garamond" w:eastAsia="Times New Roman" w:hAnsi="Garamond" w:cs="Times New Roman"/>
        </w:rPr>
        <w:t>s “determination[s]” concerning TPS designations. And those other things include the procedural steps the Secretary must undertake prior to making any determination about country conditions.</w:t>
      </w:r>
    </w:p>
    <w:p w14:paraId="5F7CDE27" w14:textId="77777777" w:rsidR="0045159D" w:rsidRPr="00C05D6B" w:rsidRDefault="0045159D" w:rsidP="0045159D">
      <w:pPr>
        <w:rPr>
          <w:rFonts w:ascii="Garamond" w:eastAsia="Times New Roman" w:hAnsi="Garamond" w:cs="Times New Roman"/>
        </w:rPr>
      </w:pPr>
      <w:r w:rsidRPr="00C05D6B">
        <w:rPr>
          <w:rFonts w:ascii="Garamond" w:eastAsia="Times New Roman" w:hAnsi="Garamond" w:cs="Times New Roman"/>
        </w:rPr>
        <w:t xml:space="preserve"> </w:t>
      </w:r>
    </w:p>
    <w:p w14:paraId="546359A8" w14:textId="20693979"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For that reason, the judicial-review bar does not preclude the plaintiffs’ failure-to-consult claims. Those claims are narrow. They do not assert that the Secretary made the wrong call when she determined that Haiti and Syria no longer meet the criteria for TPS (although the plaintiffs surely think that too). Instead, the claims are that the Secretary failed to comply with a pre-determination procedural mandate—more specifically, that she failed to consult with appropriate agencies about country conditions. A court can adjudicate those claims without reviewing—or even thinking about—the Secretary's later “determination[s]” concerning (i.e., “with respect to”) the “termination” of Haiti's and Syria's TPS “designation[s].” That is because the claims concern a distinct matter—whether the Secretary did what the statute demands before she made her unreviewable decision.</w:t>
      </w:r>
    </w:p>
    <w:p w14:paraId="16405B78" w14:textId="77777777" w:rsidR="00164169" w:rsidRPr="00C05D6B" w:rsidRDefault="00164169" w:rsidP="0045159D">
      <w:pPr>
        <w:rPr>
          <w:rFonts w:ascii="Garamond" w:eastAsia="Times New Roman" w:hAnsi="Garamond" w:cs="Times New Roman"/>
        </w:rPr>
      </w:pPr>
    </w:p>
    <w:p w14:paraId="0273538F" w14:textId="52C6BF0E" w:rsidR="0045159D" w:rsidRPr="00C05D6B" w:rsidRDefault="00164169" w:rsidP="000B38A4">
      <w:pPr>
        <w:ind w:firstLine="720"/>
        <w:rPr>
          <w:rFonts w:ascii="Garamond" w:eastAsia="Times New Roman" w:hAnsi="Garamond" w:cs="Times New Roman"/>
        </w:rPr>
      </w:pPr>
      <w:r w:rsidRPr="00C05D6B">
        <w:rPr>
          <w:rFonts w:ascii="Garamond" w:eastAsia="Times New Roman" w:hAnsi="Garamond" w:cs="Times New Roman"/>
        </w:rPr>
        <w:t>[E]</w:t>
      </w:r>
      <w:proofErr w:type="spellStart"/>
      <w:r w:rsidR="0045159D" w:rsidRPr="00C05D6B">
        <w:rPr>
          <w:rFonts w:ascii="Garamond" w:eastAsia="Times New Roman" w:hAnsi="Garamond" w:cs="Times New Roman"/>
        </w:rPr>
        <w:t>ven</w:t>
      </w:r>
      <w:proofErr w:type="spellEnd"/>
      <w:r w:rsidR="0045159D" w:rsidRPr="00C05D6B">
        <w:rPr>
          <w:rFonts w:ascii="Garamond" w:eastAsia="Times New Roman" w:hAnsi="Garamond" w:cs="Times New Roman"/>
        </w:rPr>
        <w:t xml:space="preserve"> if the matter is less certain than I think, the “strong presumption” in favor of judicial review should decide it the plaintiffs’ way. Mach Mining, LLC v. EEOC</w:t>
      </w:r>
      <w:r w:rsidRPr="00C05D6B">
        <w:rPr>
          <w:rFonts w:ascii="Garamond" w:eastAsia="Times New Roman" w:hAnsi="Garamond" w:cs="Times New Roman"/>
        </w:rPr>
        <w:t xml:space="preserve"> (2015)</w:t>
      </w:r>
      <w:r w:rsidR="0045159D" w:rsidRPr="00C05D6B">
        <w:rPr>
          <w:rFonts w:ascii="Garamond" w:eastAsia="Times New Roman" w:hAnsi="Garamond" w:cs="Times New Roman"/>
        </w:rPr>
        <w:t xml:space="preserve">. That presumption applies even when we interpret the scope, rather than the existence, of a judicial-review bar. See </w:t>
      </w:r>
      <w:proofErr w:type="spellStart"/>
      <w:r w:rsidR="0045159D" w:rsidRPr="00C05D6B">
        <w:rPr>
          <w:rFonts w:ascii="Garamond" w:eastAsia="Times New Roman" w:hAnsi="Garamond" w:cs="Times New Roman"/>
        </w:rPr>
        <w:t>Cuozzo</w:t>
      </w:r>
      <w:proofErr w:type="spellEnd"/>
      <w:r w:rsidR="0045159D" w:rsidRPr="00C05D6B">
        <w:rPr>
          <w:rFonts w:ascii="Garamond" w:eastAsia="Times New Roman" w:hAnsi="Garamond" w:cs="Times New Roman"/>
        </w:rPr>
        <w:t xml:space="preserve"> Speed Technologies, LLC v. Lee</w:t>
      </w:r>
      <w:r w:rsidRPr="00C05D6B">
        <w:rPr>
          <w:rFonts w:ascii="Garamond" w:eastAsia="Times New Roman" w:hAnsi="Garamond" w:cs="Times New Roman"/>
        </w:rPr>
        <w:t xml:space="preserve"> (2016)</w:t>
      </w:r>
      <w:r w:rsidR="0045159D" w:rsidRPr="00C05D6B">
        <w:rPr>
          <w:rFonts w:ascii="Garamond" w:eastAsia="Times New Roman" w:hAnsi="Garamond" w:cs="Times New Roman"/>
        </w:rPr>
        <w:t>. In that context, as in all others, we “presume that Congress intends the executive to obey its statutory commands and, accordingly, that it expects the courts to grant relief when an executive agency violates such a command.” Bowen v. Michigan Academy of Family Physicians</w:t>
      </w:r>
      <w:r w:rsidRPr="00C05D6B">
        <w:rPr>
          <w:rFonts w:ascii="Garamond" w:eastAsia="Times New Roman" w:hAnsi="Garamond" w:cs="Times New Roman"/>
        </w:rPr>
        <w:t xml:space="preserve"> (1986)</w:t>
      </w:r>
      <w:r w:rsidR="0045159D" w:rsidRPr="00C05D6B">
        <w:rPr>
          <w:rFonts w:ascii="Garamond" w:eastAsia="Times New Roman" w:hAnsi="Garamond" w:cs="Times New Roman"/>
        </w:rPr>
        <w:t>. The majority concedes as much, mouthing all the right words: “[W]hen a statutory provision is reasonably susceptible to divergent interpretation, we adopt the reading that accords with the traditional and basic principle that executive determinations generally are subject to judicial review.” (quoting Guerrero-</w:t>
      </w:r>
      <w:proofErr w:type="spellStart"/>
      <w:r w:rsidR="0045159D" w:rsidRPr="00C05D6B">
        <w:rPr>
          <w:rFonts w:ascii="Garamond" w:eastAsia="Times New Roman" w:hAnsi="Garamond" w:cs="Times New Roman"/>
        </w:rPr>
        <w:t>Lasprilla</w:t>
      </w:r>
      <w:proofErr w:type="spellEnd"/>
      <w:r w:rsidR="0045159D" w:rsidRPr="00C05D6B">
        <w:rPr>
          <w:rFonts w:ascii="Garamond" w:eastAsia="Times New Roman" w:hAnsi="Garamond" w:cs="Times New Roman"/>
        </w:rPr>
        <w:t xml:space="preserve"> v. Barr</w:t>
      </w:r>
      <w:r w:rsidRPr="00C05D6B">
        <w:rPr>
          <w:rFonts w:ascii="Garamond" w:eastAsia="Times New Roman" w:hAnsi="Garamond" w:cs="Times New Roman"/>
        </w:rPr>
        <w:t xml:space="preserve"> (2020))</w:t>
      </w:r>
      <w:r w:rsidR="0045159D" w:rsidRPr="00C05D6B">
        <w:rPr>
          <w:rFonts w:ascii="Garamond" w:eastAsia="Times New Roman" w:hAnsi="Garamond" w:cs="Times New Roman"/>
        </w:rPr>
        <w:t>. And then the principle gets ignored. If the meaning of “determination” is not “reasonably susceptible to divergent interpretations,” it is only because, as I maintain, a “determination” is a determination. But the majority's view that a “determination” includes as well all the steps and processes and actions in “the chain” leading up to the determination? That is reasonably contestable by any measure.</w:t>
      </w:r>
    </w:p>
    <w:p w14:paraId="1D593A0B" w14:textId="77777777" w:rsidR="0045159D" w:rsidRPr="00C05D6B" w:rsidRDefault="0045159D" w:rsidP="0045159D">
      <w:pPr>
        <w:rPr>
          <w:rFonts w:ascii="Garamond" w:eastAsia="Times New Roman" w:hAnsi="Garamond" w:cs="Times New Roman"/>
        </w:rPr>
      </w:pPr>
      <w:r w:rsidRPr="00C05D6B">
        <w:rPr>
          <w:rFonts w:ascii="Garamond" w:eastAsia="Times New Roman" w:hAnsi="Garamond" w:cs="Times New Roman"/>
        </w:rPr>
        <w:t xml:space="preserve"> </w:t>
      </w:r>
    </w:p>
    <w:p w14:paraId="0314681B" w14:textId="3EF1DC79"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Indeed, the consequences of today</w:t>
      </w:r>
      <w:r w:rsidR="00164169" w:rsidRPr="00C05D6B">
        <w:rPr>
          <w:rFonts w:ascii="Garamond" w:eastAsia="Times New Roman" w:hAnsi="Garamond" w:cs="Times New Roman"/>
        </w:rPr>
        <w:t>’</w:t>
      </w:r>
      <w:r w:rsidRPr="00C05D6B">
        <w:rPr>
          <w:rFonts w:ascii="Garamond" w:eastAsia="Times New Roman" w:hAnsi="Garamond" w:cs="Times New Roman"/>
        </w:rPr>
        <w:t xml:space="preserve">s holding could be Exhibit A in the case for why we have adopted a presumption favoring judicial review. The TPS statute makes plain that Congress </w:t>
      </w:r>
      <w:r w:rsidRPr="00C05D6B">
        <w:rPr>
          <w:rFonts w:ascii="Garamond" w:eastAsia="Times New Roman" w:hAnsi="Garamond" w:cs="Times New Roman"/>
        </w:rPr>
        <w:lastRenderedPageBreak/>
        <w:t>insulated the Secretary</w:t>
      </w:r>
      <w:r w:rsidR="00164169" w:rsidRPr="00C05D6B">
        <w:rPr>
          <w:rFonts w:ascii="Garamond" w:eastAsia="Times New Roman" w:hAnsi="Garamond" w:cs="Times New Roman"/>
        </w:rPr>
        <w:t>’</w:t>
      </w:r>
      <w:r w:rsidRPr="00C05D6B">
        <w:rPr>
          <w:rFonts w:ascii="Garamond" w:eastAsia="Times New Roman" w:hAnsi="Garamond" w:cs="Times New Roman"/>
        </w:rPr>
        <w:t>s designation determinations from review—that it did not want judges overriding secretarial decisions (made with proper consultation) about conditions in foreign countries. But the majority</w:t>
      </w:r>
      <w:r w:rsidR="00164169" w:rsidRPr="00C05D6B">
        <w:rPr>
          <w:rFonts w:ascii="Garamond" w:eastAsia="Times New Roman" w:hAnsi="Garamond" w:cs="Times New Roman"/>
        </w:rPr>
        <w:t>’</w:t>
      </w:r>
      <w:r w:rsidRPr="00C05D6B">
        <w:rPr>
          <w:rFonts w:ascii="Garamond" w:eastAsia="Times New Roman" w:hAnsi="Garamond" w:cs="Times New Roman"/>
        </w:rPr>
        <w:t>s holding makes everything in the statute precatory, including procedural requisites whose enforcement would seem to fall smack in the middle of the judicial wheelhouse. After today, a Secretary can announce to the world that she didn</w:t>
      </w:r>
      <w:r w:rsidR="00164169" w:rsidRPr="00C05D6B">
        <w:rPr>
          <w:rFonts w:ascii="Garamond" w:eastAsia="Times New Roman" w:hAnsi="Garamond" w:cs="Times New Roman"/>
        </w:rPr>
        <w:t>’</w:t>
      </w:r>
      <w:r w:rsidRPr="00C05D6B">
        <w:rPr>
          <w:rFonts w:ascii="Garamond" w:eastAsia="Times New Roman" w:hAnsi="Garamond" w:cs="Times New Roman"/>
        </w:rPr>
        <w:t>t consult with anyone—more, that she didn</w:t>
      </w:r>
      <w:r w:rsidR="00164169" w:rsidRPr="00C05D6B">
        <w:rPr>
          <w:rFonts w:ascii="Garamond" w:eastAsia="Times New Roman" w:hAnsi="Garamond" w:cs="Times New Roman"/>
        </w:rPr>
        <w:t>’</w:t>
      </w:r>
      <w:r w:rsidRPr="00C05D6B">
        <w:rPr>
          <w:rFonts w:ascii="Garamond" w:eastAsia="Times New Roman" w:hAnsi="Garamond" w:cs="Times New Roman"/>
        </w:rPr>
        <w:t xml:space="preserve">t evaluate country conditions at all—before making, extending, or terminating a TPS designation. And the courts will be powerless to intervene, even though Congress loaded up the TPS statute with requirements about the (altogether different) way the Secretary is supposed to make her decision. If it means anything to “presume that Congress intends the executive to obey its statutory commands,” </w:t>
      </w:r>
      <w:r w:rsidRPr="00C05D6B">
        <w:rPr>
          <w:rFonts w:ascii="Garamond" w:eastAsia="Times New Roman" w:hAnsi="Garamond" w:cs="Times New Roman"/>
          <w:i/>
          <w:iCs/>
        </w:rPr>
        <w:t>Bowen</w:t>
      </w:r>
      <w:r w:rsidRPr="00C05D6B">
        <w:rPr>
          <w:rFonts w:ascii="Garamond" w:eastAsia="Times New Roman" w:hAnsi="Garamond" w:cs="Times New Roman"/>
        </w:rPr>
        <w:t>—to think that Congress does not want all its work to go for naught—then the majority has gone wrong.</w:t>
      </w:r>
    </w:p>
    <w:p w14:paraId="40EA8F74" w14:textId="77777777" w:rsidR="0045159D" w:rsidRPr="00C05D6B" w:rsidRDefault="0045159D" w:rsidP="0045159D">
      <w:pPr>
        <w:rPr>
          <w:rFonts w:ascii="Garamond" w:eastAsia="Times New Roman" w:hAnsi="Garamond" w:cs="Times New Roman"/>
        </w:rPr>
      </w:pPr>
      <w:r w:rsidRPr="00C05D6B">
        <w:rPr>
          <w:rFonts w:ascii="Garamond" w:eastAsia="Times New Roman" w:hAnsi="Garamond" w:cs="Times New Roman"/>
        </w:rPr>
        <w:t xml:space="preserve"> </w:t>
      </w:r>
    </w:p>
    <w:p w14:paraId="018E1F1A" w14:textId="1BFCD29F" w:rsidR="0045159D" w:rsidRPr="00C05D6B" w:rsidRDefault="0045159D" w:rsidP="000B38A4">
      <w:pPr>
        <w:ind w:firstLine="720"/>
        <w:rPr>
          <w:rFonts w:ascii="Garamond" w:eastAsia="Times New Roman" w:hAnsi="Garamond" w:cs="Times New Roman"/>
        </w:rPr>
      </w:pPr>
      <w:r w:rsidRPr="00C05D6B">
        <w:rPr>
          <w:rFonts w:ascii="Garamond" w:eastAsia="Times New Roman" w:hAnsi="Garamond" w:cs="Times New Roman"/>
        </w:rPr>
        <w:t>And the claims that the majority refuses to review are in fact meritorious, because the Secretary did not consult (as the statute demands) with “appropriate agencies of the Government” about “the conditions” in Haiti and Syria. § 1254a(b)(3)(A). As everyone agrees, the only relevant communications here were brief email exchanges between an aide to the Secretary and an official at the State Department (a clearly “appropriate” agency). The aide stated (in two separate emails) that Haiti</w:t>
      </w:r>
      <w:r w:rsidR="00164169" w:rsidRPr="00C05D6B">
        <w:rPr>
          <w:rFonts w:ascii="Garamond" w:eastAsia="Times New Roman" w:hAnsi="Garamond" w:cs="Times New Roman"/>
        </w:rPr>
        <w:t>’</w:t>
      </w:r>
      <w:r w:rsidRPr="00C05D6B">
        <w:rPr>
          <w:rFonts w:ascii="Garamond" w:eastAsia="Times New Roman" w:hAnsi="Garamond" w:cs="Times New Roman"/>
        </w:rPr>
        <w:t>s and Syria</w:t>
      </w:r>
      <w:r w:rsidR="00164169" w:rsidRPr="00C05D6B">
        <w:rPr>
          <w:rFonts w:ascii="Garamond" w:eastAsia="Times New Roman" w:hAnsi="Garamond" w:cs="Times New Roman"/>
        </w:rPr>
        <w:t>’</w:t>
      </w:r>
      <w:r w:rsidRPr="00C05D6B">
        <w:rPr>
          <w:rFonts w:ascii="Garamond" w:eastAsia="Times New Roman" w:hAnsi="Garamond" w:cs="Times New Roman"/>
        </w:rPr>
        <w:t>s TPS designations were up for review; the official then replied as to each that the State Department had “no foreign policy concerns” with a termination of TPS. The problem with those exchanges is that they were not about the right thing. The statute insists on consultations about whether country conditions are safe, not about whether ending TPS raises “foreign policy concerns.” While there might be overlap between the two subjects, they are hardly coextensive. It could well be that terminating TPS for even an unsafe country raises no foreign policy concerns because it does not threaten U. S. relations with any significant foreign nation. Of course, the State Department is free to opine on that matter, as part of its job of overseeing foreign affairs. But the TPS statute mandates that it also advise on something else: whether, since an earlier TPS designation, the conditions in a country (here, Haiti and Syria) have become safe. The State Department did not do that here, so the Secretary did not fulfill her consultation requirement.</w:t>
      </w:r>
    </w:p>
    <w:p w14:paraId="34647434" w14:textId="77777777" w:rsidR="00164169" w:rsidRPr="00C05D6B" w:rsidRDefault="00164169" w:rsidP="0045159D">
      <w:pPr>
        <w:rPr>
          <w:rFonts w:ascii="Garamond" w:eastAsia="Times New Roman" w:hAnsi="Garamond" w:cs="Times New Roman"/>
        </w:rPr>
      </w:pPr>
    </w:p>
    <w:p w14:paraId="10C77A40" w14:textId="186873C2" w:rsidR="0045159D" w:rsidRPr="00C05D6B" w:rsidRDefault="0045159D" w:rsidP="00164169">
      <w:pPr>
        <w:ind w:firstLine="720"/>
        <w:rPr>
          <w:rFonts w:ascii="Garamond" w:eastAsia="Times New Roman" w:hAnsi="Garamond" w:cs="Times New Roman"/>
        </w:rPr>
      </w:pPr>
      <w:r w:rsidRPr="00C05D6B">
        <w:rPr>
          <w:rFonts w:ascii="Garamond" w:eastAsia="Times New Roman" w:hAnsi="Garamond" w:cs="Times New Roman"/>
        </w:rPr>
        <w:t>The Haiti plaintiffs have yet another claim that is likely to succeed: that race entered into the decision to terminate Haiti</w:t>
      </w:r>
      <w:r w:rsidR="00164169" w:rsidRPr="00C05D6B">
        <w:rPr>
          <w:rFonts w:ascii="Garamond" w:eastAsia="Times New Roman" w:hAnsi="Garamond" w:cs="Times New Roman"/>
        </w:rPr>
        <w:t>’</w:t>
      </w:r>
      <w:r w:rsidRPr="00C05D6B">
        <w:rPr>
          <w:rFonts w:ascii="Garamond" w:eastAsia="Times New Roman" w:hAnsi="Garamond" w:cs="Times New Roman"/>
        </w:rPr>
        <w:t>s TPS designation, in violation of equal protection.</w:t>
      </w:r>
    </w:p>
    <w:p w14:paraId="62A06EE9" w14:textId="77777777" w:rsidR="00164169" w:rsidRPr="00C05D6B" w:rsidRDefault="00164169" w:rsidP="00164169">
      <w:pPr>
        <w:ind w:firstLine="720"/>
        <w:rPr>
          <w:rFonts w:ascii="Garamond" w:eastAsia="Times New Roman" w:hAnsi="Garamond" w:cs="Times New Roman"/>
        </w:rPr>
      </w:pPr>
    </w:p>
    <w:p w14:paraId="0102A45C" w14:textId="3F8A6372" w:rsidR="00164169" w:rsidRPr="00C05D6B" w:rsidRDefault="00164169" w:rsidP="00164169">
      <w:pPr>
        <w:ind w:firstLine="720"/>
        <w:rPr>
          <w:rFonts w:ascii="Garamond" w:eastAsia="Times New Roman" w:hAnsi="Garamond" w:cs="Times New Roman"/>
        </w:rPr>
      </w:pPr>
      <w:r w:rsidRPr="00C05D6B">
        <w:rPr>
          <w:rFonts w:ascii="Garamond" w:eastAsia="Times New Roman" w:hAnsi="Garamond" w:cs="Times New Roman"/>
        </w:rPr>
        <w:t xml:space="preserve">This Court must [] take account of a deferential standard of appellate review. The discriminatory-purpose inquiry is predominantly factual, so a lower court’s conclusion must stand unless clearly erroneous. </w:t>
      </w:r>
      <w:r w:rsidRPr="00C05D6B">
        <w:rPr>
          <w:rFonts w:ascii="Garamond" w:eastAsia="Times New Roman" w:hAnsi="Garamond" w:cs="Times New Roman"/>
          <w:i/>
          <w:iCs/>
        </w:rPr>
        <w:t>See</w:t>
      </w:r>
      <w:r w:rsidRPr="00C05D6B">
        <w:rPr>
          <w:rFonts w:ascii="Garamond" w:eastAsia="Times New Roman" w:hAnsi="Garamond" w:cs="Times New Roman"/>
        </w:rPr>
        <w:t xml:space="preserve"> Anderson v. Bessemer City (1985). Here, the District Court found that the existing record (which future discovery could supplement) “strongly suggests that [the] decision to terminate Haiti’s TPS designation was motivated, at least in part, by racial animus.” Under clear-error review, that finding governs so long as it is “plausible.” </w:t>
      </w:r>
      <w:r w:rsidRPr="00C05D6B">
        <w:rPr>
          <w:rFonts w:ascii="Garamond" w:eastAsia="Times New Roman" w:hAnsi="Garamond" w:cs="Times New Roman"/>
          <w:i/>
          <w:iCs/>
        </w:rPr>
        <w:t>Anderson</w:t>
      </w:r>
      <w:r w:rsidRPr="00C05D6B">
        <w:rPr>
          <w:rFonts w:ascii="Garamond" w:eastAsia="Times New Roman" w:hAnsi="Garamond" w:cs="Times New Roman"/>
        </w:rPr>
        <w:t>.</w:t>
      </w:r>
    </w:p>
    <w:p w14:paraId="20B10643" w14:textId="77777777" w:rsidR="00164169" w:rsidRPr="00C05D6B" w:rsidRDefault="00164169" w:rsidP="00164169">
      <w:pPr>
        <w:ind w:firstLine="720"/>
        <w:rPr>
          <w:rFonts w:ascii="Garamond" w:eastAsia="Times New Roman" w:hAnsi="Garamond" w:cs="Times New Roman"/>
        </w:rPr>
      </w:pPr>
    </w:p>
    <w:p w14:paraId="6365B59A" w14:textId="043DEB30" w:rsidR="00164169" w:rsidRPr="00C05D6B" w:rsidRDefault="00164169" w:rsidP="00164169">
      <w:pPr>
        <w:ind w:firstLine="720"/>
        <w:rPr>
          <w:rFonts w:ascii="Garamond" w:eastAsia="Times New Roman" w:hAnsi="Garamond" w:cs="Times New Roman"/>
        </w:rPr>
      </w:pPr>
      <w:r w:rsidRPr="00C05D6B">
        <w:rPr>
          <w:rFonts w:ascii="Garamond" w:eastAsia="Times New Roman" w:hAnsi="Garamond" w:cs="Times New Roman"/>
        </w:rPr>
        <w:t>It is more than plausible: Even putting the clear-error standard aside, the Haiti plaintiffs have carried their burden. The evidence they have offered includes statements by the President so repellent and racially inflected that the majority declines to put them in print. (Indeed, one measure of the President’s way of speaking about Haitians is to compare it with the majority’s, which is unfailingly respectful.) So here are some of those statements. Haitians are “eating the dogs . . . They’re eating the cats. They’re eating—they’</w:t>
      </w:r>
      <w:r w:rsidR="004F3850" w:rsidRPr="00C05D6B">
        <w:rPr>
          <w:rFonts w:ascii="Garamond" w:eastAsia="Times New Roman" w:hAnsi="Garamond" w:cs="Times New Roman"/>
        </w:rPr>
        <w:t>r</w:t>
      </w:r>
      <w:r w:rsidRPr="00C05D6B">
        <w:rPr>
          <w:rFonts w:ascii="Garamond" w:eastAsia="Times New Roman" w:hAnsi="Garamond" w:cs="Times New Roman"/>
        </w:rPr>
        <w:t xml:space="preserve">e eating the pets of the people that live [in Springfield, Ohio].” And: Haitians are also eating “other things too that they’re not supposed to be.” And: Haitians in the United States “probably have AIDS.” And: Haiti is a “shithole country,” which is “filthy, dirty, [and] disgusting.” And: Haitian immigration is “like a death wish for our country.” </w:t>
      </w:r>
      <w:r w:rsidRPr="00C05D6B">
        <w:rPr>
          <w:rFonts w:ascii="Garamond" w:eastAsia="Times New Roman" w:hAnsi="Garamond" w:cs="Times New Roman"/>
        </w:rPr>
        <w:lastRenderedPageBreak/>
        <w:t xml:space="preserve">And: Haitians, along with some others, are “poisoning the blood” of our country. And: “Why is it we only take people from shithole countries” like “Haiti [and] Somalia”? “Why cannot we have some people from Norway [and] Sweden?” The majority briefly replies that those remarks are not “overtly racial,” but it is hard to know what that means. Haitians are Black. (Norwegians and Swedes not so much.) The references—of filth, disease, and primitiveness—are shot through with racial stereotypes and tropes. It is hard to imagine the statements being made today of any White community. No very “sensitive inquiry,” of the kind [our precedent] compels, is needed to see them for what they are; judges, as we often say, are “not required to exhibit a naiveté from which ordinary citizens are free,” </w:t>
      </w:r>
      <w:r w:rsidRPr="00C05D6B">
        <w:rPr>
          <w:rFonts w:ascii="Garamond" w:eastAsia="Times New Roman" w:hAnsi="Garamond" w:cs="Times New Roman"/>
          <w:i/>
          <w:iCs/>
        </w:rPr>
        <w:t>Department of Commerce</w:t>
      </w:r>
      <w:r w:rsidRPr="00C05D6B">
        <w:rPr>
          <w:rFonts w:ascii="Garamond" w:eastAsia="Times New Roman" w:hAnsi="Garamond" w:cs="Times New Roman"/>
        </w:rPr>
        <w:t>. The statements fairly shout, in their racial undertones and overtones alike, that race entered into the President’s resolve to remove Haitians from this country.</w:t>
      </w:r>
    </w:p>
    <w:p w14:paraId="72B7C687" w14:textId="77777777" w:rsidR="0045159D" w:rsidRPr="00C05D6B" w:rsidRDefault="0045159D" w:rsidP="000B38A4">
      <w:pPr>
        <w:rPr>
          <w:rFonts w:ascii="Garamond" w:eastAsia="Times New Roman" w:hAnsi="Garamond" w:cs="Times New Roman"/>
          <w:b/>
          <w:bCs/>
          <w:i/>
          <w:iCs/>
        </w:rPr>
      </w:pPr>
    </w:p>
    <w:p w14:paraId="272140CC" w14:textId="66679645" w:rsidR="00285176" w:rsidRPr="00C05D6B" w:rsidRDefault="00285176" w:rsidP="00285176">
      <w:pPr>
        <w:ind w:left="720" w:hanging="720"/>
        <w:rPr>
          <w:rFonts w:ascii="Garamond" w:eastAsia="Times New Roman" w:hAnsi="Garamond" w:cs="Times New Roman"/>
          <w:b/>
          <w:bCs/>
          <w:i/>
          <w:iCs/>
        </w:rPr>
      </w:pPr>
      <w:r w:rsidRPr="00C05D6B">
        <w:rPr>
          <w:rFonts w:ascii="Garamond" w:eastAsia="Times New Roman" w:hAnsi="Garamond" w:cs="Times New Roman"/>
          <w:b/>
          <w:bCs/>
          <w:i/>
          <w:iCs/>
        </w:rPr>
        <w:t>B.</w:t>
      </w:r>
      <w:r w:rsidRPr="00C05D6B">
        <w:rPr>
          <w:rFonts w:ascii="Garamond" w:eastAsia="Times New Roman" w:hAnsi="Garamond" w:cs="Times New Roman"/>
          <w:b/>
          <w:bCs/>
          <w:i/>
          <w:iCs/>
        </w:rPr>
        <w:tab/>
        <w:t>Congressional Power to Create Legislative Courts and to Authorize Administrative Adjudication</w:t>
      </w:r>
    </w:p>
    <w:p w14:paraId="0A2A13A5" w14:textId="77777777" w:rsidR="00285176" w:rsidRPr="00C05D6B" w:rsidRDefault="00285176" w:rsidP="00285176">
      <w:pPr>
        <w:ind w:left="720" w:hanging="720"/>
        <w:rPr>
          <w:rFonts w:ascii="Garamond" w:eastAsia="Times New Roman" w:hAnsi="Garamond" w:cs="Times New Roman"/>
          <w:b/>
          <w:bCs/>
          <w:i/>
          <w:iCs/>
        </w:rPr>
      </w:pPr>
    </w:p>
    <w:p w14:paraId="40912069" w14:textId="58FC033C" w:rsidR="00285176" w:rsidRPr="00C05D6B" w:rsidRDefault="00285176" w:rsidP="00285176">
      <w:pPr>
        <w:ind w:left="720" w:hanging="720"/>
        <w:rPr>
          <w:rFonts w:ascii="Garamond" w:eastAsia="Times New Roman" w:hAnsi="Garamond" w:cs="Times New Roman"/>
          <w:b/>
          <w:bCs/>
        </w:rPr>
      </w:pPr>
      <w:r w:rsidRPr="00C05D6B">
        <w:rPr>
          <w:rFonts w:ascii="Garamond" w:eastAsia="Times New Roman" w:hAnsi="Garamond" w:cs="Times New Roman"/>
          <w:b/>
          <w:bCs/>
          <w:i/>
          <w:iCs/>
        </w:rPr>
        <w:tab/>
      </w:r>
      <w:r w:rsidRPr="00C05D6B">
        <w:rPr>
          <w:rFonts w:ascii="Garamond" w:eastAsia="Times New Roman" w:hAnsi="Garamond" w:cs="Times New Roman"/>
          <w:b/>
          <w:bCs/>
        </w:rPr>
        <w:t>3.</w:t>
      </w:r>
      <w:r w:rsidRPr="00C05D6B">
        <w:rPr>
          <w:rFonts w:ascii="Garamond" w:eastAsia="Times New Roman" w:hAnsi="Garamond" w:cs="Times New Roman"/>
          <w:b/>
          <w:bCs/>
        </w:rPr>
        <w:tab/>
        <w:t>Non-Article III Adjudication of Public Rights Cases</w:t>
      </w:r>
    </w:p>
    <w:p w14:paraId="591244FD" w14:textId="77777777" w:rsidR="00285176" w:rsidRPr="00C05D6B" w:rsidRDefault="00285176" w:rsidP="00285176">
      <w:pPr>
        <w:ind w:left="720" w:hanging="720"/>
        <w:rPr>
          <w:rFonts w:ascii="Garamond" w:eastAsia="Times New Roman" w:hAnsi="Garamond" w:cs="Times New Roman"/>
          <w:b/>
          <w:bCs/>
        </w:rPr>
      </w:pPr>
    </w:p>
    <w:p w14:paraId="40595E1E" w14:textId="39E63ABF" w:rsidR="003125BF" w:rsidRPr="00C05D6B" w:rsidRDefault="003125BF" w:rsidP="003125BF">
      <w:pPr>
        <w:rPr>
          <w:rFonts w:ascii="Garamond" w:eastAsia="Times New Roman" w:hAnsi="Garamond" w:cs="Times New Roman"/>
          <w:b/>
          <w:bCs/>
        </w:rPr>
      </w:pPr>
      <w:r w:rsidRPr="00C05D6B">
        <w:rPr>
          <w:rFonts w:ascii="Garamond" w:eastAsia="Times New Roman" w:hAnsi="Garamond" w:cs="Times New Roman"/>
          <w:b/>
          <w:bCs/>
        </w:rPr>
        <w:t>(CB, p. 493, after Crowell v. Benson</w:t>
      </w:r>
      <w:r w:rsidR="00074968" w:rsidRPr="00C05D6B">
        <w:rPr>
          <w:rFonts w:ascii="Garamond" w:eastAsia="Times New Roman" w:hAnsi="Garamond" w:cs="Times New Roman"/>
          <w:b/>
          <w:bCs/>
        </w:rPr>
        <w:fldChar w:fldCharType="begin"/>
      </w:r>
      <w:r w:rsidR="00074968" w:rsidRPr="00C05D6B">
        <w:rPr>
          <w:rFonts w:ascii="Garamond" w:hAnsi="Garamond"/>
        </w:rPr>
        <w:instrText xml:space="preserve"> TA \l "</w:instrText>
      </w:r>
      <w:r w:rsidR="00074968" w:rsidRPr="00C05D6B">
        <w:rPr>
          <w:rFonts w:ascii="Garamond" w:eastAsia="Times New Roman" w:hAnsi="Garamond" w:cs="Times New Roman"/>
        </w:rPr>
        <w:instrText>Crowell v. Benson</w:instrText>
      </w:r>
      <w:r w:rsidR="00074968" w:rsidRPr="00C05D6B">
        <w:rPr>
          <w:rFonts w:ascii="Garamond" w:hAnsi="Garamond"/>
        </w:rPr>
        <w:instrText xml:space="preserve">" \s "Crowell v. Benson" \c 1 </w:instrText>
      </w:r>
      <w:r w:rsidR="00074968" w:rsidRPr="00C05D6B">
        <w:rPr>
          <w:rFonts w:ascii="Garamond" w:eastAsia="Times New Roman" w:hAnsi="Garamond" w:cs="Times New Roman"/>
          <w:b/>
          <w:bCs/>
        </w:rPr>
        <w:fldChar w:fldCharType="end"/>
      </w:r>
      <w:r w:rsidRPr="00C05D6B">
        <w:rPr>
          <w:rFonts w:ascii="Garamond" w:eastAsia="Times New Roman" w:hAnsi="Garamond" w:cs="Times New Roman"/>
          <w:b/>
          <w:bCs/>
        </w:rPr>
        <w:t xml:space="preserve"> (1932))</w:t>
      </w:r>
    </w:p>
    <w:p w14:paraId="3F7C7692" w14:textId="77777777" w:rsidR="003125BF" w:rsidRPr="00C05D6B" w:rsidRDefault="003125BF" w:rsidP="003125BF">
      <w:pPr>
        <w:rPr>
          <w:rFonts w:ascii="Garamond" w:eastAsia="Times New Roman" w:hAnsi="Garamond" w:cs="Times New Roman"/>
        </w:rPr>
      </w:pPr>
    </w:p>
    <w:p w14:paraId="24DD986E" w14:textId="4F706AF9"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ab/>
        <w:t xml:space="preserve">In </w:t>
      </w:r>
      <w:r w:rsidRPr="00C05D6B">
        <w:rPr>
          <w:rFonts w:ascii="Garamond" w:eastAsia="Times New Roman" w:hAnsi="Garamond" w:cs="Times New Roman"/>
          <w:i/>
          <w:iCs/>
        </w:rPr>
        <w:t>Crowell</w:t>
      </w:r>
      <w:r w:rsidRPr="00C05D6B">
        <w:rPr>
          <w:rFonts w:ascii="Garamond" w:eastAsia="Times New Roman" w:hAnsi="Garamond" w:cs="Times New Roman"/>
        </w:rPr>
        <w:t xml:space="preserve">, the Court concluded that Congress may enact a scheme that uses non-Article III adjudicators as adjuncts for Article III courts in private rights matters. The Court contemplated that a reviewing court must allow for the </w:t>
      </w:r>
      <w:proofErr w:type="spellStart"/>
      <w:r w:rsidRPr="00C05D6B">
        <w:rPr>
          <w:rFonts w:ascii="Garamond" w:eastAsia="Times New Roman" w:hAnsi="Garamond" w:cs="Times New Roman"/>
        </w:rPr>
        <w:t>relitigation</w:t>
      </w:r>
      <w:proofErr w:type="spellEnd"/>
      <w:r w:rsidRPr="00C05D6B">
        <w:rPr>
          <w:rFonts w:ascii="Garamond" w:eastAsia="Times New Roman" w:hAnsi="Garamond" w:cs="Times New Roman"/>
        </w:rPr>
        <w:t xml:space="preserve"> of constitutional facts and jurisdictional facts de novo and must decide legal questions de novo.</w:t>
      </w:r>
      <w:r w:rsidR="006D79DB" w:rsidRPr="00C05D6B">
        <w:rPr>
          <w:rFonts w:ascii="Garamond" w:eastAsia="Times New Roman" w:hAnsi="Garamond" w:cs="Times New Roman"/>
        </w:rPr>
        <w:t xml:space="preserve"> However, just four years later, the Court held that agency factfinding, even going to constitutional issues, “will not be disturbed save as in particular instances they are plainly shown to be overborne.” St. Joseph Stock Yards Co. v. United States</w:t>
      </w:r>
      <w:r w:rsidR="00074968" w:rsidRPr="00C05D6B">
        <w:rPr>
          <w:rFonts w:ascii="Garamond" w:eastAsia="Times New Roman" w:hAnsi="Garamond" w:cs="Times New Roman"/>
        </w:rPr>
        <w:fldChar w:fldCharType="begin"/>
      </w:r>
      <w:r w:rsidR="00074968" w:rsidRPr="00C05D6B">
        <w:rPr>
          <w:rFonts w:ascii="Garamond" w:hAnsi="Garamond"/>
        </w:rPr>
        <w:instrText xml:space="preserve"> TA \l "</w:instrText>
      </w:r>
      <w:r w:rsidR="00074968" w:rsidRPr="00C05D6B">
        <w:rPr>
          <w:rFonts w:ascii="Garamond" w:eastAsia="Times New Roman" w:hAnsi="Garamond" w:cs="Times New Roman"/>
        </w:rPr>
        <w:instrText>St. Joseph Stock Yards Co. v. United States</w:instrText>
      </w:r>
      <w:r w:rsidR="00074968" w:rsidRPr="00C05D6B">
        <w:rPr>
          <w:rFonts w:ascii="Garamond" w:hAnsi="Garamond"/>
        </w:rPr>
        <w:instrText xml:space="preserve">" \s "St. Joseph Stock Yards Co. v. United States" \c 1 </w:instrText>
      </w:r>
      <w:r w:rsidR="00074968" w:rsidRPr="00C05D6B">
        <w:rPr>
          <w:rFonts w:ascii="Garamond" w:eastAsia="Times New Roman" w:hAnsi="Garamond" w:cs="Times New Roman"/>
        </w:rPr>
        <w:fldChar w:fldCharType="end"/>
      </w:r>
      <w:r w:rsidR="006D79DB" w:rsidRPr="00C05D6B">
        <w:rPr>
          <w:rFonts w:ascii="Garamond" w:eastAsia="Times New Roman" w:hAnsi="Garamond" w:cs="Times New Roman"/>
        </w:rPr>
        <w:t xml:space="preserve"> (1936). This applies a kind of clear error standard to federal judicial review of agency fact finding, limiting federal courts, in most cases, to the record established by the agency. I</w:t>
      </w:r>
      <w:r w:rsidRPr="00C05D6B">
        <w:rPr>
          <w:rFonts w:ascii="Garamond" w:eastAsia="Times New Roman" w:hAnsi="Garamond" w:cs="Times New Roman"/>
        </w:rPr>
        <w:t xml:space="preserve">n a decision </w:t>
      </w:r>
      <w:r w:rsidR="00050125" w:rsidRPr="00C05D6B">
        <w:rPr>
          <w:rFonts w:ascii="Garamond" w:eastAsia="Times New Roman" w:hAnsi="Garamond" w:cs="Times New Roman"/>
        </w:rPr>
        <w:t>five decades</w:t>
      </w:r>
      <w:r w:rsidRPr="00C05D6B">
        <w:rPr>
          <w:rFonts w:ascii="Garamond" w:eastAsia="Times New Roman" w:hAnsi="Garamond" w:cs="Times New Roman"/>
        </w:rPr>
        <w:t xml:space="preserve"> later, Chevron U.S.A. Inc. v. Natural Resources Defense Council, Inc.</w:t>
      </w:r>
      <w:r w:rsidR="00074968" w:rsidRPr="00C05D6B">
        <w:rPr>
          <w:rFonts w:ascii="Garamond" w:eastAsia="Times New Roman" w:hAnsi="Garamond" w:cs="Times New Roman"/>
        </w:rPr>
        <w:fldChar w:fldCharType="begin"/>
      </w:r>
      <w:r w:rsidR="00074968" w:rsidRPr="00C05D6B">
        <w:rPr>
          <w:rFonts w:ascii="Garamond" w:hAnsi="Garamond"/>
        </w:rPr>
        <w:instrText xml:space="preserve"> TA \l "</w:instrText>
      </w:r>
      <w:r w:rsidR="00074968" w:rsidRPr="00C05D6B">
        <w:rPr>
          <w:rFonts w:ascii="Garamond" w:eastAsia="Times New Roman" w:hAnsi="Garamond" w:cs="Times New Roman"/>
        </w:rPr>
        <w:instrText>Chevron U.S.A. Inc. v. Natural Resources Defense Council, Inc.</w:instrText>
      </w:r>
      <w:r w:rsidR="00074968" w:rsidRPr="00C05D6B">
        <w:rPr>
          <w:rFonts w:ascii="Garamond" w:hAnsi="Garamond"/>
        </w:rPr>
        <w:instrText xml:space="preserve">" \s "Chevron U.S.A. Inc. v. Natural Resources Defense Council, Inc." \c 1 </w:instrText>
      </w:r>
      <w:r w:rsidR="00074968" w:rsidRPr="00C05D6B">
        <w:rPr>
          <w:rFonts w:ascii="Garamond" w:eastAsia="Times New Roman" w:hAnsi="Garamond" w:cs="Times New Roman"/>
        </w:rPr>
        <w:fldChar w:fldCharType="end"/>
      </w:r>
      <w:r w:rsidRPr="00C05D6B">
        <w:rPr>
          <w:rFonts w:ascii="Garamond" w:eastAsia="Times New Roman" w:hAnsi="Garamond" w:cs="Times New Roman"/>
        </w:rPr>
        <w:t xml:space="preserve"> (1984), the Court</w:t>
      </w:r>
      <w:r w:rsidR="006D79DB" w:rsidRPr="00C05D6B">
        <w:rPr>
          <w:rFonts w:ascii="Garamond" w:eastAsia="Times New Roman" w:hAnsi="Garamond" w:cs="Times New Roman"/>
        </w:rPr>
        <w:t xml:space="preserve"> supplemented this fact deference with a requirement of deference to agencies on questions of law, holding</w:t>
      </w:r>
      <w:r w:rsidRPr="00C05D6B">
        <w:rPr>
          <w:rFonts w:ascii="Garamond" w:eastAsia="Times New Roman" w:hAnsi="Garamond" w:cs="Times New Roman"/>
        </w:rPr>
        <w:t xml:space="preserve"> that a court must defer to an agency</w:t>
      </w:r>
      <w:r w:rsidR="00050125" w:rsidRPr="00C05D6B">
        <w:rPr>
          <w:rFonts w:ascii="Garamond" w:eastAsia="Times New Roman" w:hAnsi="Garamond" w:cs="Times New Roman"/>
        </w:rPr>
        <w:t>’</w:t>
      </w:r>
      <w:r w:rsidRPr="00C05D6B">
        <w:rPr>
          <w:rFonts w:ascii="Garamond" w:eastAsia="Times New Roman" w:hAnsi="Garamond" w:cs="Times New Roman"/>
        </w:rPr>
        <w:t xml:space="preserve">s </w:t>
      </w:r>
      <w:r w:rsidR="00050125" w:rsidRPr="00C05D6B">
        <w:rPr>
          <w:rFonts w:ascii="Garamond" w:eastAsia="Times New Roman" w:hAnsi="Garamond" w:cs="Times New Roman"/>
        </w:rPr>
        <w:t>“</w:t>
      </w:r>
      <w:r w:rsidRPr="00C05D6B">
        <w:rPr>
          <w:rFonts w:ascii="Garamond" w:eastAsia="Times New Roman" w:hAnsi="Garamond" w:cs="Times New Roman"/>
        </w:rPr>
        <w:t>permissible</w:t>
      </w:r>
      <w:r w:rsidR="00050125" w:rsidRPr="00C05D6B">
        <w:rPr>
          <w:rFonts w:ascii="Garamond" w:eastAsia="Times New Roman" w:hAnsi="Garamond" w:cs="Times New Roman"/>
        </w:rPr>
        <w:t>”</w:t>
      </w:r>
      <w:r w:rsidRPr="00C05D6B">
        <w:rPr>
          <w:rFonts w:ascii="Garamond" w:eastAsia="Times New Roman" w:hAnsi="Garamond" w:cs="Times New Roman"/>
        </w:rPr>
        <w:t xml:space="preserve"> interpretation of ambiguities in a statute that the agency administers. </w:t>
      </w:r>
      <w:r w:rsidRPr="00C05D6B">
        <w:rPr>
          <w:rFonts w:ascii="Garamond" w:eastAsia="Times New Roman" w:hAnsi="Garamond" w:cs="Times New Roman"/>
          <w:i/>
          <w:iCs/>
        </w:rPr>
        <w:t xml:space="preserve">Chevron </w:t>
      </w:r>
      <w:r w:rsidRPr="00C05D6B">
        <w:rPr>
          <w:rFonts w:ascii="Garamond" w:eastAsia="Times New Roman" w:hAnsi="Garamond" w:cs="Times New Roman"/>
        </w:rPr>
        <w:t xml:space="preserve">deference, which was typically justified on the grounds that agencies are policy experts and more politically accountable than courts, was in tension with </w:t>
      </w:r>
      <w:r w:rsidRPr="00C05D6B">
        <w:rPr>
          <w:rFonts w:ascii="Garamond" w:eastAsia="Times New Roman" w:hAnsi="Garamond" w:cs="Times New Roman"/>
          <w:i/>
          <w:iCs/>
        </w:rPr>
        <w:t>Crowell</w:t>
      </w:r>
      <w:r w:rsidR="00050125" w:rsidRPr="00C05D6B">
        <w:rPr>
          <w:rFonts w:ascii="Garamond" w:eastAsia="Times New Roman" w:hAnsi="Garamond" w:cs="Times New Roman"/>
        </w:rPr>
        <w:t>’</w:t>
      </w:r>
      <w:r w:rsidRPr="00C05D6B">
        <w:rPr>
          <w:rFonts w:ascii="Garamond" w:eastAsia="Times New Roman" w:hAnsi="Garamond" w:cs="Times New Roman"/>
        </w:rPr>
        <w:t xml:space="preserve">s assumption that reviewing courts must decide all questions of law without deferring to agencies. </w:t>
      </w:r>
    </w:p>
    <w:p w14:paraId="642D822F" w14:textId="77777777" w:rsidR="003125BF" w:rsidRPr="00C05D6B" w:rsidRDefault="003125BF" w:rsidP="003125BF">
      <w:pPr>
        <w:rPr>
          <w:rFonts w:ascii="Garamond" w:eastAsia="Times New Roman" w:hAnsi="Garamond" w:cs="Times New Roman"/>
        </w:rPr>
      </w:pPr>
    </w:p>
    <w:p w14:paraId="40E83731" w14:textId="26C9540E"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In </w:t>
      </w:r>
      <w:proofErr w:type="spellStart"/>
      <w:r w:rsidRPr="00C05D6B">
        <w:rPr>
          <w:rFonts w:ascii="Garamond" w:eastAsia="Times New Roman" w:hAnsi="Garamond" w:cs="Times New Roman"/>
        </w:rPr>
        <w:t>Loper</w:t>
      </w:r>
      <w:proofErr w:type="spellEnd"/>
      <w:r w:rsidRPr="00C05D6B">
        <w:rPr>
          <w:rFonts w:ascii="Garamond" w:eastAsia="Times New Roman" w:hAnsi="Garamond" w:cs="Times New Roman"/>
        </w:rPr>
        <w:t xml:space="preserve"> Bright Enterprises v. Raimondo</w:t>
      </w:r>
      <w:r w:rsidR="00074968" w:rsidRPr="00C05D6B">
        <w:rPr>
          <w:rFonts w:ascii="Garamond" w:eastAsia="Times New Roman" w:hAnsi="Garamond" w:cs="Times New Roman"/>
        </w:rPr>
        <w:fldChar w:fldCharType="begin"/>
      </w:r>
      <w:r w:rsidR="00074968" w:rsidRPr="00C05D6B">
        <w:rPr>
          <w:rFonts w:ascii="Garamond" w:hAnsi="Garamond"/>
        </w:rPr>
        <w:instrText xml:space="preserve"> TA \l "</w:instrText>
      </w:r>
      <w:r w:rsidR="00074968" w:rsidRPr="00C05D6B">
        <w:rPr>
          <w:rFonts w:ascii="Garamond" w:eastAsia="Times New Roman" w:hAnsi="Garamond" w:cs="Times New Roman"/>
        </w:rPr>
        <w:instrText>Loper Bright Enterprises v. Raimondo</w:instrText>
      </w:r>
      <w:r w:rsidR="00074968" w:rsidRPr="00C05D6B">
        <w:rPr>
          <w:rFonts w:ascii="Garamond" w:hAnsi="Garamond"/>
        </w:rPr>
        <w:instrText xml:space="preserve">" \s "Loper Bright Enterprises v. Raimondo" \c 1 </w:instrText>
      </w:r>
      <w:r w:rsidR="00074968" w:rsidRPr="00C05D6B">
        <w:rPr>
          <w:rFonts w:ascii="Garamond" w:eastAsia="Times New Roman" w:hAnsi="Garamond" w:cs="Times New Roman"/>
        </w:rPr>
        <w:fldChar w:fldCharType="end"/>
      </w:r>
      <w:r w:rsidRPr="00C05D6B">
        <w:rPr>
          <w:rFonts w:ascii="Garamond" w:eastAsia="Times New Roman" w:hAnsi="Garamond" w:cs="Times New Roman"/>
        </w:rPr>
        <w:t xml:space="preserve"> (2024), the Court overruled </w:t>
      </w:r>
      <w:r w:rsidRPr="00C05D6B">
        <w:rPr>
          <w:rFonts w:ascii="Garamond" w:eastAsia="Times New Roman" w:hAnsi="Garamond" w:cs="Times New Roman"/>
          <w:i/>
          <w:iCs/>
        </w:rPr>
        <w:t xml:space="preserve">Chevron </w:t>
      </w:r>
      <w:r w:rsidRPr="00C05D6B">
        <w:rPr>
          <w:rFonts w:ascii="Garamond" w:eastAsia="Times New Roman" w:hAnsi="Garamond" w:cs="Times New Roman"/>
        </w:rPr>
        <w:t xml:space="preserve">and held that a court must independently interpret statutes, asking whether they </w:t>
      </w:r>
      <w:r w:rsidR="00050125" w:rsidRPr="00C05D6B">
        <w:rPr>
          <w:rFonts w:ascii="Garamond" w:eastAsia="Times New Roman" w:hAnsi="Garamond" w:cs="Times New Roman"/>
        </w:rPr>
        <w:t>“</w:t>
      </w:r>
      <w:r w:rsidRPr="00C05D6B">
        <w:rPr>
          <w:rFonts w:ascii="Garamond" w:eastAsia="Times New Roman" w:hAnsi="Garamond" w:cs="Times New Roman"/>
        </w:rPr>
        <w:t>delegate[] discretionary authority to an agency,</w:t>
      </w:r>
      <w:r w:rsidR="00050125" w:rsidRPr="00C05D6B">
        <w:rPr>
          <w:rFonts w:ascii="Garamond" w:eastAsia="Times New Roman" w:hAnsi="Garamond" w:cs="Times New Roman"/>
        </w:rPr>
        <w:t>”</w:t>
      </w:r>
      <w:r w:rsidRPr="00C05D6B">
        <w:rPr>
          <w:rFonts w:ascii="Garamond" w:eastAsia="Times New Roman" w:hAnsi="Garamond" w:cs="Times New Roman"/>
        </w:rPr>
        <w:t xml:space="preserve"> whether the delegation is constitutional, and whether the agency </w:t>
      </w:r>
      <w:r w:rsidR="00050125" w:rsidRPr="00C05D6B">
        <w:rPr>
          <w:rFonts w:ascii="Garamond" w:eastAsia="Times New Roman" w:hAnsi="Garamond" w:cs="Times New Roman"/>
        </w:rPr>
        <w:t>“</w:t>
      </w:r>
      <w:r w:rsidRPr="00C05D6B">
        <w:rPr>
          <w:rFonts w:ascii="Garamond" w:eastAsia="Times New Roman" w:hAnsi="Garamond" w:cs="Times New Roman"/>
        </w:rPr>
        <w:t xml:space="preserve">has engaged in reasoned </w:t>
      </w:r>
      <w:proofErr w:type="spellStart"/>
      <w:r w:rsidRPr="00C05D6B">
        <w:rPr>
          <w:rFonts w:ascii="Garamond" w:eastAsia="Times New Roman" w:hAnsi="Garamond" w:cs="Times New Roman"/>
        </w:rPr>
        <w:t>decisionmaking</w:t>
      </w:r>
      <w:proofErr w:type="spellEnd"/>
      <w:r w:rsidRPr="00C05D6B">
        <w:rPr>
          <w:rFonts w:ascii="Garamond" w:eastAsia="Times New Roman" w:hAnsi="Garamond" w:cs="Times New Roman"/>
        </w:rPr>
        <w:t xml:space="preserve"> within [the] boundaries</w:t>
      </w:r>
      <w:r w:rsidR="00050125" w:rsidRPr="00C05D6B">
        <w:rPr>
          <w:rFonts w:ascii="Garamond" w:eastAsia="Times New Roman" w:hAnsi="Garamond" w:cs="Times New Roman"/>
        </w:rPr>
        <w:t>”</w:t>
      </w:r>
      <w:r w:rsidRPr="00C05D6B">
        <w:rPr>
          <w:rFonts w:ascii="Garamond" w:eastAsia="Times New Roman" w:hAnsi="Garamond" w:cs="Times New Roman"/>
        </w:rPr>
        <w:t xml:space="preserve"> of Congress</w:t>
      </w:r>
      <w:r w:rsidR="00050125" w:rsidRPr="00C05D6B">
        <w:rPr>
          <w:rFonts w:ascii="Garamond" w:eastAsia="Times New Roman" w:hAnsi="Garamond" w:cs="Times New Roman"/>
        </w:rPr>
        <w:t>’</w:t>
      </w:r>
      <w:r w:rsidRPr="00C05D6B">
        <w:rPr>
          <w:rFonts w:ascii="Garamond" w:eastAsia="Times New Roman" w:hAnsi="Garamond" w:cs="Times New Roman"/>
        </w:rPr>
        <w:t xml:space="preserve">s delegation. </w:t>
      </w:r>
      <w:r w:rsidR="006529C1" w:rsidRPr="00C05D6B">
        <w:rPr>
          <w:rFonts w:ascii="Garamond" w:eastAsia="Times New Roman" w:hAnsi="Garamond" w:cs="Times New Roman"/>
        </w:rPr>
        <w:t xml:space="preserve">In its broad outline, </w:t>
      </w:r>
      <w:proofErr w:type="spellStart"/>
      <w:r w:rsidR="006529C1" w:rsidRPr="00C05D6B">
        <w:rPr>
          <w:rFonts w:ascii="Garamond" w:eastAsia="Times New Roman" w:hAnsi="Garamond" w:cs="Times New Roman"/>
          <w:i/>
          <w:iCs/>
        </w:rPr>
        <w:t>Loper</w:t>
      </w:r>
      <w:proofErr w:type="spellEnd"/>
      <w:r w:rsidR="006529C1" w:rsidRPr="00C05D6B">
        <w:rPr>
          <w:rFonts w:ascii="Garamond" w:eastAsia="Times New Roman" w:hAnsi="Garamond" w:cs="Times New Roman"/>
          <w:i/>
          <w:iCs/>
        </w:rPr>
        <w:t xml:space="preserve"> Bright </w:t>
      </w:r>
      <w:r w:rsidR="006529C1" w:rsidRPr="00C05D6B">
        <w:rPr>
          <w:rFonts w:ascii="Garamond" w:eastAsia="Times New Roman" w:hAnsi="Garamond" w:cs="Times New Roman"/>
        </w:rPr>
        <w:t xml:space="preserve">is consistent with </w:t>
      </w:r>
      <w:r w:rsidR="006529C1" w:rsidRPr="00C05D6B">
        <w:rPr>
          <w:rFonts w:ascii="Garamond" w:eastAsia="Times New Roman" w:hAnsi="Garamond" w:cs="Times New Roman"/>
          <w:i/>
          <w:iCs/>
        </w:rPr>
        <w:t>Crowell</w:t>
      </w:r>
      <w:r w:rsidR="006529C1" w:rsidRPr="00C05D6B">
        <w:rPr>
          <w:rFonts w:ascii="Garamond" w:eastAsia="Times New Roman" w:hAnsi="Garamond" w:cs="Times New Roman"/>
        </w:rPr>
        <w:t xml:space="preserve">’s principle of independent judicial determination of legal questions. </w:t>
      </w:r>
      <w:r w:rsidRPr="00C05D6B">
        <w:rPr>
          <w:rFonts w:ascii="Garamond" w:eastAsia="Times New Roman" w:hAnsi="Garamond" w:cs="Times New Roman"/>
        </w:rPr>
        <w:t xml:space="preserve">It remains to be seen how much </w:t>
      </w:r>
      <w:proofErr w:type="spellStart"/>
      <w:r w:rsidRPr="00C05D6B">
        <w:rPr>
          <w:rFonts w:ascii="Garamond" w:eastAsia="Times New Roman" w:hAnsi="Garamond" w:cs="Times New Roman"/>
          <w:i/>
          <w:iCs/>
        </w:rPr>
        <w:t>Loper</w:t>
      </w:r>
      <w:proofErr w:type="spellEnd"/>
      <w:r w:rsidRPr="00C05D6B">
        <w:rPr>
          <w:rFonts w:ascii="Garamond" w:eastAsia="Times New Roman" w:hAnsi="Garamond" w:cs="Times New Roman"/>
          <w:i/>
          <w:iCs/>
        </w:rPr>
        <w:t xml:space="preserve"> Bright </w:t>
      </w:r>
      <w:r w:rsidRPr="00C05D6B">
        <w:rPr>
          <w:rFonts w:ascii="Garamond" w:eastAsia="Times New Roman" w:hAnsi="Garamond" w:cs="Times New Roman"/>
        </w:rPr>
        <w:t xml:space="preserve">will change patterns of judicial review of agency policymaking. </w:t>
      </w:r>
      <w:r w:rsidR="006529C1" w:rsidRPr="00C05D6B">
        <w:rPr>
          <w:rFonts w:ascii="Garamond" w:eastAsia="Times New Roman" w:hAnsi="Garamond" w:cs="Times New Roman"/>
        </w:rPr>
        <w:t xml:space="preserve">One early empirical study found divergence among the lower federal courts’ reactions to </w:t>
      </w:r>
      <w:proofErr w:type="spellStart"/>
      <w:r w:rsidR="006529C1" w:rsidRPr="00C05D6B">
        <w:rPr>
          <w:rFonts w:ascii="Garamond" w:eastAsia="Times New Roman" w:hAnsi="Garamond" w:cs="Times New Roman"/>
          <w:i/>
          <w:iCs/>
        </w:rPr>
        <w:t>Loper</w:t>
      </w:r>
      <w:proofErr w:type="spellEnd"/>
      <w:r w:rsidR="006529C1" w:rsidRPr="00C05D6B">
        <w:rPr>
          <w:rFonts w:ascii="Garamond" w:eastAsia="Times New Roman" w:hAnsi="Garamond" w:cs="Times New Roman"/>
          <w:i/>
          <w:iCs/>
        </w:rPr>
        <w:t xml:space="preserve"> Bright </w:t>
      </w:r>
      <w:r w:rsidR="006529C1" w:rsidRPr="00C05D6B">
        <w:rPr>
          <w:rFonts w:ascii="Garamond" w:eastAsia="Times New Roman" w:hAnsi="Garamond" w:cs="Times New Roman"/>
        </w:rPr>
        <w:t xml:space="preserve">and limited but suggestive evidence that the case made it easier for courts to conclude that an agency’s action was unlawful. Robin </w:t>
      </w:r>
      <w:proofErr w:type="spellStart"/>
      <w:r w:rsidR="006529C1" w:rsidRPr="00C05D6B">
        <w:rPr>
          <w:rFonts w:ascii="Garamond" w:eastAsia="Times New Roman" w:hAnsi="Garamond" w:cs="Times New Roman"/>
        </w:rPr>
        <w:t>Kundis</w:t>
      </w:r>
      <w:proofErr w:type="spellEnd"/>
      <w:r w:rsidR="006529C1" w:rsidRPr="00C05D6B">
        <w:rPr>
          <w:rFonts w:ascii="Garamond" w:eastAsia="Times New Roman" w:hAnsi="Garamond" w:cs="Times New Roman"/>
        </w:rPr>
        <w:t xml:space="preserve"> Craig, </w:t>
      </w:r>
      <w:r w:rsidR="006529C1" w:rsidRPr="00C05D6B">
        <w:rPr>
          <w:rFonts w:ascii="Garamond" w:eastAsia="Times New Roman" w:hAnsi="Garamond" w:cs="Times New Roman"/>
          <w:i/>
          <w:iCs/>
        </w:rPr>
        <w:t>The Impact of</w:t>
      </w:r>
      <w:r w:rsidR="006529C1" w:rsidRPr="00C05D6B">
        <w:rPr>
          <w:rFonts w:ascii="Garamond" w:eastAsia="Times New Roman" w:hAnsi="Garamond" w:cs="Times New Roman"/>
        </w:rPr>
        <w:t xml:space="preserve"> </w:t>
      </w:r>
      <w:proofErr w:type="spellStart"/>
      <w:r w:rsidR="006529C1" w:rsidRPr="00C05D6B">
        <w:rPr>
          <w:rFonts w:ascii="Garamond" w:eastAsia="Times New Roman" w:hAnsi="Garamond" w:cs="Times New Roman"/>
        </w:rPr>
        <w:t>Loper</w:t>
      </w:r>
      <w:proofErr w:type="spellEnd"/>
      <w:r w:rsidR="006529C1" w:rsidRPr="00C05D6B">
        <w:rPr>
          <w:rFonts w:ascii="Garamond" w:eastAsia="Times New Roman" w:hAnsi="Garamond" w:cs="Times New Roman"/>
        </w:rPr>
        <w:t xml:space="preserve"> Bright v. Raimondo</w:t>
      </w:r>
      <w:r w:rsidR="006529C1" w:rsidRPr="00C05D6B">
        <w:rPr>
          <w:rFonts w:ascii="Garamond" w:eastAsia="Times New Roman" w:hAnsi="Garamond" w:cs="Times New Roman"/>
          <w:i/>
          <w:iCs/>
        </w:rPr>
        <w:t>: An Empirical Review of the First Six Months</w:t>
      </w:r>
      <w:r w:rsidR="006529C1" w:rsidRPr="00C05D6B">
        <w:rPr>
          <w:rFonts w:ascii="Garamond" w:eastAsia="Times New Roman" w:hAnsi="Garamond" w:cs="Times New Roman"/>
        </w:rPr>
        <w:t>, 109 Minn. L. Rev. 2671</w:t>
      </w:r>
      <w:r w:rsidR="009B1B78" w:rsidRPr="00C05D6B">
        <w:rPr>
          <w:rFonts w:ascii="Garamond" w:eastAsia="Times New Roman" w:hAnsi="Garamond" w:cs="Times New Roman"/>
        </w:rPr>
        <w:fldChar w:fldCharType="begin"/>
      </w:r>
      <w:r w:rsidR="009B1B78" w:rsidRPr="00C05D6B">
        <w:rPr>
          <w:rFonts w:ascii="Garamond" w:hAnsi="Garamond"/>
        </w:rPr>
        <w:instrText xml:space="preserve"> TA \l "</w:instrText>
      </w:r>
      <w:r w:rsidR="009B1B78" w:rsidRPr="00C05D6B">
        <w:rPr>
          <w:rFonts w:ascii="Garamond" w:eastAsia="Times New Roman" w:hAnsi="Garamond" w:cs="Times New Roman"/>
        </w:rPr>
        <w:instrText xml:space="preserve">Robin Kundis Craig, </w:instrText>
      </w:r>
      <w:r w:rsidR="009B1B78" w:rsidRPr="00C05D6B">
        <w:rPr>
          <w:rFonts w:ascii="Garamond" w:eastAsia="Times New Roman" w:hAnsi="Garamond" w:cs="Times New Roman"/>
          <w:i/>
          <w:iCs/>
        </w:rPr>
        <w:instrText>The Impact of</w:instrText>
      </w:r>
      <w:r w:rsidR="009B1B78" w:rsidRPr="00C05D6B">
        <w:rPr>
          <w:rFonts w:ascii="Garamond" w:eastAsia="Times New Roman" w:hAnsi="Garamond" w:cs="Times New Roman"/>
        </w:rPr>
        <w:instrText xml:space="preserve"> Loper Bright v. Raimondo</w:instrText>
      </w:r>
      <w:r w:rsidR="009B1B78" w:rsidRPr="00C05D6B">
        <w:rPr>
          <w:rFonts w:ascii="Garamond" w:eastAsia="Times New Roman" w:hAnsi="Garamond" w:cs="Times New Roman"/>
          <w:i/>
          <w:iCs/>
        </w:rPr>
        <w:instrText>: An Empirical Review of the First Six Months</w:instrText>
      </w:r>
      <w:r w:rsidR="009B1B78" w:rsidRPr="00C05D6B">
        <w:rPr>
          <w:rFonts w:ascii="Garamond" w:eastAsia="Times New Roman" w:hAnsi="Garamond" w:cs="Times New Roman"/>
        </w:rPr>
        <w:instrText>, 109 Minn. L. Rev. 2671</w:instrText>
      </w:r>
      <w:r w:rsidR="009B1B78" w:rsidRPr="00C05D6B">
        <w:rPr>
          <w:rFonts w:ascii="Garamond" w:hAnsi="Garamond"/>
        </w:rPr>
        <w:instrText xml:space="preserve">" \s "Robin Kundis Craig, The Impact of Loper Bright v. Raimondo: An Empirical Review of the First Six Months, 109 Minn. L. Rev. 2671" \c 3 </w:instrText>
      </w:r>
      <w:r w:rsidR="009B1B78" w:rsidRPr="00C05D6B">
        <w:rPr>
          <w:rFonts w:ascii="Garamond" w:eastAsia="Times New Roman" w:hAnsi="Garamond" w:cs="Times New Roman"/>
        </w:rPr>
        <w:fldChar w:fldCharType="end"/>
      </w:r>
      <w:r w:rsidR="006529C1" w:rsidRPr="00C05D6B">
        <w:rPr>
          <w:rFonts w:ascii="Garamond" w:eastAsia="Times New Roman" w:hAnsi="Garamond" w:cs="Times New Roman"/>
        </w:rPr>
        <w:t xml:space="preserve"> (2025). </w:t>
      </w:r>
    </w:p>
    <w:p w14:paraId="279A1EC8" w14:textId="77777777" w:rsidR="003125BF" w:rsidRPr="00C05D6B" w:rsidRDefault="003125BF" w:rsidP="003125BF">
      <w:pPr>
        <w:ind w:firstLine="720"/>
        <w:rPr>
          <w:rFonts w:ascii="Garamond" w:eastAsia="Times New Roman" w:hAnsi="Garamond" w:cs="Times New Roman"/>
        </w:rPr>
      </w:pPr>
    </w:p>
    <w:p w14:paraId="5E9B992C" w14:textId="7A0A6415" w:rsidR="003125BF" w:rsidRPr="00C05D6B" w:rsidRDefault="006D79DB" w:rsidP="003125BF">
      <w:pPr>
        <w:ind w:firstLine="720"/>
        <w:rPr>
          <w:rFonts w:ascii="Garamond" w:eastAsia="Times New Roman" w:hAnsi="Garamond" w:cs="Times New Roman"/>
        </w:rPr>
      </w:pPr>
      <w:r w:rsidRPr="00C05D6B">
        <w:rPr>
          <w:rFonts w:ascii="Garamond" w:eastAsia="Times New Roman" w:hAnsi="Garamond" w:cs="Times New Roman"/>
        </w:rPr>
        <w:t>In</w:t>
      </w:r>
      <w:r w:rsidR="003125BF" w:rsidRPr="00C05D6B">
        <w:rPr>
          <w:rFonts w:ascii="Garamond" w:eastAsia="Times New Roman" w:hAnsi="Garamond" w:cs="Times New Roman"/>
        </w:rPr>
        <w:t xml:space="preserve"> Northern Pipeline Construction Co. v. Marathon Pipe Line Co.</w:t>
      </w:r>
      <w:r w:rsidR="00074968" w:rsidRPr="00C05D6B">
        <w:rPr>
          <w:rFonts w:ascii="Garamond" w:eastAsia="Times New Roman" w:hAnsi="Garamond" w:cs="Times New Roman"/>
        </w:rPr>
        <w:fldChar w:fldCharType="begin"/>
      </w:r>
      <w:r w:rsidR="00074968" w:rsidRPr="00C05D6B">
        <w:rPr>
          <w:rFonts w:ascii="Garamond" w:hAnsi="Garamond"/>
        </w:rPr>
        <w:instrText xml:space="preserve"> TA \l "</w:instrText>
      </w:r>
      <w:r w:rsidR="00074968" w:rsidRPr="00C05D6B">
        <w:rPr>
          <w:rFonts w:ascii="Garamond" w:eastAsia="Times New Roman" w:hAnsi="Garamond" w:cs="Times New Roman"/>
        </w:rPr>
        <w:instrText>Northern Pipeline Construction Co. v. Marathon Pipe Line Co.</w:instrText>
      </w:r>
      <w:r w:rsidR="00074968" w:rsidRPr="00C05D6B">
        <w:rPr>
          <w:rFonts w:ascii="Garamond" w:hAnsi="Garamond"/>
        </w:rPr>
        <w:instrText xml:space="preserve">" \s "Northern Pipeline Construction Co. v. Marathon Pipe Line Co." \c 1 </w:instrText>
      </w:r>
      <w:r w:rsidR="00074968" w:rsidRPr="00C05D6B">
        <w:rPr>
          <w:rFonts w:ascii="Garamond" w:eastAsia="Times New Roman" w:hAnsi="Garamond" w:cs="Times New Roman"/>
        </w:rPr>
        <w:fldChar w:fldCharType="end"/>
      </w:r>
      <w:r w:rsidR="003125BF" w:rsidRPr="00C05D6B">
        <w:rPr>
          <w:rFonts w:ascii="Garamond" w:eastAsia="Times New Roman" w:hAnsi="Garamond" w:cs="Times New Roman"/>
        </w:rPr>
        <w:t xml:space="preserve"> (1982), </w:t>
      </w:r>
      <w:r w:rsidRPr="00C05D6B">
        <w:rPr>
          <w:rFonts w:ascii="Garamond" w:eastAsia="Times New Roman" w:hAnsi="Garamond" w:cs="Times New Roman"/>
        </w:rPr>
        <w:t>the Court turned its attention from agency adjudication to bankruptcy, another area where Congress has relied heavily on the efficient claims processing power of non-Article III adjudicators</w:t>
      </w:r>
      <w:r w:rsidR="003125BF" w:rsidRPr="00C05D6B">
        <w:rPr>
          <w:rFonts w:ascii="Garamond" w:eastAsia="Times New Roman" w:hAnsi="Garamond" w:cs="Times New Roman"/>
        </w:rPr>
        <w:t xml:space="preserve">. </w:t>
      </w:r>
    </w:p>
    <w:p w14:paraId="125027DF" w14:textId="77777777" w:rsidR="003125BF" w:rsidRPr="00C05D6B" w:rsidRDefault="003125BF" w:rsidP="003125BF">
      <w:pPr>
        <w:rPr>
          <w:rFonts w:ascii="Garamond" w:eastAsia="Times New Roman" w:hAnsi="Garamond" w:cs="Times New Roman"/>
        </w:rPr>
      </w:pPr>
    </w:p>
    <w:p w14:paraId="2816454B" w14:textId="77777777" w:rsidR="003125BF" w:rsidRPr="00C05D6B" w:rsidRDefault="003125BF" w:rsidP="003125BF">
      <w:pPr>
        <w:rPr>
          <w:rFonts w:ascii="Garamond" w:eastAsia="Times New Roman" w:hAnsi="Garamond" w:cs="Times New Roman"/>
          <w:b/>
          <w:bCs/>
        </w:rPr>
      </w:pPr>
      <w:r w:rsidRPr="00C05D6B">
        <w:rPr>
          <w:rFonts w:ascii="Garamond" w:eastAsia="Times New Roman" w:hAnsi="Garamond" w:cs="Times New Roman"/>
          <w:b/>
          <w:bCs/>
        </w:rPr>
        <w:lastRenderedPageBreak/>
        <w:t>(CB, p. 529, after the carryover paragraph)</w:t>
      </w:r>
    </w:p>
    <w:p w14:paraId="796D1952" w14:textId="77777777" w:rsidR="003125BF" w:rsidRPr="00C05D6B" w:rsidRDefault="003125BF" w:rsidP="003125BF">
      <w:pPr>
        <w:rPr>
          <w:rFonts w:ascii="Garamond" w:eastAsia="Times New Roman" w:hAnsi="Garamond" w:cs="Times New Roman"/>
        </w:rPr>
      </w:pPr>
    </w:p>
    <w:p w14:paraId="69715F24" w14:textId="73709C2C"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ab/>
        <w:t xml:space="preserve">In </w:t>
      </w:r>
      <w:r w:rsidR="009B1B78" w:rsidRPr="00C05D6B">
        <w:rPr>
          <w:rFonts w:ascii="Garamond" w:eastAsia="Times New Roman" w:hAnsi="Garamond" w:cs="Times New Roman"/>
          <w:i/>
          <w:iCs/>
        </w:rPr>
        <w:fldChar w:fldCharType="begin"/>
      </w:r>
      <w:r w:rsidR="009B1B78" w:rsidRPr="00C05D6B">
        <w:rPr>
          <w:rFonts w:ascii="Garamond" w:hAnsi="Garamond"/>
        </w:rPr>
        <w:instrText xml:space="preserve"> TA \l "</w:instrText>
      </w:r>
      <w:r w:rsidR="009B1B78" w:rsidRPr="00372F61">
        <w:rPr>
          <w:rFonts w:ascii="Garamond" w:eastAsia="Times New Roman" w:hAnsi="Garamond" w:cs="Times New Roman"/>
          <w:smallCaps/>
        </w:rPr>
        <w:instrText>SEC v. Jarkesy</w:instrText>
      </w:r>
      <w:r w:rsidR="009B1B78" w:rsidRPr="00C05D6B">
        <w:rPr>
          <w:rFonts w:ascii="Garamond" w:hAnsi="Garamond"/>
        </w:rPr>
        <w:instrText xml:space="preserve">" \s "SEC v. Jarkesy" \c 1 </w:instrText>
      </w:r>
      <w:r w:rsidR="009B1B78" w:rsidRPr="00C05D6B">
        <w:rPr>
          <w:rFonts w:ascii="Garamond" w:eastAsia="Times New Roman" w:hAnsi="Garamond" w:cs="Times New Roman"/>
          <w:i/>
          <w:iCs/>
        </w:rPr>
        <w:fldChar w:fldCharType="end"/>
      </w:r>
      <w:r w:rsidRPr="00C05D6B">
        <w:rPr>
          <w:rFonts w:ascii="Garamond" w:eastAsia="Times New Roman" w:hAnsi="Garamond" w:cs="Times New Roman"/>
          <w:i/>
          <w:iCs/>
        </w:rPr>
        <w:t xml:space="preserve">SEC v. </w:t>
      </w:r>
      <w:proofErr w:type="spellStart"/>
      <w:r w:rsidRPr="00C05D6B">
        <w:rPr>
          <w:rFonts w:ascii="Garamond" w:eastAsia="Times New Roman" w:hAnsi="Garamond" w:cs="Times New Roman"/>
          <w:i/>
          <w:iCs/>
        </w:rPr>
        <w:t>Jarkesy</w:t>
      </w:r>
      <w:proofErr w:type="spellEnd"/>
      <w:r w:rsidRPr="00C05D6B">
        <w:rPr>
          <w:rFonts w:ascii="Garamond" w:eastAsia="Times New Roman" w:hAnsi="Garamond" w:cs="Times New Roman"/>
        </w:rPr>
        <w:t xml:space="preserve">, the Court held that the SEC’s use of agency adjudicators to decide </w:t>
      </w:r>
      <w:r w:rsidR="006D79DB" w:rsidRPr="00C05D6B">
        <w:rPr>
          <w:rFonts w:ascii="Garamond" w:eastAsia="Times New Roman" w:hAnsi="Garamond" w:cs="Times New Roman"/>
        </w:rPr>
        <w:t xml:space="preserve">an </w:t>
      </w:r>
      <w:r w:rsidRPr="00C05D6B">
        <w:rPr>
          <w:rFonts w:ascii="Garamond" w:eastAsia="Times New Roman" w:hAnsi="Garamond" w:cs="Times New Roman"/>
        </w:rPr>
        <w:t>enforcement action</w:t>
      </w:r>
      <w:r w:rsidR="006D79DB" w:rsidRPr="00C05D6B">
        <w:rPr>
          <w:rFonts w:ascii="Garamond" w:eastAsia="Times New Roman" w:hAnsi="Garamond" w:cs="Times New Roman"/>
        </w:rPr>
        <w:t xml:space="preserve"> for civil penalties</w:t>
      </w:r>
      <w:r w:rsidRPr="00C05D6B">
        <w:rPr>
          <w:rFonts w:ascii="Garamond" w:eastAsia="Times New Roman" w:hAnsi="Garamond" w:cs="Times New Roman"/>
        </w:rPr>
        <w:t xml:space="preserve"> violated the Seventh Amendment’s guarantee of a jury trial. Relying upon </w:t>
      </w:r>
      <w:proofErr w:type="spellStart"/>
      <w:r w:rsidRPr="00C05D6B">
        <w:rPr>
          <w:rFonts w:ascii="Garamond" w:eastAsia="Times New Roman" w:hAnsi="Garamond" w:cs="Times New Roman"/>
        </w:rPr>
        <w:t>Granfinanciera</w:t>
      </w:r>
      <w:proofErr w:type="spellEnd"/>
      <w:r w:rsidRPr="00C05D6B">
        <w:rPr>
          <w:rFonts w:ascii="Garamond" w:eastAsia="Times New Roman" w:hAnsi="Garamond" w:cs="Times New Roman"/>
        </w:rPr>
        <w:t>, S.A. v. Nordberg</w:t>
      </w:r>
      <w:r w:rsidR="00074968" w:rsidRPr="00C05D6B">
        <w:rPr>
          <w:rFonts w:ascii="Garamond" w:eastAsia="Times New Roman" w:hAnsi="Garamond" w:cs="Times New Roman"/>
        </w:rPr>
        <w:fldChar w:fldCharType="begin"/>
      </w:r>
      <w:r w:rsidR="00074968" w:rsidRPr="00C05D6B">
        <w:rPr>
          <w:rFonts w:ascii="Garamond" w:hAnsi="Garamond"/>
        </w:rPr>
        <w:instrText xml:space="preserve"> TA \l "</w:instrText>
      </w:r>
      <w:r w:rsidR="00074968" w:rsidRPr="00C05D6B">
        <w:rPr>
          <w:rFonts w:ascii="Garamond" w:eastAsia="Times New Roman" w:hAnsi="Garamond" w:cs="Times New Roman"/>
        </w:rPr>
        <w:instrText>Granfinanciera, S.A. v. Nordberg</w:instrText>
      </w:r>
      <w:r w:rsidR="00074968" w:rsidRPr="00C05D6B">
        <w:rPr>
          <w:rFonts w:ascii="Garamond" w:hAnsi="Garamond"/>
        </w:rPr>
        <w:instrText xml:space="preserve">" \s "Granfinanciera, S.A. v. Nordberg" \c 1 </w:instrText>
      </w:r>
      <w:r w:rsidR="00074968" w:rsidRPr="00C05D6B">
        <w:rPr>
          <w:rFonts w:ascii="Garamond" w:eastAsia="Times New Roman" w:hAnsi="Garamond" w:cs="Times New Roman"/>
        </w:rPr>
        <w:fldChar w:fldCharType="end"/>
      </w:r>
      <w:r w:rsidRPr="00C05D6B">
        <w:rPr>
          <w:rFonts w:ascii="Garamond" w:eastAsia="Times New Roman" w:hAnsi="Garamond" w:cs="Times New Roman"/>
        </w:rPr>
        <w:t xml:space="preserve"> (1989)</w:t>
      </w:r>
      <w:r w:rsidR="006D79DB" w:rsidRPr="00C05D6B">
        <w:rPr>
          <w:rFonts w:ascii="Garamond" w:eastAsia="Times New Roman" w:hAnsi="Garamond" w:cs="Times New Roman"/>
        </w:rPr>
        <w:t xml:space="preserve"> (fraudulent conveyance actions trigger the Seventh Amendment right to a jury trial and therefore cannot be heard in bankruptcy proceedings)</w:t>
      </w:r>
      <w:r w:rsidRPr="00C05D6B">
        <w:rPr>
          <w:rFonts w:ascii="Garamond" w:eastAsia="Times New Roman" w:hAnsi="Garamond" w:cs="Times New Roman"/>
        </w:rPr>
        <w:t xml:space="preserve">, and </w:t>
      </w:r>
      <w:proofErr w:type="spellStart"/>
      <w:r w:rsidRPr="00C05D6B">
        <w:rPr>
          <w:rFonts w:ascii="Garamond" w:eastAsia="Times New Roman" w:hAnsi="Garamond" w:cs="Times New Roman"/>
        </w:rPr>
        <w:t>Tull</w:t>
      </w:r>
      <w:proofErr w:type="spellEnd"/>
      <w:r w:rsidRPr="00C05D6B">
        <w:rPr>
          <w:rFonts w:ascii="Garamond" w:eastAsia="Times New Roman" w:hAnsi="Garamond" w:cs="Times New Roman"/>
        </w:rPr>
        <w:t xml:space="preserve"> v. United States</w:t>
      </w:r>
      <w:r w:rsidR="00074968" w:rsidRPr="00C05D6B">
        <w:rPr>
          <w:rFonts w:ascii="Garamond" w:eastAsia="Times New Roman" w:hAnsi="Garamond" w:cs="Times New Roman"/>
        </w:rPr>
        <w:fldChar w:fldCharType="begin"/>
      </w:r>
      <w:r w:rsidR="00074968" w:rsidRPr="00C05D6B">
        <w:rPr>
          <w:rFonts w:ascii="Garamond" w:hAnsi="Garamond"/>
        </w:rPr>
        <w:instrText xml:space="preserve"> TA \l "</w:instrText>
      </w:r>
      <w:r w:rsidR="00074968" w:rsidRPr="00C05D6B">
        <w:rPr>
          <w:rFonts w:ascii="Garamond" w:eastAsia="Times New Roman" w:hAnsi="Garamond" w:cs="Times New Roman"/>
        </w:rPr>
        <w:instrText>Tull v. United States</w:instrText>
      </w:r>
      <w:r w:rsidR="00074968" w:rsidRPr="00C05D6B">
        <w:rPr>
          <w:rFonts w:ascii="Garamond" w:hAnsi="Garamond"/>
        </w:rPr>
        <w:instrText xml:space="preserve">" \s "Tull v. United States" \c 1 </w:instrText>
      </w:r>
      <w:r w:rsidR="00074968" w:rsidRPr="00C05D6B">
        <w:rPr>
          <w:rFonts w:ascii="Garamond" w:eastAsia="Times New Roman" w:hAnsi="Garamond" w:cs="Times New Roman"/>
        </w:rPr>
        <w:fldChar w:fldCharType="end"/>
      </w:r>
      <w:r w:rsidRPr="00C05D6B">
        <w:rPr>
          <w:rFonts w:ascii="Garamond" w:eastAsia="Times New Roman" w:hAnsi="Garamond" w:cs="Times New Roman"/>
        </w:rPr>
        <w:t xml:space="preserve"> (1987)</w:t>
      </w:r>
      <w:r w:rsidR="006D79DB" w:rsidRPr="00C05D6B">
        <w:rPr>
          <w:rFonts w:ascii="Garamond" w:eastAsia="Times New Roman" w:hAnsi="Garamond" w:cs="Times New Roman"/>
        </w:rPr>
        <w:t xml:space="preserve"> (holding that the Seventh Amendment applies to statutory causes of action analogous to common law claims and remedies, precluding bench trial of government’s civil penalty claim under the Clean Water Act</w:t>
      </w:r>
      <w:r w:rsidR="00074968" w:rsidRPr="00C05D6B">
        <w:rPr>
          <w:rFonts w:ascii="Garamond" w:eastAsia="Times New Roman" w:hAnsi="Garamond" w:cs="Times New Roman"/>
        </w:rPr>
        <w:fldChar w:fldCharType="begin"/>
      </w:r>
      <w:r w:rsidR="00074968" w:rsidRPr="00C05D6B">
        <w:rPr>
          <w:rFonts w:ascii="Garamond" w:hAnsi="Garamond"/>
        </w:rPr>
        <w:instrText xml:space="preserve"> TA \l "</w:instrText>
      </w:r>
      <w:r w:rsidR="00074968" w:rsidRPr="00C05D6B">
        <w:rPr>
          <w:rFonts w:ascii="Garamond" w:eastAsia="Times New Roman" w:hAnsi="Garamond" w:cs="Times New Roman"/>
        </w:rPr>
        <w:instrText>Clean Water Act</w:instrText>
      </w:r>
      <w:r w:rsidR="00074968" w:rsidRPr="00C05D6B">
        <w:rPr>
          <w:rFonts w:ascii="Garamond" w:hAnsi="Garamond"/>
        </w:rPr>
        <w:instrText xml:space="preserve">" \s "Clean Water Act" \c 2 </w:instrText>
      </w:r>
      <w:r w:rsidR="00074968" w:rsidRPr="00C05D6B">
        <w:rPr>
          <w:rFonts w:ascii="Garamond" w:eastAsia="Times New Roman" w:hAnsi="Garamond" w:cs="Times New Roman"/>
        </w:rPr>
        <w:fldChar w:fldCharType="end"/>
      </w:r>
      <w:r w:rsidR="006D79DB" w:rsidRPr="00C05D6B">
        <w:rPr>
          <w:rFonts w:ascii="Garamond" w:eastAsia="Times New Roman" w:hAnsi="Garamond" w:cs="Times New Roman"/>
        </w:rPr>
        <w:t>)</w:t>
      </w:r>
      <w:r w:rsidRPr="00C05D6B">
        <w:rPr>
          <w:rFonts w:ascii="Garamond" w:eastAsia="Times New Roman" w:hAnsi="Garamond" w:cs="Times New Roman"/>
        </w:rPr>
        <w:t xml:space="preserve">, the Court concluded that the enforcement action was unconstitutional even though it involved the government acting in its sovereign capacity to enforce federal law. </w:t>
      </w:r>
    </w:p>
    <w:p w14:paraId="3D5BC7C3" w14:textId="77777777" w:rsidR="003125BF" w:rsidRPr="00C05D6B" w:rsidRDefault="003125BF" w:rsidP="003125BF">
      <w:pPr>
        <w:rPr>
          <w:rFonts w:ascii="Garamond" w:eastAsia="Times New Roman" w:hAnsi="Garamond" w:cs="Times New Roman"/>
        </w:rPr>
      </w:pPr>
    </w:p>
    <w:p w14:paraId="050B5BF6" w14:textId="46BA8434" w:rsidR="003125BF" w:rsidRPr="00C05D6B" w:rsidRDefault="003125BF" w:rsidP="003125BF">
      <w:pPr>
        <w:ind w:firstLine="720"/>
        <w:rPr>
          <w:rFonts w:ascii="Garamond" w:eastAsia="Times New Roman" w:hAnsi="Garamond" w:cs="Times New Roman"/>
        </w:rPr>
      </w:pPr>
      <w:proofErr w:type="spellStart"/>
      <w:r w:rsidRPr="00C05D6B">
        <w:rPr>
          <w:rFonts w:ascii="Garamond" w:eastAsia="Times New Roman" w:hAnsi="Garamond" w:cs="Times New Roman"/>
          <w:i/>
          <w:iCs/>
        </w:rPr>
        <w:t>Jarkesy</w:t>
      </w:r>
      <w:proofErr w:type="spellEnd"/>
      <w:r w:rsidRPr="00C05D6B">
        <w:rPr>
          <w:rFonts w:ascii="Garamond" w:eastAsia="Times New Roman" w:hAnsi="Garamond" w:cs="Times New Roman"/>
          <w:i/>
          <w:iCs/>
        </w:rPr>
        <w:t xml:space="preserve"> </w:t>
      </w:r>
      <w:r w:rsidRPr="00C05D6B">
        <w:rPr>
          <w:rFonts w:ascii="Garamond" w:eastAsia="Times New Roman" w:hAnsi="Garamond" w:cs="Times New Roman"/>
        </w:rPr>
        <w:t>is the first Supreme Court decision to hold that a government enforcement action does not necessarily fall within the public rights exception to Article III jurisdiction. As you read the case, focus upon the Court’s reasons for first concluding that the Seventh Amendment was implicated and then that the public rights exception did not apply.</w:t>
      </w:r>
      <w:r w:rsidR="006D79DB" w:rsidRPr="00C05D6B">
        <w:rPr>
          <w:rFonts w:ascii="Garamond" w:eastAsia="Times New Roman" w:hAnsi="Garamond" w:cs="Times New Roman"/>
        </w:rPr>
        <w:t xml:space="preserve">  </w:t>
      </w:r>
      <w:r w:rsidRPr="00C05D6B">
        <w:rPr>
          <w:rFonts w:ascii="Garamond" w:eastAsia="Times New Roman" w:hAnsi="Garamond" w:cs="Times New Roman"/>
        </w:rPr>
        <w:t>The Court stressed that the SEC’s action resembled one for common law fraud and narrowly construed Atlas Roofing Co. v. Occupational Safety and Health Review Commission</w:t>
      </w:r>
      <w:r w:rsidR="00074968" w:rsidRPr="00C05D6B">
        <w:rPr>
          <w:rFonts w:ascii="Garamond" w:eastAsia="Times New Roman" w:hAnsi="Garamond" w:cs="Times New Roman"/>
        </w:rPr>
        <w:fldChar w:fldCharType="begin"/>
      </w:r>
      <w:r w:rsidR="00074968" w:rsidRPr="00C05D6B">
        <w:rPr>
          <w:rFonts w:ascii="Garamond" w:hAnsi="Garamond"/>
        </w:rPr>
        <w:instrText xml:space="preserve"> TA \l "</w:instrText>
      </w:r>
      <w:r w:rsidR="00074968" w:rsidRPr="00C05D6B">
        <w:rPr>
          <w:rFonts w:ascii="Garamond" w:eastAsia="Times New Roman" w:hAnsi="Garamond" w:cs="Times New Roman"/>
        </w:rPr>
        <w:instrText>Atlas Roofing Co. v. Occupational Safety and Health Review Commission</w:instrText>
      </w:r>
      <w:r w:rsidR="00074968" w:rsidRPr="00C05D6B">
        <w:rPr>
          <w:rFonts w:ascii="Garamond" w:hAnsi="Garamond"/>
        </w:rPr>
        <w:instrText xml:space="preserve">" \s "Atlas Roofing Co. v. Occupational Safety and Health Review Commission" \c 1 </w:instrText>
      </w:r>
      <w:r w:rsidR="00074968" w:rsidRPr="00C05D6B">
        <w:rPr>
          <w:rFonts w:ascii="Garamond" w:eastAsia="Times New Roman" w:hAnsi="Garamond" w:cs="Times New Roman"/>
        </w:rPr>
        <w:fldChar w:fldCharType="end"/>
      </w:r>
      <w:r w:rsidRPr="00C05D6B">
        <w:rPr>
          <w:rFonts w:ascii="Garamond" w:eastAsia="Times New Roman" w:hAnsi="Garamond" w:cs="Times New Roman"/>
        </w:rPr>
        <w:t xml:space="preserve"> (1977)</w:t>
      </w:r>
      <w:r w:rsidR="006D79DB" w:rsidRPr="00C05D6B">
        <w:rPr>
          <w:rFonts w:ascii="Garamond" w:eastAsia="Times New Roman" w:hAnsi="Garamond" w:cs="Times New Roman"/>
        </w:rPr>
        <w:t>, which upheld administrative adjudication of an OSHA civil penalty claim that had no common law analogue</w:t>
      </w:r>
      <w:r w:rsidRPr="00C05D6B">
        <w:rPr>
          <w:rFonts w:ascii="Garamond" w:eastAsia="Times New Roman" w:hAnsi="Garamond" w:cs="Times New Roman"/>
        </w:rPr>
        <w:t xml:space="preserve">. </w:t>
      </w:r>
      <w:r w:rsidR="006D79DB" w:rsidRPr="00C05D6B">
        <w:rPr>
          <w:rFonts w:ascii="Garamond" w:eastAsia="Times New Roman" w:hAnsi="Garamond" w:cs="Times New Roman"/>
        </w:rPr>
        <w:t xml:space="preserve"> More broadly, notice that, as in </w:t>
      </w:r>
      <w:r w:rsidR="006D79DB" w:rsidRPr="00C05D6B">
        <w:rPr>
          <w:rFonts w:ascii="Garamond" w:eastAsia="Times New Roman" w:hAnsi="Garamond" w:cs="Times New Roman"/>
          <w:i/>
          <w:iCs/>
        </w:rPr>
        <w:t>Oil States</w:t>
      </w:r>
      <w:r w:rsidR="006D79DB" w:rsidRPr="00C05D6B">
        <w:rPr>
          <w:rFonts w:ascii="Garamond" w:eastAsia="Times New Roman" w:hAnsi="Garamond" w:cs="Times New Roman"/>
        </w:rPr>
        <w:t xml:space="preserve">, the Court returned to the categorical test and narrowly construed the public rights doctrine, rejecting the more permissive functionalist approach of </w:t>
      </w:r>
      <w:r w:rsidR="006D79DB" w:rsidRPr="00C05D6B">
        <w:rPr>
          <w:rFonts w:ascii="Garamond" w:eastAsia="Times New Roman" w:hAnsi="Garamond" w:cs="Times New Roman"/>
          <w:i/>
          <w:iCs/>
        </w:rPr>
        <w:t>Schor</w:t>
      </w:r>
      <w:r w:rsidR="006D79DB" w:rsidRPr="00C05D6B">
        <w:rPr>
          <w:rFonts w:ascii="Garamond" w:eastAsia="Times New Roman" w:hAnsi="Garamond" w:cs="Times New Roman"/>
        </w:rPr>
        <w:t xml:space="preserve">, </w:t>
      </w:r>
      <w:r w:rsidR="006D79DB" w:rsidRPr="00C05D6B">
        <w:rPr>
          <w:rFonts w:ascii="Garamond" w:eastAsia="Times New Roman" w:hAnsi="Garamond" w:cs="Times New Roman"/>
          <w:i/>
          <w:iCs/>
        </w:rPr>
        <w:t>Union</w:t>
      </w:r>
      <w:r w:rsidR="006D79DB" w:rsidRPr="00C05D6B">
        <w:rPr>
          <w:rFonts w:ascii="Garamond" w:eastAsia="Times New Roman" w:hAnsi="Garamond" w:cs="Times New Roman"/>
        </w:rPr>
        <w:t xml:space="preserve"> </w:t>
      </w:r>
      <w:r w:rsidR="006D79DB" w:rsidRPr="00C05D6B">
        <w:rPr>
          <w:rFonts w:ascii="Garamond" w:eastAsia="Times New Roman" w:hAnsi="Garamond" w:cs="Times New Roman"/>
          <w:i/>
          <w:iCs/>
        </w:rPr>
        <w:t>Carbide</w:t>
      </w:r>
      <w:r w:rsidR="006D79DB" w:rsidRPr="00C05D6B">
        <w:rPr>
          <w:rFonts w:ascii="Garamond" w:eastAsia="Times New Roman" w:hAnsi="Garamond" w:cs="Times New Roman"/>
        </w:rPr>
        <w:t xml:space="preserve">, and </w:t>
      </w:r>
      <w:r w:rsidR="006D79DB" w:rsidRPr="00C05D6B">
        <w:rPr>
          <w:rFonts w:ascii="Garamond" w:eastAsia="Times New Roman" w:hAnsi="Garamond" w:cs="Times New Roman"/>
          <w:i/>
          <w:iCs/>
        </w:rPr>
        <w:t>Wellness</w:t>
      </w:r>
      <w:r w:rsidR="006D79DB" w:rsidRPr="00C05D6B">
        <w:rPr>
          <w:rFonts w:ascii="Garamond" w:eastAsia="Times New Roman" w:hAnsi="Garamond" w:cs="Times New Roman"/>
        </w:rPr>
        <w:t xml:space="preserve">.  </w:t>
      </w:r>
    </w:p>
    <w:p w14:paraId="1FD390DC" w14:textId="77777777" w:rsidR="003125BF" w:rsidRPr="00C05D6B" w:rsidRDefault="003125BF" w:rsidP="003125BF">
      <w:pPr>
        <w:rPr>
          <w:rFonts w:ascii="Garamond" w:eastAsia="Times New Roman" w:hAnsi="Garamond" w:cs="Times New Roman"/>
        </w:rPr>
      </w:pPr>
    </w:p>
    <w:p w14:paraId="12690D02" w14:textId="50FDEB54" w:rsidR="003125BF" w:rsidRPr="00C05D6B" w:rsidRDefault="003125BF" w:rsidP="003125BF">
      <w:pPr>
        <w:rPr>
          <w:rFonts w:ascii="Garamond" w:eastAsia="Times New Roman" w:hAnsi="Garamond" w:cs="Times New Roman"/>
          <w:b/>
          <w:bCs/>
          <w:smallCaps/>
        </w:rPr>
      </w:pPr>
      <w:r w:rsidRPr="00C05D6B">
        <w:rPr>
          <w:rFonts w:ascii="Garamond" w:eastAsia="Times New Roman" w:hAnsi="Garamond" w:cs="Times New Roman"/>
          <w:b/>
          <w:bCs/>
          <w:smallCaps/>
        </w:rPr>
        <w:t xml:space="preserve">SEC v. </w:t>
      </w:r>
      <w:proofErr w:type="spellStart"/>
      <w:r w:rsidRPr="00C05D6B">
        <w:rPr>
          <w:rFonts w:ascii="Garamond" w:eastAsia="Times New Roman" w:hAnsi="Garamond" w:cs="Times New Roman"/>
          <w:b/>
          <w:bCs/>
          <w:smallCaps/>
        </w:rPr>
        <w:t>Jarkesy</w:t>
      </w:r>
      <w:proofErr w:type="spellEnd"/>
      <w:r w:rsidR="009B1B78" w:rsidRPr="00C05D6B">
        <w:rPr>
          <w:rFonts w:ascii="Garamond" w:eastAsia="Times New Roman" w:hAnsi="Garamond" w:cs="Times New Roman"/>
          <w:b/>
          <w:bCs/>
          <w:smallCaps/>
        </w:rPr>
        <w:fldChar w:fldCharType="begin"/>
      </w:r>
      <w:r w:rsidR="009B1B78" w:rsidRPr="00C05D6B">
        <w:rPr>
          <w:rFonts w:ascii="Garamond" w:hAnsi="Garamond"/>
        </w:rPr>
        <w:instrText xml:space="preserve"> TA \s "SEC v. Jarkesy" </w:instrText>
      </w:r>
      <w:r w:rsidR="009B1B78" w:rsidRPr="00C05D6B">
        <w:rPr>
          <w:rFonts w:ascii="Garamond" w:eastAsia="Times New Roman" w:hAnsi="Garamond" w:cs="Times New Roman"/>
          <w:b/>
          <w:bCs/>
          <w:smallCaps/>
        </w:rPr>
        <w:fldChar w:fldCharType="end"/>
      </w:r>
    </w:p>
    <w:p w14:paraId="6324CB55"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144 S. Ct. 2117 (2024)</w:t>
      </w:r>
    </w:p>
    <w:p w14:paraId="15997245" w14:textId="77777777" w:rsidR="003125BF" w:rsidRPr="00C05D6B" w:rsidRDefault="003125BF" w:rsidP="003125BF">
      <w:pPr>
        <w:jc w:val="center"/>
        <w:rPr>
          <w:rFonts w:ascii="Garamond" w:eastAsia="Times New Roman" w:hAnsi="Garamond" w:cs="Times New Roman"/>
        </w:rPr>
      </w:pPr>
    </w:p>
    <w:p w14:paraId="3AC1743E"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Chief Justice Roberts delivered the opinion of the Court.</w:t>
      </w:r>
    </w:p>
    <w:p w14:paraId="2A954AB0" w14:textId="77777777" w:rsidR="003125BF" w:rsidRPr="00C05D6B" w:rsidRDefault="003125BF" w:rsidP="003125BF">
      <w:pPr>
        <w:rPr>
          <w:rFonts w:ascii="Garamond" w:eastAsia="Times New Roman" w:hAnsi="Garamond" w:cs="Times New Roman"/>
        </w:rPr>
      </w:pPr>
    </w:p>
    <w:p w14:paraId="3C5F0573"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In 2013, the Securities and Exchange Commission initiated an enforcement action against respondents George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Jr., and Patriot28, LLC, seeking civil penalties for alleged securities fraud. The SEC chose to adjudicate the matter in-house before one of its administrative law judges, rather than in federal court where respondents could have proceeded before a jury. We consider whether the Seventh Amendment permits the SEC to compel respondents to defend themselves before the agency rather than before a jury in federal court.</w:t>
      </w:r>
    </w:p>
    <w:p w14:paraId="2460D982" w14:textId="77777777" w:rsidR="003125BF" w:rsidRPr="00C05D6B" w:rsidRDefault="003125BF" w:rsidP="003125BF">
      <w:pPr>
        <w:rPr>
          <w:rFonts w:ascii="Garamond" w:eastAsia="Times New Roman" w:hAnsi="Garamond" w:cs="Times New Roman"/>
        </w:rPr>
      </w:pPr>
    </w:p>
    <w:p w14:paraId="328503B4"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I</w:t>
      </w:r>
    </w:p>
    <w:p w14:paraId="33EBE210" w14:textId="77777777" w:rsidR="003125BF" w:rsidRPr="00C05D6B" w:rsidRDefault="003125BF" w:rsidP="003125BF">
      <w:pPr>
        <w:jc w:val="center"/>
        <w:rPr>
          <w:rFonts w:ascii="Garamond" w:eastAsia="Times New Roman" w:hAnsi="Garamond" w:cs="Times New Roman"/>
        </w:rPr>
      </w:pPr>
    </w:p>
    <w:p w14:paraId="7B4C5933"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A</w:t>
      </w:r>
    </w:p>
    <w:p w14:paraId="3B06EE1E" w14:textId="77777777" w:rsidR="003125BF" w:rsidRPr="00C05D6B" w:rsidRDefault="003125BF" w:rsidP="003125BF">
      <w:pPr>
        <w:rPr>
          <w:rFonts w:ascii="Garamond" w:eastAsia="Times New Roman" w:hAnsi="Garamond" w:cs="Times New Roman"/>
        </w:rPr>
      </w:pPr>
    </w:p>
    <w:p w14:paraId="13E9C0A7"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In the aftermath of the Wall Street Crash of 1929, Congress passed a suite of laws designed to combat securities fraud and increase market transparency. Three such statutes are relevant here: The Securities Act of 1933, the Securities Exchange Act of 1934, and the Investment Advisers Act of 1940. These Acts respectively govern the registration of securities, the trading of securities, and the activities of investment advisers. Their protections are mutually reinforcing and often overlap. Although each regulates different aspects of the securities markets, their pertinent provisions—collectively referred to by regulators as “the antifraud provisions”—target the same basic behavior: misrepresenting or concealing material facts.</w:t>
      </w:r>
    </w:p>
    <w:p w14:paraId="099092A6" w14:textId="77777777" w:rsidR="003125BF" w:rsidRPr="00C05D6B" w:rsidRDefault="003125BF" w:rsidP="003125BF">
      <w:pPr>
        <w:rPr>
          <w:rFonts w:ascii="Garamond" w:eastAsia="Times New Roman" w:hAnsi="Garamond" w:cs="Times New Roman"/>
        </w:rPr>
      </w:pPr>
    </w:p>
    <w:p w14:paraId="0A56A4D4" w14:textId="4B9CBC32"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lastRenderedPageBreak/>
        <w:t>The three antifraud provisions are Section 17(a) of the Securities Act, Section 10(b) of the Securities Exchange Act, and Section 206 of the Investment Advisers Act. Section 17(a) prohibits regulated individuals from “obtain[</w:t>
      </w:r>
      <w:proofErr w:type="spellStart"/>
      <w:r w:rsidRPr="00C05D6B">
        <w:rPr>
          <w:rFonts w:ascii="Garamond" w:eastAsia="Times New Roman" w:hAnsi="Garamond" w:cs="Times New Roman"/>
        </w:rPr>
        <w:t>ing</w:t>
      </w:r>
      <w:proofErr w:type="spellEnd"/>
      <w:r w:rsidRPr="00C05D6B">
        <w:rPr>
          <w:rFonts w:ascii="Garamond" w:eastAsia="Times New Roman" w:hAnsi="Garamond" w:cs="Times New Roman"/>
        </w:rPr>
        <w:t>] money or property by means of any untrue statement of a material fact,” as well as causing certain omissions of material fact. As implemented by Rule 10b–5, Section 10(b) prohibits using “any device, scheme, or artifice to defraud,” making “untrue statement[s] of</w:t>
      </w:r>
      <w:r w:rsidR="00A77338" w:rsidRPr="00C05D6B">
        <w:rPr>
          <w:rFonts w:ascii="Garamond" w:eastAsia="Times New Roman" w:hAnsi="Garamond" w:cs="Times New Roman"/>
        </w:rPr>
        <w:t xml:space="preserve"> . . . </w:t>
      </w:r>
      <w:r w:rsidRPr="00C05D6B">
        <w:rPr>
          <w:rFonts w:ascii="Garamond" w:eastAsia="Times New Roman" w:hAnsi="Garamond" w:cs="Times New Roman"/>
        </w:rPr>
        <w:t>material fact,” causing certain material omissions, and “</w:t>
      </w:r>
      <w:proofErr w:type="spellStart"/>
      <w:r w:rsidRPr="00C05D6B">
        <w:rPr>
          <w:rFonts w:ascii="Garamond" w:eastAsia="Times New Roman" w:hAnsi="Garamond" w:cs="Times New Roman"/>
        </w:rPr>
        <w:t>engag</w:t>
      </w:r>
      <w:proofErr w:type="spellEnd"/>
      <w:r w:rsidRPr="00C05D6B">
        <w:rPr>
          <w:rFonts w:ascii="Garamond" w:eastAsia="Times New Roman" w:hAnsi="Garamond" w:cs="Times New Roman"/>
        </w:rPr>
        <w:t>[</w:t>
      </w:r>
      <w:proofErr w:type="spellStart"/>
      <w:r w:rsidRPr="00C05D6B">
        <w:rPr>
          <w:rFonts w:ascii="Garamond" w:eastAsia="Times New Roman" w:hAnsi="Garamond" w:cs="Times New Roman"/>
        </w:rPr>
        <w:t>ing</w:t>
      </w:r>
      <w:proofErr w:type="spellEnd"/>
      <w:r w:rsidRPr="00C05D6B">
        <w:rPr>
          <w:rFonts w:ascii="Garamond" w:eastAsia="Times New Roman" w:hAnsi="Garamond" w:cs="Times New Roman"/>
        </w:rPr>
        <w:t>] in any act</w:t>
      </w:r>
      <w:r w:rsidR="00A77338" w:rsidRPr="00C05D6B">
        <w:rPr>
          <w:rFonts w:ascii="Garamond" w:eastAsia="Times New Roman" w:hAnsi="Garamond" w:cs="Times New Roman"/>
        </w:rPr>
        <w:t xml:space="preserve"> . . .</w:t>
      </w:r>
      <w:r w:rsidRPr="00C05D6B">
        <w:rPr>
          <w:rFonts w:ascii="Garamond" w:eastAsia="Times New Roman" w:hAnsi="Garamond" w:cs="Times New Roman"/>
        </w:rPr>
        <w:t xml:space="preserve"> which operates or would operate as a fraud.” And finally, Section 206(b), as implemented by Rule 206(4)–8, prohibits investment advisers from making “any untrue statement of a material fact” or engaging in “fraudulent, deceptive, or manipulative” acts with respect to investors or prospective investors.</w:t>
      </w:r>
    </w:p>
    <w:p w14:paraId="38FE072C" w14:textId="77777777" w:rsidR="003125BF" w:rsidRPr="00C05D6B" w:rsidRDefault="003125BF" w:rsidP="003125BF">
      <w:pPr>
        <w:ind w:firstLine="720"/>
        <w:rPr>
          <w:rFonts w:ascii="Garamond" w:eastAsia="Times New Roman" w:hAnsi="Garamond" w:cs="Times New Roman"/>
        </w:rPr>
      </w:pPr>
    </w:p>
    <w:p w14:paraId="0465F8A2" w14:textId="56EC965D"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To enforce these Acts, Congress created the SEC. The SEC may bring an enforcement action in one of two forums. First, the Commission can adjudicate the matter itself. Alternatively, it can file a suit in federal court. The SEC</w:t>
      </w:r>
      <w:r w:rsidR="00A77338" w:rsidRPr="00C05D6B">
        <w:rPr>
          <w:rFonts w:ascii="Garamond" w:eastAsia="Times New Roman" w:hAnsi="Garamond" w:cs="Times New Roman"/>
        </w:rPr>
        <w:t>’</w:t>
      </w:r>
      <w:r w:rsidRPr="00C05D6B">
        <w:rPr>
          <w:rFonts w:ascii="Garamond" w:eastAsia="Times New Roman" w:hAnsi="Garamond" w:cs="Times New Roman"/>
        </w:rPr>
        <w:t>s choice of forum dictates two aspects of the litigation: The procedural protections enjoyed by the defendant, and the remedies available to the SEC.</w:t>
      </w:r>
    </w:p>
    <w:p w14:paraId="57000391" w14:textId="77777777" w:rsidR="003125BF" w:rsidRPr="00C05D6B" w:rsidRDefault="003125BF" w:rsidP="003125BF">
      <w:pPr>
        <w:ind w:firstLine="720"/>
        <w:rPr>
          <w:rFonts w:ascii="Garamond" w:eastAsia="Times New Roman" w:hAnsi="Garamond" w:cs="Times New Roman"/>
        </w:rPr>
      </w:pPr>
    </w:p>
    <w:p w14:paraId="3695ABAA"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Procedurally, these forums differ in who presides and makes legal determinations, what evidentiary and discovery rules apply, and who finds facts. Most pertinently, in federal court a jury finds the facts, depending on the nature of the claim. </w:t>
      </w:r>
      <w:r w:rsidRPr="00C05D6B">
        <w:rPr>
          <w:rFonts w:ascii="Garamond" w:eastAsia="Times New Roman" w:hAnsi="Garamond" w:cs="Times New Roman"/>
          <w:i/>
          <w:iCs/>
        </w:rPr>
        <w:t>See</w:t>
      </w:r>
      <w:r w:rsidRPr="00C05D6B">
        <w:rPr>
          <w:rFonts w:ascii="Garamond" w:eastAsia="Times New Roman" w:hAnsi="Garamond" w:cs="Times New Roman"/>
        </w:rPr>
        <w:t xml:space="preserve"> U.S. Const., </w:t>
      </w:r>
      <w:proofErr w:type="spellStart"/>
      <w:r w:rsidRPr="00C05D6B">
        <w:rPr>
          <w:rFonts w:ascii="Garamond" w:eastAsia="Times New Roman" w:hAnsi="Garamond" w:cs="Times New Roman"/>
        </w:rPr>
        <w:t>Amdt</w:t>
      </w:r>
      <w:proofErr w:type="spellEnd"/>
      <w:r w:rsidRPr="00C05D6B">
        <w:rPr>
          <w:rFonts w:ascii="Garamond" w:eastAsia="Times New Roman" w:hAnsi="Garamond" w:cs="Times New Roman"/>
        </w:rPr>
        <w:t xml:space="preserve">. 7. In addition, a life-tenured, salary-protected Article III judge presides, </w:t>
      </w:r>
      <w:r w:rsidRPr="00C05D6B">
        <w:rPr>
          <w:rFonts w:ascii="Garamond" w:eastAsia="Times New Roman" w:hAnsi="Garamond" w:cs="Times New Roman"/>
          <w:i/>
          <w:iCs/>
        </w:rPr>
        <w:t>see</w:t>
      </w:r>
      <w:r w:rsidRPr="00C05D6B">
        <w:rPr>
          <w:rFonts w:ascii="Garamond" w:eastAsia="Times New Roman" w:hAnsi="Garamond" w:cs="Times New Roman"/>
        </w:rPr>
        <w:t xml:space="preserve"> Art. III, § 1, and the litigation is governed by the Federal Rules of Evidence and the ordinary rules of discovery.</w:t>
      </w:r>
    </w:p>
    <w:p w14:paraId="26E7785E" w14:textId="77777777" w:rsidR="003125BF" w:rsidRPr="00C05D6B" w:rsidRDefault="003125BF" w:rsidP="003125BF">
      <w:pPr>
        <w:rPr>
          <w:rFonts w:ascii="Garamond" w:eastAsia="Times New Roman" w:hAnsi="Garamond" w:cs="Times New Roman"/>
        </w:rPr>
      </w:pPr>
    </w:p>
    <w:p w14:paraId="19017F4C" w14:textId="4D516392"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Conversely, when the SEC adjudicates the matter in-house, there are no juries. Instead, the Commission presides and finds facts while its Division of Enforcement prosecutes the case. The Commission may also delegate its role as judge and factfinder to one of its members or to an administrative law judge (ALJ) that it employs. In these proceedings, the Commission or its delegee decides discovery disputes, and the SEC</w:t>
      </w:r>
      <w:r w:rsidR="00A77338" w:rsidRPr="00C05D6B">
        <w:rPr>
          <w:rFonts w:ascii="Garamond" w:eastAsia="Times New Roman" w:hAnsi="Garamond" w:cs="Times New Roman"/>
        </w:rPr>
        <w:t>’</w:t>
      </w:r>
      <w:r w:rsidRPr="00C05D6B">
        <w:rPr>
          <w:rFonts w:ascii="Garamond" w:eastAsia="Times New Roman" w:hAnsi="Garamond" w:cs="Times New Roman"/>
        </w:rPr>
        <w:t xml:space="preserve">s Rules of Practice govern. The Commission or its delegee also determines the scope and form of permissible evidence and may admit hearsay and other testimony that would be inadmissible in federal court. </w:t>
      </w:r>
    </w:p>
    <w:p w14:paraId="697D5595" w14:textId="77777777" w:rsidR="003125BF" w:rsidRPr="00C05D6B" w:rsidRDefault="003125BF" w:rsidP="003125BF">
      <w:pPr>
        <w:ind w:firstLine="720"/>
        <w:rPr>
          <w:rFonts w:ascii="Garamond" w:eastAsia="Times New Roman" w:hAnsi="Garamond" w:cs="Times New Roman"/>
        </w:rPr>
      </w:pPr>
    </w:p>
    <w:p w14:paraId="08492035" w14:textId="5FDAF4F5"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Judicial review is also available once the proceedings have concluded. But such review is deferential. By law, a reviewing court must treat the agency</w:t>
      </w:r>
      <w:r w:rsidR="00A77338" w:rsidRPr="00C05D6B">
        <w:rPr>
          <w:rFonts w:ascii="Garamond" w:eastAsia="Times New Roman" w:hAnsi="Garamond" w:cs="Times New Roman"/>
        </w:rPr>
        <w:t>’</w:t>
      </w:r>
      <w:r w:rsidRPr="00C05D6B">
        <w:rPr>
          <w:rFonts w:ascii="Garamond" w:eastAsia="Times New Roman" w:hAnsi="Garamond" w:cs="Times New Roman"/>
        </w:rPr>
        <w:t>s factual findings as “conclusive” if sufficiently supported by the record, even when they rest on evidence that could not have been admitted in federal court.</w:t>
      </w:r>
    </w:p>
    <w:p w14:paraId="78653404" w14:textId="77777777" w:rsidR="003125BF" w:rsidRPr="00C05D6B" w:rsidRDefault="003125BF" w:rsidP="003125BF">
      <w:pPr>
        <w:ind w:firstLine="720"/>
        <w:rPr>
          <w:rFonts w:ascii="Garamond" w:eastAsia="Times New Roman" w:hAnsi="Garamond" w:cs="Times New Roman"/>
        </w:rPr>
      </w:pPr>
    </w:p>
    <w:p w14:paraId="5D898872" w14:textId="6DF4403B"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The remedy at issue in this case, civil penalties, also originally depended upon the forum chosen by the SEC. Except in cases against registered entities, the SEC could obtain civil penalties only in federal court. That is no longer so. In 2010, Congress passed the Dodd-Frank Wall Street Reform and Consumer Protection Act (Dodd-Frank Act). That Act “ma[de] the SEC</w:t>
      </w:r>
      <w:r w:rsidR="00A77338" w:rsidRPr="00C05D6B">
        <w:rPr>
          <w:rFonts w:ascii="Garamond" w:eastAsia="Times New Roman" w:hAnsi="Garamond" w:cs="Times New Roman"/>
        </w:rPr>
        <w:t>’</w:t>
      </w:r>
      <w:r w:rsidRPr="00C05D6B">
        <w:rPr>
          <w:rFonts w:ascii="Garamond" w:eastAsia="Times New Roman" w:hAnsi="Garamond" w:cs="Times New Roman"/>
        </w:rPr>
        <w:t xml:space="preserve">s authority in administrative penalty proceedings coextensive with its authority to seek penalties in Federal court.” H.R. Rep. No. 111-687, p. 78 (2010). In other words, the SEC may now seek civil penalties in federal court, or it may impose them through its own in-house proceedings. </w:t>
      </w:r>
    </w:p>
    <w:p w14:paraId="00445529" w14:textId="77777777" w:rsidR="003125BF" w:rsidRPr="00C05D6B" w:rsidRDefault="003125BF" w:rsidP="003125BF">
      <w:pPr>
        <w:rPr>
          <w:rFonts w:ascii="Garamond" w:eastAsia="Times New Roman" w:hAnsi="Garamond" w:cs="Times New Roman"/>
        </w:rPr>
      </w:pPr>
    </w:p>
    <w:p w14:paraId="5883ADE8" w14:textId="4E51007C"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Civil penalties rank among the SEC</w:t>
      </w:r>
      <w:r w:rsidR="00A77338" w:rsidRPr="00C05D6B">
        <w:rPr>
          <w:rFonts w:ascii="Garamond" w:eastAsia="Times New Roman" w:hAnsi="Garamond" w:cs="Times New Roman"/>
        </w:rPr>
        <w:t>’</w:t>
      </w:r>
      <w:r w:rsidRPr="00C05D6B">
        <w:rPr>
          <w:rFonts w:ascii="Garamond" w:eastAsia="Times New Roman" w:hAnsi="Garamond" w:cs="Times New Roman"/>
        </w:rPr>
        <w:t xml:space="preserve">s most potent enforcement tools. These penalties consist of fines of up to $725,000 per violation. And the SEC may levy these penalties even when no investor has actually suffered financial loss. </w:t>
      </w:r>
    </w:p>
    <w:p w14:paraId="4EB376F9" w14:textId="77777777" w:rsidR="003125BF" w:rsidRPr="00C05D6B" w:rsidRDefault="003125BF" w:rsidP="003125BF">
      <w:pPr>
        <w:ind w:firstLine="720"/>
        <w:rPr>
          <w:rFonts w:ascii="Garamond" w:eastAsia="Times New Roman" w:hAnsi="Garamond" w:cs="Times New Roman"/>
        </w:rPr>
      </w:pPr>
    </w:p>
    <w:p w14:paraId="55E80094"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B</w:t>
      </w:r>
    </w:p>
    <w:p w14:paraId="406B0A9A" w14:textId="77777777" w:rsidR="003125BF" w:rsidRPr="00C05D6B" w:rsidRDefault="003125BF" w:rsidP="003125BF">
      <w:pPr>
        <w:rPr>
          <w:rFonts w:ascii="Garamond" w:eastAsia="Times New Roman" w:hAnsi="Garamond" w:cs="Times New Roman"/>
        </w:rPr>
      </w:pPr>
    </w:p>
    <w:p w14:paraId="658291CE"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Shortly after passage of the Dodd-Frank Act, the SEC began investigating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and Patriot28 for securities fraud. Between 2007 and 2010,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launched two investment funds, raising about $24 million from 120 “accredited” investors—a class of investors that includes, for example, financial institutions, certain investment professionals, and high net worth individuals. Patriot28, which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managed, served as the funds’ investment adviser. According to the SEC,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and Patriot28 misled investors in at least three ways: (1) by misrepresenting the investment strategies that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and Patriot28 employed, (2) by lying about the identity of the funds’ auditor and prime broker, and (3) by inflating the funds’ claimed value so that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and Patriot28 could collect larger management fees. The SEC initiated an enforcement action, contending that these actions violated the antifraud provisions of the Securities Act, the Securities Exchange Act, and the Investment Advisers Act, and sought civil penalties and other remedies.</w:t>
      </w:r>
    </w:p>
    <w:p w14:paraId="5D208033" w14:textId="77777777" w:rsidR="003125BF" w:rsidRPr="00C05D6B" w:rsidRDefault="003125BF" w:rsidP="003125BF">
      <w:pPr>
        <w:rPr>
          <w:rFonts w:ascii="Garamond" w:eastAsia="Times New Roman" w:hAnsi="Garamond" w:cs="Times New Roman"/>
        </w:rPr>
      </w:pPr>
    </w:p>
    <w:p w14:paraId="42E301BD" w14:textId="77777777" w:rsidR="003125BF" w:rsidRPr="00C05D6B" w:rsidRDefault="003125BF" w:rsidP="003125BF">
      <w:pPr>
        <w:ind w:firstLine="720"/>
        <w:rPr>
          <w:rFonts w:ascii="Garamond" w:eastAsia="Times New Roman" w:hAnsi="Garamond" w:cs="Times New Roman"/>
          <w:i/>
          <w:iCs/>
        </w:rPr>
      </w:pPr>
      <w:r w:rsidRPr="00C05D6B">
        <w:rPr>
          <w:rFonts w:ascii="Garamond" w:eastAsia="Times New Roman" w:hAnsi="Garamond" w:cs="Times New Roman"/>
        </w:rPr>
        <w:t xml:space="preserve">Relying on the new authority conferred by the Dodd-Frank Act, the SEC opted to adjudicate the matter itself rather than in federal court. In 2014, the presiding ALJ issued an initial decision. The SEC reviewed the decision and then released its final order in 2020. The final order levied a civil penalty of $300,000 against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and Patriot28, directed them to cease and desist committing or causing violations of the antifraud provisions, ordered Patriot28 to disgorge earnings, and prohibited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from participating in the securities industry and in offerings of penny stocks. </w:t>
      </w:r>
    </w:p>
    <w:p w14:paraId="19C68801" w14:textId="77777777" w:rsidR="003125BF" w:rsidRPr="00C05D6B" w:rsidRDefault="003125BF" w:rsidP="003125BF">
      <w:pPr>
        <w:ind w:firstLine="720"/>
        <w:rPr>
          <w:rFonts w:ascii="Garamond" w:eastAsia="Times New Roman" w:hAnsi="Garamond" w:cs="Times New Roman"/>
        </w:rPr>
      </w:pPr>
    </w:p>
    <w:p w14:paraId="705C47C1"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II</w:t>
      </w:r>
    </w:p>
    <w:p w14:paraId="1F39BC90" w14:textId="77777777" w:rsidR="003125BF" w:rsidRPr="00C05D6B" w:rsidRDefault="003125BF" w:rsidP="003125BF">
      <w:pPr>
        <w:rPr>
          <w:rFonts w:ascii="Garamond" w:eastAsia="Times New Roman" w:hAnsi="Garamond" w:cs="Times New Roman"/>
        </w:rPr>
      </w:pPr>
    </w:p>
    <w:p w14:paraId="0503A720" w14:textId="148C61DA"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This case poses a straightforward question: whether the Seventh Amendment entitles a defendant to a jury trial when the SEC seeks civil penalties against him for securities fraud. Our analysis of this question follows the approach set forth in </w:t>
      </w:r>
      <w:proofErr w:type="spellStart"/>
      <w:r w:rsidRPr="00C05D6B">
        <w:rPr>
          <w:rFonts w:ascii="Garamond" w:eastAsia="Times New Roman" w:hAnsi="Garamond" w:cs="Times New Roman"/>
        </w:rPr>
        <w:t>Granfinanciera</w:t>
      </w:r>
      <w:proofErr w:type="spellEnd"/>
      <w:r w:rsidRPr="00C05D6B">
        <w:rPr>
          <w:rFonts w:ascii="Garamond" w:eastAsia="Times New Roman" w:hAnsi="Garamond" w:cs="Times New Roman"/>
        </w:rPr>
        <w:t xml:space="preserve">[, S.A. v. Nordberg (1989)] and </w:t>
      </w:r>
      <w:hyperlink r:id="rId31" w:history="1">
        <w:proofErr w:type="spellStart"/>
        <w:r w:rsidRPr="00C05D6B">
          <w:rPr>
            <w:rFonts w:ascii="Garamond" w:eastAsia="Times New Roman" w:hAnsi="Garamond" w:cs="Times New Roman"/>
          </w:rPr>
          <w:t>Tull</w:t>
        </w:r>
        <w:proofErr w:type="spellEnd"/>
        <w:r w:rsidRPr="00C05D6B">
          <w:rPr>
            <w:rFonts w:ascii="Garamond" w:eastAsia="Times New Roman" w:hAnsi="Garamond" w:cs="Times New Roman"/>
          </w:rPr>
          <w:t xml:space="preserve"> v. United States (1987)</w:t>
        </w:r>
      </w:hyperlink>
      <w:r w:rsidRPr="00C05D6B">
        <w:rPr>
          <w:rFonts w:ascii="Garamond" w:eastAsia="Times New Roman" w:hAnsi="Garamond" w:cs="Times New Roman"/>
        </w:rPr>
        <w:t>. The threshold issue is whether this action implicates the Seventh Amendment. It does. The SEC</w:t>
      </w:r>
      <w:r w:rsidR="00A77338" w:rsidRPr="00C05D6B">
        <w:rPr>
          <w:rFonts w:ascii="Garamond" w:eastAsia="Times New Roman" w:hAnsi="Garamond" w:cs="Times New Roman"/>
        </w:rPr>
        <w:t>’</w:t>
      </w:r>
      <w:r w:rsidRPr="00C05D6B">
        <w:rPr>
          <w:rFonts w:ascii="Garamond" w:eastAsia="Times New Roman" w:hAnsi="Garamond" w:cs="Times New Roman"/>
        </w:rPr>
        <w:t>s antifraud provisions replicate common law fraud, and it is well established that common law claims must be heard by a jury.</w:t>
      </w:r>
    </w:p>
    <w:p w14:paraId="782F1CAF" w14:textId="77777777" w:rsidR="003125BF" w:rsidRPr="00C05D6B" w:rsidRDefault="003125BF" w:rsidP="003125BF">
      <w:pPr>
        <w:rPr>
          <w:rFonts w:ascii="Garamond" w:eastAsia="Times New Roman" w:hAnsi="Garamond" w:cs="Times New Roman"/>
        </w:rPr>
      </w:pPr>
    </w:p>
    <w:p w14:paraId="426C7044"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Since this case does implicate the Seventh Amendment, we next consider whether the “public rights” exception to Article III jurisdiction applies. This exception has been held to permit Congress to assign certain matters to agencies for adjudication even though such proceedings would not afford the right to a jury trial. The exception does not apply here because the present action does not fall within any of the distinctive areas involving governmental prerogatives where the Court has concluded that a matter may be resolved outside of an Article III court, without a jury. The Seventh Amendment therefore applies and a jury is required. Since the answer to the jury trial question resolves this case, we do not reach the nondelegation or removal issues.</w:t>
      </w:r>
    </w:p>
    <w:p w14:paraId="551BC2EF" w14:textId="77777777" w:rsidR="003125BF" w:rsidRPr="00C05D6B" w:rsidRDefault="003125BF" w:rsidP="003125BF">
      <w:pPr>
        <w:ind w:firstLine="720"/>
        <w:rPr>
          <w:rFonts w:ascii="Garamond" w:eastAsia="Times New Roman" w:hAnsi="Garamond" w:cs="Times New Roman"/>
        </w:rPr>
      </w:pPr>
    </w:p>
    <w:p w14:paraId="251229AF"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A</w:t>
      </w:r>
    </w:p>
    <w:p w14:paraId="44D5F6C4" w14:textId="77777777" w:rsidR="003125BF" w:rsidRPr="00C05D6B" w:rsidRDefault="003125BF" w:rsidP="003125BF">
      <w:pPr>
        <w:rPr>
          <w:rFonts w:ascii="Garamond" w:eastAsia="Times New Roman" w:hAnsi="Garamond" w:cs="Times New Roman"/>
        </w:rPr>
      </w:pPr>
    </w:p>
    <w:p w14:paraId="473D0136"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1</w:t>
      </w:r>
    </w:p>
    <w:p w14:paraId="0A64411F" w14:textId="77777777" w:rsidR="003125BF" w:rsidRPr="00C05D6B" w:rsidRDefault="003125BF" w:rsidP="003125BF">
      <w:pPr>
        <w:rPr>
          <w:rFonts w:ascii="Garamond" w:eastAsia="Times New Roman" w:hAnsi="Garamond" w:cs="Times New Roman"/>
        </w:rPr>
      </w:pPr>
    </w:p>
    <w:p w14:paraId="43230732" w14:textId="5095D770"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The right to trial by jury is “of such importance and occupies so firm a place in our history and jurisprudence that any seeming curtailment of the right” has always been and “should be scrutinized with the utmost care.” Commentators recognized the right as “the glory of the English law,” 3 W. Blackstone, Commentaries on the Laws of England 379 (8th ed. 1778) (Blackstone), and it was prized by the American colonists. When the English began evading American juries by siphoning adjudications to juryless admiralty, vice admiralty, and chancery courts, Americans </w:t>
      </w:r>
      <w:r w:rsidRPr="00C05D6B">
        <w:rPr>
          <w:rFonts w:ascii="Garamond" w:eastAsia="Times New Roman" w:hAnsi="Garamond" w:cs="Times New Roman"/>
        </w:rPr>
        <w:lastRenderedPageBreak/>
        <w:t>condemned Parliament for “subvert[</w:t>
      </w:r>
      <w:proofErr w:type="spellStart"/>
      <w:r w:rsidRPr="00C05D6B">
        <w:rPr>
          <w:rFonts w:ascii="Garamond" w:eastAsia="Times New Roman" w:hAnsi="Garamond" w:cs="Times New Roman"/>
        </w:rPr>
        <w:t>ing</w:t>
      </w:r>
      <w:proofErr w:type="spellEnd"/>
      <w:r w:rsidRPr="00C05D6B">
        <w:rPr>
          <w:rFonts w:ascii="Garamond" w:eastAsia="Times New Roman" w:hAnsi="Garamond" w:cs="Times New Roman"/>
        </w:rPr>
        <w:t>] the rights and liberties of the colonists.” Resolutions of the Stamp Act Congress, Art. VIII (Oct. 19, 1765)</w:t>
      </w:r>
      <w:r w:rsidR="006F7CF5" w:rsidRPr="00C05D6B">
        <w:rPr>
          <w:rFonts w:ascii="Garamond" w:eastAsia="Times New Roman" w:hAnsi="Garamond" w:cs="Times New Roman"/>
        </w:rPr>
        <w:t>.</w:t>
      </w:r>
      <w:r w:rsidRPr="00C05D6B">
        <w:rPr>
          <w:rFonts w:ascii="Garamond" w:eastAsia="Times New Roman" w:hAnsi="Garamond" w:cs="Times New Roman"/>
        </w:rPr>
        <w:t xml:space="preserve"> Representatives gathered at the First Continental Congress demanded that Parliament respect the “great and inestimable privilege of being tried by their peers of the vicinage, according to the [common] law.” 1 Journals of the Continental Congress, 1774–1789, p. 69 (Oct. 14, 1774) (W. Ford ed. 1904). And when the English continued to try Americans without juries, the Founders cited the practice as a justification for severing our ties to England. </w:t>
      </w:r>
      <w:r w:rsidRPr="00C05D6B">
        <w:rPr>
          <w:rFonts w:ascii="Garamond" w:eastAsia="Times New Roman" w:hAnsi="Garamond" w:cs="Times New Roman"/>
          <w:i/>
          <w:iCs/>
        </w:rPr>
        <w:t xml:space="preserve">See </w:t>
      </w:r>
      <w:r w:rsidRPr="00C05D6B">
        <w:rPr>
          <w:rFonts w:ascii="Garamond" w:eastAsia="Times New Roman" w:hAnsi="Garamond" w:cs="Times New Roman"/>
        </w:rPr>
        <w:t>Declaration of Independence ¶20.</w:t>
      </w:r>
    </w:p>
    <w:p w14:paraId="31D7E733" w14:textId="77777777" w:rsidR="003125BF" w:rsidRPr="00C05D6B" w:rsidRDefault="003125BF" w:rsidP="003125BF">
      <w:pPr>
        <w:ind w:firstLine="720"/>
        <w:rPr>
          <w:rFonts w:ascii="Garamond" w:eastAsia="Times New Roman" w:hAnsi="Garamond" w:cs="Times New Roman"/>
        </w:rPr>
      </w:pPr>
    </w:p>
    <w:p w14:paraId="42CD67CB" w14:textId="2785CA69"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In the Revolution</w:t>
      </w:r>
      <w:r w:rsidR="00DD07D6" w:rsidRPr="00C05D6B">
        <w:rPr>
          <w:rFonts w:ascii="Garamond" w:eastAsia="Times New Roman" w:hAnsi="Garamond" w:cs="Times New Roman"/>
        </w:rPr>
        <w:t>’</w:t>
      </w:r>
      <w:r w:rsidRPr="00C05D6B">
        <w:rPr>
          <w:rFonts w:ascii="Garamond" w:eastAsia="Times New Roman" w:hAnsi="Garamond" w:cs="Times New Roman"/>
        </w:rPr>
        <w:t>s aftermath, perhaps the “most success[</w:t>
      </w:r>
      <w:proofErr w:type="spellStart"/>
      <w:r w:rsidRPr="00C05D6B">
        <w:rPr>
          <w:rFonts w:ascii="Garamond" w:eastAsia="Times New Roman" w:hAnsi="Garamond" w:cs="Times New Roman"/>
        </w:rPr>
        <w:t>ful</w:t>
      </w:r>
      <w:proofErr w:type="spellEnd"/>
      <w:r w:rsidRPr="00C05D6B">
        <w:rPr>
          <w:rFonts w:ascii="Garamond" w:eastAsia="Times New Roman" w:hAnsi="Garamond" w:cs="Times New Roman"/>
        </w:rPr>
        <w:t>]” critique leveled against the proposed Constitution was its “want of a</w:t>
      </w:r>
      <w:r w:rsidR="00DD07D6" w:rsidRPr="00C05D6B">
        <w:rPr>
          <w:rFonts w:ascii="Garamond" w:eastAsia="Times New Roman" w:hAnsi="Garamond" w:cs="Times New Roman"/>
        </w:rPr>
        <w:t xml:space="preserve"> . . . </w:t>
      </w:r>
      <w:r w:rsidRPr="00C05D6B">
        <w:rPr>
          <w:rFonts w:ascii="Garamond" w:eastAsia="Times New Roman" w:hAnsi="Garamond" w:cs="Times New Roman"/>
        </w:rPr>
        <w:t xml:space="preserve">provision for the trial by jury in civil cases.” The Federalist No. 83, p. 495 (C. Rossiter ed. 1961) (A. Hamilton) (emphasis deleted). The Framers promptly adopted the Seventh Amendment to fix that flaw. In so doing, they “embedded” the right in the Constitution, securing it “against the passing demands of expediency or convenience.” </w:t>
      </w:r>
      <w:hyperlink r:id="rId32" w:anchor="co_pp_sp_780_10" w:history="1">
        <w:r w:rsidRPr="00C05D6B">
          <w:rPr>
            <w:rFonts w:ascii="Garamond" w:eastAsia="Times New Roman" w:hAnsi="Garamond" w:cs="Times New Roman"/>
          </w:rPr>
          <w:t>Reid v. Covert (1957) (</w:t>
        </w:r>
      </w:hyperlink>
      <w:r w:rsidRPr="00C05D6B">
        <w:rPr>
          <w:rFonts w:ascii="Garamond" w:eastAsia="Times New Roman" w:hAnsi="Garamond" w:cs="Times New Roman"/>
        </w:rPr>
        <w:t xml:space="preserve">plurality opinion). Since then, “every encroachment upon it has been watched with great jealousy.” </w:t>
      </w:r>
      <w:hyperlink r:id="rId33" w:anchor="co_pp_sp_780_446" w:history="1">
        <w:r w:rsidRPr="00C05D6B">
          <w:rPr>
            <w:rFonts w:ascii="Garamond" w:eastAsia="Times New Roman" w:hAnsi="Garamond" w:cs="Times New Roman"/>
          </w:rPr>
          <w:t>Parsons v. Bedford (1830)</w:t>
        </w:r>
      </w:hyperlink>
      <w:r w:rsidRPr="00C05D6B">
        <w:rPr>
          <w:rFonts w:ascii="Garamond" w:eastAsia="Times New Roman" w:hAnsi="Garamond" w:cs="Times New Roman"/>
        </w:rPr>
        <w:t>.</w:t>
      </w:r>
    </w:p>
    <w:p w14:paraId="5D13AF89" w14:textId="77777777" w:rsidR="003125BF" w:rsidRPr="00C05D6B" w:rsidRDefault="003125BF" w:rsidP="003125BF">
      <w:pPr>
        <w:rPr>
          <w:rFonts w:ascii="Garamond" w:eastAsia="Times New Roman" w:hAnsi="Garamond" w:cs="Times New Roman"/>
        </w:rPr>
      </w:pPr>
    </w:p>
    <w:p w14:paraId="5741FDF9"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2</w:t>
      </w:r>
    </w:p>
    <w:p w14:paraId="19B9262E" w14:textId="77777777" w:rsidR="003125BF" w:rsidRPr="00C05D6B" w:rsidRDefault="003125BF" w:rsidP="003125BF">
      <w:pPr>
        <w:rPr>
          <w:rFonts w:ascii="Garamond" w:eastAsia="Times New Roman" w:hAnsi="Garamond" w:cs="Times New Roman"/>
        </w:rPr>
      </w:pPr>
    </w:p>
    <w:p w14:paraId="6EFA7BB0" w14:textId="0E5FBFE0" w:rsidR="003125BF" w:rsidRPr="00C05D6B" w:rsidRDefault="003125BF" w:rsidP="003125BF">
      <w:pPr>
        <w:ind w:firstLine="720"/>
        <w:rPr>
          <w:rFonts w:ascii="Garamond" w:eastAsia="Times New Roman" w:hAnsi="Garamond" w:cs="Times New Roman"/>
          <w:i/>
          <w:iCs/>
        </w:rPr>
      </w:pPr>
      <w:r w:rsidRPr="00C05D6B">
        <w:rPr>
          <w:rFonts w:ascii="Garamond" w:eastAsia="Times New Roman" w:hAnsi="Garamond" w:cs="Times New Roman"/>
        </w:rPr>
        <w:t>By its text, the Seventh Amendment guarantees that in “[s]</w:t>
      </w:r>
      <w:proofErr w:type="spellStart"/>
      <w:r w:rsidRPr="00C05D6B">
        <w:rPr>
          <w:rFonts w:ascii="Garamond" w:eastAsia="Times New Roman" w:hAnsi="Garamond" w:cs="Times New Roman"/>
        </w:rPr>
        <w:t>uits</w:t>
      </w:r>
      <w:proofErr w:type="spellEnd"/>
      <w:r w:rsidRPr="00C05D6B">
        <w:rPr>
          <w:rFonts w:ascii="Garamond" w:eastAsia="Times New Roman" w:hAnsi="Garamond" w:cs="Times New Roman"/>
        </w:rPr>
        <w:t xml:space="preserve"> at common law, </w:t>
      </w:r>
      <w:r w:rsidR="00DD07D6" w:rsidRPr="00C05D6B">
        <w:rPr>
          <w:rFonts w:ascii="Garamond" w:eastAsia="Times New Roman" w:hAnsi="Garamond" w:cs="Times New Roman"/>
        </w:rPr>
        <w:t xml:space="preserve">. . . </w:t>
      </w:r>
      <w:r w:rsidRPr="00C05D6B">
        <w:rPr>
          <w:rFonts w:ascii="Garamond" w:eastAsia="Times New Roman" w:hAnsi="Garamond" w:cs="Times New Roman"/>
        </w:rPr>
        <w:t xml:space="preserve">the right of trial by jury shall be preserved.” In construing this language, we have noted that the right is not limited to the “common-law forms of action recognized” when the Seventh Amendment was ratified. Curtis v. </w:t>
      </w:r>
      <w:proofErr w:type="spellStart"/>
      <w:r w:rsidRPr="00C05D6B">
        <w:rPr>
          <w:rFonts w:ascii="Garamond" w:eastAsia="Times New Roman" w:hAnsi="Garamond" w:cs="Times New Roman"/>
        </w:rPr>
        <w:t>Loether</w:t>
      </w:r>
      <w:proofErr w:type="spellEnd"/>
      <w:r w:rsidRPr="00C05D6B">
        <w:rPr>
          <w:rFonts w:ascii="Garamond" w:eastAsia="Times New Roman" w:hAnsi="Garamond" w:cs="Times New Roman"/>
        </w:rPr>
        <w:t xml:space="preserve"> (1974). As Justice Story explained, the Framers used the term “common law” in the Amendment “in contradistinction to equity, and admiralty, and maritime jurisprudence.” </w:t>
      </w:r>
      <w:hyperlink r:id="rId34" w:anchor="co_pp_sp_780_446" w:history="1">
        <w:r w:rsidRPr="00C05D6B">
          <w:rPr>
            <w:rFonts w:ascii="Garamond" w:eastAsia="Times New Roman" w:hAnsi="Garamond" w:cs="Times New Roman"/>
            <w:i/>
            <w:iCs/>
          </w:rPr>
          <w:t>Parsons</w:t>
        </w:r>
      </w:hyperlink>
      <w:r w:rsidRPr="00C05D6B">
        <w:rPr>
          <w:rFonts w:ascii="Garamond" w:eastAsia="Times New Roman" w:hAnsi="Garamond" w:cs="Times New Roman"/>
        </w:rPr>
        <w:t>. The Amendment therefore “embrace[s] all suits which are not of equity or admiralty jurisdiction, whatever may be the peculiar form which they may assume.”</w:t>
      </w:r>
    </w:p>
    <w:p w14:paraId="1A680BFF" w14:textId="77777777" w:rsidR="003125BF" w:rsidRPr="00C05D6B" w:rsidRDefault="003125BF" w:rsidP="003125BF">
      <w:pPr>
        <w:rPr>
          <w:rFonts w:ascii="Garamond" w:eastAsia="Times New Roman" w:hAnsi="Garamond" w:cs="Times New Roman"/>
          <w:i/>
          <w:iCs/>
        </w:rPr>
      </w:pPr>
    </w:p>
    <w:p w14:paraId="24A0EF42"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The Seventh Amendment extends to a particular statutory claim if the claim is “legal in nature.” </w:t>
      </w:r>
      <w:hyperlink r:id="rId35" w:anchor="co_pp_sp_780_53" w:history="1">
        <w:proofErr w:type="spellStart"/>
        <w:r w:rsidRPr="00C05D6B">
          <w:rPr>
            <w:rFonts w:ascii="Garamond" w:eastAsia="Times New Roman" w:hAnsi="Garamond" w:cs="Times New Roman"/>
            <w:i/>
            <w:iCs/>
          </w:rPr>
          <w:t>Granfinanciera</w:t>
        </w:r>
        <w:proofErr w:type="spellEnd"/>
      </w:hyperlink>
      <w:r w:rsidRPr="00C05D6B">
        <w:rPr>
          <w:rFonts w:ascii="Garamond" w:eastAsia="Times New Roman" w:hAnsi="Garamond" w:cs="Times New Roman"/>
        </w:rPr>
        <w:t xml:space="preserve">. As we made clear in </w:t>
      </w:r>
      <w:proofErr w:type="spellStart"/>
      <w:r w:rsidRPr="00C05D6B">
        <w:rPr>
          <w:rFonts w:ascii="Garamond" w:eastAsia="Times New Roman" w:hAnsi="Garamond" w:cs="Times New Roman"/>
          <w:i/>
          <w:iCs/>
        </w:rPr>
        <w:t>Tull</w:t>
      </w:r>
      <w:proofErr w:type="spellEnd"/>
      <w:r w:rsidRPr="00C05D6B">
        <w:rPr>
          <w:rFonts w:ascii="Garamond" w:eastAsia="Times New Roman" w:hAnsi="Garamond" w:cs="Times New Roman"/>
        </w:rPr>
        <w:t>, whether that claim is statutory is immaterial to this analysis. In that case, the Government sued a real estate developer for civil penalties in federal court. The developer responded by invoking his right to a jury trial. Although the cause of action arose under the Clean Water Act, the Court surveyed early cases to show that the statutory nature of the claim was not legally relevant. “Actions by the Government to recover civil penalties under statutory provisions,” we explained, “historically ha[d] been viewed as [a] type of action in debt requiring trial by jury.” To determine whether a suit is legal in nature, we directed courts to consider the cause of action and the remedy it provides. Since some causes of action sound in both law and equity, we concluded that the remedy was the “more important” consideration.</w:t>
      </w:r>
    </w:p>
    <w:p w14:paraId="4D07849A" w14:textId="77777777" w:rsidR="003125BF" w:rsidRPr="00C05D6B" w:rsidRDefault="003125BF" w:rsidP="003125BF">
      <w:pPr>
        <w:rPr>
          <w:rFonts w:ascii="Garamond" w:eastAsia="Times New Roman" w:hAnsi="Garamond" w:cs="Times New Roman"/>
        </w:rPr>
      </w:pPr>
    </w:p>
    <w:p w14:paraId="3476E8AE" w14:textId="0A4E07F6"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In this case, the remedy is all but dispositive. For respondents’ alleged fraud, the SEC seeks civil penalties, a form of monetary relief. While monetary relief can be legal or equitable, money damages are the prototypical common law remedy. What determines whether a monetary remedy is legal is if it is designed to punish or deter the wrongdoer, or, on the other hand, solely to “restore the status quo.” As we have previously explained, “a civil sanction that cannot fairly be said solely to serve a remedial purpose, but rather can only be explained as also serving either retributive or deterrent purposes, is punishment.” Austin v. United States</w:t>
      </w:r>
      <w:r w:rsidRPr="00C05D6B">
        <w:rPr>
          <w:rFonts w:ascii="Garamond" w:eastAsia="Times New Roman" w:hAnsi="Garamond" w:cs="Times New Roman"/>
          <w:i/>
          <w:iCs/>
        </w:rPr>
        <w:t xml:space="preserve"> </w:t>
      </w:r>
      <w:r w:rsidRPr="00C05D6B">
        <w:rPr>
          <w:rFonts w:ascii="Garamond" w:eastAsia="Times New Roman" w:hAnsi="Garamond" w:cs="Times New Roman"/>
        </w:rPr>
        <w:t xml:space="preserve">(1993). And while courts of equity could order a defendant to return unjustly obtained funds, only courts of law issued monetary penalties to “punish culpable individuals.” </w:t>
      </w:r>
      <w:proofErr w:type="spellStart"/>
      <w:r w:rsidRPr="00C05D6B">
        <w:rPr>
          <w:rFonts w:ascii="Garamond" w:eastAsia="Times New Roman" w:hAnsi="Garamond" w:cs="Times New Roman"/>
          <w:i/>
          <w:iCs/>
        </w:rPr>
        <w:t>Tull</w:t>
      </w:r>
      <w:proofErr w:type="spellEnd"/>
      <w:r w:rsidRPr="00C05D6B">
        <w:rPr>
          <w:rFonts w:ascii="Garamond" w:eastAsia="Times New Roman" w:hAnsi="Garamond" w:cs="Times New Roman"/>
        </w:rPr>
        <w:t xml:space="preserve">. Applying these principles, we have recognized that “civil </w:t>
      </w:r>
      <w:proofErr w:type="spellStart"/>
      <w:r w:rsidRPr="00C05D6B">
        <w:rPr>
          <w:rFonts w:ascii="Garamond" w:eastAsia="Times New Roman" w:hAnsi="Garamond" w:cs="Times New Roman"/>
        </w:rPr>
        <w:t>penalt</w:t>
      </w:r>
      <w:proofErr w:type="spellEnd"/>
      <w:r w:rsidRPr="00C05D6B">
        <w:rPr>
          <w:rFonts w:ascii="Garamond" w:eastAsia="Times New Roman" w:hAnsi="Garamond" w:cs="Times New Roman"/>
        </w:rPr>
        <w:t>[</w:t>
      </w:r>
      <w:proofErr w:type="spellStart"/>
      <w:r w:rsidRPr="00C05D6B">
        <w:rPr>
          <w:rFonts w:ascii="Garamond" w:eastAsia="Times New Roman" w:hAnsi="Garamond" w:cs="Times New Roman"/>
        </w:rPr>
        <w:t>ies</w:t>
      </w:r>
      <w:proofErr w:type="spellEnd"/>
      <w:r w:rsidRPr="00C05D6B">
        <w:rPr>
          <w:rFonts w:ascii="Garamond" w:eastAsia="Times New Roman" w:hAnsi="Garamond" w:cs="Times New Roman"/>
        </w:rPr>
        <w:t xml:space="preserve"> are] a type of remedy at common law that could only be enforced in courts of law.” The same is true here.</w:t>
      </w:r>
    </w:p>
    <w:p w14:paraId="50C921CB" w14:textId="77777777" w:rsidR="003125BF" w:rsidRPr="00C05D6B" w:rsidRDefault="003125BF" w:rsidP="003125BF">
      <w:pPr>
        <w:ind w:firstLine="720"/>
        <w:rPr>
          <w:rFonts w:ascii="Garamond" w:eastAsia="Times New Roman" w:hAnsi="Garamond" w:cs="Times New Roman"/>
        </w:rPr>
      </w:pPr>
    </w:p>
    <w:p w14:paraId="4F2246A1" w14:textId="41003608" w:rsidR="003125BF" w:rsidRPr="00C05D6B" w:rsidRDefault="006D79DB" w:rsidP="003125BF">
      <w:pPr>
        <w:ind w:firstLine="720"/>
        <w:rPr>
          <w:rFonts w:ascii="Garamond" w:eastAsia="Times New Roman" w:hAnsi="Garamond" w:cs="Times New Roman"/>
        </w:rPr>
      </w:pPr>
      <w:r w:rsidRPr="00C05D6B">
        <w:rPr>
          <w:rFonts w:ascii="Garamond" w:eastAsia="Times New Roman" w:hAnsi="Garamond" w:cs="Times New Roman"/>
        </w:rPr>
        <w:t xml:space="preserve">Because they tie the availability of civil penalties to the perceived need to punish the defendant rather than to restore the victim, [the statutory factors for setting a civil penalty] are legal rather than equitable.  Since nothing in this analysis turns on “restoring the status quo,” </w:t>
      </w:r>
      <w:proofErr w:type="spellStart"/>
      <w:r w:rsidRPr="00C05D6B">
        <w:rPr>
          <w:rFonts w:ascii="Garamond" w:eastAsia="Times New Roman" w:hAnsi="Garamond" w:cs="Times New Roman"/>
          <w:i/>
          <w:iCs/>
        </w:rPr>
        <w:t>Tull</w:t>
      </w:r>
      <w:proofErr w:type="spellEnd"/>
      <w:r w:rsidRPr="00C05D6B">
        <w:rPr>
          <w:rFonts w:ascii="Garamond" w:eastAsia="Times New Roman" w:hAnsi="Garamond" w:cs="Times New Roman"/>
        </w:rPr>
        <w:t xml:space="preserve">, these factors show that these civil penalties are designed to be punitive.  The final proof that this remedy is punitive is that the SEC is not obliged to return any money to the victims.  </w:t>
      </w:r>
      <w:r w:rsidR="003125BF" w:rsidRPr="00C05D6B">
        <w:rPr>
          <w:rFonts w:ascii="Garamond" w:eastAsia="Times New Roman" w:hAnsi="Garamond" w:cs="Times New Roman"/>
        </w:rPr>
        <w:t xml:space="preserve">[T]he civil penalties in this case are designed to punish and deter, not to compensate. They are therefore “a type of remedy at common law that could only be enforced in courts of law.” That conclusion effectively decides that this suit implicates the Seventh Amendment right, and that a defendant would be entitled to a jury on these claims. </w:t>
      </w:r>
    </w:p>
    <w:p w14:paraId="70FC7F2E" w14:textId="77777777" w:rsidR="003125BF" w:rsidRPr="00C05D6B" w:rsidRDefault="003125BF" w:rsidP="003125BF">
      <w:pPr>
        <w:ind w:firstLine="720"/>
        <w:rPr>
          <w:rFonts w:ascii="Garamond" w:eastAsia="Times New Roman" w:hAnsi="Garamond" w:cs="Times New Roman"/>
        </w:rPr>
      </w:pPr>
    </w:p>
    <w:p w14:paraId="21A7E8BF" w14:textId="7B4E3B86" w:rsidR="003125BF" w:rsidRPr="00C05D6B" w:rsidRDefault="003125BF" w:rsidP="003125BF">
      <w:pPr>
        <w:ind w:firstLine="720"/>
        <w:rPr>
          <w:rFonts w:ascii="Garamond" w:hAnsi="Garamond" w:cs="Times New Roman"/>
        </w:rPr>
      </w:pPr>
      <w:r w:rsidRPr="00C05D6B">
        <w:rPr>
          <w:rFonts w:ascii="Garamond" w:eastAsia="Times New Roman" w:hAnsi="Garamond" w:cs="Times New Roman"/>
        </w:rPr>
        <w:t>The close relationship between the causes of action in this case and common law fraud confirms that conclusion. Both target the same basic conduct: misrepresenting or concealing material facts. That is no accident. Congress deliberately used “fraud” and other common law terms of art in the Securities Act, the Securities Exchange Act, and the Investment Advisers Act. In so doing, Congress incorporated prohibitions from common law fraud into federal securities law. The SEC has followed suit in rulemakings. Rule 10b–5, for example, prohibits “any device, scheme, or artifice to defraud,” and “</w:t>
      </w:r>
      <w:proofErr w:type="spellStart"/>
      <w:r w:rsidRPr="00C05D6B">
        <w:rPr>
          <w:rFonts w:ascii="Garamond" w:eastAsia="Times New Roman" w:hAnsi="Garamond" w:cs="Times New Roman"/>
        </w:rPr>
        <w:t>engag</w:t>
      </w:r>
      <w:proofErr w:type="spellEnd"/>
      <w:r w:rsidRPr="00C05D6B">
        <w:rPr>
          <w:rFonts w:ascii="Garamond" w:eastAsia="Times New Roman" w:hAnsi="Garamond" w:cs="Times New Roman"/>
        </w:rPr>
        <w:t>[</w:t>
      </w:r>
      <w:proofErr w:type="spellStart"/>
      <w:r w:rsidRPr="00C05D6B">
        <w:rPr>
          <w:rFonts w:ascii="Garamond" w:eastAsia="Times New Roman" w:hAnsi="Garamond" w:cs="Times New Roman"/>
        </w:rPr>
        <w:t>ing</w:t>
      </w:r>
      <w:proofErr w:type="spellEnd"/>
      <w:r w:rsidRPr="00C05D6B">
        <w:rPr>
          <w:rFonts w:ascii="Garamond" w:eastAsia="Times New Roman" w:hAnsi="Garamond" w:cs="Times New Roman"/>
        </w:rPr>
        <w:t>] in any act</w:t>
      </w:r>
      <w:r w:rsidR="00DD07D6" w:rsidRPr="00C05D6B">
        <w:rPr>
          <w:rFonts w:ascii="Garamond" w:eastAsia="Times New Roman" w:hAnsi="Garamond" w:cs="Times New Roman"/>
        </w:rPr>
        <w:t xml:space="preserve"> . . . </w:t>
      </w:r>
      <w:r w:rsidRPr="00C05D6B">
        <w:rPr>
          <w:rFonts w:ascii="Garamond" w:eastAsia="Times New Roman" w:hAnsi="Garamond" w:cs="Times New Roman"/>
        </w:rPr>
        <w:t xml:space="preserve">which operates or would operate as a fraud.” </w:t>
      </w:r>
    </w:p>
    <w:p w14:paraId="4198A38E" w14:textId="77777777" w:rsidR="003125BF" w:rsidRPr="00C05D6B" w:rsidRDefault="003125BF" w:rsidP="003125BF">
      <w:pPr>
        <w:ind w:firstLine="720"/>
        <w:rPr>
          <w:rFonts w:ascii="Garamond" w:eastAsia="Times New Roman" w:hAnsi="Garamond" w:cs="Times New Roman"/>
        </w:rPr>
      </w:pPr>
    </w:p>
    <w:p w14:paraId="17C752F5" w14:textId="6C6D5C7A"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That is not to say that federal securities fraud and common law fraud are identical. Nevertheless, the close relationship between federal securities fraud and common law fraud confirms that this action is “legal in nature.” </w:t>
      </w: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rPr>
        <w:t>.</w:t>
      </w:r>
    </w:p>
    <w:p w14:paraId="54C648B6" w14:textId="77777777" w:rsidR="003125BF" w:rsidRPr="00C05D6B" w:rsidRDefault="003125BF" w:rsidP="003125BF">
      <w:pPr>
        <w:ind w:firstLine="720"/>
        <w:rPr>
          <w:rFonts w:ascii="Garamond" w:eastAsia="Times New Roman" w:hAnsi="Garamond" w:cs="Times New Roman"/>
        </w:rPr>
      </w:pPr>
    </w:p>
    <w:p w14:paraId="55E04170"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B</w:t>
      </w:r>
    </w:p>
    <w:p w14:paraId="173B3EEE" w14:textId="77777777" w:rsidR="003125BF" w:rsidRPr="00C05D6B" w:rsidRDefault="003125BF" w:rsidP="003125BF">
      <w:pPr>
        <w:rPr>
          <w:rFonts w:ascii="Garamond" w:eastAsia="Times New Roman" w:hAnsi="Garamond" w:cs="Times New Roman"/>
        </w:rPr>
      </w:pPr>
    </w:p>
    <w:p w14:paraId="56E9F0C0"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1</w:t>
      </w:r>
    </w:p>
    <w:p w14:paraId="67C5C9BE" w14:textId="77777777" w:rsidR="003125BF" w:rsidRPr="00C05D6B" w:rsidRDefault="003125BF" w:rsidP="003125BF">
      <w:pPr>
        <w:rPr>
          <w:rFonts w:ascii="Garamond" w:hAnsi="Garamond" w:cs="Times New Roman"/>
        </w:rPr>
      </w:pPr>
    </w:p>
    <w:p w14:paraId="29D96F9E"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Although the claims at issue here implicate the Seventh Amendment, the Government and the dissent argue that a jury trial is not required because the “public rights” exception applies. Under this exception, Congress may assign the matter for decision to an agency without a jury, consistent with the Seventh Amendment. But this case does not fall within the exception, so Congress may not avoid a jury trial by preventing the case from being heard before an Article III tribunal.</w:t>
      </w:r>
    </w:p>
    <w:p w14:paraId="159BC1F7" w14:textId="77777777" w:rsidR="003125BF" w:rsidRPr="00C05D6B" w:rsidRDefault="003125BF" w:rsidP="003125BF">
      <w:pPr>
        <w:rPr>
          <w:rFonts w:ascii="Garamond" w:eastAsia="Times New Roman" w:hAnsi="Garamond" w:cs="Times New Roman"/>
        </w:rPr>
      </w:pPr>
    </w:p>
    <w:p w14:paraId="136CD1BD" w14:textId="28C0DB69"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The Constitution prohibits Congress from “withdraw[</w:t>
      </w:r>
      <w:proofErr w:type="spellStart"/>
      <w:r w:rsidRPr="00C05D6B">
        <w:rPr>
          <w:rFonts w:ascii="Garamond" w:eastAsia="Times New Roman" w:hAnsi="Garamond" w:cs="Times New Roman"/>
        </w:rPr>
        <w:t>ing</w:t>
      </w:r>
      <w:proofErr w:type="spellEnd"/>
      <w:r w:rsidRPr="00C05D6B">
        <w:rPr>
          <w:rFonts w:ascii="Garamond" w:eastAsia="Times New Roman" w:hAnsi="Garamond" w:cs="Times New Roman"/>
        </w:rPr>
        <w:t>] from judicial cognizance any matter which, from its nature, is the subject of a suit at the common law.” Murray’s Lessee v. Hoboken Land &amp; Improvement Co. (1856). Once such a suit “is brought within the bounds of federal jurisdiction,” an Article III court must decide it, with a jury if the Seventh Amendment applies. Stern v. Marshall (2011). These propositions are critical to maintaining the proper role of the Judiciary in the Constitution: “Under ‘the basic concept of separation of powers</w:t>
      </w:r>
      <w:r w:rsidR="00DD07D6" w:rsidRPr="00C05D6B">
        <w:rPr>
          <w:rFonts w:ascii="Garamond" w:eastAsia="Times New Roman" w:hAnsi="Garamond" w:cs="Times New Roman"/>
        </w:rPr>
        <w:t xml:space="preserve"> . . . </w:t>
      </w:r>
      <w:r w:rsidRPr="00C05D6B">
        <w:rPr>
          <w:rFonts w:ascii="Garamond" w:eastAsia="Times New Roman" w:hAnsi="Garamond" w:cs="Times New Roman"/>
        </w:rPr>
        <w:t>that flow[s] from the scheme of a tripartite government’ adopted in the Constitution, ‘the judicial Power of the United States’” cannot be shared with the other branches. Or, as Alexander Hamilton wrote in The Federalist Papers, “‘there is no liberty if the power of judging be not separated from the legislative and executive powers.’” The Federalist No. 78, at 466 (quoting 1 Montesquieu, The Spirit of Laws 181 (10th ed. 1773)).</w:t>
      </w:r>
    </w:p>
    <w:p w14:paraId="50B6EB31" w14:textId="77777777" w:rsidR="003125BF" w:rsidRPr="00C05D6B" w:rsidRDefault="003125BF" w:rsidP="003125BF">
      <w:pPr>
        <w:ind w:firstLine="720"/>
        <w:rPr>
          <w:rFonts w:ascii="Garamond" w:eastAsia="Times New Roman" w:hAnsi="Garamond" w:cs="Times New Roman"/>
        </w:rPr>
      </w:pPr>
    </w:p>
    <w:p w14:paraId="1469A519" w14:textId="748C3A3B"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On that basis, we have repeatedly explained that matters concerning private rights may not be removed from Article III courts. </w:t>
      </w:r>
      <w:r w:rsidRPr="00C05D6B">
        <w:rPr>
          <w:rFonts w:ascii="Garamond" w:eastAsia="Times New Roman" w:hAnsi="Garamond" w:cs="Times New Roman"/>
          <w:i/>
          <w:iCs/>
        </w:rPr>
        <w:t>Murray’s Lessee</w:t>
      </w:r>
      <w:r w:rsidRPr="00C05D6B">
        <w:rPr>
          <w:rFonts w:ascii="Garamond" w:eastAsia="Times New Roman" w:hAnsi="Garamond" w:cs="Times New Roman"/>
        </w:rPr>
        <w:t xml:space="preserve">; </w:t>
      </w: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rPr>
        <w:t xml:space="preserve">; </w:t>
      </w:r>
      <w:r w:rsidRPr="00C05D6B">
        <w:rPr>
          <w:rFonts w:ascii="Garamond" w:eastAsia="Times New Roman" w:hAnsi="Garamond" w:cs="Times New Roman"/>
          <w:i/>
          <w:iCs/>
        </w:rPr>
        <w:t>Stern</w:t>
      </w:r>
      <w:r w:rsidRPr="00C05D6B">
        <w:rPr>
          <w:rFonts w:ascii="Garamond" w:eastAsia="Times New Roman" w:hAnsi="Garamond" w:cs="Times New Roman"/>
        </w:rPr>
        <w:t xml:space="preserve">. A hallmark that we have looked to in determining if a suit concerns private rights is whether it “is made of ‘the stuff of the </w:t>
      </w:r>
      <w:r w:rsidRPr="00C05D6B">
        <w:rPr>
          <w:rFonts w:ascii="Garamond" w:eastAsia="Times New Roman" w:hAnsi="Garamond" w:cs="Times New Roman"/>
        </w:rPr>
        <w:lastRenderedPageBreak/>
        <w:t xml:space="preserve">traditional actions at common law tried by the courts at Westminster in 1789.’” </w:t>
      </w:r>
      <w:r w:rsidRPr="00C05D6B">
        <w:rPr>
          <w:rFonts w:ascii="Garamond" w:eastAsia="Times New Roman" w:hAnsi="Garamond" w:cs="Times New Roman"/>
          <w:i/>
          <w:iCs/>
        </w:rPr>
        <w:t xml:space="preserve">Stern </w:t>
      </w:r>
      <w:r w:rsidRPr="00C05D6B">
        <w:rPr>
          <w:rFonts w:ascii="Garamond" w:eastAsia="Times New Roman" w:hAnsi="Garamond" w:cs="Times New Roman"/>
        </w:rPr>
        <w:t xml:space="preserve">(quoting Northern Pipeline Constr. Co. v. Marathon Pipe Line Co. (1982) (Rehnquist, J., concurring in judgment)). If a suit is in the nature of an action at common law, then the matter presumptively concerns private rights, and adjudication by an Article III court is mandatory. </w:t>
      </w:r>
    </w:p>
    <w:p w14:paraId="33EF71F2" w14:textId="77777777" w:rsidR="003125BF" w:rsidRPr="00C05D6B" w:rsidRDefault="003125BF" w:rsidP="003125BF">
      <w:pPr>
        <w:rPr>
          <w:rFonts w:ascii="Garamond" w:eastAsia="Times New Roman" w:hAnsi="Garamond" w:cs="Times New Roman"/>
        </w:rPr>
      </w:pPr>
    </w:p>
    <w:p w14:paraId="03F31DCB"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At the same time, our precedent has also recognized a class of cases concerning what we have called “public rights.” Such matters “historically could have been determined exclusively by [the executive and legislative] branches,” </w:t>
      </w:r>
      <w:r w:rsidRPr="00C05D6B">
        <w:rPr>
          <w:rFonts w:ascii="Garamond" w:eastAsia="Times New Roman" w:hAnsi="Garamond" w:cs="Times New Roman"/>
          <w:i/>
          <w:iCs/>
        </w:rPr>
        <w:t>Stern</w:t>
      </w:r>
      <w:r w:rsidRPr="00C05D6B">
        <w:rPr>
          <w:rFonts w:ascii="Garamond" w:eastAsia="Times New Roman" w:hAnsi="Garamond" w:cs="Times New Roman"/>
        </w:rPr>
        <w:t>, even when they were “presented in such form that the judicial power [</w:t>
      </w:r>
      <w:proofErr w:type="spellStart"/>
      <w:r w:rsidRPr="00C05D6B">
        <w:rPr>
          <w:rFonts w:ascii="Garamond" w:eastAsia="Times New Roman" w:hAnsi="Garamond" w:cs="Times New Roman"/>
        </w:rPr>
        <w:t>wa</w:t>
      </w:r>
      <w:proofErr w:type="spellEnd"/>
      <w:r w:rsidRPr="00C05D6B">
        <w:rPr>
          <w:rFonts w:ascii="Garamond" w:eastAsia="Times New Roman" w:hAnsi="Garamond" w:cs="Times New Roman"/>
        </w:rPr>
        <w:t xml:space="preserve">]s capable of acting on them,” </w:t>
      </w:r>
      <w:r w:rsidRPr="00C05D6B">
        <w:rPr>
          <w:rFonts w:ascii="Garamond" w:eastAsia="Times New Roman" w:hAnsi="Garamond" w:cs="Times New Roman"/>
          <w:i/>
          <w:iCs/>
        </w:rPr>
        <w:t>Murray’s Lessee</w:t>
      </w:r>
      <w:r w:rsidRPr="00C05D6B">
        <w:rPr>
          <w:rFonts w:ascii="Garamond" w:eastAsia="Times New Roman" w:hAnsi="Garamond" w:cs="Times New Roman"/>
        </w:rPr>
        <w:t>. In contrast to common law claims, no involvement by an Article III court in the initial adjudication is necessary in such a case.</w:t>
      </w:r>
    </w:p>
    <w:p w14:paraId="20CAB629" w14:textId="77777777" w:rsidR="003125BF" w:rsidRPr="00C05D6B" w:rsidRDefault="003125BF" w:rsidP="003125BF">
      <w:pPr>
        <w:ind w:firstLine="720"/>
        <w:rPr>
          <w:rFonts w:ascii="Garamond" w:eastAsia="Times New Roman" w:hAnsi="Garamond" w:cs="Times New Roman"/>
        </w:rPr>
      </w:pPr>
    </w:p>
    <w:p w14:paraId="1BBB0C54" w14:textId="26A034C3"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The decision that first recognized the public rights exception was</w:t>
      </w:r>
      <w:r w:rsidRPr="00C05D6B">
        <w:rPr>
          <w:rFonts w:ascii="Garamond" w:eastAsia="Times New Roman" w:hAnsi="Garamond" w:cs="Times New Roman"/>
          <w:i/>
          <w:iCs/>
        </w:rPr>
        <w:t xml:space="preserve"> Murray</w:t>
      </w:r>
      <w:r w:rsidR="00DD07D6" w:rsidRPr="00C05D6B">
        <w:rPr>
          <w:rFonts w:ascii="Garamond" w:eastAsia="Times New Roman" w:hAnsi="Garamond" w:cs="Times New Roman"/>
          <w:i/>
          <w:iCs/>
        </w:rPr>
        <w:t>’</w:t>
      </w:r>
      <w:r w:rsidRPr="00C05D6B">
        <w:rPr>
          <w:rFonts w:ascii="Garamond" w:eastAsia="Times New Roman" w:hAnsi="Garamond" w:cs="Times New Roman"/>
          <w:i/>
          <w:iCs/>
        </w:rPr>
        <w:t>s Lessee</w:t>
      </w:r>
      <w:r w:rsidRPr="00C05D6B">
        <w:rPr>
          <w:rFonts w:ascii="Garamond" w:eastAsia="Times New Roman" w:hAnsi="Garamond" w:cs="Times New Roman"/>
        </w:rPr>
        <w:t>. In that case, a federal customs collector failed to deliver public funds to the Treasury, so the Government issued a “warrant of distress” to compel him to produce the withheld sum. Pursuant to the warrant, the Government eventually seized and sold a plot of the collector</w:t>
      </w:r>
      <w:r w:rsidR="00DD07D6" w:rsidRPr="00C05D6B">
        <w:rPr>
          <w:rFonts w:ascii="Garamond" w:eastAsia="Times New Roman" w:hAnsi="Garamond" w:cs="Times New Roman"/>
        </w:rPr>
        <w:t>’</w:t>
      </w:r>
      <w:r w:rsidRPr="00C05D6B">
        <w:rPr>
          <w:rFonts w:ascii="Garamond" w:eastAsia="Times New Roman" w:hAnsi="Garamond" w:cs="Times New Roman"/>
        </w:rPr>
        <w:t>s land. Plaintiffs later attacked the purchaser</w:t>
      </w:r>
      <w:r w:rsidR="00DD07D6" w:rsidRPr="00C05D6B">
        <w:rPr>
          <w:rFonts w:ascii="Garamond" w:eastAsia="Times New Roman" w:hAnsi="Garamond" w:cs="Times New Roman"/>
        </w:rPr>
        <w:t>’</w:t>
      </w:r>
      <w:r w:rsidRPr="00C05D6B">
        <w:rPr>
          <w:rFonts w:ascii="Garamond" w:eastAsia="Times New Roman" w:hAnsi="Garamond" w:cs="Times New Roman"/>
        </w:rPr>
        <w:t>s title, arguing that the initial seizure was void because the Government had audited the collector</w:t>
      </w:r>
      <w:r w:rsidR="00DD07D6" w:rsidRPr="00C05D6B">
        <w:rPr>
          <w:rFonts w:ascii="Garamond" w:eastAsia="Times New Roman" w:hAnsi="Garamond" w:cs="Times New Roman"/>
        </w:rPr>
        <w:t>’</w:t>
      </w:r>
      <w:r w:rsidRPr="00C05D6B">
        <w:rPr>
          <w:rFonts w:ascii="Garamond" w:eastAsia="Times New Roman" w:hAnsi="Garamond" w:cs="Times New Roman"/>
        </w:rPr>
        <w:t xml:space="preserve">s account and issued the warrant itself without judicial involvement. </w:t>
      </w:r>
    </w:p>
    <w:p w14:paraId="71D4A64A" w14:textId="77777777" w:rsidR="003125BF" w:rsidRPr="00C05D6B" w:rsidRDefault="003125BF" w:rsidP="003125BF">
      <w:pPr>
        <w:rPr>
          <w:rFonts w:ascii="Garamond" w:eastAsia="Times New Roman" w:hAnsi="Garamond" w:cs="Times New Roman"/>
        </w:rPr>
      </w:pPr>
    </w:p>
    <w:p w14:paraId="05FC526F" w14:textId="0991997A"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The Court upheld the sale. It explained that pursuant to its power to collect revenue, the Government could rely on “summary proceedings” to compel its officers to “pay such balances of the public money” into the Treasury “as may be in their hands.” Indeed, the Court observed, there was an unbroken tradition—long predating the founding—of using these kinds of proceedings to “enforce payment of balances due from receivers of the revenue.” In light of this historical practice, the Government could issue a valid warrant without intruding on the domain of the Judiciary. The challenge to the sale thus lacked merit.</w:t>
      </w:r>
    </w:p>
    <w:p w14:paraId="31B99764" w14:textId="37F1A867" w:rsidR="006D79DB" w:rsidRPr="00C05D6B" w:rsidRDefault="006D79DB" w:rsidP="003125BF">
      <w:pPr>
        <w:ind w:firstLine="720"/>
        <w:rPr>
          <w:rFonts w:ascii="Garamond" w:eastAsia="Times New Roman" w:hAnsi="Garamond" w:cs="Times New Roman"/>
        </w:rPr>
      </w:pPr>
    </w:p>
    <w:p w14:paraId="01001896" w14:textId="4C322B92" w:rsidR="006D79DB" w:rsidRPr="00C05D6B" w:rsidRDefault="006D79DB" w:rsidP="003125BF">
      <w:pPr>
        <w:ind w:firstLine="720"/>
        <w:rPr>
          <w:rFonts w:ascii="Garamond" w:eastAsia="Times New Roman" w:hAnsi="Garamond" w:cs="Times New Roman"/>
        </w:rPr>
      </w:pPr>
      <w:r w:rsidRPr="00C05D6B">
        <w:rPr>
          <w:rFonts w:ascii="Garamond" w:hAnsi="Garamond"/>
        </w:rPr>
        <w:t xml:space="preserve">This principle extends beyond cases involving the collection of revenue. In Oceanic Steam Navigation Co. v. </w:t>
      </w:r>
      <w:proofErr w:type="spellStart"/>
      <w:r w:rsidRPr="00C05D6B">
        <w:rPr>
          <w:rFonts w:ascii="Garamond" w:hAnsi="Garamond"/>
        </w:rPr>
        <w:t>Stranahan</w:t>
      </w:r>
      <w:proofErr w:type="spellEnd"/>
      <w:r w:rsidR="00B35186" w:rsidRPr="00C05D6B">
        <w:rPr>
          <w:rFonts w:ascii="Garamond" w:hAnsi="Garamond"/>
        </w:rPr>
        <w:t xml:space="preserve"> </w:t>
      </w:r>
      <w:r w:rsidRPr="00C05D6B">
        <w:rPr>
          <w:rFonts w:ascii="Garamond" w:hAnsi="Garamond"/>
        </w:rPr>
        <w:t>(1909), we considered the imposition of a monetary penalty on a steamship company. Pursuant to its plenary power over immigration, Congress had excluded immigration by aliens afflicted with “loathsome or dangerous contagious diseases,” and it authorized customs collectors to enforce the prohibition with fines. When a steamship company challenged the penalty under Article III, we upheld it.</w:t>
      </w:r>
    </w:p>
    <w:p w14:paraId="3BF30F04" w14:textId="77777777" w:rsidR="003125BF" w:rsidRPr="00C05D6B" w:rsidRDefault="003125BF" w:rsidP="003125BF">
      <w:pPr>
        <w:ind w:firstLine="720"/>
        <w:rPr>
          <w:rFonts w:ascii="Garamond" w:eastAsia="Times New Roman" w:hAnsi="Garamond" w:cs="Times New Roman"/>
        </w:rPr>
      </w:pPr>
    </w:p>
    <w:p w14:paraId="7693EA1C" w14:textId="77777777" w:rsidR="003125BF" w:rsidRPr="00C05D6B" w:rsidRDefault="003125BF" w:rsidP="003125BF">
      <w:pPr>
        <w:ind w:firstLine="720"/>
        <w:rPr>
          <w:rFonts w:ascii="Garamond" w:hAnsi="Garamond" w:cs="Times New Roman"/>
        </w:rPr>
      </w:pPr>
      <w:r w:rsidRPr="00C05D6B">
        <w:rPr>
          <w:rFonts w:ascii="Garamond" w:eastAsia="Times New Roman" w:hAnsi="Garamond" w:cs="Times New Roman"/>
          <w:lang w:val="it-IT"/>
        </w:rPr>
        <w:t xml:space="preserve">In Ex parte Bakelite Corp. </w:t>
      </w:r>
      <w:r w:rsidRPr="00C05D6B">
        <w:rPr>
          <w:rFonts w:ascii="Garamond" w:eastAsia="Times New Roman" w:hAnsi="Garamond" w:cs="Times New Roman"/>
        </w:rPr>
        <w:t xml:space="preserve">(1929), we upheld a law authorizing the President to impose tariffs on goods imported by “unfair methods of competition.” The law permitted him to set whatever tariff was necessary, subject to a statutory cap, to produce fair competition. If the President was “satisfied the unfairness [was] extreme,” the law even authorized him to “exclude[ ]” foreign goods entirely. Because the political branches had traditionally held exclusive power over this field and had exercised it, we explained that the assessment of tariffs did not implicate Article III. </w:t>
      </w:r>
    </w:p>
    <w:p w14:paraId="23893653" w14:textId="77777777" w:rsidR="003125BF" w:rsidRPr="00C05D6B" w:rsidRDefault="003125BF" w:rsidP="003125BF">
      <w:pPr>
        <w:ind w:firstLine="720"/>
        <w:rPr>
          <w:rFonts w:ascii="Garamond" w:eastAsia="Times New Roman" w:hAnsi="Garamond" w:cs="Times New Roman"/>
        </w:rPr>
      </w:pPr>
    </w:p>
    <w:p w14:paraId="61F5D542" w14:textId="210D4EC3"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This Court has since held that certain other historic categories of adjudications fall within the exception, including relations with Indian tribes, see United States v. Jicarilla Apache Nation (2011), the administration of public lands, Crowell v. Benson (1932), and the granting of public benefits such as payments to veterans, pensions, and patent rights, United States v. </w:t>
      </w:r>
      <w:proofErr w:type="spellStart"/>
      <w:r w:rsidRPr="00C05D6B">
        <w:rPr>
          <w:rFonts w:ascii="Garamond" w:eastAsia="Times New Roman" w:hAnsi="Garamond" w:cs="Times New Roman"/>
        </w:rPr>
        <w:t>Duell</w:t>
      </w:r>
      <w:proofErr w:type="spellEnd"/>
      <w:r w:rsidRPr="00C05D6B">
        <w:rPr>
          <w:rFonts w:ascii="Garamond" w:eastAsia="Times New Roman" w:hAnsi="Garamond" w:cs="Times New Roman"/>
        </w:rPr>
        <w:t xml:space="preserve"> (1899).</w:t>
      </w:r>
    </w:p>
    <w:p w14:paraId="2F032D47" w14:textId="77777777" w:rsidR="003125BF" w:rsidRPr="00C05D6B" w:rsidRDefault="003125BF" w:rsidP="003125BF">
      <w:pPr>
        <w:ind w:firstLine="720"/>
        <w:rPr>
          <w:rFonts w:ascii="Garamond" w:eastAsia="Times New Roman" w:hAnsi="Garamond" w:cs="Times New Roman"/>
        </w:rPr>
      </w:pPr>
    </w:p>
    <w:p w14:paraId="27ECD0A4" w14:textId="2B2A2E1E"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Our opinions governing the public rights exception have not always spoken in precise terms. This is an “area of frequently arcane distinctions and confusing precedents.” Thomas v. Union Carbide Agricultural Products Co. (1985)</w:t>
      </w:r>
      <w:r w:rsidR="009B3714" w:rsidRPr="00C05D6B">
        <w:rPr>
          <w:rFonts w:ascii="Garamond" w:eastAsia="Times New Roman" w:hAnsi="Garamond" w:cs="Times New Roman"/>
        </w:rPr>
        <w:t>.</w:t>
      </w:r>
      <w:r w:rsidRPr="00C05D6B">
        <w:rPr>
          <w:rFonts w:ascii="Garamond" w:eastAsia="Times New Roman" w:hAnsi="Garamond" w:cs="Times New Roman"/>
        </w:rPr>
        <w:t xml:space="preserve"> The Court “has not ‘definitively explained’ the distinction </w:t>
      </w:r>
      <w:r w:rsidRPr="00C05D6B">
        <w:rPr>
          <w:rFonts w:ascii="Garamond" w:eastAsia="Times New Roman" w:hAnsi="Garamond" w:cs="Times New Roman"/>
        </w:rPr>
        <w:lastRenderedPageBreak/>
        <w:t>between public and private rights,” and we do not claim to do so today. Oil States Energy Services, LLC v. Greene’s Energy Group, L</w:t>
      </w:r>
      <w:r w:rsidR="00191793" w:rsidRPr="00C05D6B">
        <w:rPr>
          <w:rFonts w:ascii="Garamond" w:eastAsia="Times New Roman" w:hAnsi="Garamond" w:cs="Times New Roman"/>
        </w:rPr>
        <w:t>L</w:t>
      </w:r>
      <w:r w:rsidRPr="00C05D6B">
        <w:rPr>
          <w:rFonts w:ascii="Garamond" w:eastAsia="Times New Roman" w:hAnsi="Garamond" w:cs="Times New Roman"/>
        </w:rPr>
        <w:t>C (2018).</w:t>
      </w:r>
    </w:p>
    <w:p w14:paraId="430CE0DF" w14:textId="77777777" w:rsidR="003125BF" w:rsidRPr="00C05D6B" w:rsidRDefault="003125BF" w:rsidP="003125BF">
      <w:pPr>
        <w:ind w:firstLine="720"/>
        <w:rPr>
          <w:rFonts w:ascii="Garamond" w:eastAsia="Times New Roman" w:hAnsi="Garamond" w:cs="Times New Roman"/>
        </w:rPr>
      </w:pPr>
    </w:p>
    <w:p w14:paraId="601B94D1" w14:textId="120F5B5F" w:rsidR="003125BF" w:rsidRPr="00C05D6B" w:rsidRDefault="003125BF" w:rsidP="003125BF">
      <w:pPr>
        <w:ind w:firstLine="720"/>
        <w:rPr>
          <w:rFonts w:ascii="Garamond" w:hAnsi="Garamond" w:cs="Times New Roman"/>
        </w:rPr>
      </w:pPr>
      <w:r w:rsidRPr="00C05D6B">
        <w:rPr>
          <w:rFonts w:ascii="Garamond" w:eastAsia="Times New Roman" w:hAnsi="Garamond" w:cs="Times New Roman"/>
        </w:rPr>
        <w:t xml:space="preserve">Nevertheless, since </w:t>
      </w:r>
      <w:r w:rsidRPr="00C05D6B">
        <w:rPr>
          <w:rFonts w:ascii="Garamond" w:eastAsia="Times New Roman" w:hAnsi="Garamond" w:cs="Times New Roman"/>
          <w:i/>
          <w:iCs/>
        </w:rPr>
        <w:t>Murray</w:t>
      </w:r>
      <w:r w:rsidR="00DD07D6" w:rsidRPr="00C05D6B">
        <w:rPr>
          <w:rFonts w:ascii="Garamond" w:eastAsia="Times New Roman" w:hAnsi="Garamond" w:cs="Times New Roman"/>
          <w:i/>
          <w:iCs/>
        </w:rPr>
        <w:t>’</w:t>
      </w:r>
      <w:r w:rsidRPr="00C05D6B">
        <w:rPr>
          <w:rFonts w:ascii="Garamond" w:eastAsia="Times New Roman" w:hAnsi="Garamond" w:cs="Times New Roman"/>
          <w:i/>
          <w:iCs/>
        </w:rPr>
        <w:t>s Lessee</w:t>
      </w:r>
      <w:r w:rsidRPr="00C05D6B">
        <w:rPr>
          <w:rFonts w:ascii="Garamond" w:eastAsia="Times New Roman" w:hAnsi="Garamond" w:cs="Times New Roman"/>
        </w:rPr>
        <w:t xml:space="preserve">, this Court has typically evaluated the legal basis for the assertion of the doctrine with care. The public rights exception is, after all, an </w:t>
      </w:r>
      <w:r w:rsidRPr="00C05D6B">
        <w:rPr>
          <w:rFonts w:ascii="Garamond" w:eastAsia="Times New Roman" w:hAnsi="Garamond" w:cs="Times New Roman"/>
          <w:i/>
          <w:iCs/>
        </w:rPr>
        <w:t>exception</w:t>
      </w:r>
      <w:r w:rsidRPr="00C05D6B">
        <w:rPr>
          <w:rFonts w:ascii="Garamond" w:eastAsia="Times New Roman" w:hAnsi="Garamond" w:cs="Times New Roman"/>
        </w:rPr>
        <w:t xml:space="preserve">. It has no textual basis in the Constitution and must therefore derive instead from background legal principles. </w:t>
      </w:r>
      <w:r w:rsidRPr="00C05D6B">
        <w:rPr>
          <w:rFonts w:ascii="Garamond" w:eastAsia="Times New Roman" w:hAnsi="Garamond" w:cs="Times New Roman"/>
          <w:i/>
          <w:iCs/>
        </w:rPr>
        <w:t>Murray</w:t>
      </w:r>
      <w:r w:rsidR="00DD07D6" w:rsidRPr="00C05D6B">
        <w:rPr>
          <w:rFonts w:ascii="Garamond" w:eastAsia="Times New Roman" w:hAnsi="Garamond" w:cs="Times New Roman"/>
          <w:i/>
          <w:iCs/>
        </w:rPr>
        <w:t>’</w:t>
      </w:r>
      <w:r w:rsidRPr="00C05D6B">
        <w:rPr>
          <w:rFonts w:ascii="Garamond" w:eastAsia="Times New Roman" w:hAnsi="Garamond" w:cs="Times New Roman"/>
          <w:i/>
          <w:iCs/>
        </w:rPr>
        <w:t xml:space="preserve">s Lessee </w:t>
      </w:r>
      <w:r w:rsidRPr="00C05D6B">
        <w:rPr>
          <w:rFonts w:ascii="Garamond" w:eastAsia="Times New Roman" w:hAnsi="Garamond" w:cs="Times New Roman"/>
        </w:rPr>
        <w:t>itself, for example, took pains to justify the application of the exception in that particular instance by explaining that it flowed from centuries-old rules concerning revenue collection by a sovereign. Without such close attention to the basis for each asserted application of the doctrine, the exception would swallow the rule.</w:t>
      </w:r>
      <w:r w:rsidR="006D79DB" w:rsidRPr="00C05D6B">
        <w:rPr>
          <w:rStyle w:val="FootnoteReference"/>
          <w:rFonts w:ascii="Garamond" w:eastAsia="Times New Roman" w:hAnsi="Garamond" w:cs="Times New Roman"/>
        </w:rPr>
        <w:footnoteReference w:customMarkFollows="1" w:id="2"/>
        <w:t>3</w:t>
      </w:r>
    </w:p>
    <w:p w14:paraId="1D28EC8C"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 </w:t>
      </w:r>
    </w:p>
    <w:p w14:paraId="46076970" w14:textId="4025AAE5" w:rsidR="003125BF" w:rsidRPr="00C05D6B" w:rsidRDefault="003125BF" w:rsidP="003125BF">
      <w:pPr>
        <w:ind w:firstLine="720"/>
        <w:rPr>
          <w:rFonts w:ascii="Garamond" w:hAnsi="Garamond" w:cs="Times New Roman"/>
          <w:i/>
          <w:iCs/>
        </w:rPr>
      </w:pPr>
      <w:r w:rsidRPr="00C05D6B">
        <w:rPr>
          <w:rFonts w:ascii="Garamond" w:eastAsia="Times New Roman" w:hAnsi="Garamond" w:cs="Times New Roman"/>
        </w:rPr>
        <w:t>From the beginning we have emphasized one point: “To avoid misconstruction upon so grave a subject, we think it proper to state that we do not consider congress can</w:t>
      </w:r>
      <w:r w:rsidR="00DD07D6" w:rsidRPr="00C05D6B">
        <w:rPr>
          <w:rFonts w:ascii="Garamond" w:eastAsia="Times New Roman" w:hAnsi="Garamond" w:cs="Times New Roman"/>
        </w:rPr>
        <w:t xml:space="preserve"> . . .</w:t>
      </w:r>
      <w:r w:rsidRPr="00C05D6B">
        <w:rPr>
          <w:rFonts w:ascii="Garamond" w:eastAsia="Times New Roman" w:hAnsi="Garamond" w:cs="Times New Roman"/>
        </w:rPr>
        <w:t xml:space="preserve">withdraw from judicial cognizance any matter which, from its nature, is the subject of a suit at the common law, or in equity, or admiralty.” </w:t>
      </w:r>
      <w:r w:rsidRPr="00C05D6B">
        <w:rPr>
          <w:rFonts w:ascii="Garamond" w:eastAsia="Times New Roman" w:hAnsi="Garamond" w:cs="Times New Roman"/>
          <w:i/>
          <w:iCs/>
        </w:rPr>
        <w:t>Murray’s Lessee</w:t>
      </w:r>
      <w:r w:rsidRPr="00C05D6B">
        <w:rPr>
          <w:rFonts w:ascii="Garamond" w:eastAsia="Times New Roman" w:hAnsi="Garamond" w:cs="Times New Roman"/>
        </w:rPr>
        <w:t xml:space="preserve">. We have never embraced the proposition that “practical” considerations alone can justify extending the scope of the public rights exception to such matters. </w:t>
      </w:r>
      <w:r w:rsidRPr="00C05D6B">
        <w:rPr>
          <w:rFonts w:ascii="Garamond" w:eastAsia="Times New Roman" w:hAnsi="Garamond" w:cs="Times New Roman"/>
          <w:i/>
          <w:iCs/>
        </w:rPr>
        <w:t>Stern</w:t>
      </w:r>
      <w:r w:rsidRPr="00C05D6B">
        <w:rPr>
          <w:rFonts w:ascii="Garamond" w:eastAsia="Times New Roman" w:hAnsi="Garamond" w:cs="Times New Roman"/>
        </w:rPr>
        <w:t>. “[E]</w:t>
      </w:r>
      <w:proofErr w:type="spellStart"/>
      <w:r w:rsidRPr="00C05D6B">
        <w:rPr>
          <w:rFonts w:ascii="Garamond" w:eastAsia="Times New Roman" w:hAnsi="Garamond" w:cs="Times New Roman"/>
        </w:rPr>
        <w:t>ven</w:t>
      </w:r>
      <w:proofErr w:type="spellEnd"/>
      <w:r w:rsidRPr="00C05D6B">
        <w:rPr>
          <w:rFonts w:ascii="Garamond" w:eastAsia="Times New Roman" w:hAnsi="Garamond" w:cs="Times New Roman"/>
        </w:rPr>
        <w:t xml:space="preserve"> with respect to matters that arguably fall within the scope of the ‘public rights’ doctrine, the presumption is in favor of Article III courts.” </w:t>
      </w:r>
      <w:r w:rsidRPr="00C05D6B">
        <w:rPr>
          <w:rFonts w:ascii="Garamond" w:eastAsia="Times New Roman" w:hAnsi="Garamond" w:cs="Times New Roman"/>
          <w:i/>
          <w:iCs/>
        </w:rPr>
        <w:t xml:space="preserve">Northern Pipeline Constr. Co. </w:t>
      </w:r>
      <w:r w:rsidRPr="00C05D6B">
        <w:rPr>
          <w:rFonts w:ascii="Garamond" w:eastAsia="Times New Roman" w:hAnsi="Garamond" w:cs="Times New Roman"/>
        </w:rPr>
        <w:t xml:space="preserve">(plurality opinion). And for good reason: “Article III could neither serve its purpose in the system of checks and balances nor preserve the integrity of judicial </w:t>
      </w:r>
      <w:proofErr w:type="spellStart"/>
      <w:r w:rsidRPr="00C05D6B">
        <w:rPr>
          <w:rFonts w:ascii="Garamond" w:eastAsia="Times New Roman" w:hAnsi="Garamond" w:cs="Times New Roman"/>
        </w:rPr>
        <w:t>decisionmaking</w:t>
      </w:r>
      <w:proofErr w:type="spellEnd"/>
      <w:r w:rsidRPr="00C05D6B">
        <w:rPr>
          <w:rFonts w:ascii="Garamond" w:eastAsia="Times New Roman" w:hAnsi="Garamond" w:cs="Times New Roman"/>
        </w:rPr>
        <w:t xml:space="preserve"> if the other branches of the Federal Government could confer the Government</w:t>
      </w:r>
      <w:r w:rsidR="006529C1" w:rsidRPr="00C05D6B">
        <w:rPr>
          <w:rFonts w:ascii="Garamond" w:eastAsia="Times New Roman" w:hAnsi="Garamond" w:cs="Times New Roman"/>
        </w:rPr>
        <w:t>’</w:t>
      </w:r>
      <w:r w:rsidRPr="00C05D6B">
        <w:rPr>
          <w:rFonts w:ascii="Garamond" w:eastAsia="Times New Roman" w:hAnsi="Garamond" w:cs="Times New Roman"/>
        </w:rPr>
        <w:t xml:space="preserve">s ‘judicial Power’ on entities outside Article III.” </w:t>
      </w:r>
      <w:r w:rsidRPr="00C05D6B">
        <w:rPr>
          <w:rFonts w:ascii="Garamond" w:hAnsi="Garamond" w:cs="Times New Roman"/>
          <w:i/>
          <w:iCs/>
        </w:rPr>
        <w:t>Stern.</w:t>
      </w:r>
    </w:p>
    <w:p w14:paraId="2564B878" w14:textId="77777777" w:rsidR="003125BF" w:rsidRPr="00C05D6B" w:rsidRDefault="003125BF" w:rsidP="003125BF">
      <w:pPr>
        <w:ind w:firstLine="720"/>
        <w:rPr>
          <w:rFonts w:ascii="Garamond" w:eastAsia="Times New Roman" w:hAnsi="Garamond" w:cs="Times New Roman"/>
          <w:i/>
          <w:iCs/>
        </w:rPr>
      </w:pPr>
    </w:p>
    <w:p w14:paraId="240591B6"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2</w:t>
      </w:r>
    </w:p>
    <w:p w14:paraId="04B3BCDA" w14:textId="77777777" w:rsidR="003125BF" w:rsidRPr="00C05D6B" w:rsidRDefault="003125BF" w:rsidP="003125BF">
      <w:pPr>
        <w:rPr>
          <w:rFonts w:ascii="Garamond" w:eastAsia="Times New Roman" w:hAnsi="Garamond" w:cs="Times New Roman"/>
        </w:rPr>
      </w:pPr>
    </w:p>
    <w:p w14:paraId="7E60A07A"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This is not the first time we have considered whether the Seventh Amendment guarantees the right to a jury trial “in the face of Congress’ decision to allow a non-Article III tribunal to adjudicate” a statutory “fraud claim.” We did so in </w:t>
      </w: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rPr>
        <w:t>, and the principles identified in that case largely resolve this one.</w:t>
      </w:r>
    </w:p>
    <w:p w14:paraId="5BF96BBE" w14:textId="77777777" w:rsidR="003125BF" w:rsidRPr="00C05D6B" w:rsidRDefault="003125BF" w:rsidP="003125BF">
      <w:pPr>
        <w:ind w:firstLine="720"/>
        <w:rPr>
          <w:rFonts w:ascii="Garamond" w:eastAsia="Times New Roman" w:hAnsi="Garamond" w:cs="Times New Roman"/>
        </w:rPr>
      </w:pPr>
    </w:p>
    <w:p w14:paraId="0AA748F2" w14:textId="77777777" w:rsidR="003125BF" w:rsidRPr="00C05D6B" w:rsidRDefault="003125BF" w:rsidP="003125BF">
      <w:pPr>
        <w:ind w:firstLine="720"/>
        <w:rPr>
          <w:rFonts w:ascii="Garamond" w:eastAsia="Times New Roman" w:hAnsi="Garamond" w:cs="Times New Roman"/>
        </w:rPr>
      </w:pP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rPr>
        <w:t xml:space="preserve"> involved a statutory action for fraudulent conveyance. As codified in the Bankruptcy Code, the claim permitted a trustee to void a transfer or obligation made by the debtor before bankruptcy if the debtor “received less than a reasonably equivalent value in exchange for such transfer or obligation.” Actions for fraudulent conveyance were well known at common law. Even when Congress added these claims to the Bankruptcy Code in 1978, it preserved parties’ rights to a trial by jury. In 1984, however, Congress designated fraudulent conveyance actions “core [bankruptcy] proceedings” and authorized non-Article III bankruptcy judges to hear them without juries. </w:t>
      </w:r>
    </w:p>
    <w:p w14:paraId="4EA61520" w14:textId="77777777" w:rsidR="003125BF" w:rsidRPr="00C05D6B" w:rsidRDefault="003125BF" w:rsidP="003125BF">
      <w:pPr>
        <w:ind w:firstLine="720"/>
        <w:rPr>
          <w:rFonts w:ascii="Garamond" w:eastAsia="Times New Roman" w:hAnsi="Garamond" w:cs="Times New Roman"/>
        </w:rPr>
      </w:pPr>
    </w:p>
    <w:p w14:paraId="548542B7" w14:textId="5BF829FD"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lastRenderedPageBreak/>
        <w:t xml:space="preserve">The issue in </w:t>
      </w: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i/>
          <w:iCs/>
        </w:rPr>
        <w:t xml:space="preserve"> </w:t>
      </w:r>
      <w:r w:rsidRPr="00C05D6B">
        <w:rPr>
          <w:rFonts w:ascii="Garamond" w:eastAsia="Times New Roman" w:hAnsi="Garamond" w:cs="Times New Roman"/>
        </w:rPr>
        <w:t>was whether this designation was permissible under the public rights exception. We explained that it was not. Although Congress had assigned fraudulent conveyance claims to bankruptcy courts, that assignment was not dispositive. What mattered, we explained, was the substance of the suit. “[T]</w:t>
      </w:r>
      <w:proofErr w:type="spellStart"/>
      <w:r w:rsidRPr="00C05D6B">
        <w:rPr>
          <w:rFonts w:ascii="Garamond" w:eastAsia="Times New Roman" w:hAnsi="Garamond" w:cs="Times New Roman"/>
        </w:rPr>
        <w:t>raditional</w:t>
      </w:r>
      <w:proofErr w:type="spellEnd"/>
      <w:r w:rsidRPr="00C05D6B">
        <w:rPr>
          <w:rFonts w:ascii="Garamond" w:eastAsia="Times New Roman" w:hAnsi="Garamond" w:cs="Times New Roman"/>
        </w:rPr>
        <w:t xml:space="preserve"> legal claims” must be decided by courts, “whether they originate in a newly fashioned regulatory scheme or possess a long line of common-law forebears.” To determine whether the claim implicated the Seventh Amendment, the Court applied the principles distilled in </w:t>
      </w:r>
      <w:proofErr w:type="spellStart"/>
      <w:r w:rsidRPr="00C05D6B">
        <w:rPr>
          <w:rFonts w:ascii="Garamond" w:eastAsia="Times New Roman" w:hAnsi="Garamond" w:cs="Times New Roman"/>
          <w:i/>
          <w:iCs/>
        </w:rPr>
        <w:t>Tull</w:t>
      </w:r>
      <w:proofErr w:type="spellEnd"/>
      <w:r w:rsidRPr="00C05D6B">
        <w:rPr>
          <w:rFonts w:ascii="Garamond" w:eastAsia="Times New Roman" w:hAnsi="Garamond" w:cs="Times New Roman"/>
        </w:rPr>
        <w:t>. We examined whether the matter was “from [its] nature subject to ‘a suit at common law.’” A survey of English cases showed that “actions to recover</w:t>
      </w:r>
      <w:r w:rsidR="00DD07D6" w:rsidRPr="00C05D6B">
        <w:rPr>
          <w:rFonts w:ascii="Garamond" w:eastAsia="Times New Roman" w:hAnsi="Garamond" w:cs="Times New Roman"/>
        </w:rPr>
        <w:t xml:space="preserve"> . . . </w:t>
      </w:r>
      <w:r w:rsidRPr="00C05D6B">
        <w:rPr>
          <w:rFonts w:ascii="Garamond" w:eastAsia="Times New Roman" w:hAnsi="Garamond" w:cs="Times New Roman"/>
        </w:rPr>
        <w:t xml:space="preserve"> fraudulent transfers were often brought at law in late 18th-century England.” The remedy the trustee sought was also one “traditionally provided by law courts.” Fraudulent conveyance actions were thus “quintessentially suits at common law.” </w:t>
      </w:r>
    </w:p>
    <w:p w14:paraId="175D5B5F" w14:textId="77777777" w:rsidR="003125BF" w:rsidRPr="00C05D6B" w:rsidRDefault="003125BF" w:rsidP="003125BF">
      <w:pPr>
        <w:rPr>
          <w:rFonts w:ascii="Garamond" w:eastAsia="Times New Roman" w:hAnsi="Garamond" w:cs="Times New Roman"/>
        </w:rPr>
      </w:pPr>
    </w:p>
    <w:p w14:paraId="73870CC5"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We also considered whether these actions were “closely intertwined” with the bankruptcy regime. Some bankruptcy claims, such as “creditors’ hierarchically ordered claims to a pro rata share of the bankruptcy res,” are highly interdependent and require coordination. Resolving such claims fairly is only possible if they are all submitted at once to a single adjudicator. Otherwise, parties with lower priority claims can rush to the courthouse to seek payment before higher priority claims exhaust the estate, and an orderly disposition of a bankruptcy is impossible. Other claims, though, can be brought in standalone suits, because they are neither prioritized nor subordinated to related claims. Since fraudulent conveyance actions fall into that latter category, we concluded that these actions were not “closely intertwined” with the bankruptcy process. We also noted that Congress had already authorized jury trials for certain bankruptcy matters, demonstrating that jury trials were not generally “incompatible” with the overall regime. </w:t>
      </w:r>
    </w:p>
    <w:p w14:paraId="1F01E9CA" w14:textId="77777777" w:rsidR="003125BF" w:rsidRPr="00C05D6B" w:rsidRDefault="003125BF" w:rsidP="003125BF">
      <w:pPr>
        <w:rPr>
          <w:rFonts w:ascii="Garamond" w:eastAsia="Times New Roman" w:hAnsi="Garamond" w:cs="Times New Roman"/>
        </w:rPr>
      </w:pPr>
    </w:p>
    <w:p w14:paraId="2772A68D"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We accordingly concluded that fraudulent conveyance actions were akin to “suits at common law” and were not inseparable from the bankruptcy process. The public rights exception therefore did not apply, and a jury was required.</w:t>
      </w:r>
    </w:p>
    <w:p w14:paraId="746C4397" w14:textId="77777777" w:rsidR="003125BF" w:rsidRPr="00C05D6B" w:rsidRDefault="003125BF" w:rsidP="003125BF">
      <w:pPr>
        <w:ind w:firstLine="720"/>
        <w:rPr>
          <w:rFonts w:ascii="Garamond" w:eastAsia="Times New Roman" w:hAnsi="Garamond" w:cs="Times New Roman"/>
        </w:rPr>
      </w:pPr>
    </w:p>
    <w:p w14:paraId="7869E5EC"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3</w:t>
      </w:r>
    </w:p>
    <w:p w14:paraId="11A6887F" w14:textId="77777777" w:rsidR="003125BF" w:rsidRPr="00C05D6B" w:rsidRDefault="003125BF" w:rsidP="003125BF">
      <w:pPr>
        <w:rPr>
          <w:rFonts w:ascii="Garamond" w:hAnsi="Garamond" w:cs="Times New Roman"/>
        </w:rPr>
      </w:pPr>
    </w:p>
    <w:p w14:paraId="3CCF2A0F" w14:textId="13908611" w:rsidR="003125BF" w:rsidRPr="00C05D6B" w:rsidRDefault="003125BF" w:rsidP="003125BF">
      <w:pPr>
        <w:ind w:firstLine="720"/>
        <w:rPr>
          <w:rFonts w:ascii="Garamond" w:eastAsia="Times New Roman" w:hAnsi="Garamond" w:cs="Times New Roman"/>
        </w:rPr>
      </w:pP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rPr>
        <w:t xml:space="preserve"> effectively decides this case. Even when an action “originate[s] in a newly fashioned regulatory scheme,” what matters is the substance of the action, not where Congress has assigned it. And in this case, the substance points in only one direction. According to the SEC, these are actions under the “antifraud provisions of the federal securities laws” for “fraudulent conduct.” They provide civil penalties, a punitive remedy that we have recognized “could only be enforced in courts of law.” And they target the same basic conduct as common law fraud, employ the same terms of art, and operate pursuant to similar legal principles. In short, this action involves a “matter[ ] of private rather than public right.” </w:t>
      </w:r>
      <w:proofErr w:type="spellStart"/>
      <w:r w:rsidRPr="00C05D6B">
        <w:rPr>
          <w:rFonts w:ascii="Garamond" w:eastAsia="Times New Roman" w:hAnsi="Garamond" w:cs="Times New Roman"/>
          <w:i/>
          <w:iCs/>
        </w:rPr>
        <w:t>Granfinancieria</w:t>
      </w:r>
      <w:proofErr w:type="spellEnd"/>
      <w:r w:rsidRPr="00C05D6B">
        <w:rPr>
          <w:rFonts w:ascii="Garamond" w:eastAsia="Times New Roman" w:hAnsi="Garamond" w:cs="Times New Roman"/>
        </w:rPr>
        <w:t xml:space="preserve">. Therefore, “Congress may not ‘withdraw’” it “‘from judicial cognizance.’” </w:t>
      </w:r>
    </w:p>
    <w:p w14:paraId="728D4495" w14:textId="77777777" w:rsidR="003125BF" w:rsidRPr="00C05D6B" w:rsidRDefault="003125BF" w:rsidP="003125BF">
      <w:pPr>
        <w:rPr>
          <w:rFonts w:ascii="Garamond" w:eastAsia="Times New Roman" w:hAnsi="Garamond" w:cs="Times New Roman"/>
        </w:rPr>
      </w:pPr>
    </w:p>
    <w:p w14:paraId="308CFEBE"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4</w:t>
      </w:r>
    </w:p>
    <w:p w14:paraId="2C15872E" w14:textId="77777777" w:rsidR="003125BF" w:rsidRPr="00C05D6B" w:rsidRDefault="003125BF" w:rsidP="003125BF">
      <w:pPr>
        <w:rPr>
          <w:rFonts w:ascii="Garamond" w:eastAsia="Times New Roman" w:hAnsi="Garamond" w:cs="Times New Roman"/>
        </w:rPr>
      </w:pPr>
    </w:p>
    <w:p w14:paraId="4E8D17AF" w14:textId="475AB462" w:rsidR="003125BF" w:rsidRPr="00C05D6B" w:rsidRDefault="006D79DB" w:rsidP="003125BF">
      <w:pPr>
        <w:ind w:firstLine="720"/>
        <w:rPr>
          <w:rFonts w:ascii="Garamond" w:eastAsia="Times New Roman" w:hAnsi="Garamond" w:cs="Times New Roman"/>
        </w:rPr>
      </w:pPr>
      <w:r w:rsidRPr="00C05D6B">
        <w:rPr>
          <w:rFonts w:ascii="Garamond" w:eastAsia="Times New Roman" w:hAnsi="Garamond" w:cs="Times New Roman"/>
        </w:rPr>
        <w:t>T</w:t>
      </w:r>
      <w:r w:rsidR="003125BF" w:rsidRPr="00C05D6B">
        <w:rPr>
          <w:rFonts w:ascii="Garamond" w:eastAsia="Times New Roman" w:hAnsi="Garamond" w:cs="Times New Roman"/>
        </w:rPr>
        <w:t>he SEC</w:t>
      </w:r>
      <w:r w:rsidR="00DD07D6" w:rsidRPr="00C05D6B">
        <w:rPr>
          <w:rFonts w:ascii="Garamond" w:eastAsia="Times New Roman" w:hAnsi="Garamond" w:cs="Times New Roman"/>
        </w:rPr>
        <w:t>’</w:t>
      </w:r>
      <w:r w:rsidR="003125BF" w:rsidRPr="00C05D6B">
        <w:rPr>
          <w:rFonts w:ascii="Garamond" w:eastAsia="Times New Roman" w:hAnsi="Garamond" w:cs="Times New Roman"/>
        </w:rPr>
        <w:t xml:space="preserve">s sole remaining basis for distinguishing </w:t>
      </w:r>
      <w:proofErr w:type="spellStart"/>
      <w:r w:rsidR="003125BF" w:rsidRPr="00C05D6B">
        <w:rPr>
          <w:rFonts w:ascii="Garamond" w:eastAsia="Times New Roman" w:hAnsi="Garamond" w:cs="Times New Roman"/>
          <w:i/>
          <w:iCs/>
        </w:rPr>
        <w:t>Granfinanciera</w:t>
      </w:r>
      <w:proofErr w:type="spellEnd"/>
      <w:r w:rsidR="003125BF" w:rsidRPr="00C05D6B">
        <w:rPr>
          <w:rFonts w:ascii="Garamond" w:eastAsia="Times New Roman" w:hAnsi="Garamond" w:cs="Times New Roman"/>
          <w:i/>
          <w:iCs/>
        </w:rPr>
        <w:t xml:space="preserve"> </w:t>
      </w:r>
      <w:r w:rsidR="003125BF" w:rsidRPr="00C05D6B">
        <w:rPr>
          <w:rFonts w:ascii="Garamond" w:eastAsia="Times New Roman" w:hAnsi="Garamond" w:cs="Times New Roman"/>
        </w:rPr>
        <w:t>is that the Government is the party prosecuting this action. But we have never held that “the presence of the United States as a proper party to the proceeding is</w:t>
      </w:r>
      <w:r w:rsidR="00DD07D6" w:rsidRPr="00C05D6B">
        <w:rPr>
          <w:rFonts w:ascii="Garamond" w:eastAsia="Times New Roman" w:hAnsi="Garamond" w:cs="Times New Roman"/>
        </w:rPr>
        <w:t xml:space="preserve"> . . . </w:t>
      </w:r>
      <w:r w:rsidR="003125BF" w:rsidRPr="00C05D6B">
        <w:rPr>
          <w:rFonts w:ascii="Garamond" w:eastAsia="Times New Roman" w:hAnsi="Garamond" w:cs="Times New Roman"/>
        </w:rPr>
        <w:t xml:space="preserve">sufficient” by itself to trigger the exception. </w:t>
      </w:r>
      <w:r w:rsidR="003125BF" w:rsidRPr="00C05D6B">
        <w:rPr>
          <w:rFonts w:ascii="Garamond" w:eastAsia="Times New Roman" w:hAnsi="Garamond" w:cs="Times New Roman"/>
          <w:i/>
          <w:iCs/>
        </w:rPr>
        <w:t xml:space="preserve">Northern Pipeline Constr. Co. </w:t>
      </w:r>
      <w:r w:rsidR="003125BF" w:rsidRPr="00C05D6B">
        <w:rPr>
          <w:rFonts w:ascii="Garamond" w:eastAsia="Times New Roman" w:hAnsi="Garamond" w:cs="Times New Roman"/>
        </w:rPr>
        <w:t>(plurality opinion).  Again, what matters is the substance of the suit, not where it is brought, who brings it, or how it is labeled. This is a common law suit in all but name. And such suits typically must be adjudicated in Article III courts.</w:t>
      </w:r>
    </w:p>
    <w:p w14:paraId="15D26187" w14:textId="77777777" w:rsidR="003125BF" w:rsidRPr="00C05D6B" w:rsidRDefault="003125BF" w:rsidP="003125BF">
      <w:pPr>
        <w:ind w:firstLine="720"/>
        <w:rPr>
          <w:rFonts w:ascii="Garamond" w:eastAsia="Times New Roman" w:hAnsi="Garamond" w:cs="Times New Roman"/>
        </w:rPr>
      </w:pPr>
    </w:p>
    <w:p w14:paraId="42F4406D"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5</w:t>
      </w:r>
    </w:p>
    <w:p w14:paraId="2F585AE8" w14:textId="77777777" w:rsidR="003125BF" w:rsidRPr="00C05D6B" w:rsidRDefault="003125BF" w:rsidP="003125BF">
      <w:pPr>
        <w:rPr>
          <w:rFonts w:ascii="Garamond" w:eastAsia="Times New Roman" w:hAnsi="Garamond" w:cs="Times New Roman"/>
        </w:rPr>
      </w:pPr>
    </w:p>
    <w:p w14:paraId="6B99114D" w14:textId="31C2B843"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The principal case on which the SEC and the dissent rely is Atlas Roofing Co. v. Occupational Safety and Health Review Commission (1977). The litigation in </w:t>
      </w:r>
      <w:r w:rsidRPr="00C05D6B">
        <w:rPr>
          <w:rFonts w:ascii="Garamond" w:eastAsia="Times New Roman" w:hAnsi="Garamond" w:cs="Times New Roman"/>
          <w:i/>
          <w:iCs/>
        </w:rPr>
        <w:t xml:space="preserve">Atlas Roofing </w:t>
      </w:r>
      <w:r w:rsidRPr="00C05D6B">
        <w:rPr>
          <w:rFonts w:ascii="Garamond" w:eastAsia="Times New Roman" w:hAnsi="Garamond" w:cs="Times New Roman"/>
        </w:rPr>
        <w:t xml:space="preserve">arose under the Occupational Safety and Health Act of 1970 (OSH Act), a federal regulatory regime created to promote safe working conditions. The Act authorized the Secretary of Labor to promulgate safety regulations, and it empowered the Occupational Safety and Health Review Commission (OSHRC) to adjudicate alleged violations. If a party violated the regulations, the agency could impose civil penalties. </w:t>
      </w:r>
    </w:p>
    <w:p w14:paraId="6A39B5E6" w14:textId="77777777" w:rsidR="003125BF" w:rsidRPr="00C05D6B" w:rsidRDefault="003125BF" w:rsidP="003125BF">
      <w:pPr>
        <w:rPr>
          <w:rFonts w:ascii="Garamond" w:eastAsia="Times New Roman" w:hAnsi="Garamond" w:cs="Times New Roman"/>
        </w:rPr>
      </w:pPr>
    </w:p>
    <w:p w14:paraId="43042D5E" w14:textId="479615DD"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Unlike the claims in </w:t>
      </w: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i/>
          <w:iCs/>
        </w:rPr>
        <w:t xml:space="preserve"> </w:t>
      </w:r>
      <w:r w:rsidRPr="00C05D6B">
        <w:rPr>
          <w:rFonts w:ascii="Garamond" w:eastAsia="Times New Roman" w:hAnsi="Garamond" w:cs="Times New Roman"/>
        </w:rPr>
        <w:t>and this action, the OSH Act did not borrow its cause of action from the common law. Rather, it simply commanded that “[e]ach employer</w:t>
      </w:r>
      <w:r w:rsidR="00DD07D6" w:rsidRPr="00C05D6B">
        <w:rPr>
          <w:rFonts w:ascii="Garamond" w:eastAsia="Times New Roman" w:hAnsi="Garamond" w:cs="Times New Roman"/>
        </w:rPr>
        <w:t xml:space="preserve"> . . . </w:t>
      </w:r>
      <w:r w:rsidRPr="00C05D6B">
        <w:rPr>
          <w:rFonts w:ascii="Garamond" w:eastAsia="Times New Roman" w:hAnsi="Garamond" w:cs="Times New Roman"/>
        </w:rPr>
        <w:t xml:space="preserve">shall comply with occupational safety and health standards promulgated under this chapter.” Rather than reiterate common law terms of art, [these standards] instead resembled a detailed building code. For example, the OSH Act regulations directed that a ground trench wall of “Solid Rock, Shale, or Cemented Sand and Gravels” could be constructed at a </w:t>
      </w:r>
      <w:proofErr w:type="gramStart"/>
      <w:r w:rsidRPr="00C05D6B">
        <w:rPr>
          <w:rFonts w:ascii="Garamond" w:eastAsia="Times New Roman" w:hAnsi="Garamond" w:cs="Times New Roman"/>
        </w:rPr>
        <w:t>90 degree</w:t>
      </w:r>
      <w:proofErr w:type="gramEnd"/>
      <w:r w:rsidRPr="00C05D6B">
        <w:rPr>
          <w:rFonts w:ascii="Garamond" w:eastAsia="Times New Roman" w:hAnsi="Garamond" w:cs="Times New Roman"/>
        </w:rPr>
        <w:t xml:space="preserve"> angle to the ground. But a wall of “Compacted Angular Gravels” needed to be sloped at 63 degrees, and a wall of “Well Rounded Loose Sand” at 26 degrees. The purpose of this regime was not to enable the Federal Government to bring or adjudicate claims that traced their ancestry to the common law. Rather, Congress stated that it intended the agency to “develop[ ] innovative methods, techniques, and approaches for dealing with occupational safety and health problems.” In both concept and execution, the Act was self-consciously novel.</w:t>
      </w:r>
    </w:p>
    <w:p w14:paraId="124D4FCF" w14:textId="77777777" w:rsidR="003125BF" w:rsidRPr="00C05D6B" w:rsidRDefault="003125BF" w:rsidP="003125BF">
      <w:pPr>
        <w:rPr>
          <w:rFonts w:ascii="Garamond" w:eastAsia="Times New Roman" w:hAnsi="Garamond" w:cs="Times New Roman"/>
        </w:rPr>
      </w:pPr>
    </w:p>
    <w:p w14:paraId="3AFB77D0" w14:textId="7A8A76B1"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Facing enforcement actions, two employers alleged that the adjudicatory authority of the OSHRC violated the Seventh Amendment. The Court rejected the challenge, concluding that “when Congress creates new statutory ‘public rights,’ it may assign their adjudication to an administrative agency with which a jury trial would be incompatible, without violating the Seventh Amendment[ ].” </w:t>
      </w:r>
      <w:r w:rsidRPr="00C05D6B">
        <w:rPr>
          <w:rFonts w:ascii="Garamond" w:eastAsia="Times New Roman" w:hAnsi="Garamond" w:cs="Times New Roman"/>
          <w:i/>
          <w:iCs/>
        </w:rPr>
        <w:t>Atlas Roofing</w:t>
      </w:r>
      <w:r w:rsidRPr="00C05D6B">
        <w:rPr>
          <w:rFonts w:ascii="Garamond" w:eastAsia="Times New Roman" w:hAnsi="Garamond" w:cs="Times New Roman"/>
        </w:rPr>
        <w:t>. As the Court explained, the case involved “a new cause of action, and remedies therefor, unknown to the common law.” The Seventh Amendment, the Court concluded, was accordingly “no bar to</w:t>
      </w:r>
      <w:r w:rsidR="00DD07D6" w:rsidRPr="00C05D6B">
        <w:rPr>
          <w:rFonts w:ascii="Garamond" w:eastAsia="Times New Roman" w:hAnsi="Garamond" w:cs="Times New Roman"/>
        </w:rPr>
        <w:t xml:space="preserve"> . . . </w:t>
      </w:r>
      <w:r w:rsidRPr="00C05D6B">
        <w:rPr>
          <w:rFonts w:ascii="Garamond" w:eastAsia="Times New Roman" w:hAnsi="Garamond" w:cs="Times New Roman"/>
        </w:rPr>
        <w:t xml:space="preserve">enforcement outside the regular courts of law.” </w:t>
      </w:r>
    </w:p>
    <w:p w14:paraId="5C304891" w14:textId="77777777" w:rsidR="003125BF" w:rsidRPr="00C05D6B" w:rsidRDefault="003125BF" w:rsidP="003125BF">
      <w:pPr>
        <w:rPr>
          <w:rFonts w:ascii="Garamond" w:eastAsia="Times New Roman" w:hAnsi="Garamond" w:cs="Times New Roman"/>
        </w:rPr>
      </w:pPr>
    </w:p>
    <w:p w14:paraId="435CD2FE" w14:textId="2CF856B8"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i/>
          <w:iCs/>
        </w:rPr>
        <w:t>Atlas Roofing</w:t>
      </w:r>
      <w:r w:rsidRPr="00C05D6B">
        <w:rPr>
          <w:rFonts w:ascii="Garamond" w:eastAsia="Times New Roman" w:hAnsi="Garamond" w:cs="Times New Roman"/>
        </w:rPr>
        <w:t xml:space="preserve"> concluded that Congress could assign the OSH Act adjudications to an agency because the claims were “unknown to the common law.” The case therefore does not control here, where the statutory claim is “‘in the nature of’” a common law suit. As we have explained,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and Patriot28 were prosecuted for “fraudulent conduct,” and the pertinent statutory provisions derive from, and are interpreted in light of, their common law counterparts.</w:t>
      </w:r>
    </w:p>
    <w:p w14:paraId="5B173ED3" w14:textId="77777777" w:rsidR="003125BF" w:rsidRPr="00C05D6B" w:rsidRDefault="003125BF" w:rsidP="003125BF">
      <w:pPr>
        <w:rPr>
          <w:rFonts w:ascii="Garamond" w:eastAsia="Times New Roman" w:hAnsi="Garamond" w:cs="Times New Roman"/>
        </w:rPr>
      </w:pPr>
    </w:p>
    <w:p w14:paraId="25D21BB7"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The reasoning of </w:t>
      </w:r>
      <w:r w:rsidRPr="00C05D6B">
        <w:rPr>
          <w:rFonts w:ascii="Garamond" w:eastAsia="Times New Roman" w:hAnsi="Garamond" w:cs="Times New Roman"/>
          <w:i/>
          <w:iCs/>
        </w:rPr>
        <w:t>Atlas Roofing</w:t>
      </w:r>
      <w:r w:rsidRPr="00C05D6B">
        <w:rPr>
          <w:rFonts w:ascii="Garamond" w:eastAsia="Times New Roman" w:hAnsi="Garamond" w:cs="Times New Roman"/>
        </w:rPr>
        <w:t xml:space="preserve"> cannot support any broader rule. The dissent chants “</w:t>
      </w:r>
      <w:r w:rsidRPr="00C05D6B">
        <w:rPr>
          <w:rFonts w:ascii="Garamond" w:eastAsia="Times New Roman" w:hAnsi="Garamond" w:cs="Times New Roman"/>
          <w:i/>
          <w:iCs/>
        </w:rPr>
        <w:t>Atlas Roofing</w:t>
      </w:r>
      <w:r w:rsidRPr="00C05D6B">
        <w:rPr>
          <w:rFonts w:ascii="Garamond" w:eastAsia="Times New Roman" w:hAnsi="Garamond" w:cs="Times New Roman"/>
        </w:rPr>
        <w:t xml:space="preserve">” like a mantra, but no matter how many times it repeats those words, it cannot give </w:t>
      </w:r>
      <w:r w:rsidRPr="00C05D6B">
        <w:rPr>
          <w:rFonts w:ascii="Garamond" w:eastAsia="Times New Roman" w:hAnsi="Garamond" w:cs="Times New Roman"/>
          <w:i/>
          <w:iCs/>
        </w:rPr>
        <w:t xml:space="preserve">Atlas Roofing </w:t>
      </w:r>
      <w:r w:rsidRPr="00C05D6B">
        <w:rPr>
          <w:rFonts w:ascii="Garamond" w:eastAsia="Times New Roman" w:hAnsi="Garamond" w:cs="Times New Roman"/>
        </w:rPr>
        <w:t xml:space="preserve">substance that it lacks. Even as </w:t>
      </w:r>
      <w:r w:rsidRPr="00C05D6B">
        <w:rPr>
          <w:rFonts w:ascii="Garamond" w:eastAsia="Times New Roman" w:hAnsi="Garamond" w:cs="Times New Roman"/>
          <w:i/>
          <w:iCs/>
        </w:rPr>
        <w:t>Atlas Roofing</w:t>
      </w:r>
      <w:r w:rsidRPr="00C05D6B">
        <w:rPr>
          <w:rFonts w:ascii="Garamond" w:eastAsia="Times New Roman" w:hAnsi="Garamond" w:cs="Times New Roman"/>
        </w:rPr>
        <w:t xml:space="preserve"> invoked the public rights exception, the definition it offered of the exception was circular. The exception applied, the Court said, “in cases in which ‘public rights’ are being litigated—</w:t>
      </w:r>
      <w:r w:rsidRPr="00C05D6B">
        <w:rPr>
          <w:rFonts w:ascii="Garamond" w:eastAsia="Times New Roman" w:hAnsi="Garamond" w:cs="Times New Roman"/>
          <w:i/>
          <w:iCs/>
        </w:rPr>
        <w:t>e.g.</w:t>
      </w:r>
      <w:r w:rsidRPr="00C05D6B">
        <w:rPr>
          <w:rFonts w:ascii="Garamond" w:eastAsia="Times New Roman" w:hAnsi="Garamond" w:cs="Times New Roman"/>
        </w:rPr>
        <w:t xml:space="preserve">, cases in which the Government sues in its sovereign capacity to enforce public rights created by statutes.” </w:t>
      </w:r>
    </w:p>
    <w:p w14:paraId="087E0703" w14:textId="77777777" w:rsidR="003125BF" w:rsidRPr="00C05D6B" w:rsidRDefault="003125BF" w:rsidP="003125BF">
      <w:pPr>
        <w:rPr>
          <w:rFonts w:ascii="Garamond" w:eastAsia="Times New Roman" w:hAnsi="Garamond" w:cs="Times New Roman"/>
        </w:rPr>
      </w:pPr>
    </w:p>
    <w:p w14:paraId="65DFB529"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After </w:t>
      </w:r>
      <w:r w:rsidRPr="00C05D6B">
        <w:rPr>
          <w:rFonts w:ascii="Garamond" w:eastAsia="Times New Roman" w:hAnsi="Garamond" w:cs="Times New Roman"/>
          <w:i/>
          <w:iCs/>
        </w:rPr>
        <w:t>Atlas Roofing</w:t>
      </w:r>
      <w:r w:rsidRPr="00C05D6B">
        <w:rPr>
          <w:rFonts w:ascii="Garamond" w:eastAsia="Times New Roman" w:hAnsi="Garamond" w:cs="Times New Roman"/>
        </w:rPr>
        <w:t xml:space="preserve">, this Court clarified in </w:t>
      </w:r>
      <w:proofErr w:type="spellStart"/>
      <w:r w:rsidRPr="00C05D6B">
        <w:rPr>
          <w:rFonts w:ascii="Garamond" w:eastAsia="Times New Roman" w:hAnsi="Garamond" w:cs="Times New Roman"/>
          <w:i/>
          <w:iCs/>
        </w:rPr>
        <w:t>Tull</w:t>
      </w:r>
      <w:proofErr w:type="spellEnd"/>
      <w:r w:rsidRPr="00C05D6B">
        <w:rPr>
          <w:rFonts w:ascii="Garamond" w:eastAsia="Times New Roman" w:hAnsi="Garamond" w:cs="Times New Roman"/>
          <w:i/>
          <w:iCs/>
        </w:rPr>
        <w:t xml:space="preserve"> </w:t>
      </w:r>
      <w:r w:rsidRPr="00C05D6B">
        <w:rPr>
          <w:rFonts w:ascii="Garamond" w:eastAsia="Times New Roman" w:hAnsi="Garamond" w:cs="Times New Roman"/>
        </w:rPr>
        <w:t xml:space="preserve">that the Seventh Amendment does apply to novel statutory regimes, so long as the claims are akin to common law claims. In addition, we have </w:t>
      </w:r>
      <w:r w:rsidRPr="00C05D6B">
        <w:rPr>
          <w:rFonts w:ascii="Garamond" w:eastAsia="Times New Roman" w:hAnsi="Garamond" w:cs="Times New Roman"/>
        </w:rPr>
        <w:lastRenderedPageBreak/>
        <w:t xml:space="preserve">explained that the public rights exception does not apply automatically whenever Congress assigns a matter to an agency for adjudication. </w:t>
      </w: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i/>
          <w:iCs/>
        </w:rPr>
        <w:t>.</w:t>
      </w:r>
    </w:p>
    <w:p w14:paraId="5235D324" w14:textId="77777777" w:rsidR="003125BF" w:rsidRPr="00C05D6B" w:rsidRDefault="003125BF" w:rsidP="003125BF">
      <w:pPr>
        <w:rPr>
          <w:rFonts w:ascii="Garamond" w:eastAsia="Times New Roman" w:hAnsi="Garamond" w:cs="Times New Roman"/>
        </w:rPr>
      </w:pPr>
    </w:p>
    <w:p w14:paraId="75F1DF78" w14:textId="45B47726"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For its part, the dissent also seems to suggest that </w:t>
      </w:r>
      <w:r w:rsidRPr="00C05D6B">
        <w:rPr>
          <w:rFonts w:ascii="Garamond" w:eastAsia="Times New Roman" w:hAnsi="Garamond" w:cs="Times New Roman"/>
          <w:i/>
          <w:iCs/>
        </w:rPr>
        <w:t xml:space="preserve">Atlas Roofing </w:t>
      </w:r>
      <w:r w:rsidRPr="00C05D6B">
        <w:rPr>
          <w:rFonts w:ascii="Garamond" w:eastAsia="Times New Roman" w:hAnsi="Garamond" w:cs="Times New Roman"/>
        </w:rPr>
        <w:t xml:space="preserve">establishes that the public rights exception applies whenever a statute increases governmental efficiency. Again, our precedents foreclose this argument. As </w:t>
      </w:r>
      <w:r w:rsidRPr="00C05D6B">
        <w:rPr>
          <w:rFonts w:ascii="Garamond" w:eastAsia="Times New Roman" w:hAnsi="Garamond" w:cs="Times New Roman"/>
          <w:i/>
          <w:iCs/>
        </w:rPr>
        <w:t>Stern</w:t>
      </w:r>
      <w:r w:rsidRPr="00C05D6B">
        <w:rPr>
          <w:rFonts w:ascii="Garamond" w:eastAsia="Times New Roman" w:hAnsi="Garamond" w:cs="Times New Roman"/>
        </w:rPr>
        <w:t xml:space="preserve"> explained, effects like increasing efficiency and reducing public costs are not enough to trigger the exception. </w:t>
      </w:r>
    </w:p>
    <w:p w14:paraId="5B17052A" w14:textId="77777777" w:rsidR="003125BF" w:rsidRPr="00C05D6B" w:rsidRDefault="003125BF" w:rsidP="003125BF">
      <w:pPr>
        <w:ind w:firstLine="720"/>
        <w:rPr>
          <w:rFonts w:ascii="Garamond" w:eastAsia="Times New Roman" w:hAnsi="Garamond" w:cs="Times New Roman"/>
        </w:rPr>
      </w:pPr>
    </w:p>
    <w:p w14:paraId="1D2DFECA" w14:textId="374BBEB4"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The novel claims in </w:t>
      </w:r>
      <w:r w:rsidRPr="00C05D6B">
        <w:rPr>
          <w:rFonts w:ascii="Garamond" w:eastAsia="Times New Roman" w:hAnsi="Garamond" w:cs="Times New Roman"/>
          <w:i/>
          <w:iCs/>
        </w:rPr>
        <w:t>Atlas Roofing</w:t>
      </w:r>
      <w:r w:rsidRPr="00C05D6B">
        <w:rPr>
          <w:rFonts w:ascii="Garamond" w:eastAsia="Times New Roman" w:hAnsi="Garamond" w:cs="Times New Roman"/>
        </w:rPr>
        <w:t xml:space="preserve"> had never been brought in an Article III court. By contrast, law courts have dealt with fraud actions since before the founding, and Congress had authorized the SEC to bring such actions in Article III courts and still authorizes the SEC to do so today. Given the judiciary</w:t>
      </w:r>
      <w:r w:rsidR="00DD07D6" w:rsidRPr="00C05D6B">
        <w:rPr>
          <w:rFonts w:ascii="Garamond" w:eastAsia="Times New Roman" w:hAnsi="Garamond" w:cs="Times New Roman"/>
        </w:rPr>
        <w:t>’</w:t>
      </w:r>
      <w:r w:rsidRPr="00C05D6B">
        <w:rPr>
          <w:rFonts w:ascii="Garamond" w:eastAsia="Times New Roman" w:hAnsi="Garamond" w:cs="Times New Roman"/>
        </w:rPr>
        <w:t>s long history of handling fraud claims, it cannot be argued that the courts lack the capacity needed to adjudicate such actions.</w:t>
      </w:r>
    </w:p>
    <w:p w14:paraId="08945FC1" w14:textId="77777777" w:rsidR="003125BF" w:rsidRPr="00C05D6B" w:rsidRDefault="003125BF" w:rsidP="003125BF">
      <w:pPr>
        <w:rPr>
          <w:rFonts w:ascii="Garamond" w:eastAsia="Times New Roman" w:hAnsi="Garamond" w:cs="Times New Roman"/>
        </w:rPr>
      </w:pPr>
    </w:p>
    <w:p w14:paraId="3F2A36D2"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 * *</w:t>
      </w:r>
    </w:p>
    <w:p w14:paraId="5185E99C" w14:textId="77777777" w:rsidR="003125BF" w:rsidRPr="00C05D6B" w:rsidRDefault="003125BF" w:rsidP="003125BF">
      <w:pPr>
        <w:ind w:firstLine="720"/>
        <w:rPr>
          <w:rFonts w:ascii="Garamond" w:eastAsia="Times New Roman" w:hAnsi="Garamond" w:cs="Times New Roman"/>
        </w:rPr>
      </w:pPr>
    </w:p>
    <w:p w14:paraId="195FDEEA"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A defendant facing a fraud suit has the right to be tried by a jury of his peers before a neutral adjudicator. Rather than recognize that right, the dissent would permit Congress to concentrate the roles of prosecutor, judge, and jury in the hands of the Executive Branch. That is the very opposite of the separation of powers that the Constitution demands. </w:t>
      </w:r>
    </w:p>
    <w:p w14:paraId="0DF7774D" w14:textId="77777777" w:rsidR="003125BF" w:rsidRPr="00C05D6B" w:rsidRDefault="003125BF" w:rsidP="003125BF">
      <w:pPr>
        <w:rPr>
          <w:rFonts w:ascii="Garamond" w:eastAsia="Times New Roman" w:hAnsi="Garamond" w:cs="Times New Roman"/>
        </w:rPr>
      </w:pPr>
    </w:p>
    <w:p w14:paraId="69A8729A"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Justice Gorsuch, with whom Justice Thomas joins, concurring.</w:t>
      </w:r>
    </w:p>
    <w:p w14:paraId="7E416F88" w14:textId="77777777" w:rsidR="003125BF" w:rsidRPr="00C05D6B" w:rsidRDefault="003125BF" w:rsidP="003125BF">
      <w:pPr>
        <w:rPr>
          <w:rFonts w:ascii="Garamond" w:eastAsia="Times New Roman" w:hAnsi="Garamond" w:cs="Times New Roman"/>
        </w:rPr>
      </w:pPr>
    </w:p>
    <w:p w14:paraId="36362AAD" w14:textId="0019F2CE"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I write separately to highlight that other constitutional provisions reinforce the correctness of the Court</w:t>
      </w:r>
      <w:r w:rsidR="00B35186" w:rsidRPr="00C05D6B">
        <w:rPr>
          <w:rFonts w:ascii="Garamond" w:eastAsia="Times New Roman" w:hAnsi="Garamond" w:cs="Times New Roman"/>
        </w:rPr>
        <w:t>’</w:t>
      </w:r>
      <w:r w:rsidRPr="00C05D6B">
        <w:rPr>
          <w:rFonts w:ascii="Garamond" w:eastAsia="Times New Roman" w:hAnsi="Garamond" w:cs="Times New Roman"/>
        </w:rPr>
        <w:t>s course. The Seventh Amendment</w:t>
      </w:r>
      <w:r w:rsidR="00DD07D6" w:rsidRPr="00C05D6B">
        <w:rPr>
          <w:rFonts w:ascii="Garamond" w:eastAsia="Times New Roman" w:hAnsi="Garamond" w:cs="Times New Roman"/>
        </w:rPr>
        <w:t>’</w:t>
      </w:r>
      <w:r w:rsidRPr="00C05D6B">
        <w:rPr>
          <w:rFonts w:ascii="Garamond" w:eastAsia="Times New Roman" w:hAnsi="Garamond" w:cs="Times New Roman"/>
        </w:rPr>
        <w:t>s jury-trial right does not work alone. It operates together with Article III and the Due Process Clause of the Fifth Amendment to limit how the government may go about depriving an individual of life, liberty, or property. The Seventh Amendment guarantees the right to trial by jury. Article III entitles individuals to an independent judge who will preside over that trial. And due process promises any trial will be held in accord with time-honored principles. Taken together, all three provisions vindicate the Constitution</w:t>
      </w:r>
      <w:r w:rsidR="00B35186" w:rsidRPr="00C05D6B">
        <w:rPr>
          <w:rFonts w:ascii="Garamond" w:eastAsia="Times New Roman" w:hAnsi="Garamond" w:cs="Times New Roman"/>
        </w:rPr>
        <w:t>’</w:t>
      </w:r>
      <w:r w:rsidRPr="00C05D6B">
        <w:rPr>
          <w:rFonts w:ascii="Garamond" w:eastAsia="Times New Roman" w:hAnsi="Garamond" w:cs="Times New Roman"/>
        </w:rPr>
        <w:t xml:space="preserve">s promise of a “fair trial in a fair tribunal.” </w:t>
      </w:r>
      <w:hyperlink r:id="rId36" w:anchor="co_pp_sp_780_136" w:history="1">
        <w:r w:rsidRPr="00C05D6B">
          <w:rPr>
            <w:rFonts w:ascii="Garamond" w:eastAsia="Times New Roman" w:hAnsi="Garamond" w:cs="Times New Roman"/>
          </w:rPr>
          <w:t>In</w:t>
        </w:r>
      </w:hyperlink>
      <w:r w:rsidRPr="00C05D6B">
        <w:rPr>
          <w:rFonts w:ascii="Garamond" w:eastAsia="Times New Roman" w:hAnsi="Garamond" w:cs="Times New Roman"/>
        </w:rPr>
        <w:t xml:space="preserve"> re Murchison</w:t>
      </w:r>
      <w:r w:rsidRPr="00C05D6B">
        <w:rPr>
          <w:rFonts w:ascii="Garamond" w:eastAsia="Times New Roman" w:hAnsi="Garamond" w:cs="Times New Roman"/>
          <w:i/>
          <w:iCs/>
        </w:rPr>
        <w:t xml:space="preserve"> </w:t>
      </w:r>
      <w:r w:rsidRPr="00C05D6B">
        <w:rPr>
          <w:rFonts w:ascii="Garamond" w:eastAsia="Times New Roman" w:hAnsi="Garamond" w:cs="Times New Roman"/>
        </w:rPr>
        <w:t>(1955)</w:t>
      </w:r>
      <w:r w:rsidR="006529C1" w:rsidRPr="00C05D6B">
        <w:rPr>
          <w:rFonts w:ascii="Garamond" w:eastAsia="Times New Roman" w:hAnsi="Garamond" w:cs="Times New Roman"/>
        </w:rPr>
        <w:t>.</w:t>
      </w:r>
    </w:p>
    <w:p w14:paraId="69CFBE75" w14:textId="4F1E154B" w:rsidR="006D79DB" w:rsidRPr="00C05D6B" w:rsidRDefault="006D79DB" w:rsidP="003125BF">
      <w:pPr>
        <w:ind w:firstLine="720"/>
        <w:rPr>
          <w:rFonts w:ascii="Garamond" w:eastAsia="Times New Roman" w:hAnsi="Garamond" w:cs="Times New Roman"/>
        </w:rPr>
      </w:pPr>
    </w:p>
    <w:p w14:paraId="5023BBFB" w14:textId="70A22AE4" w:rsidR="006D79DB" w:rsidRPr="00C05D6B" w:rsidRDefault="006D79DB" w:rsidP="003125BF">
      <w:pPr>
        <w:ind w:firstLine="720"/>
        <w:rPr>
          <w:rFonts w:ascii="Garamond" w:eastAsia="Times New Roman" w:hAnsi="Garamond" w:cs="Times New Roman"/>
        </w:rPr>
      </w:pPr>
      <w:r w:rsidRPr="00C05D6B">
        <w:rPr>
          <w:rFonts w:ascii="Garamond" w:eastAsia="Times New Roman" w:hAnsi="Garamond" w:cs="Times New Roman"/>
        </w:rPr>
        <w:t>[P]</w:t>
      </w:r>
      <w:proofErr w:type="spellStart"/>
      <w:r w:rsidRPr="00C05D6B">
        <w:rPr>
          <w:rFonts w:ascii="Garamond" w:eastAsia="Times New Roman" w:hAnsi="Garamond" w:cs="Times New Roman"/>
        </w:rPr>
        <w:t>ublic</w:t>
      </w:r>
      <w:proofErr w:type="spellEnd"/>
      <w:r w:rsidRPr="00C05D6B">
        <w:rPr>
          <w:rFonts w:ascii="Garamond" w:eastAsia="Times New Roman" w:hAnsi="Garamond" w:cs="Times New Roman"/>
        </w:rPr>
        <w:t xml:space="preserve"> rights are a narrow class defined and limited by history. As the Court explains, that class had traditionally included the collection of revenue, customs enforcement, immigration, and the grant of public benefits.  Whatever their [practical and theoretical] roots, traditionally recognized public rights have at least one feature in common: a serious and unbroken historical pedigree.  We [therefore] look for some deeply rooted tradition of nonjudicial adjudication before permitting a case to be tried in a different forum under different procedures.</w:t>
      </w:r>
    </w:p>
    <w:p w14:paraId="570FF2A8" w14:textId="77777777" w:rsidR="003125BF" w:rsidRPr="00C05D6B" w:rsidRDefault="003125BF" w:rsidP="003125BF">
      <w:pPr>
        <w:rPr>
          <w:rFonts w:ascii="Garamond" w:eastAsia="Times New Roman" w:hAnsi="Garamond" w:cs="Times New Roman"/>
        </w:rPr>
      </w:pPr>
    </w:p>
    <w:p w14:paraId="19DCFFA2" w14:textId="673ADDE6"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People like Mr.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xml:space="preserve"> may be unpopular. Perhaps even rightly so: The acts he allegedly committed may warrant serious sanctions. But that should not obscure what is at stake in his case or others like it. While incursions on old rights may begin in cases against the unpopular, they rarely end there. The authority the government seeks (and the dissent would award) in this case—to penalize citizens without a jury, without an independent judge, and under procedures foreign to our courts—certainly contains no such limits. That is why the Constitution built “high walls and clear distinctions” to safeguard individual liberty. Ones that ensure even the least popular among us has an independent judge and a jury of his peers resolve his case under procedures designed to ensure a fair trial in a fair forum. In reaffirming all this today, the Court hardly leaves the SEC without ample </w:t>
      </w:r>
      <w:r w:rsidRPr="00C05D6B">
        <w:rPr>
          <w:rFonts w:ascii="Garamond" w:eastAsia="Times New Roman" w:hAnsi="Garamond" w:cs="Times New Roman"/>
        </w:rPr>
        <w:lastRenderedPageBreak/>
        <w:t xml:space="preserve">powers and recourse. The agency is free to pursue all of its charges against Mr. </w:t>
      </w:r>
      <w:proofErr w:type="spellStart"/>
      <w:r w:rsidRPr="00C05D6B">
        <w:rPr>
          <w:rFonts w:ascii="Garamond" w:eastAsia="Times New Roman" w:hAnsi="Garamond" w:cs="Times New Roman"/>
        </w:rPr>
        <w:t>Jarkesy</w:t>
      </w:r>
      <w:proofErr w:type="spellEnd"/>
      <w:r w:rsidRPr="00C05D6B">
        <w:rPr>
          <w:rFonts w:ascii="Garamond" w:eastAsia="Times New Roman" w:hAnsi="Garamond" w:cs="Times New Roman"/>
        </w:rPr>
        <w:t>. And it is free to pursue them exactly as it had always done until 2010: In a court, before a judge, and with a jury. With these observations, I am pleased to concur.</w:t>
      </w:r>
    </w:p>
    <w:p w14:paraId="09B47E5F" w14:textId="77777777" w:rsidR="00B35186" w:rsidRPr="00C05D6B" w:rsidRDefault="00B35186" w:rsidP="003125BF">
      <w:pPr>
        <w:rPr>
          <w:rFonts w:ascii="Garamond" w:eastAsia="Times New Roman" w:hAnsi="Garamond" w:cs="Times New Roman"/>
        </w:rPr>
      </w:pPr>
    </w:p>
    <w:p w14:paraId="2FB2CB6D" w14:textId="20EEF18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 xml:space="preserve">Justice Sotomayor, with whom Justice Kagan and Justice Jackson join, dissenting. </w:t>
      </w:r>
    </w:p>
    <w:p w14:paraId="7932DFE6" w14:textId="77777777" w:rsidR="003125BF" w:rsidRPr="00C05D6B" w:rsidRDefault="003125BF" w:rsidP="003125BF">
      <w:pPr>
        <w:rPr>
          <w:rFonts w:ascii="Garamond" w:eastAsia="Times New Roman" w:hAnsi="Garamond" w:cs="Times New Roman"/>
        </w:rPr>
      </w:pPr>
    </w:p>
    <w:p w14:paraId="2FC46973" w14:textId="585FA3FC"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Today, for the very first time, this Court holds that Congress violated the Constitution by authorizing a federal agency to adjudicate a statutory right that inheres in the Government in its sovereign capacity, also known as a public right. According to the majority, the Constitution requires the Government to seek civil penalties for federal-securities fraud before a jury in federal court. The nature of the remedy is, in the majority</w:t>
      </w:r>
      <w:r w:rsidR="00DD07D6" w:rsidRPr="00C05D6B">
        <w:rPr>
          <w:rFonts w:ascii="Garamond" w:eastAsia="Times New Roman" w:hAnsi="Garamond" w:cs="Times New Roman"/>
        </w:rPr>
        <w:t>’</w:t>
      </w:r>
      <w:r w:rsidRPr="00C05D6B">
        <w:rPr>
          <w:rFonts w:ascii="Garamond" w:eastAsia="Times New Roman" w:hAnsi="Garamond" w:cs="Times New Roman"/>
        </w:rPr>
        <w:t>s view, virtually dispositive. That is plainly wrong. This Court has held, without exception, that Congress has broad latitude to create statutory obligations that entitle the Government to civil penalties, and then to assign their enforcement outside the regular courts of law where there are no juries.</w:t>
      </w:r>
    </w:p>
    <w:p w14:paraId="10F4D28E" w14:textId="77777777" w:rsidR="003125BF" w:rsidRPr="00C05D6B" w:rsidRDefault="003125BF" w:rsidP="003125BF">
      <w:pPr>
        <w:rPr>
          <w:rFonts w:ascii="Garamond" w:eastAsia="Times New Roman" w:hAnsi="Garamond" w:cs="Times New Roman"/>
        </w:rPr>
      </w:pPr>
    </w:p>
    <w:p w14:paraId="269A7A11"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[I]n every case where the Government has acted in its sovereign capacity to enforce a new statutory obligation through the administrative imposition of civil penalties or fines, this Court, without exception, has sustained the statutory scheme authorizing that enforcement outside of </w:t>
      </w:r>
      <w:hyperlink r:id="rId37" w:history="1">
        <w:r w:rsidRPr="00C05D6B">
          <w:rPr>
            <w:rFonts w:ascii="Garamond" w:eastAsia="Times New Roman" w:hAnsi="Garamond" w:cs="Times New Roman"/>
          </w:rPr>
          <w:t>Article III</w:t>
        </w:r>
      </w:hyperlink>
      <w:r w:rsidRPr="00C05D6B">
        <w:rPr>
          <w:rFonts w:ascii="Garamond" w:eastAsia="Times New Roman" w:hAnsi="Garamond" w:cs="Times New Roman"/>
        </w:rPr>
        <w:t>.</w:t>
      </w:r>
    </w:p>
    <w:p w14:paraId="2B40923C" w14:textId="77777777" w:rsidR="003125BF" w:rsidRPr="00C05D6B" w:rsidRDefault="003125BF" w:rsidP="003125BF">
      <w:pPr>
        <w:rPr>
          <w:rFonts w:ascii="Garamond" w:eastAsia="Times New Roman" w:hAnsi="Garamond" w:cs="Times New Roman"/>
        </w:rPr>
      </w:pPr>
    </w:p>
    <w:p w14:paraId="6736CA42"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A unanimous Court made this exact point nearly half a century ago in [Atlas Roofing Co. v. Occupational Safety and Health Review Commission (1977)]. That was the last time this Court considered a public-rights case where the constitutionality of an in-house adjudication of statutory claims brought by the Government was at issue. That case presented the same question as this one: Whether the Seventh Amendment permits Congress to commit the adjudication of a new cause of action for civil penalties to an administrative agency. The Court said it did.</w:t>
      </w:r>
    </w:p>
    <w:p w14:paraId="3BFA243D" w14:textId="77777777" w:rsidR="003125BF" w:rsidRPr="00C05D6B" w:rsidRDefault="003125BF" w:rsidP="003125BF">
      <w:pPr>
        <w:ind w:firstLine="720"/>
        <w:rPr>
          <w:rFonts w:ascii="Garamond" w:eastAsia="Times New Roman" w:hAnsi="Garamond" w:cs="Times New Roman"/>
        </w:rPr>
      </w:pPr>
    </w:p>
    <w:p w14:paraId="73E850F8" w14:textId="2D8BC7F8" w:rsidR="003125BF" w:rsidRPr="00C05D6B" w:rsidRDefault="003125BF" w:rsidP="003125BF">
      <w:pPr>
        <w:ind w:firstLine="720"/>
        <w:rPr>
          <w:rFonts w:ascii="Garamond" w:eastAsia="Times New Roman" w:hAnsi="Garamond" w:cs="Times New Roman"/>
          <w:i/>
          <w:iCs/>
        </w:rPr>
      </w:pPr>
      <w:r w:rsidRPr="00C05D6B">
        <w:rPr>
          <w:rFonts w:ascii="Garamond" w:eastAsia="Times New Roman" w:hAnsi="Garamond" w:cs="Times New Roman"/>
        </w:rPr>
        <w:t xml:space="preserve">In </w:t>
      </w:r>
      <w:r w:rsidRPr="00C05D6B">
        <w:rPr>
          <w:rFonts w:ascii="Garamond" w:eastAsia="Times New Roman" w:hAnsi="Garamond" w:cs="Times New Roman"/>
          <w:i/>
          <w:iCs/>
        </w:rPr>
        <w:t>Atlas Roofing</w:t>
      </w:r>
      <w:r w:rsidRPr="00C05D6B">
        <w:rPr>
          <w:rFonts w:ascii="Garamond" w:eastAsia="Times New Roman" w:hAnsi="Garamond" w:cs="Times New Roman"/>
        </w:rPr>
        <w:t>, the Court explained how Congress identified a national problem, concluded that existing legal remedies were inadequate to address it, and then created a new statutory scheme that endorsed Executive in-house enforcement as a solution.</w:t>
      </w:r>
      <w:r w:rsidR="006D79DB" w:rsidRPr="00C05D6B">
        <w:rPr>
          <w:rFonts w:ascii="Garamond" w:eastAsia="Times New Roman" w:hAnsi="Garamond" w:cs="Times New Roman"/>
        </w:rPr>
        <w:t xml:space="preserve">  </w:t>
      </w:r>
      <w:r w:rsidRPr="00C05D6B">
        <w:rPr>
          <w:rFonts w:ascii="Garamond" w:eastAsia="Times New Roman" w:hAnsi="Garamond" w:cs="Times New Roman"/>
        </w:rPr>
        <w:t>This Court upheld OSHA</w:t>
      </w:r>
      <w:r w:rsidR="00DD07D6" w:rsidRPr="00C05D6B">
        <w:rPr>
          <w:rFonts w:ascii="Garamond" w:eastAsia="Times New Roman" w:hAnsi="Garamond" w:cs="Times New Roman"/>
        </w:rPr>
        <w:t>’</w:t>
      </w:r>
      <w:r w:rsidRPr="00C05D6B">
        <w:rPr>
          <w:rFonts w:ascii="Garamond" w:eastAsia="Times New Roman" w:hAnsi="Garamond" w:cs="Times New Roman"/>
        </w:rPr>
        <w:t>s statutory scheme. It relied on the long history of public-rights cases endorsing Congress's now-settled practice of assigning the Government's rights to civil penalties for violations of a statutory obligation to in-house adjudication in the first instance. In light of this “history and our cases,” the Court concluded that, where Congress “create[s] a new cause of action, and remedies therefor, unknown to the common law,” it is free to “</w:t>
      </w:r>
      <w:proofErr w:type="spellStart"/>
      <w:r w:rsidRPr="00C05D6B">
        <w:rPr>
          <w:rFonts w:ascii="Garamond" w:eastAsia="Times New Roman" w:hAnsi="Garamond" w:cs="Times New Roman"/>
        </w:rPr>
        <w:t>plac</w:t>
      </w:r>
      <w:proofErr w:type="spellEnd"/>
      <w:r w:rsidRPr="00C05D6B">
        <w:rPr>
          <w:rFonts w:ascii="Garamond" w:eastAsia="Times New Roman" w:hAnsi="Garamond" w:cs="Times New Roman"/>
        </w:rPr>
        <w:t xml:space="preserve">[e] their enforcement in a tribunal supplying speedy and expert resolutions of the issues involved.” “That is the case even if the Seventh Amendment would have required a jury where the adjudication of those rights is assigned to a federal court of law.” </w:t>
      </w:r>
    </w:p>
    <w:p w14:paraId="365B3DEC" w14:textId="77777777" w:rsidR="003125BF" w:rsidRPr="00C05D6B" w:rsidRDefault="003125BF" w:rsidP="002E331E">
      <w:pPr>
        <w:rPr>
          <w:rFonts w:ascii="Garamond" w:eastAsia="Times New Roman" w:hAnsi="Garamond" w:cs="Times New Roman"/>
        </w:rPr>
      </w:pPr>
    </w:p>
    <w:p w14:paraId="65635D47" w14:textId="0C36F62B"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This case may involve a different statute from </w:t>
      </w:r>
      <w:r w:rsidRPr="00C05D6B">
        <w:rPr>
          <w:rFonts w:ascii="Garamond" w:eastAsia="Times New Roman" w:hAnsi="Garamond" w:cs="Times New Roman"/>
          <w:i/>
          <w:iCs/>
        </w:rPr>
        <w:t>Atlas Roofing</w:t>
      </w:r>
      <w:r w:rsidRPr="00C05D6B">
        <w:rPr>
          <w:rFonts w:ascii="Garamond" w:eastAsia="Times New Roman" w:hAnsi="Garamond" w:cs="Times New Roman"/>
        </w:rPr>
        <w:t xml:space="preserve">, but the schemes are remarkably similar. Here, just as in </w:t>
      </w:r>
      <w:r w:rsidRPr="00C05D6B">
        <w:rPr>
          <w:rFonts w:ascii="Garamond" w:eastAsia="Times New Roman" w:hAnsi="Garamond" w:cs="Times New Roman"/>
          <w:i/>
          <w:iCs/>
        </w:rPr>
        <w:t>Atlas Roofing</w:t>
      </w:r>
      <w:r w:rsidRPr="00C05D6B">
        <w:rPr>
          <w:rFonts w:ascii="Garamond" w:eastAsia="Times New Roman" w:hAnsi="Garamond" w:cs="Times New Roman"/>
        </w:rPr>
        <w:t xml:space="preserve">, Congress identified a problem; concluded that the existing remedies were inadequate; and enacted a new regulatory scheme as a solution. The problem was a lack of transparency and accountability in the securities market that contributed to the Great Depression of the 1930s. The inadequate remedies were the then-existing state statutory and common-law fraud causes of action. </w:t>
      </w:r>
    </w:p>
    <w:p w14:paraId="2FFE4A3B" w14:textId="77777777" w:rsidR="003125BF" w:rsidRPr="00C05D6B" w:rsidRDefault="003125BF" w:rsidP="003125BF">
      <w:pPr>
        <w:rPr>
          <w:rFonts w:ascii="Garamond" w:eastAsia="Times New Roman" w:hAnsi="Garamond" w:cs="Times New Roman"/>
        </w:rPr>
      </w:pPr>
    </w:p>
    <w:p w14:paraId="49728051"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The prophylactic nature of the statutory regime also is virtually indistinguishable from the OSHA scheme at issue in </w:t>
      </w:r>
      <w:r w:rsidRPr="00C05D6B">
        <w:rPr>
          <w:rFonts w:ascii="Garamond" w:eastAsia="Times New Roman" w:hAnsi="Garamond" w:cs="Times New Roman"/>
          <w:i/>
          <w:iCs/>
        </w:rPr>
        <w:t>Atlas Roofing</w:t>
      </w:r>
      <w:r w:rsidRPr="00C05D6B">
        <w:rPr>
          <w:rFonts w:ascii="Garamond" w:eastAsia="Times New Roman" w:hAnsi="Garamond" w:cs="Times New Roman"/>
        </w:rPr>
        <w:t xml:space="preserve">. Among other things, these securities laws prohibit the misrepresentation or concealment of various material facts through the imposition of federal </w:t>
      </w:r>
      <w:r w:rsidRPr="00C05D6B">
        <w:rPr>
          <w:rFonts w:ascii="Garamond" w:eastAsia="Times New Roman" w:hAnsi="Garamond" w:cs="Times New Roman"/>
        </w:rPr>
        <w:lastRenderedPageBreak/>
        <w:t>registration and disclosure requirements. Critically, federal-securities laws do not require proof of actual reliance on an investor's misrepresentations or that an “investor has actually suffered financial loss.” OSHA too prohibits conduct that could, but does not necessarily, injure a private person. The employer's failure to maintain safe and healthy working conditions violates OSHA even if there is no actionable harm to an employee, just as a misrepresentation to investors in connection with the buying or selling of securities violates federal-securities law even if there is no actual injury to the investors.</w:t>
      </w:r>
    </w:p>
    <w:p w14:paraId="48B176D2" w14:textId="77777777" w:rsidR="003125BF" w:rsidRPr="00C05D6B" w:rsidRDefault="003125BF" w:rsidP="003125BF">
      <w:pPr>
        <w:ind w:firstLine="720"/>
        <w:rPr>
          <w:rFonts w:ascii="Garamond" w:eastAsia="Times New Roman" w:hAnsi="Garamond" w:cs="Times New Roman"/>
        </w:rPr>
      </w:pPr>
    </w:p>
    <w:p w14:paraId="5B28367F" w14:textId="559E7993"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Moreover, both here and in </w:t>
      </w:r>
      <w:r w:rsidRPr="00C05D6B">
        <w:rPr>
          <w:rFonts w:ascii="Garamond" w:eastAsia="Times New Roman" w:hAnsi="Garamond" w:cs="Times New Roman"/>
          <w:i/>
          <w:iCs/>
        </w:rPr>
        <w:t>Atlas Roofing</w:t>
      </w:r>
      <w:r w:rsidRPr="00C05D6B">
        <w:rPr>
          <w:rFonts w:ascii="Garamond" w:eastAsia="Times New Roman" w:hAnsi="Garamond" w:cs="Times New Roman"/>
        </w:rPr>
        <w:t>, Congress empowered the Government to institute administrative enforcement proceedings to adjudicate potential violations of federal law and impose civil penalties on a private party for those violations, all while making the final agency decision subject to judicial review. Put differently, the SEC seeks to “‘remedy harm to the public at large’” for violation of the Government</w:t>
      </w:r>
      <w:r w:rsidR="00DD07D6" w:rsidRPr="00C05D6B">
        <w:rPr>
          <w:rFonts w:ascii="Garamond" w:eastAsia="Times New Roman" w:hAnsi="Garamond" w:cs="Times New Roman"/>
        </w:rPr>
        <w:t>’</w:t>
      </w:r>
      <w:r w:rsidRPr="00C05D6B">
        <w:rPr>
          <w:rFonts w:ascii="Garamond" w:eastAsia="Times New Roman" w:hAnsi="Garamond" w:cs="Times New Roman"/>
        </w:rPr>
        <w:t>s rights. The Government likewise seeks to remedy a public harm when it enforces OSHA</w:t>
      </w:r>
      <w:r w:rsidR="00DD07D6" w:rsidRPr="00C05D6B">
        <w:rPr>
          <w:rFonts w:ascii="Garamond" w:eastAsia="Times New Roman" w:hAnsi="Garamond" w:cs="Times New Roman"/>
        </w:rPr>
        <w:t>’</w:t>
      </w:r>
      <w:r w:rsidRPr="00C05D6B">
        <w:rPr>
          <w:rFonts w:ascii="Garamond" w:eastAsia="Times New Roman" w:hAnsi="Garamond" w:cs="Times New Roman"/>
        </w:rPr>
        <w:t>s prohibition of unsafe working conditions.</w:t>
      </w:r>
    </w:p>
    <w:p w14:paraId="30BF88AB" w14:textId="77777777" w:rsidR="003125BF" w:rsidRPr="00C05D6B" w:rsidRDefault="003125BF" w:rsidP="003125BF">
      <w:pPr>
        <w:rPr>
          <w:rFonts w:ascii="Garamond" w:eastAsia="Times New Roman" w:hAnsi="Garamond" w:cs="Times New Roman"/>
        </w:rPr>
      </w:pPr>
    </w:p>
    <w:p w14:paraId="3EEADC7E" w14:textId="67CD4DBB"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Ultimately, both cases arise between the Government and others in connection with the performance of the Government's constitutional functions, and involve the Government acting in its sovereign capacity to bring a statutory claim on behalf of the United States in order to vindicate the public interest. They both involve, as </w:t>
      </w:r>
      <w:r w:rsidRPr="00C05D6B">
        <w:rPr>
          <w:rFonts w:ascii="Garamond" w:eastAsia="Times New Roman" w:hAnsi="Garamond" w:cs="Times New Roman"/>
          <w:i/>
          <w:iCs/>
        </w:rPr>
        <w:t xml:space="preserve">Atlas Roofing </w:t>
      </w:r>
      <w:r w:rsidRPr="00C05D6B">
        <w:rPr>
          <w:rFonts w:ascii="Garamond" w:eastAsia="Times New Roman" w:hAnsi="Garamond" w:cs="Times New Roman"/>
        </w:rPr>
        <w:t>put it, “new cause[s] of action, and remedies therefor, unknown to the common law.” In a world where precedent means something, this should end the case. Yet here it does not.</w:t>
      </w:r>
    </w:p>
    <w:p w14:paraId="5319957B" w14:textId="77777777" w:rsidR="003125BF" w:rsidRPr="00C05D6B" w:rsidRDefault="003125BF" w:rsidP="003125BF">
      <w:pPr>
        <w:ind w:firstLine="720"/>
        <w:rPr>
          <w:rFonts w:ascii="Garamond" w:eastAsia="Times New Roman" w:hAnsi="Garamond" w:cs="Times New Roman"/>
        </w:rPr>
      </w:pPr>
    </w:p>
    <w:p w14:paraId="2A6DF9EB" w14:textId="7E84739E" w:rsidR="003125BF" w:rsidRPr="00C05D6B" w:rsidRDefault="006D79DB" w:rsidP="006D79DB">
      <w:pPr>
        <w:ind w:firstLine="720"/>
        <w:rPr>
          <w:rFonts w:ascii="Garamond" w:eastAsia="Times New Roman" w:hAnsi="Garamond" w:cs="Times New Roman"/>
        </w:rPr>
      </w:pPr>
      <w:r w:rsidRPr="00C05D6B">
        <w:rPr>
          <w:rFonts w:ascii="Garamond" w:eastAsia="Times New Roman" w:hAnsi="Garamond" w:cs="Times New Roman"/>
        </w:rPr>
        <w:t>[I]</w:t>
      </w:r>
      <w:r w:rsidR="003125BF" w:rsidRPr="00C05D6B">
        <w:rPr>
          <w:rFonts w:ascii="Garamond" w:eastAsia="Times New Roman" w:hAnsi="Garamond" w:cs="Times New Roman"/>
        </w:rPr>
        <w:t>t is almost impossible to discern how the majority defines a public right and whether its view of the doctrine is consistent with this Court</w:t>
      </w:r>
      <w:r w:rsidR="00DD07D6" w:rsidRPr="00C05D6B">
        <w:rPr>
          <w:rFonts w:ascii="Garamond" w:eastAsia="Times New Roman" w:hAnsi="Garamond" w:cs="Times New Roman"/>
        </w:rPr>
        <w:t>’</w:t>
      </w:r>
      <w:r w:rsidR="003125BF" w:rsidRPr="00C05D6B">
        <w:rPr>
          <w:rFonts w:ascii="Garamond" w:eastAsia="Times New Roman" w:hAnsi="Garamond" w:cs="Times New Roman"/>
        </w:rPr>
        <w:t xml:space="preserve">s public-rights cases. The majority at times seems to limit the public-rights exception to areas of its own choosing. It points out, for example, that some public-rights cases involved the collection of revenue, customs law, and immigration law, and that </w:t>
      </w:r>
      <w:r w:rsidR="003125BF" w:rsidRPr="00C05D6B">
        <w:rPr>
          <w:rFonts w:ascii="Garamond" w:eastAsia="Times New Roman" w:hAnsi="Garamond" w:cs="Times New Roman"/>
          <w:i/>
          <w:iCs/>
        </w:rPr>
        <w:t xml:space="preserve">Atlas Roofing </w:t>
      </w:r>
      <w:r w:rsidR="003125BF" w:rsidRPr="00C05D6B">
        <w:rPr>
          <w:rFonts w:ascii="Garamond" w:eastAsia="Times New Roman" w:hAnsi="Garamond" w:cs="Times New Roman"/>
        </w:rPr>
        <w:t xml:space="preserve">involved OSHA and not “civil penalty suits for fraud.” Other times, the majority highlights a particular practice predating the founding, such as the “unbroken tradition” in </w:t>
      </w:r>
      <w:r w:rsidR="003125BF" w:rsidRPr="00C05D6B">
        <w:rPr>
          <w:rFonts w:ascii="Garamond" w:eastAsia="Times New Roman" w:hAnsi="Garamond" w:cs="Times New Roman"/>
          <w:i/>
          <w:iCs/>
        </w:rPr>
        <w:t>Murray</w:t>
      </w:r>
      <w:r w:rsidR="006529C1" w:rsidRPr="00C05D6B">
        <w:rPr>
          <w:rFonts w:ascii="Garamond" w:eastAsia="Times New Roman" w:hAnsi="Garamond" w:cs="Times New Roman"/>
          <w:i/>
          <w:iCs/>
        </w:rPr>
        <w:t>’</w:t>
      </w:r>
      <w:r w:rsidR="003125BF" w:rsidRPr="00C05D6B">
        <w:rPr>
          <w:rFonts w:ascii="Garamond" w:eastAsia="Times New Roman" w:hAnsi="Garamond" w:cs="Times New Roman"/>
          <w:i/>
          <w:iCs/>
        </w:rPr>
        <w:t>s Lessee</w:t>
      </w:r>
      <w:r w:rsidR="003125BF" w:rsidRPr="00C05D6B">
        <w:rPr>
          <w:rFonts w:ascii="Garamond" w:eastAsia="Times New Roman" w:hAnsi="Garamond" w:cs="Times New Roman"/>
        </w:rPr>
        <w:t xml:space="preserve"> of executive officials issuing warrants of distress to collect revenue. Needless to say, none of these explanations for the doctrine is satisfactory. What is the legal principle behind saying only these areas and no further? </w:t>
      </w:r>
    </w:p>
    <w:p w14:paraId="58197AAC" w14:textId="77777777" w:rsidR="003125BF" w:rsidRPr="00C05D6B" w:rsidRDefault="003125BF" w:rsidP="003125BF">
      <w:pPr>
        <w:rPr>
          <w:rFonts w:ascii="Garamond" w:eastAsia="Times New Roman" w:hAnsi="Garamond" w:cs="Times New Roman"/>
        </w:rPr>
      </w:pPr>
    </w:p>
    <w:p w14:paraId="6483EB34" w14:textId="77777777" w:rsidR="003125BF" w:rsidRPr="00C05D6B" w:rsidRDefault="003125BF" w:rsidP="003125BF">
      <w:pPr>
        <w:rPr>
          <w:rFonts w:ascii="Garamond" w:eastAsia="Times New Roman" w:hAnsi="Garamond" w:cs="Times New Roman"/>
        </w:rPr>
      </w:pPr>
      <w:r w:rsidRPr="00C05D6B">
        <w:rPr>
          <w:rFonts w:ascii="Garamond" w:eastAsia="Times New Roman" w:hAnsi="Garamond" w:cs="Times New Roman"/>
        </w:rPr>
        <w:t>B</w:t>
      </w:r>
    </w:p>
    <w:p w14:paraId="33E3181C" w14:textId="77777777" w:rsidR="003125BF" w:rsidRPr="00C05D6B" w:rsidRDefault="003125BF" w:rsidP="003125BF">
      <w:pPr>
        <w:rPr>
          <w:rFonts w:ascii="Garamond" w:eastAsia="Times New Roman" w:hAnsi="Garamond" w:cs="Times New Roman"/>
        </w:rPr>
      </w:pPr>
    </w:p>
    <w:p w14:paraId="2A20CB6E"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Rather than relying on </w:t>
      </w:r>
      <w:r w:rsidRPr="00C05D6B">
        <w:rPr>
          <w:rFonts w:ascii="Garamond" w:eastAsia="Times New Roman" w:hAnsi="Garamond" w:cs="Times New Roman"/>
          <w:i/>
          <w:iCs/>
        </w:rPr>
        <w:t xml:space="preserve">Atlas Roofing </w:t>
      </w:r>
      <w:r w:rsidRPr="00C05D6B">
        <w:rPr>
          <w:rFonts w:ascii="Garamond" w:eastAsia="Times New Roman" w:hAnsi="Garamond" w:cs="Times New Roman"/>
        </w:rPr>
        <w:t xml:space="preserve">or the relevant public-rights cases, the majority instead purports to follow </w:t>
      </w:r>
      <w:proofErr w:type="spellStart"/>
      <w:r w:rsidRPr="00C05D6B">
        <w:rPr>
          <w:rFonts w:ascii="Garamond" w:eastAsia="Times New Roman" w:hAnsi="Garamond" w:cs="Times New Roman"/>
          <w:i/>
          <w:iCs/>
        </w:rPr>
        <w:t>Tull</w:t>
      </w:r>
      <w:proofErr w:type="spellEnd"/>
      <w:r w:rsidRPr="00C05D6B">
        <w:rPr>
          <w:rFonts w:ascii="Garamond" w:eastAsia="Times New Roman" w:hAnsi="Garamond" w:cs="Times New Roman"/>
          <w:i/>
          <w:iCs/>
        </w:rPr>
        <w:t xml:space="preserve"> </w:t>
      </w:r>
      <w:r w:rsidRPr="00C05D6B">
        <w:rPr>
          <w:rFonts w:ascii="Garamond" w:eastAsia="Times New Roman" w:hAnsi="Garamond" w:cs="Times New Roman"/>
        </w:rPr>
        <w:t xml:space="preserve">and </w:t>
      </w: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rPr>
        <w:t>. The former involved a suit in federal court and the latter involved a dispute between private parties. So, just like that, the majority ventures off on the wrong path. [B]</w:t>
      </w:r>
      <w:proofErr w:type="spellStart"/>
      <w:r w:rsidRPr="00C05D6B">
        <w:rPr>
          <w:rFonts w:ascii="Garamond" w:eastAsia="Times New Roman" w:hAnsi="Garamond" w:cs="Times New Roman"/>
        </w:rPr>
        <w:t>oth</w:t>
      </w:r>
      <w:proofErr w:type="spellEnd"/>
      <w:r w:rsidRPr="00C05D6B">
        <w:rPr>
          <w:rFonts w:ascii="Garamond" w:eastAsia="Times New Roman" w:hAnsi="Garamond" w:cs="Times New Roman"/>
        </w:rPr>
        <w:t xml:space="preserve"> the majority and the concurrence miss the critical distinction drawn in this Court's precedents between the non-</w:t>
      </w:r>
      <w:hyperlink r:id="rId38" w:history="1">
        <w:r w:rsidRPr="00C05D6B">
          <w:rPr>
            <w:rFonts w:ascii="Garamond" w:eastAsia="Times New Roman" w:hAnsi="Garamond" w:cs="Times New Roman"/>
          </w:rPr>
          <w:t>Article III</w:t>
        </w:r>
      </w:hyperlink>
      <w:r w:rsidRPr="00C05D6B">
        <w:rPr>
          <w:rFonts w:ascii="Garamond" w:eastAsia="Times New Roman" w:hAnsi="Garamond" w:cs="Times New Roman"/>
        </w:rPr>
        <w:t xml:space="preserve"> adjudication of public-rights matters involving the liability of one individual to another and those involving claims belonging to the Government in its sovereign capacity.</w:t>
      </w:r>
    </w:p>
    <w:p w14:paraId="6A397F84" w14:textId="77777777" w:rsidR="003125BF" w:rsidRPr="00C05D6B" w:rsidRDefault="003125BF" w:rsidP="003125BF">
      <w:pPr>
        <w:rPr>
          <w:rFonts w:ascii="Garamond" w:eastAsia="Times New Roman" w:hAnsi="Garamond" w:cs="Times New Roman"/>
        </w:rPr>
      </w:pPr>
    </w:p>
    <w:p w14:paraId="3ADDEBD5"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It would have been quite remarkable for </w:t>
      </w:r>
      <w:proofErr w:type="spellStart"/>
      <w:r w:rsidRPr="00C05D6B">
        <w:rPr>
          <w:rFonts w:ascii="Garamond" w:eastAsia="Times New Roman" w:hAnsi="Garamond" w:cs="Times New Roman"/>
          <w:i/>
          <w:iCs/>
        </w:rPr>
        <w:t>Tull</w:t>
      </w:r>
      <w:proofErr w:type="spellEnd"/>
      <w:r w:rsidRPr="00C05D6B">
        <w:rPr>
          <w:rFonts w:ascii="Garamond" w:eastAsia="Times New Roman" w:hAnsi="Garamond" w:cs="Times New Roman"/>
        </w:rPr>
        <w:t xml:space="preserve">, which involved a claim in federal court, to overrule silently more than a century of caselaw involving non-Article III adjudications of the Government's rights to civil penalties for statutory violations. Of course, </w:t>
      </w:r>
      <w:proofErr w:type="spellStart"/>
      <w:r w:rsidRPr="00C05D6B">
        <w:rPr>
          <w:rFonts w:ascii="Garamond" w:eastAsia="Times New Roman" w:hAnsi="Garamond" w:cs="Times New Roman"/>
          <w:i/>
          <w:iCs/>
        </w:rPr>
        <w:t>Tull</w:t>
      </w:r>
      <w:proofErr w:type="spellEnd"/>
      <w:r w:rsidRPr="00C05D6B">
        <w:rPr>
          <w:rFonts w:ascii="Garamond" w:eastAsia="Times New Roman" w:hAnsi="Garamond" w:cs="Times New Roman"/>
        </w:rPr>
        <w:t xml:space="preserve"> did no such thing. </w:t>
      </w:r>
      <w:proofErr w:type="spellStart"/>
      <w:r w:rsidRPr="00C05D6B">
        <w:rPr>
          <w:rFonts w:ascii="Garamond" w:eastAsia="Times New Roman" w:hAnsi="Garamond" w:cs="Times New Roman"/>
          <w:i/>
          <w:iCs/>
        </w:rPr>
        <w:t>Tull</w:t>
      </w:r>
      <w:proofErr w:type="spellEnd"/>
      <w:r w:rsidRPr="00C05D6B">
        <w:rPr>
          <w:rFonts w:ascii="Garamond" w:eastAsia="Times New Roman" w:hAnsi="Garamond" w:cs="Times New Roman"/>
          <w:i/>
          <w:iCs/>
        </w:rPr>
        <w:t xml:space="preserve"> </w:t>
      </w:r>
      <w:r w:rsidRPr="00C05D6B">
        <w:rPr>
          <w:rFonts w:ascii="Garamond" w:eastAsia="Times New Roman" w:hAnsi="Garamond" w:cs="Times New Roman"/>
        </w:rPr>
        <w:t xml:space="preserve">even reaffirmed </w:t>
      </w:r>
      <w:r w:rsidRPr="00C05D6B">
        <w:rPr>
          <w:rFonts w:ascii="Garamond" w:eastAsia="Times New Roman" w:hAnsi="Garamond" w:cs="Times New Roman"/>
          <w:i/>
          <w:iCs/>
        </w:rPr>
        <w:t>Atlas Roofing</w:t>
      </w:r>
      <w:r w:rsidRPr="00C05D6B">
        <w:rPr>
          <w:rFonts w:ascii="Garamond" w:eastAsia="Times New Roman" w:hAnsi="Garamond" w:cs="Times New Roman"/>
        </w:rPr>
        <w:t xml:space="preserve"> by emphasizing that the Seventh Amendment depends on the forum, not just the remedy, because it “is not applicable to administrative proceedings.” For the majority to pretend otherwise is wishful thinking at best.</w:t>
      </w:r>
    </w:p>
    <w:p w14:paraId="6EAD0E09" w14:textId="77777777" w:rsidR="003125BF" w:rsidRPr="00C05D6B" w:rsidRDefault="003125BF" w:rsidP="003125BF">
      <w:pPr>
        <w:rPr>
          <w:rFonts w:ascii="Garamond" w:eastAsia="Times New Roman" w:hAnsi="Garamond" w:cs="Times New Roman"/>
        </w:rPr>
      </w:pPr>
    </w:p>
    <w:p w14:paraId="6DCBB46A" w14:textId="27AD947E" w:rsidR="003125BF" w:rsidRPr="00C05D6B" w:rsidRDefault="003125BF" w:rsidP="003125BF">
      <w:pPr>
        <w:ind w:firstLine="720"/>
        <w:rPr>
          <w:rFonts w:ascii="Garamond" w:hAnsi="Garamond" w:cs="Times New Roman"/>
        </w:rPr>
      </w:pP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rPr>
        <w:t xml:space="preserve">, on which the majority relies to make its cause-of-action argument, set forth the public-rights analysis only for “disputes to which the Federal Government is not a party in its sovereign capacity.” For cases that, as here, involve the Government in its sovereign capacity, the </w:t>
      </w:r>
      <w:proofErr w:type="spellStart"/>
      <w:r w:rsidRPr="00C05D6B">
        <w:rPr>
          <w:rFonts w:ascii="Garamond" w:eastAsia="Times New Roman" w:hAnsi="Garamond" w:cs="Times New Roman"/>
          <w:i/>
          <w:iCs/>
        </w:rPr>
        <w:t>Granfinanciera</w:t>
      </w:r>
      <w:proofErr w:type="spellEnd"/>
      <w:r w:rsidRPr="00C05D6B">
        <w:rPr>
          <w:rFonts w:ascii="Garamond" w:eastAsia="Times New Roman" w:hAnsi="Garamond" w:cs="Times New Roman"/>
          <w:i/>
          <w:iCs/>
        </w:rPr>
        <w:t xml:space="preserve"> </w:t>
      </w:r>
      <w:r w:rsidRPr="00C05D6B">
        <w:rPr>
          <w:rFonts w:ascii="Garamond" w:eastAsia="Times New Roman" w:hAnsi="Garamond" w:cs="Times New Roman"/>
        </w:rPr>
        <w:t xml:space="preserve">Court plainly stated that “Congress may fashion causes of action that are closely </w:t>
      </w:r>
      <w:r w:rsidRPr="00C05D6B">
        <w:rPr>
          <w:rFonts w:ascii="Garamond" w:eastAsia="Times New Roman" w:hAnsi="Garamond" w:cs="Times New Roman"/>
          <w:i/>
          <w:iCs/>
        </w:rPr>
        <w:t>analogous</w:t>
      </w:r>
      <w:r w:rsidRPr="00C05D6B">
        <w:rPr>
          <w:rFonts w:ascii="Garamond" w:eastAsia="Times New Roman" w:hAnsi="Garamond" w:cs="Times New Roman"/>
        </w:rPr>
        <w:t xml:space="preserve"> to common-law claims and [still] place them beyond the ambit of the Seventh Amendment by assigning their resolution to a [non-Article III] forum in which jury trials are unavailable.” </w:t>
      </w:r>
    </w:p>
    <w:p w14:paraId="3AD544C3" w14:textId="77777777" w:rsidR="003125BF" w:rsidRPr="00C05D6B" w:rsidRDefault="003125BF" w:rsidP="003125BF">
      <w:pPr>
        <w:rPr>
          <w:rFonts w:ascii="Garamond" w:eastAsia="Times New Roman" w:hAnsi="Garamond" w:cs="Times New Roman"/>
        </w:rPr>
      </w:pPr>
    </w:p>
    <w:p w14:paraId="782E7C94"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 xml:space="preserve">The majority pulls a rug out from under Congress without even acknowledging that its decision upends over two centuries of settled Government practice. </w:t>
      </w:r>
    </w:p>
    <w:p w14:paraId="2A6E3D31" w14:textId="77777777" w:rsidR="003125BF" w:rsidRPr="00C05D6B" w:rsidRDefault="003125BF" w:rsidP="003125BF">
      <w:pPr>
        <w:rPr>
          <w:rFonts w:ascii="Garamond" w:eastAsia="Times New Roman" w:hAnsi="Garamond" w:cs="Times New Roman"/>
        </w:rPr>
      </w:pPr>
    </w:p>
    <w:p w14:paraId="622E4B5A" w14:textId="5322A526"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Following this Court</w:t>
      </w:r>
      <w:r w:rsidR="00DD07D6" w:rsidRPr="00C05D6B">
        <w:rPr>
          <w:rFonts w:ascii="Garamond" w:eastAsia="Times New Roman" w:hAnsi="Garamond" w:cs="Times New Roman"/>
        </w:rPr>
        <w:t>’</w:t>
      </w:r>
      <w:r w:rsidRPr="00C05D6B">
        <w:rPr>
          <w:rFonts w:ascii="Garamond" w:eastAsia="Times New Roman" w:hAnsi="Garamond" w:cs="Times New Roman"/>
        </w:rPr>
        <w:t xml:space="preserve">s precedents and the recommendation of the Administrative Conference of the United States, Congress has enacted countless new statutes in the past 50 years that have empowered federal agencies to impose civil penalties for statutory violations. These statutes are sometimes enacted in addition to, but often instead of, “the traditional civil enforcement statutes that permitted agencies to collect civil penalties only after federal district court trials.” “By 1986, there were over 200 such statutes” and “[t]he trend has, if anything, accelerated” since then. </w:t>
      </w:r>
    </w:p>
    <w:p w14:paraId="250DB1A2" w14:textId="77777777" w:rsidR="003125BF" w:rsidRPr="00C05D6B" w:rsidRDefault="003125BF" w:rsidP="003125BF">
      <w:pPr>
        <w:ind w:firstLine="720"/>
        <w:rPr>
          <w:rFonts w:ascii="Garamond" w:eastAsia="Times New Roman" w:hAnsi="Garamond" w:cs="Times New Roman"/>
        </w:rPr>
      </w:pPr>
    </w:p>
    <w:p w14:paraId="196469F2" w14:textId="77777777"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Similarly, there are, at the very least, more than two dozen agencies that can impose civil penalties in administrative proceedings. Some agencies, like the Consumer Financial Protection Bureau, the Environmental Protection Agency, and the SEC, can pursue civil penalties in both administrative proceedings and federal court. Others do not have that choice. As the above-cited statutes confirm, the Occupational Safety and Health Review Commission, the Federal Energy Regulatory Commission, the Federal Mine Safety and Health Review Commission, the Department of Agriculture, and many others, can pursue civil penalties only in agency enforcement proceedings. For those and countless other agencies, all the majority can say is tough luck; get a new statute from Congress.</w:t>
      </w:r>
    </w:p>
    <w:p w14:paraId="3C413771" w14:textId="77777777" w:rsidR="003125BF" w:rsidRPr="00C05D6B" w:rsidRDefault="003125BF" w:rsidP="003125BF">
      <w:pPr>
        <w:ind w:firstLine="720"/>
        <w:rPr>
          <w:rFonts w:ascii="Garamond" w:eastAsia="Times New Roman" w:hAnsi="Garamond" w:cs="Times New Roman"/>
        </w:rPr>
      </w:pPr>
    </w:p>
    <w:p w14:paraId="2CF8AB51" w14:textId="73267AB1" w:rsidR="003125BF" w:rsidRPr="00C05D6B" w:rsidRDefault="003125BF" w:rsidP="003125BF">
      <w:pPr>
        <w:ind w:firstLine="720"/>
        <w:rPr>
          <w:rFonts w:ascii="Garamond" w:eastAsia="Times New Roman" w:hAnsi="Garamond" w:cs="Times New Roman"/>
        </w:rPr>
      </w:pPr>
      <w:r w:rsidRPr="00C05D6B">
        <w:rPr>
          <w:rFonts w:ascii="Garamond" w:eastAsia="Times New Roman" w:hAnsi="Garamond" w:cs="Times New Roman"/>
        </w:rPr>
        <w:t>Against this backdrop, our coequal branches will be surprised to learn that the rule they thought long settled, and which remained unchallenged for half a century, is one that, according to the majority and the concurrence, my dissent just announced today. Unfortunately, that mistaken view means that the constitutionality of hundreds of statutes may now be in peril, and dozens of agencies could be stripped of their power to enforce laws enacted by Congress. Rather than acknowledge the earthshattering nature of its holding, the majority has tried to disguise it. The majority claims that its ruling is limited to “civil penalty suits for fraud” pursuant to a statute that is “barely over a decade old,” an assurance that is in significant tension with other parts of its reasoning. That incredible assertion should fool no one. Today</w:t>
      </w:r>
      <w:r w:rsidR="00DD07D6" w:rsidRPr="00C05D6B">
        <w:rPr>
          <w:rFonts w:ascii="Garamond" w:eastAsia="Times New Roman" w:hAnsi="Garamond" w:cs="Times New Roman"/>
        </w:rPr>
        <w:t>’</w:t>
      </w:r>
      <w:r w:rsidRPr="00C05D6B">
        <w:rPr>
          <w:rFonts w:ascii="Garamond" w:eastAsia="Times New Roman" w:hAnsi="Garamond" w:cs="Times New Roman"/>
        </w:rPr>
        <w:t>s decision is a massive sea change. Litigants seeking further dismantling of the “administrative state” have reason to rejoice in their win today, but those of us who cherish the rule of law have nothing to celebrate.</w:t>
      </w:r>
    </w:p>
    <w:p w14:paraId="7BF4DFA8" w14:textId="77777777" w:rsidR="006D27AB" w:rsidRPr="00C05D6B" w:rsidRDefault="006D27AB" w:rsidP="006D27AB">
      <w:pPr>
        <w:rPr>
          <w:rFonts w:ascii="Garamond" w:eastAsia="Times New Roman" w:hAnsi="Garamond" w:cs="Times New Roman"/>
        </w:rPr>
      </w:pPr>
    </w:p>
    <w:p w14:paraId="777E5938" w14:textId="666CEE0A" w:rsidR="00F0462B" w:rsidRPr="00C05D6B" w:rsidRDefault="00F0462B" w:rsidP="006D27AB">
      <w:pPr>
        <w:jc w:val="center"/>
        <w:rPr>
          <w:rFonts w:ascii="Garamond" w:eastAsia="Times New Roman" w:hAnsi="Garamond" w:cs="Times New Roman"/>
        </w:rPr>
      </w:pPr>
      <w:r w:rsidRPr="00C05D6B">
        <w:rPr>
          <w:rFonts w:ascii="Garamond" w:eastAsia="Times New Roman" w:hAnsi="Garamond" w:cs="Times New Roman"/>
        </w:rPr>
        <w:t>***</w:t>
      </w:r>
    </w:p>
    <w:p w14:paraId="41414E61" w14:textId="77777777" w:rsidR="00F0462B" w:rsidRPr="00C05D6B" w:rsidRDefault="00F0462B" w:rsidP="003125BF">
      <w:pPr>
        <w:ind w:firstLine="720"/>
        <w:rPr>
          <w:rFonts w:ascii="Garamond" w:eastAsia="Times New Roman" w:hAnsi="Garamond" w:cs="Times New Roman"/>
        </w:rPr>
      </w:pPr>
    </w:p>
    <w:p w14:paraId="10527889" w14:textId="4D92C5F3" w:rsidR="00F0462B" w:rsidRPr="00C05D6B" w:rsidRDefault="00F0462B" w:rsidP="00F0462B">
      <w:pPr>
        <w:ind w:firstLine="720"/>
        <w:rPr>
          <w:rFonts w:ascii="Garamond" w:hAnsi="Garamond"/>
        </w:rPr>
      </w:pPr>
      <w:proofErr w:type="spellStart"/>
      <w:r w:rsidRPr="00C05D6B">
        <w:rPr>
          <w:rFonts w:ascii="Garamond" w:hAnsi="Garamond"/>
          <w:i/>
          <w:iCs/>
        </w:rPr>
        <w:t>Jarkesy</w:t>
      </w:r>
      <w:proofErr w:type="spellEnd"/>
      <w:r w:rsidRPr="00C05D6B">
        <w:rPr>
          <w:rFonts w:ascii="Garamond" w:hAnsi="Garamond"/>
        </w:rPr>
        <w:t xml:space="preserve"> raises the question whether administrative proceedings that lead to civil penalties require jury trial before an Article III court. In </w:t>
      </w:r>
      <w:r w:rsidRPr="00C05D6B">
        <w:rPr>
          <w:rFonts w:ascii="Garamond" w:hAnsi="Garamond"/>
          <w:i/>
          <w:iCs/>
        </w:rPr>
        <w:t>FCC v. AT&amp;T</w:t>
      </w:r>
      <w:r w:rsidR="009B1B78" w:rsidRPr="00C05D6B">
        <w:rPr>
          <w:rFonts w:ascii="Garamond" w:hAnsi="Garamond"/>
          <w:i/>
          <w:iCs/>
        </w:rPr>
        <w:fldChar w:fldCharType="begin"/>
      </w:r>
      <w:r w:rsidR="009B1B78" w:rsidRPr="00C05D6B">
        <w:rPr>
          <w:rFonts w:ascii="Garamond" w:hAnsi="Garamond"/>
        </w:rPr>
        <w:instrText xml:space="preserve"> TA \l "</w:instrText>
      </w:r>
      <w:r w:rsidR="009B1B78" w:rsidRPr="00F5595D">
        <w:rPr>
          <w:rFonts w:ascii="Garamond" w:hAnsi="Garamond"/>
        </w:rPr>
        <w:instrText>FCC v. AT&amp;T</w:instrText>
      </w:r>
      <w:r w:rsidR="009B1B78" w:rsidRPr="00C05D6B">
        <w:rPr>
          <w:rFonts w:ascii="Garamond" w:hAnsi="Garamond"/>
        </w:rPr>
        <w:instrText xml:space="preserve">" \s "FCC v. AT&amp;T" \c 1 </w:instrText>
      </w:r>
      <w:r w:rsidR="009B1B78" w:rsidRPr="00C05D6B">
        <w:rPr>
          <w:rFonts w:ascii="Garamond" w:hAnsi="Garamond"/>
          <w:i/>
          <w:iCs/>
        </w:rPr>
        <w:fldChar w:fldCharType="end"/>
      </w:r>
      <w:r w:rsidRPr="00C05D6B">
        <w:rPr>
          <w:rFonts w:ascii="Garamond" w:hAnsi="Garamond"/>
        </w:rPr>
        <w:t xml:space="preserve"> (2026), AT&amp;T invoked </w:t>
      </w:r>
      <w:proofErr w:type="spellStart"/>
      <w:r w:rsidRPr="00C05D6B">
        <w:rPr>
          <w:rFonts w:ascii="Garamond" w:hAnsi="Garamond"/>
          <w:i/>
          <w:iCs/>
        </w:rPr>
        <w:t>Jarkesy</w:t>
      </w:r>
      <w:proofErr w:type="spellEnd"/>
      <w:r w:rsidRPr="00C05D6B">
        <w:rPr>
          <w:rFonts w:ascii="Garamond" w:hAnsi="Garamond"/>
        </w:rPr>
        <w:t xml:space="preserve"> to challenge the FCC’s power to make civil penalty determinations without a jury trial. The FCC has power to make substantial civil penalty determinations through an agency forfeiture adjudication.  By statute, the regulated entity can either appeal that determination to a circuit court or refuse to pay and force the agency to initiate a civil suit in federal district court where a de novo jury trial is </w:t>
      </w:r>
      <w:r w:rsidRPr="00C05D6B">
        <w:rPr>
          <w:rFonts w:ascii="Garamond" w:hAnsi="Garamond"/>
        </w:rPr>
        <w:lastRenderedPageBreak/>
        <w:t xml:space="preserve">available. AT&amp;T argued that the agency could not, consistent with </w:t>
      </w:r>
      <w:proofErr w:type="spellStart"/>
      <w:r w:rsidRPr="00C05D6B">
        <w:rPr>
          <w:rFonts w:ascii="Garamond" w:hAnsi="Garamond"/>
          <w:i/>
          <w:iCs/>
        </w:rPr>
        <w:t>Jarkesy</w:t>
      </w:r>
      <w:proofErr w:type="spellEnd"/>
      <w:r w:rsidRPr="00C05D6B">
        <w:rPr>
          <w:rFonts w:ascii="Garamond" w:hAnsi="Garamond"/>
        </w:rPr>
        <w:t xml:space="preserve">, make a determination of liability in a non-jury agency proceeding. The Court distinguished </w:t>
      </w:r>
      <w:proofErr w:type="spellStart"/>
      <w:r w:rsidRPr="00C05D6B">
        <w:rPr>
          <w:rFonts w:ascii="Garamond" w:hAnsi="Garamond"/>
          <w:i/>
          <w:iCs/>
        </w:rPr>
        <w:t>Jarkesy</w:t>
      </w:r>
      <w:proofErr w:type="spellEnd"/>
      <w:r w:rsidRPr="00C05D6B">
        <w:rPr>
          <w:rFonts w:ascii="Garamond" w:hAnsi="Garamond"/>
        </w:rPr>
        <w:t xml:space="preserve"> on the ground that the FCC’s agency forfeiture proceedings do not “conclusively” ascertain legal rights or “create an obligation to pay.” </w:t>
      </w:r>
      <w:r w:rsidR="006529C1" w:rsidRPr="00C05D6B">
        <w:rPr>
          <w:rFonts w:ascii="Garamond" w:hAnsi="Garamond"/>
        </w:rPr>
        <w:t>Because</w:t>
      </w:r>
      <w:r w:rsidRPr="00C05D6B">
        <w:rPr>
          <w:rFonts w:ascii="Garamond" w:hAnsi="Garamond"/>
        </w:rPr>
        <w:t xml:space="preserve"> the government must “prove its case to a jury” in federal court before that obligation arises, there is no Seventh Amendment defect in the forfeiture process. In </w:t>
      </w:r>
      <w:proofErr w:type="spellStart"/>
      <w:r w:rsidRPr="00C05D6B">
        <w:rPr>
          <w:rFonts w:ascii="Garamond" w:hAnsi="Garamond"/>
          <w:i/>
          <w:iCs/>
        </w:rPr>
        <w:t>Jarkesy</w:t>
      </w:r>
      <w:proofErr w:type="spellEnd"/>
      <w:r w:rsidRPr="00C05D6B">
        <w:rPr>
          <w:rFonts w:ascii="Garamond" w:hAnsi="Garamond"/>
        </w:rPr>
        <w:t>, by contrast, “the SEC could garnish … wages or deduct a portion of the forfeiture from [the defendant’s] tax return. And if the SEC were required to resort to judicial means of enforcement, no jury was available</w:t>
      </w:r>
      <w:r w:rsidR="0016328C" w:rsidRPr="00C05D6B">
        <w:rPr>
          <w:rFonts w:ascii="Garamond" w:hAnsi="Garamond"/>
        </w:rPr>
        <w:t>—</w:t>
      </w:r>
      <w:r w:rsidRPr="00C05D6B">
        <w:rPr>
          <w:rFonts w:ascii="Garamond" w:hAnsi="Garamond"/>
        </w:rPr>
        <w:t xml:space="preserve">at least as to the underlying violation. That means that the ultimate determination of the facts giving rise to the obligation to pay rested not with a jury, but with the SEC alone.” How significant is it that the jury trial option for reviewing FCC forfeiture determinations is </w:t>
      </w:r>
      <w:r w:rsidRPr="00C05D6B">
        <w:rPr>
          <w:rFonts w:ascii="Garamond" w:hAnsi="Garamond"/>
          <w:i/>
          <w:iCs/>
        </w:rPr>
        <w:t>de novo</w:t>
      </w:r>
      <w:r w:rsidRPr="00C05D6B">
        <w:rPr>
          <w:rFonts w:ascii="Garamond" w:hAnsi="Garamond"/>
        </w:rPr>
        <w:t xml:space="preserve">? </w:t>
      </w:r>
    </w:p>
    <w:p w14:paraId="37C3C4D3" w14:textId="77777777" w:rsidR="00F0462B" w:rsidRPr="00C05D6B" w:rsidRDefault="00F0462B" w:rsidP="00F0462B">
      <w:pPr>
        <w:rPr>
          <w:rFonts w:ascii="Garamond" w:eastAsia="Times New Roman" w:hAnsi="Garamond" w:cs="Times New Roman"/>
        </w:rPr>
      </w:pPr>
    </w:p>
    <w:p w14:paraId="56BD12A3" w14:textId="374E387C" w:rsidR="00F0462B" w:rsidRPr="00C05D6B" w:rsidRDefault="00F0462B" w:rsidP="00F0462B">
      <w:pPr>
        <w:ind w:firstLine="720"/>
        <w:rPr>
          <w:rFonts w:ascii="Garamond" w:hAnsi="Garamond"/>
        </w:rPr>
      </w:pPr>
      <w:r w:rsidRPr="00C05D6B">
        <w:rPr>
          <w:rFonts w:ascii="Garamond" w:eastAsia="Times New Roman" w:hAnsi="Garamond" w:cs="Times New Roman"/>
        </w:rPr>
        <w:t xml:space="preserve">If the President can remove principal officers of agencies for refusing to bend to White House political priorities, can the President also remove executive officers who perform adjudicative functions within federal agencies and are supposed to be impartial non-Article III decision makers? </w:t>
      </w:r>
      <w:r w:rsidRPr="00C05D6B">
        <w:rPr>
          <w:rFonts w:ascii="Garamond" w:hAnsi="Garamond"/>
        </w:rPr>
        <w:t xml:space="preserve">In </w:t>
      </w:r>
      <w:r w:rsidRPr="00C05D6B">
        <w:rPr>
          <w:rFonts w:ascii="Garamond" w:hAnsi="Garamond"/>
          <w:i/>
          <w:iCs/>
        </w:rPr>
        <w:t>Trump v. Slaughter</w:t>
      </w:r>
      <w:r w:rsidR="009B1B78" w:rsidRPr="00C05D6B">
        <w:rPr>
          <w:rFonts w:ascii="Garamond" w:hAnsi="Garamond"/>
          <w:i/>
          <w:iCs/>
        </w:rPr>
        <w:fldChar w:fldCharType="begin"/>
      </w:r>
      <w:r w:rsidR="009B1B78" w:rsidRPr="00C05D6B">
        <w:rPr>
          <w:rFonts w:ascii="Garamond" w:hAnsi="Garamond"/>
        </w:rPr>
        <w:instrText xml:space="preserve"> TA \l "</w:instrText>
      </w:r>
      <w:r w:rsidR="009B1B78" w:rsidRPr="00372F61">
        <w:rPr>
          <w:rFonts w:ascii="Garamond" w:hAnsi="Garamond"/>
        </w:rPr>
        <w:instrText>Trump v. Slaughter</w:instrText>
      </w:r>
      <w:r w:rsidR="009B1B78" w:rsidRPr="00C05D6B">
        <w:rPr>
          <w:rFonts w:ascii="Garamond" w:hAnsi="Garamond"/>
        </w:rPr>
        <w:instrText xml:space="preserve">" \s "Trump v. Slaughter" \c 1 </w:instrText>
      </w:r>
      <w:r w:rsidR="009B1B78" w:rsidRPr="00C05D6B">
        <w:rPr>
          <w:rFonts w:ascii="Garamond" w:hAnsi="Garamond"/>
          <w:i/>
          <w:iCs/>
        </w:rPr>
        <w:fldChar w:fldCharType="end"/>
      </w:r>
      <w:r w:rsidRPr="00C05D6B">
        <w:rPr>
          <w:rFonts w:ascii="Garamond" w:hAnsi="Garamond"/>
        </w:rPr>
        <w:t xml:space="preserve"> (2026), the Supreme Court held that the president has removal power over the heads of independent agencies such as the FTC, reversing a ninety</w:t>
      </w:r>
      <w:r w:rsidR="00C12986" w:rsidRPr="00C05D6B">
        <w:rPr>
          <w:rFonts w:ascii="Garamond" w:hAnsi="Garamond"/>
        </w:rPr>
        <w:t>-</w:t>
      </w:r>
      <w:r w:rsidRPr="00C05D6B">
        <w:rPr>
          <w:rFonts w:ascii="Garamond" w:hAnsi="Garamond"/>
        </w:rPr>
        <w:t>year</w:t>
      </w:r>
      <w:r w:rsidR="00C12986" w:rsidRPr="00C05D6B">
        <w:rPr>
          <w:rFonts w:ascii="Garamond" w:hAnsi="Garamond"/>
        </w:rPr>
        <w:t>-</w:t>
      </w:r>
      <w:r w:rsidRPr="00C05D6B">
        <w:rPr>
          <w:rFonts w:ascii="Garamond" w:hAnsi="Garamond"/>
        </w:rPr>
        <w:t>old precedent that was foundational in the development of the administrative state.</w:t>
      </w:r>
      <w:r w:rsidRPr="00C05D6B">
        <w:rPr>
          <w:rFonts w:ascii="Garamond" w:hAnsi="Garamond"/>
          <w:i/>
          <w:iCs/>
        </w:rPr>
        <w:t xml:space="preserve"> See</w:t>
      </w:r>
      <w:r w:rsidRPr="00C05D6B">
        <w:rPr>
          <w:rFonts w:ascii="Garamond" w:hAnsi="Garamond"/>
        </w:rPr>
        <w:t xml:space="preserve"> </w:t>
      </w:r>
      <w:r w:rsidR="009B1B78" w:rsidRPr="00C05D6B">
        <w:rPr>
          <w:rFonts w:ascii="Garamond" w:hAnsi="Garamond"/>
        </w:rPr>
        <w:fldChar w:fldCharType="begin"/>
      </w:r>
      <w:r w:rsidR="009B1B78" w:rsidRPr="00C05D6B">
        <w:rPr>
          <w:rFonts w:ascii="Garamond" w:hAnsi="Garamond"/>
        </w:rPr>
        <w:instrText xml:space="preserve"> TA \l "</w:instrText>
      </w:r>
      <w:r w:rsidR="009B1B78" w:rsidRPr="00F5595D">
        <w:rPr>
          <w:rFonts w:ascii="Garamond" w:eastAsia="Times New Roman" w:hAnsi="Garamond" w:cs="Times New Roman"/>
        </w:rPr>
        <w:instrText>Humphrey’s Executor v. United States</w:instrText>
      </w:r>
      <w:r w:rsidR="009B1B78" w:rsidRPr="00C05D6B">
        <w:rPr>
          <w:rFonts w:ascii="Garamond" w:hAnsi="Garamond"/>
        </w:rPr>
        <w:instrText xml:space="preserve">" \s "Humphrey’s Executor v. United States" \c 1 </w:instrText>
      </w:r>
      <w:r w:rsidR="009B1B78" w:rsidRPr="00C05D6B">
        <w:rPr>
          <w:rFonts w:ascii="Garamond" w:hAnsi="Garamond"/>
        </w:rPr>
        <w:fldChar w:fldCharType="end"/>
      </w:r>
      <w:r w:rsidRPr="00C05D6B">
        <w:rPr>
          <w:rFonts w:ascii="Garamond" w:hAnsi="Garamond"/>
        </w:rPr>
        <w:t xml:space="preserve">Humphrey’s Executor v. U.S. (1935). The Court reasoned that in order to hold the president accountable to the public, and executive officers accountable to the president, executive agency heads must be removable by the president. These officers are mere “envoys” and subordinates of the president, the Court insisted, not a free-floating “fourth branch” of technocrats. Principal executive officers must be subject to presidential direction and control, and removable if they do not fall in line.  </w:t>
      </w:r>
    </w:p>
    <w:p w14:paraId="2E80EA28" w14:textId="77777777" w:rsidR="00F0462B" w:rsidRPr="00C05D6B" w:rsidRDefault="00F0462B" w:rsidP="00F0462B">
      <w:pPr>
        <w:ind w:firstLine="720"/>
        <w:rPr>
          <w:rFonts w:ascii="Garamond" w:hAnsi="Garamond"/>
        </w:rPr>
      </w:pPr>
    </w:p>
    <w:p w14:paraId="22A3CC70" w14:textId="10D28DDA" w:rsidR="00F0462B" w:rsidRPr="00C05D6B" w:rsidRDefault="00F0462B" w:rsidP="00F0462B">
      <w:pPr>
        <w:ind w:firstLine="720"/>
        <w:rPr>
          <w:rFonts w:ascii="Garamond" w:hAnsi="Garamond"/>
        </w:rPr>
      </w:pPr>
      <w:r w:rsidRPr="00C05D6B">
        <w:rPr>
          <w:rFonts w:ascii="Garamond" w:hAnsi="Garamond"/>
        </w:rPr>
        <w:t>Although the Constitution is silent in Article II regarding removal power and quite detailed with respect to appointments power, the Court concluded that by vesting executive power in a single office through the Vesting and Take Care Clauses, executive power must include removal power.  Early state governments divided executive power between governors and multimember councils, but this proved inefficient and dislocated both responsibility and accountability. In the federal constitution, “unity won out. Our Constitution’s drafters knew from experience that a ‘plurality in the executive’</w:t>
      </w:r>
      <w:r w:rsidR="0016328C" w:rsidRPr="00C05D6B">
        <w:rPr>
          <w:rFonts w:ascii="Garamond" w:hAnsi="Garamond"/>
        </w:rPr>
        <w:t>—</w:t>
      </w:r>
      <w:r w:rsidRPr="00C05D6B">
        <w:rPr>
          <w:rFonts w:ascii="Garamond" w:hAnsi="Garamond"/>
        </w:rPr>
        <w:t>the model in use by most States at the time</w:t>
      </w:r>
      <w:r w:rsidR="0016328C" w:rsidRPr="00C05D6B">
        <w:rPr>
          <w:rFonts w:ascii="Garamond" w:hAnsi="Garamond"/>
        </w:rPr>
        <w:t>—</w:t>
      </w:r>
      <w:r w:rsidRPr="00C05D6B">
        <w:rPr>
          <w:rFonts w:ascii="Garamond" w:hAnsi="Garamond"/>
        </w:rPr>
        <w:t xml:space="preserve">not only </w:t>
      </w:r>
      <w:r w:rsidR="00472AE8" w:rsidRPr="00C05D6B">
        <w:rPr>
          <w:rFonts w:ascii="Garamond" w:hAnsi="Garamond"/>
        </w:rPr>
        <w:t>‘</w:t>
      </w:r>
      <w:r w:rsidRPr="00C05D6B">
        <w:rPr>
          <w:rFonts w:ascii="Garamond" w:hAnsi="Garamond"/>
        </w:rPr>
        <w:t>diminishes the activity, secrecy</w:t>
      </w:r>
      <w:r w:rsidR="007C2386" w:rsidRPr="00C05D6B">
        <w:rPr>
          <w:rFonts w:ascii="Garamond" w:hAnsi="Garamond"/>
        </w:rPr>
        <w:t>, and dispatch</w:t>
      </w:r>
      <w:r w:rsidR="00472AE8" w:rsidRPr="00C05D6B">
        <w:rPr>
          <w:rFonts w:ascii="Garamond" w:hAnsi="Garamond"/>
        </w:rPr>
        <w:t>’</w:t>
      </w:r>
      <w:r w:rsidR="007C2386" w:rsidRPr="00C05D6B">
        <w:rPr>
          <w:rFonts w:ascii="Garamond" w:hAnsi="Garamond"/>
        </w:rPr>
        <w:t xml:space="preserve"> necessary to ensure </w:t>
      </w:r>
      <w:r w:rsidR="00472AE8" w:rsidRPr="00C05D6B">
        <w:rPr>
          <w:rFonts w:ascii="Garamond" w:hAnsi="Garamond"/>
        </w:rPr>
        <w:t>‘</w:t>
      </w:r>
      <w:r w:rsidR="007C2386" w:rsidRPr="00C05D6B">
        <w:rPr>
          <w:rFonts w:ascii="Garamond" w:hAnsi="Garamond"/>
        </w:rPr>
        <w:t>good government</w:t>
      </w:r>
      <w:r w:rsidR="00472AE8" w:rsidRPr="00C05D6B">
        <w:rPr>
          <w:rFonts w:ascii="Garamond" w:hAnsi="Garamond"/>
        </w:rPr>
        <w:t>’</w:t>
      </w:r>
      <w:r w:rsidR="007C2386" w:rsidRPr="00C05D6B">
        <w:rPr>
          <w:rFonts w:ascii="Garamond" w:hAnsi="Garamond"/>
        </w:rPr>
        <w:t xml:space="preserve"> but </w:t>
      </w:r>
      <w:r w:rsidR="00472AE8" w:rsidRPr="00C05D6B">
        <w:rPr>
          <w:rFonts w:ascii="Garamond" w:hAnsi="Garamond"/>
        </w:rPr>
        <w:t>‘</w:t>
      </w:r>
      <w:r w:rsidR="007C2386" w:rsidRPr="00C05D6B">
        <w:rPr>
          <w:rFonts w:ascii="Garamond" w:hAnsi="Garamond"/>
        </w:rPr>
        <w:t>tends to conceal faults and destroy responsibility.</w:t>
      </w:r>
      <w:r w:rsidR="00472AE8" w:rsidRPr="00C05D6B">
        <w:rPr>
          <w:rFonts w:ascii="Garamond" w:hAnsi="Garamond"/>
        </w:rPr>
        <w:t>’</w:t>
      </w:r>
      <w:r w:rsidR="00C0332C">
        <w:rPr>
          <w:rFonts w:ascii="Garamond" w:hAnsi="Garamond"/>
        </w:rPr>
        <w:t>”</w:t>
      </w:r>
      <w:r w:rsidRPr="00C05D6B">
        <w:rPr>
          <w:rFonts w:ascii="Garamond" w:hAnsi="Garamond"/>
        </w:rPr>
        <w:t xml:space="preserve"> This understanding, the majority reasoned, was embraced in the so-called “decision of 1789” when Congress decided not to confer removal power by statute because it concluded that the power was already a constitutional prerogative of the president.  </w:t>
      </w:r>
    </w:p>
    <w:p w14:paraId="00E6983E" w14:textId="77777777" w:rsidR="00F0462B" w:rsidRPr="00C05D6B" w:rsidRDefault="00F0462B" w:rsidP="00F0462B">
      <w:pPr>
        <w:rPr>
          <w:rFonts w:ascii="Garamond" w:hAnsi="Garamond"/>
        </w:rPr>
      </w:pPr>
    </w:p>
    <w:p w14:paraId="296B34CD" w14:textId="4C61BA7F" w:rsidR="00F0462B" w:rsidRPr="00C05D6B" w:rsidRDefault="00F0462B" w:rsidP="00F0462B">
      <w:pPr>
        <w:ind w:firstLine="720"/>
        <w:rPr>
          <w:rFonts w:ascii="Garamond" w:hAnsi="Garamond"/>
        </w:rPr>
      </w:pPr>
      <w:r w:rsidRPr="00C05D6B">
        <w:rPr>
          <w:rFonts w:ascii="Garamond" w:hAnsi="Garamond"/>
          <w:i/>
          <w:iCs/>
        </w:rPr>
        <w:t>Humphrey’s Executor</w:t>
      </w:r>
      <w:r w:rsidR="009B1B78" w:rsidRPr="00C05D6B">
        <w:rPr>
          <w:rFonts w:ascii="Garamond" w:hAnsi="Garamond"/>
          <w:i/>
          <w:iCs/>
        </w:rPr>
        <w:fldChar w:fldCharType="begin"/>
      </w:r>
      <w:r w:rsidR="009B1B78" w:rsidRPr="00C05D6B">
        <w:rPr>
          <w:rFonts w:ascii="Garamond" w:hAnsi="Garamond"/>
        </w:rPr>
        <w:instrText xml:space="preserve"> TA \s "Humphrey’s Executor v. United States" </w:instrText>
      </w:r>
      <w:r w:rsidR="009B1B78" w:rsidRPr="00C05D6B">
        <w:rPr>
          <w:rFonts w:ascii="Garamond" w:hAnsi="Garamond"/>
          <w:i/>
          <w:iCs/>
        </w:rPr>
        <w:fldChar w:fldCharType="end"/>
      </w:r>
      <w:r w:rsidRPr="00C05D6B">
        <w:rPr>
          <w:rFonts w:ascii="Garamond" w:hAnsi="Garamond"/>
        </w:rPr>
        <w:t xml:space="preserve"> was wrongly decided, the Court continued, because agencies like the FTC do not simply exercise “quasi-legislative” or “quasi-judicial” powers. Regulation is executive power; in-house enforcement is executive power; and deciding to sue regulated entities is “core” executive prosecutorial power. The Court distinguished legislative agencies (such as the GAO, the CBO, and the Library of Congress), legislatively created entities that do not exercise executive power (such as the Boy Scouts of America and Georgetown University), non-Article III courts such as the Tax Court and the Court of Federal Claims, and in a separate decision the Federal Reserve (which the Court analogized to the First and Second National Banks</w:t>
      </w:r>
      <w:r w:rsidR="0016328C" w:rsidRPr="00C05D6B">
        <w:rPr>
          <w:rFonts w:ascii="Garamond" w:hAnsi="Garamond"/>
        </w:rPr>
        <w:t>—</w:t>
      </w:r>
      <w:r w:rsidRPr="00C05D6B">
        <w:rPr>
          <w:rFonts w:ascii="Garamond" w:hAnsi="Garamond"/>
        </w:rPr>
        <w:t xml:space="preserve">entities that set monetary policy and were not subject to presidential control). </w:t>
      </w:r>
      <w:r w:rsidRPr="00C05D6B">
        <w:rPr>
          <w:rFonts w:ascii="Garamond" w:hAnsi="Garamond"/>
          <w:i/>
          <w:iCs/>
        </w:rPr>
        <w:t>See</w:t>
      </w:r>
      <w:r w:rsidRPr="00C05D6B">
        <w:rPr>
          <w:rFonts w:ascii="Garamond" w:hAnsi="Garamond"/>
        </w:rPr>
        <w:t xml:space="preserve"> Trump v. Cook</w:t>
      </w:r>
      <w:r w:rsidR="00DD71FD" w:rsidRPr="00C05D6B">
        <w:rPr>
          <w:rFonts w:ascii="Garamond" w:hAnsi="Garamond"/>
        </w:rPr>
        <w:fldChar w:fldCharType="begin"/>
      </w:r>
      <w:r w:rsidR="00DD71FD" w:rsidRPr="00C05D6B">
        <w:rPr>
          <w:rFonts w:ascii="Garamond" w:hAnsi="Garamond"/>
        </w:rPr>
        <w:instrText xml:space="preserve"> TA \l "Trump v. Cook" \s "Trump v. Cook" \c 1 </w:instrText>
      </w:r>
      <w:r w:rsidR="00DD71FD" w:rsidRPr="00C05D6B">
        <w:rPr>
          <w:rFonts w:ascii="Garamond" w:hAnsi="Garamond"/>
        </w:rPr>
        <w:fldChar w:fldCharType="end"/>
      </w:r>
      <w:r w:rsidRPr="00C05D6B">
        <w:rPr>
          <w:rFonts w:ascii="Garamond" w:hAnsi="Garamond"/>
        </w:rPr>
        <w:t xml:space="preserve"> (2026).</w:t>
      </w:r>
    </w:p>
    <w:p w14:paraId="10D571BF" w14:textId="77777777" w:rsidR="00F0462B" w:rsidRPr="00C05D6B" w:rsidRDefault="00F0462B" w:rsidP="00F0462B">
      <w:pPr>
        <w:ind w:firstLine="720"/>
        <w:rPr>
          <w:rFonts w:ascii="Garamond" w:hAnsi="Garamond"/>
        </w:rPr>
      </w:pPr>
    </w:p>
    <w:p w14:paraId="6779601F" w14:textId="3D6027EA" w:rsidR="00F0462B" w:rsidRPr="00C05D6B" w:rsidRDefault="00F0462B" w:rsidP="00F0462B">
      <w:pPr>
        <w:ind w:firstLine="720"/>
        <w:rPr>
          <w:rFonts w:ascii="Garamond" w:hAnsi="Garamond"/>
        </w:rPr>
      </w:pPr>
      <w:r w:rsidRPr="00C05D6B">
        <w:rPr>
          <w:rFonts w:ascii="Garamond" w:hAnsi="Garamond"/>
        </w:rPr>
        <w:t xml:space="preserve">Justice Gorsuch concurred but emphasized that without judicial or congressional intervention, the president would now have unilateral control over agency powers that are both </w:t>
      </w:r>
      <w:r w:rsidRPr="00C05D6B">
        <w:rPr>
          <w:rFonts w:ascii="Garamond" w:hAnsi="Garamond"/>
        </w:rPr>
        <w:lastRenderedPageBreak/>
        <w:t>legislative and judicial. Justice Sotomayor, joined in dissent by Justices Kagan and Jackson, challenged the majority’s historical claims (recognizing a presidential power to remove does not necessarily mean that the Framers supported the power to remove at will), its disregard for stare decisis, and its award of power to the president “unknown even to the English Crown against which the Founders revolted, elevating him above his once-coequal branches by transforming a duty to take care that the laws be faithfully executed into a license to act in defiance of those very laws.”  Executive branch officers who refuse to comply with unlawful presidential orders can be unilaterally removed and replaced with sycophants and pawns.</w:t>
      </w:r>
    </w:p>
    <w:p w14:paraId="36698281" w14:textId="77777777" w:rsidR="00F0462B" w:rsidRPr="00C05D6B" w:rsidRDefault="00F0462B" w:rsidP="00F0462B">
      <w:pPr>
        <w:ind w:firstLine="720"/>
        <w:rPr>
          <w:rFonts w:ascii="Garamond" w:hAnsi="Garamond"/>
        </w:rPr>
      </w:pPr>
    </w:p>
    <w:p w14:paraId="08C06D0D" w14:textId="1EAD4A64" w:rsidR="00F0462B" w:rsidRPr="00C05D6B" w:rsidRDefault="00F0462B" w:rsidP="00F0462B">
      <w:pPr>
        <w:ind w:firstLine="720"/>
        <w:rPr>
          <w:rFonts w:ascii="Garamond" w:hAnsi="Garamond"/>
        </w:rPr>
      </w:pPr>
      <w:r w:rsidRPr="00C05D6B">
        <w:rPr>
          <w:rFonts w:ascii="Garamond" w:hAnsi="Garamond"/>
          <w:i/>
          <w:iCs/>
        </w:rPr>
        <w:t>Slaughter</w:t>
      </w:r>
      <w:r w:rsidRPr="00C05D6B">
        <w:rPr>
          <w:rFonts w:ascii="Garamond" w:hAnsi="Garamond"/>
        </w:rPr>
        <w:t xml:space="preserve"> raises the question whether non-Article III agency adjudicators may be removed by</w:t>
      </w:r>
      <w:r w:rsidR="003E63A8" w:rsidRPr="00C05D6B">
        <w:rPr>
          <w:rFonts w:ascii="Garamond" w:hAnsi="Garamond"/>
        </w:rPr>
        <w:t xml:space="preserve"> the</w:t>
      </w:r>
      <w:r w:rsidRPr="00C05D6B">
        <w:rPr>
          <w:rFonts w:ascii="Garamond" w:hAnsi="Garamond"/>
        </w:rPr>
        <w:t xml:space="preserve"> president and how agency adjudicators can meet the impartiality requirements of the Due Process </w:t>
      </w:r>
      <w:r w:rsidR="00360949" w:rsidRPr="00C05D6B">
        <w:rPr>
          <w:rFonts w:ascii="Garamond" w:hAnsi="Garamond"/>
        </w:rPr>
        <w:t>C</w:t>
      </w:r>
      <w:r w:rsidRPr="00C05D6B">
        <w:rPr>
          <w:rFonts w:ascii="Garamond" w:hAnsi="Garamond"/>
        </w:rPr>
        <w:t xml:space="preserve">lause if they or their superiors must follow presidential directives on pain of removal. On the one hand, inferior agency officers were not before the Court in </w:t>
      </w:r>
      <w:r w:rsidRPr="00C05D6B">
        <w:rPr>
          <w:rFonts w:ascii="Garamond" w:hAnsi="Garamond"/>
          <w:i/>
          <w:iCs/>
        </w:rPr>
        <w:t>Slaughter</w:t>
      </w:r>
      <w:r w:rsidRPr="00C05D6B">
        <w:rPr>
          <w:rFonts w:ascii="Garamond" w:hAnsi="Garamond"/>
        </w:rPr>
        <w:t xml:space="preserve">, Article II provides that these officers may be appointed by “the Courts of Law” or “the Heads of Departments,” and mere employees are not covered at all by the Appointments Clause. Moreover, the Court has long held that civil service removal protections may be legislated by Congress for inferior officers and mere employees, </w:t>
      </w:r>
      <w:r w:rsidRPr="00C05D6B">
        <w:rPr>
          <w:rFonts w:ascii="Garamond" w:hAnsi="Garamond"/>
          <w:i/>
          <w:iCs/>
        </w:rPr>
        <w:t>see</w:t>
      </w:r>
      <w:r w:rsidRPr="00C05D6B">
        <w:rPr>
          <w:rFonts w:ascii="Garamond" w:hAnsi="Garamond"/>
        </w:rPr>
        <w:t xml:space="preserve"> U.S. v. Perkins</w:t>
      </w:r>
      <w:r w:rsidR="00DD71FD" w:rsidRPr="00C05D6B">
        <w:rPr>
          <w:rFonts w:ascii="Garamond" w:hAnsi="Garamond"/>
        </w:rPr>
        <w:fldChar w:fldCharType="begin"/>
      </w:r>
      <w:r w:rsidR="00DD71FD" w:rsidRPr="00C05D6B">
        <w:rPr>
          <w:rFonts w:ascii="Garamond" w:hAnsi="Garamond"/>
        </w:rPr>
        <w:instrText xml:space="preserve"> TA \l "U</w:instrText>
      </w:r>
      <w:r w:rsidR="00372F61">
        <w:rPr>
          <w:rFonts w:ascii="Garamond" w:hAnsi="Garamond"/>
        </w:rPr>
        <w:instrText>nited States</w:instrText>
      </w:r>
      <w:r w:rsidR="00DD71FD" w:rsidRPr="00C05D6B">
        <w:rPr>
          <w:rFonts w:ascii="Garamond" w:hAnsi="Garamond"/>
        </w:rPr>
        <w:instrText xml:space="preserve"> v. Perkins" \s "U</w:instrText>
      </w:r>
      <w:r w:rsidR="00372F61">
        <w:rPr>
          <w:rFonts w:ascii="Garamond" w:hAnsi="Garamond"/>
        </w:rPr>
        <w:instrText>nited States</w:instrText>
      </w:r>
      <w:r w:rsidR="00DD71FD" w:rsidRPr="00C05D6B">
        <w:rPr>
          <w:rFonts w:ascii="Garamond" w:hAnsi="Garamond"/>
        </w:rPr>
        <w:instrText xml:space="preserve"> v. Perkins" \c 1 </w:instrText>
      </w:r>
      <w:r w:rsidR="00DD71FD" w:rsidRPr="00C05D6B">
        <w:rPr>
          <w:rFonts w:ascii="Garamond" w:hAnsi="Garamond"/>
        </w:rPr>
        <w:fldChar w:fldCharType="end"/>
      </w:r>
      <w:r w:rsidRPr="00C05D6B">
        <w:rPr>
          <w:rFonts w:ascii="Garamond" w:hAnsi="Garamond"/>
        </w:rPr>
        <w:t xml:space="preserve"> (1886), Free Enterprise Fund v. PCAOB</w:t>
      </w:r>
      <w:r w:rsidR="00DD71FD" w:rsidRPr="00C05D6B">
        <w:rPr>
          <w:rFonts w:ascii="Garamond" w:hAnsi="Garamond"/>
        </w:rPr>
        <w:fldChar w:fldCharType="begin"/>
      </w:r>
      <w:r w:rsidR="00DD71FD" w:rsidRPr="00C05D6B">
        <w:rPr>
          <w:rFonts w:ascii="Garamond" w:hAnsi="Garamond"/>
        </w:rPr>
        <w:instrText xml:space="preserve"> TA \l "Free Enterprise Fund v. PCAOB" \s "Free Enterprise Fund v. PCAOB" \c 1 </w:instrText>
      </w:r>
      <w:r w:rsidR="00DD71FD" w:rsidRPr="00C05D6B">
        <w:rPr>
          <w:rFonts w:ascii="Garamond" w:hAnsi="Garamond"/>
        </w:rPr>
        <w:fldChar w:fldCharType="end"/>
      </w:r>
      <w:r w:rsidRPr="00C05D6B">
        <w:rPr>
          <w:rFonts w:ascii="Garamond" w:hAnsi="Garamond"/>
        </w:rPr>
        <w:t xml:space="preserve"> (2010), and </w:t>
      </w:r>
      <w:proofErr w:type="spellStart"/>
      <w:r w:rsidRPr="00C05D6B">
        <w:rPr>
          <w:rFonts w:ascii="Garamond" w:hAnsi="Garamond"/>
        </w:rPr>
        <w:t>Seila</w:t>
      </w:r>
      <w:proofErr w:type="spellEnd"/>
      <w:r w:rsidRPr="00C05D6B">
        <w:rPr>
          <w:rFonts w:ascii="Garamond" w:hAnsi="Garamond"/>
        </w:rPr>
        <w:t xml:space="preserve"> Law v. CFPB</w:t>
      </w:r>
      <w:r w:rsidR="00DD71FD" w:rsidRPr="00C05D6B">
        <w:rPr>
          <w:rFonts w:ascii="Garamond" w:hAnsi="Garamond"/>
        </w:rPr>
        <w:fldChar w:fldCharType="begin"/>
      </w:r>
      <w:r w:rsidR="00DD71FD" w:rsidRPr="00C05D6B">
        <w:rPr>
          <w:rFonts w:ascii="Garamond" w:hAnsi="Garamond"/>
        </w:rPr>
        <w:instrText xml:space="preserve"> TA \l "Seila Law v. CFPB" \s "Seila Law v. CFPB" \c 1 </w:instrText>
      </w:r>
      <w:r w:rsidR="00DD71FD" w:rsidRPr="00C05D6B">
        <w:rPr>
          <w:rFonts w:ascii="Garamond" w:hAnsi="Garamond"/>
        </w:rPr>
        <w:fldChar w:fldCharType="end"/>
      </w:r>
      <w:r w:rsidRPr="00C05D6B">
        <w:rPr>
          <w:rFonts w:ascii="Garamond" w:hAnsi="Garamond"/>
        </w:rPr>
        <w:t xml:space="preserve"> (2020). Indeed, inferior officers are subject to greater congressional protection, those who perform adjudicative functions are often protected by civil service and other for</w:t>
      </w:r>
      <w:r w:rsidR="00F87472" w:rsidRPr="00C05D6B">
        <w:rPr>
          <w:rFonts w:ascii="Garamond" w:hAnsi="Garamond"/>
        </w:rPr>
        <w:t>-</w:t>
      </w:r>
      <w:r w:rsidRPr="00C05D6B">
        <w:rPr>
          <w:rFonts w:ascii="Garamond" w:hAnsi="Garamond"/>
        </w:rPr>
        <w:t xml:space="preserve">cause statutes, and </w:t>
      </w:r>
      <w:proofErr w:type="spellStart"/>
      <w:r w:rsidRPr="00C05D6B">
        <w:rPr>
          <w:rFonts w:ascii="Garamond" w:hAnsi="Garamond"/>
          <w:i/>
          <w:iCs/>
        </w:rPr>
        <w:t>Jarkesy</w:t>
      </w:r>
      <w:proofErr w:type="spellEnd"/>
      <w:r w:rsidRPr="00C05D6B">
        <w:rPr>
          <w:rFonts w:ascii="Garamond" w:hAnsi="Garamond"/>
        </w:rPr>
        <w:t xml:space="preserve"> recognizes that some forms of agency adjudication are constitutional. All of this counsels restraint in concluding that </w:t>
      </w:r>
      <w:r w:rsidRPr="00C05D6B">
        <w:rPr>
          <w:rFonts w:ascii="Garamond" w:hAnsi="Garamond"/>
          <w:i/>
          <w:iCs/>
        </w:rPr>
        <w:t>Slaughter</w:t>
      </w:r>
      <w:r w:rsidRPr="00C05D6B">
        <w:rPr>
          <w:rFonts w:ascii="Garamond" w:hAnsi="Garamond"/>
        </w:rPr>
        <w:t xml:space="preserve"> authorizes at-will presidential removal of non-Article III adjudicators.</w:t>
      </w:r>
    </w:p>
    <w:p w14:paraId="59244B8F" w14:textId="77777777" w:rsidR="00F0462B" w:rsidRPr="00C05D6B" w:rsidRDefault="00F0462B" w:rsidP="00F0462B">
      <w:pPr>
        <w:ind w:firstLine="720"/>
        <w:rPr>
          <w:rFonts w:ascii="Garamond" w:hAnsi="Garamond"/>
        </w:rPr>
      </w:pPr>
    </w:p>
    <w:p w14:paraId="6073A3DC" w14:textId="2B0F004F" w:rsidR="00F0462B" w:rsidRPr="00C05D6B" w:rsidRDefault="00F0462B" w:rsidP="00F0462B">
      <w:pPr>
        <w:ind w:firstLine="720"/>
        <w:rPr>
          <w:rFonts w:ascii="Garamond" w:hAnsi="Garamond"/>
        </w:rPr>
      </w:pPr>
      <w:r w:rsidRPr="00C05D6B">
        <w:rPr>
          <w:rFonts w:ascii="Garamond" w:hAnsi="Garamond"/>
        </w:rPr>
        <w:t xml:space="preserve">On the other hand, </w:t>
      </w:r>
      <w:r w:rsidRPr="00C05D6B">
        <w:rPr>
          <w:rFonts w:ascii="Garamond" w:hAnsi="Garamond"/>
          <w:i/>
          <w:iCs/>
        </w:rPr>
        <w:t>Slaughter</w:t>
      </w:r>
      <w:r w:rsidRPr="00C05D6B">
        <w:rPr>
          <w:rFonts w:ascii="Garamond" w:hAnsi="Garamond"/>
        </w:rPr>
        <w:t xml:space="preserve">’s theory of presidential control does not explicitly exclude lower executive officers or limit its holding explicitly to principal officers. Instead, the majority opinion repeatedly refers to the power to remove “subordinates” of the president, including the sweeping phrase: “Subordinates who exercise the Presidential power are subject to removal by him.” Presumably, the power to remove principal officers who supervise inferior officers is sufficient to vindicate presidential control, but </w:t>
      </w:r>
      <w:r w:rsidRPr="00C05D6B">
        <w:rPr>
          <w:rFonts w:ascii="Garamond" w:hAnsi="Garamond"/>
          <w:i/>
          <w:iCs/>
        </w:rPr>
        <w:t>Slaughter</w:t>
      </w:r>
      <w:r w:rsidRPr="00C05D6B">
        <w:rPr>
          <w:rFonts w:ascii="Garamond" w:hAnsi="Garamond"/>
        </w:rPr>
        <w:t xml:space="preserve"> provides no direct assurances on this front.</w:t>
      </w:r>
    </w:p>
    <w:p w14:paraId="478B87AC" w14:textId="77777777" w:rsidR="003125BF" w:rsidRPr="00C05D6B" w:rsidRDefault="003125BF" w:rsidP="003125BF">
      <w:pPr>
        <w:rPr>
          <w:rFonts w:ascii="Garamond" w:hAnsi="Garamond" w:cs="Times New Roman"/>
        </w:rPr>
      </w:pPr>
    </w:p>
    <w:p w14:paraId="259E5E8A" w14:textId="79449A4C" w:rsidR="003125BF" w:rsidRPr="00C05D6B" w:rsidRDefault="00285176" w:rsidP="003125BF">
      <w:pPr>
        <w:rPr>
          <w:rFonts w:ascii="Garamond" w:hAnsi="Garamond" w:cs="Times New Roman"/>
          <w:b/>
          <w:bCs/>
          <w:i/>
          <w:iCs/>
        </w:rPr>
      </w:pPr>
      <w:r w:rsidRPr="00C05D6B">
        <w:rPr>
          <w:rFonts w:ascii="Garamond" w:hAnsi="Garamond" w:cs="Times New Roman"/>
          <w:b/>
          <w:bCs/>
          <w:i/>
          <w:iCs/>
        </w:rPr>
        <w:t>C.</w:t>
      </w:r>
      <w:r w:rsidRPr="00C05D6B">
        <w:rPr>
          <w:rFonts w:ascii="Garamond" w:hAnsi="Garamond" w:cs="Times New Roman"/>
          <w:b/>
          <w:bCs/>
          <w:i/>
          <w:iCs/>
        </w:rPr>
        <w:tab/>
        <w:t>Congressional Power to Have State Courts Decide Federal Law Matters</w:t>
      </w:r>
    </w:p>
    <w:p w14:paraId="515D7FEF" w14:textId="77777777" w:rsidR="00285176" w:rsidRPr="00C05D6B" w:rsidRDefault="00285176" w:rsidP="003125BF">
      <w:pPr>
        <w:rPr>
          <w:rFonts w:ascii="Garamond" w:hAnsi="Garamond" w:cs="Times New Roman"/>
          <w:b/>
          <w:bCs/>
          <w:i/>
          <w:iCs/>
        </w:rPr>
      </w:pPr>
    </w:p>
    <w:p w14:paraId="5FCE5DD5" w14:textId="54E72DF6" w:rsidR="00285176" w:rsidRPr="00C05D6B" w:rsidRDefault="00285176" w:rsidP="003125BF">
      <w:pPr>
        <w:rPr>
          <w:rFonts w:ascii="Garamond" w:hAnsi="Garamond" w:cs="Times New Roman"/>
          <w:b/>
          <w:bCs/>
        </w:rPr>
      </w:pPr>
      <w:r w:rsidRPr="00C05D6B">
        <w:rPr>
          <w:rFonts w:ascii="Garamond" w:hAnsi="Garamond" w:cs="Times New Roman"/>
          <w:b/>
          <w:bCs/>
          <w:i/>
          <w:iCs/>
        </w:rPr>
        <w:tab/>
      </w:r>
      <w:r w:rsidRPr="00C05D6B">
        <w:rPr>
          <w:rFonts w:ascii="Garamond" w:hAnsi="Garamond" w:cs="Times New Roman"/>
          <w:b/>
          <w:bCs/>
        </w:rPr>
        <w:t>1.</w:t>
      </w:r>
      <w:r w:rsidRPr="00C05D6B">
        <w:rPr>
          <w:rFonts w:ascii="Garamond" w:hAnsi="Garamond" w:cs="Times New Roman"/>
          <w:b/>
          <w:bCs/>
        </w:rPr>
        <w:tab/>
        <w:t>Discrimination Against Federal Claims</w:t>
      </w:r>
    </w:p>
    <w:p w14:paraId="470F2728" w14:textId="77777777" w:rsidR="00285176" w:rsidRPr="00C05D6B" w:rsidRDefault="00285176" w:rsidP="003125BF">
      <w:pPr>
        <w:rPr>
          <w:rFonts w:ascii="Garamond" w:hAnsi="Garamond" w:cs="Times New Roman"/>
          <w:b/>
          <w:bCs/>
        </w:rPr>
      </w:pPr>
    </w:p>
    <w:p w14:paraId="5A51B326" w14:textId="0B09FFD6" w:rsidR="002D42A8" w:rsidRPr="00C05D6B" w:rsidRDefault="002D42A8" w:rsidP="002D42A8">
      <w:pPr>
        <w:rPr>
          <w:rFonts w:ascii="Garamond" w:hAnsi="Garamond" w:cs="Times New Roman"/>
          <w:b/>
          <w:bCs/>
        </w:rPr>
      </w:pPr>
      <w:r w:rsidRPr="00C05D6B">
        <w:rPr>
          <w:rFonts w:ascii="Garamond" w:hAnsi="Garamond" w:cs="Times New Roman"/>
          <w:b/>
          <w:bCs/>
        </w:rPr>
        <w:t xml:space="preserve">(CB, p. 546, at end of first full paragraph following the </w:t>
      </w:r>
      <w:proofErr w:type="spellStart"/>
      <w:r w:rsidRPr="00C05D6B">
        <w:rPr>
          <w:rFonts w:ascii="Garamond" w:hAnsi="Garamond" w:cs="Times New Roman"/>
          <w:b/>
          <w:bCs/>
        </w:rPr>
        <w:t>dinkus</w:t>
      </w:r>
      <w:proofErr w:type="spellEnd"/>
      <w:r w:rsidRPr="00C05D6B">
        <w:rPr>
          <w:rFonts w:ascii="Garamond" w:hAnsi="Garamond" w:cs="Times New Roman"/>
          <w:b/>
          <w:bCs/>
        </w:rPr>
        <w:t>)</w:t>
      </w:r>
    </w:p>
    <w:p w14:paraId="0B5298B7" w14:textId="77777777" w:rsidR="002D42A8" w:rsidRPr="00C05D6B" w:rsidRDefault="002D42A8" w:rsidP="002D42A8">
      <w:pPr>
        <w:rPr>
          <w:rFonts w:ascii="Garamond" w:hAnsi="Garamond" w:cs="Times New Roman"/>
        </w:rPr>
      </w:pPr>
    </w:p>
    <w:p w14:paraId="7AB96B22" w14:textId="3904E8A6" w:rsidR="002D42A8" w:rsidRPr="00C05D6B" w:rsidRDefault="002D42A8" w:rsidP="002D42A8">
      <w:pPr>
        <w:ind w:firstLine="720"/>
        <w:rPr>
          <w:rFonts w:ascii="Garamond" w:hAnsi="Garamond" w:cs="Times New Roman"/>
        </w:rPr>
      </w:pPr>
      <w:r w:rsidRPr="00C05D6B">
        <w:rPr>
          <w:rFonts w:ascii="Garamond" w:hAnsi="Garamond" w:cs="Times New Roman"/>
        </w:rPr>
        <w:t xml:space="preserve">The Court reaffirmed the rule that states may not unduly obstruct the enforcement of Section 1983 claims in </w:t>
      </w:r>
      <w:r w:rsidRPr="00C05D6B">
        <w:rPr>
          <w:rFonts w:ascii="Garamond" w:hAnsi="Garamond" w:cs="Times New Roman"/>
          <w:i/>
          <w:iCs/>
        </w:rPr>
        <w:t>Williams v. Reed</w:t>
      </w:r>
      <w:r w:rsidR="00074968" w:rsidRPr="00C05D6B">
        <w:rPr>
          <w:rFonts w:ascii="Garamond" w:hAnsi="Garamond" w:cs="Times New Roman"/>
          <w:i/>
          <w:iCs/>
        </w:rPr>
        <w:fldChar w:fldCharType="begin"/>
      </w:r>
      <w:r w:rsidR="00074968" w:rsidRPr="00C05D6B">
        <w:rPr>
          <w:rFonts w:ascii="Garamond" w:hAnsi="Garamond"/>
          <w:i/>
          <w:iCs/>
        </w:rPr>
        <w:instrText xml:space="preserve"> TA \l "</w:instrText>
      </w:r>
      <w:r w:rsidR="00074968" w:rsidRPr="00372F61">
        <w:rPr>
          <w:rFonts w:ascii="Garamond" w:hAnsi="Garamond" w:cs="Times New Roman"/>
        </w:rPr>
        <w:instrText>Williams v. Reed</w:instrText>
      </w:r>
      <w:r w:rsidR="00074968" w:rsidRPr="00372F61">
        <w:rPr>
          <w:rFonts w:ascii="Garamond" w:hAnsi="Garamond"/>
        </w:rPr>
        <w:instrText>" \s "Williams v. Reed</w:instrText>
      </w:r>
      <w:r w:rsidR="00074968" w:rsidRPr="00C05D6B">
        <w:rPr>
          <w:rFonts w:ascii="Garamond" w:hAnsi="Garamond"/>
          <w:i/>
          <w:iCs/>
        </w:rPr>
        <w:instrText xml:space="preserve">" \c 1 </w:instrText>
      </w:r>
      <w:r w:rsidR="00074968" w:rsidRPr="00C05D6B">
        <w:rPr>
          <w:rFonts w:ascii="Garamond" w:hAnsi="Garamond" w:cs="Times New Roman"/>
          <w:i/>
          <w:iCs/>
        </w:rPr>
        <w:fldChar w:fldCharType="end"/>
      </w:r>
      <w:r w:rsidR="00A92A6F" w:rsidRPr="00C05D6B">
        <w:rPr>
          <w:rFonts w:ascii="Garamond" w:hAnsi="Garamond" w:cs="Times New Roman"/>
        </w:rPr>
        <w:t xml:space="preserve"> </w:t>
      </w:r>
      <w:r w:rsidRPr="00C05D6B">
        <w:rPr>
          <w:rFonts w:ascii="Garamond" w:hAnsi="Garamond" w:cs="Times New Roman"/>
        </w:rPr>
        <w:t xml:space="preserve">(2025). </w:t>
      </w:r>
      <w:r w:rsidR="00C21886" w:rsidRPr="00C05D6B">
        <w:rPr>
          <w:rFonts w:ascii="Garamond" w:hAnsi="Garamond" w:cs="Times New Roman"/>
        </w:rPr>
        <w:t>In that case, twenty-one unemployed Alabama workers alleged that the Alabama Department of Labor unlawfully delayed processing their unemployment claims.</w:t>
      </w:r>
      <w:r w:rsidRPr="00C05D6B">
        <w:rPr>
          <w:rFonts w:ascii="Garamond" w:hAnsi="Garamond" w:cs="Times New Roman"/>
        </w:rPr>
        <w:t xml:space="preserve"> Relying on Section 1983</w:t>
      </w:r>
      <w:r w:rsidR="00B76B37" w:rsidRPr="00C05D6B">
        <w:rPr>
          <w:rFonts w:ascii="Garamond" w:hAnsi="Garamond" w:cs="Times New Roman"/>
        </w:rPr>
        <w:fldChar w:fldCharType="begin"/>
      </w:r>
      <w:r w:rsidR="00B76B3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B76B3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B76B37" w:rsidRPr="00C05D6B">
        <w:rPr>
          <w:rFonts w:ascii="Garamond" w:hAnsi="Garamond"/>
        </w:rPr>
        <w:instrText xml:space="preserve">" \c 2 </w:instrText>
      </w:r>
      <w:r w:rsidR="00B76B37" w:rsidRPr="00C05D6B">
        <w:rPr>
          <w:rFonts w:ascii="Garamond" w:hAnsi="Garamond" w:cs="Times New Roman"/>
        </w:rPr>
        <w:fldChar w:fldCharType="end"/>
      </w:r>
      <w:r w:rsidRPr="00C05D6B">
        <w:rPr>
          <w:rFonts w:ascii="Garamond" w:hAnsi="Garamond" w:cs="Times New Roman"/>
        </w:rPr>
        <w:t>, they sued the Secretary of Labor in state court, seeking injunctive relief to expedite the administrative process. Alabama law, however, requires strict administrative exhaustion before any court review of benefits decisions. The state trial court dismissed the case for failure to exhaust administrative remedies, and the Alabama Supreme Court affirmed, holding that § 1983 did not preempt the state’s exhaustion requirement.</w:t>
      </w:r>
    </w:p>
    <w:p w14:paraId="73715A1B" w14:textId="77777777" w:rsidR="002D42A8" w:rsidRPr="00C05D6B" w:rsidRDefault="002D42A8" w:rsidP="009B1076">
      <w:pPr>
        <w:ind w:firstLine="720"/>
        <w:rPr>
          <w:rFonts w:ascii="Garamond" w:hAnsi="Garamond" w:cs="Times New Roman"/>
        </w:rPr>
      </w:pPr>
    </w:p>
    <w:p w14:paraId="36500292" w14:textId="5027E09A" w:rsidR="002D42A8" w:rsidRPr="00C05D6B" w:rsidRDefault="002D42A8" w:rsidP="002D42A8">
      <w:pPr>
        <w:ind w:firstLine="720"/>
        <w:rPr>
          <w:rFonts w:ascii="Garamond" w:hAnsi="Garamond" w:cs="Times New Roman"/>
        </w:rPr>
      </w:pPr>
      <w:r w:rsidRPr="00C05D6B">
        <w:rPr>
          <w:rFonts w:ascii="Garamond" w:hAnsi="Garamond" w:cs="Times New Roman"/>
        </w:rPr>
        <w:t xml:space="preserve">In an opinion by Justice Kavanaugh, the Court reversed, holding that Alabama’s exhaustion requirement, as applied to § 1983 claims challenging delays in the administrative process, effectively </w:t>
      </w:r>
      <w:r w:rsidRPr="00C05D6B">
        <w:rPr>
          <w:rFonts w:ascii="Garamond" w:hAnsi="Garamond" w:cs="Times New Roman"/>
        </w:rPr>
        <w:lastRenderedPageBreak/>
        <w:t>immunizes state officials from federal civil rights suits in violation of established precedent. The Court’s reasoning centered on the “catch-22” created by Alabama’s rule:</w:t>
      </w:r>
    </w:p>
    <w:p w14:paraId="79671337" w14:textId="77777777" w:rsidR="002D42A8" w:rsidRPr="00C05D6B" w:rsidRDefault="002D42A8" w:rsidP="009B1076">
      <w:pPr>
        <w:ind w:firstLine="720"/>
        <w:rPr>
          <w:rFonts w:ascii="Garamond" w:hAnsi="Garamond" w:cs="Times New Roman"/>
        </w:rPr>
      </w:pPr>
    </w:p>
    <w:p w14:paraId="367F6166" w14:textId="77777777" w:rsidR="002D42A8" w:rsidRPr="00C05D6B" w:rsidRDefault="002D42A8" w:rsidP="002D42A8">
      <w:pPr>
        <w:ind w:left="720" w:right="720"/>
        <w:rPr>
          <w:rFonts w:ascii="Garamond" w:hAnsi="Garamond" w:cs="Times New Roman"/>
        </w:rPr>
      </w:pPr>
      <w:r w:rsidRPr="00C05D6B">
        <w:rPr>
          <w:rFonts w:ascii="Garamond" w:hAnsi="Garamond" w:cs="Times New Roman"/>
        </w:rPr>
        <w:t>Alabama has said that to challenge delays in the administrative process under § 1983, you first have to exhaust the administrative process. Of course, that means that you can never challenge delays in the administrative process. That catch-22 prevents the claimants here from obtaining a merits resolution of their § 1983 claims in state court and in effect immunizes state officials from those kinds of § 1983 suits for injunctive relief.</w:t>
      </w:r>
    </w:p>
    <w:p w14:paraId="26C131FD" w14:textId="77777777" w:rsidR="002D42A8" w:rsidRPr="00C05D6B" w:rsidRDefault="002D42A8" w:rsidP="009B1076">
      <w:pPr>
        <w:ind w:left="720" w:right="720"/>
        <w:rPr>
          <w:rFonts w:ascii="Garamond" w:hAnsi="Garamond" w:cs="Times New Roman"/>
        </w:rPr>
      </w:pPr>
    </w:p>
    <w:p w14:paraId="4FC84F09" w14:textId="53697125" w:rsidR="002D42A8" w:rsidRPr="00C05D6B" w:rsidRDefault="002D42A8" w:rsidP="002D42A8">
      <w:pPr>
        <w:rPr>
          <w:rFonts w:ascii="Garamond" w:hAnsi="Garamond" w:cs="Times New Roman"/>
        </w:rPr>
      </w:pPr>
      <w:r w:rsidRPr="00C05D6B">
        <w:rPr>
          <w:rFonts w:ascii="Garamond" w:hAnsi="Garamond" w:cs="Times New Roman"/>
        </w:rPr>
        <w:t xml:space="preserve">The majority applied the established principle from </w:t>
      </w:r>
      <w:r w:rsidRPr="00C05D6B">
        <w:rPr>
          <w:rFonts w:ascii="Garamond" w:hAnsi="Garamond" w:cs="Times New Roman"/>
          <w:i/>
          <w:iCs/>
        </w:rPr>
        <w:t>Felder v. Casey</w:t>
      </w:r>
      <w:r w:rsidR="00074968" w:rsidRPr="00C05D6B">
        <w:rPr>
          <w:rFonts w:ascii="Garamond" w:hAnsi="Garamond" w:cs="Times New Roman"/>
          <w:i/>
          <w:iCs/>
        </w:rPr>
        <w:fldChar w:fldCharType="begin"/>
      </w:r>
      <w:r w:rsidR="00074968" w:rsidRPr="00C05D6B">
        <w:rPr>
          <w:rFonts w:ascii="Garamond" w:hAnsi="Garamond"/>
        </w:rPr>
        <w:instrText xml:space="preserve"> TA \l "</w:instrText>
      </w:r>
      <w:r w:rsidR="00074968" w:rsidRPr="00F5595D">
        <w:rPr>
          <w:rFonts w:ascii="Garamond" w:hAnsi="Garamond" w:cs="Times New Roman"/>
        </w:rPr>
        <w:instrText>Felder v. Casey</w:instrText>
      </w:r>
      <w:r w:rsidR="00074968" w:rsidRPr="00F5595D">
        <w:rPr>
          <w:rFonts w:ascii="Garamond" w:hAnsi="Garamond"/>
        </w:rPr>
        <w:instrText>"</w:instrText>
      </w:r>
      <w:r w:rsidR="00074968" w:rsidRPr="00C05D6B">
        <w:rPr>
          <w:rFonts w:ascii="Garamond" w:hAnsi="Garamond"/>
        </w:rPr>
        <w:instrText xml:space="preserve"> \s "Felder v. Casey" \c 1 </w:instrText>
      </w:r>
      <w:r w:rsidR="00074968" w:rsidRPr="00C05D6B">
        <w:rPr>
          <w:rFonts w:ascii="Garamond" w:hAnsi="Garamond" w:cs="Times New Roman"/>
          <w:i/>
          <w:iCs/>
        </w:rPr>
        <w:fldChar w:fldCharType="end"/>
      </w:r>
      <w:r w:rsidR="00B35186" w:rsidRPr="00C05D6B">
        <w:rPr>
          <w:rFonts w:ascii="Garamond" w:hAnsi="Garamond" w:cs="Times New Roman"/>
        </w:rPr>
        <w:t>:</w:t>
      </w:r>
      <w:r w:rsidRPr="00C05D6B">
        <w:rPr>
          <w:rFonts w:ascii="Garamond" w:hAnsi="Garamond" w:cs="Times New Roman"/>
        </w:rPr>
        <w:t xml:space="preserve"> “[A] state law that immunizes government conduct otherwise subject to suit under § 1983 is preempted, even where the federal civil rights litigation takes place in state court.”</w:t>
      </w:r>
    </w:p>
    <w:p w14:paraId="6C7B46DA" w14:textId="77777777" w:rsidR="002D42A8" w:rsidRPr="00C05D6B" w:rsidRDefault="002D42A8" w:rsidP="002D42A8">
      <w:pPr>
        <w:rPr>
          <w:rFonts w:ascii="Garamond" w:hAnsi="Garamond" w:cs="Times New Roman"/>
        </w:rPr>
      </w:pPr>
    </w:p>
    <w:p w14:paraId="528CE2F6" w14:textId="77777777" w:rsidR="002D42A8" w:rsidRPr="00C05D6B" w:rsidRDefault="002D42A8" w:rsidP="009B1076">
      <w:pPr>
        <w:ind w:firstLine="720"/>
        <w:rPr>
          <w:rFonts w:ascii="Garamond" w:hAnsi="Garamond" w:cs="Times New Roman"/>
        </w:rPr>
      </w:pPr>
      <w:r w:rsidRPr="00C05D6B">
        <w:rPr>
          <w:rFonts w:ascii="Garamond" w:hAnsi="Garamond" w:cs="Times New Roman"/>
        </w:rPr>
        <w:t>The Court distinguished this narrow holding from broader questions about exhaustion requirements generally, emphasizing that the decision applied only to the specific circumstances where state exhaustion requirements would completely bar § 1983 claims challenging administrative delays.</w:t>
      </w:r>
    </w:p>
    <w:p w14:paraId="038B4126" w14:textId="77777777" w:rsidR="002D42A8" w:rsidRPr="00C05D6B" w:rsidRDefault="002D42A8" w:rsidP="002D42A8">
      <w:pPr>
        <w:rPr>
          <w:rFonts w:ascii="Garamond" w:hAnsi="Garamond" w:cs="Times New Roman"/>
        </w:rPr>
      </w:pPr>
    </w:p>
    <w:p w14:paraId="01EBD748" w14:textId="480F06F8" w:rsidR="002D42A8" w:rsidRPr="00C05D6B" w:rsidRDefault="002D42A8" w:rsidP="009B1076">
      <w:pPr>
        <w:ind w:firstLine="720"/>
        <w:rPr>
          <w:rFonts w:ascii="Garamond" w:hAnsi="Garamond" w:cs="Times New Roman"/>
        </w:rPr>
      </w:pPr>
      <w:r w:rsidRPr="00C05D6B">
        <w:rPr>
          <w:rFonts w:ascii="Garamond" w:hAnsi="Garamond" w:cs="Times New Roman"/>
        </w:rPr>
        <w:t>In dissent, Justice Thomas observed that states possess “plenary authority to decide whether their local courts will have subject-matter jurisdiction over federal causes of action” and concluded that Alabama’s neutral exhaustion requirement did not embody any impermissible “policy disagreement” with federal law.</w:t>
      </w:r>
    </w:p>
    <w:p w14:paraId="594D8C9B" w14:textId="77777777" w:rsidR="002D42A8" w:rsidRPr="00C05D6B" w:rsidRDefault="002D42A8" w:rsidP="00285176">
      <w:pPr>
        <w:rPr>
          <w:rFonts w:ascii="Garamond" w:eastAsia="Times New Roman" w:hAnsi="Garamond" w:cs="Times New Roman"/>
          <w:b/>
          <w:bCs/>
        </w:rPr>
      </w:pPr>
    </w:p>
    <w:p w14:paraId="314BFB7A" w14:textId="5E43319E" w:rsidR="00285176" w:rsidRPr="00C05D6B" w:rsidRDefault="00285176" w:rsidP="00285176">
      <w:pPr>
        <w:rPr>
          <w:rFonts w:ascii="Garamond" w:eastAsia="Times New Roman" w:hAnsi="Garamond" w:cs="Times New Roman"/>
          <w:b/>
          <w:bCs/>
        </w:rPr>
      </w:pPr>
      <w:r w:rsidRPr="00C05D6B">
        <w:rPr>
          <w:rFonts w:ascii="Garamond" w:eastAsia="Times New Roman" w:hAnsi="Garamond" w:cs="Times New Roman"/>
          <w:b/>
          <w:bCs/>
        </w:rPr>
        <w:t>(CB, p. 546, at end of the citation sentence</w:t>
      </w:r>
      <w:r w:rsidR="002D42A8" w:rsidRPr="00C05D6B">
        <w:rPr>
          <w:rFonts w:ascii="Garamond" w:eastAsia="Times New Roman" w:hAnsi="Garamond" w:cs="Times New Roman"/>
          <w:b/>
          <w:bCs/>
        </w:rPr>
        <w:t xml:space="preserve"> in the penultimate paragraph</w:t>
      </w:r>
      <w:r w:rsidRPr="00C05D6B">
        <w:rPr>
          <w:rFonts w:ascii="Garamond" w:eastAsia="Times New Roman" w:hAnsi="Garamond" w:cs="Times New Roman"/>
          <w:b/>
          <w:bCs/>
        </w:rPr>
        <w:t>, after the citation to New York v. United States</w:t>
      </w:r>
      <w:r w:rsidR="00074968" w:rsidRPr="00C05D6B">
        <w:rPr>
          <w:rFonts w:ascii="Garamond" w:eastAsia="Times New Roman" w:hAnsi="Garamond" w:cs="Times New Roman"/>
          <w:b/>
          <w:bCs/>
        </w:rPr>
        <w:fldChar w:fldCharType="begin"/>
      </w:r>
      <w:r w:rsidR="00074968" w:rsidRPr="00C05D6B">
        <w:rPr>
          <w:rFonts w:ascii="Garamond" w:hAnsi="Garamond"/>
        </w:rPr>
        <w:instrText xml:space="preserve"> TA \l "</w:instrText>
      </w:r>
      <w:r w:rsidR="00074968" w:rsidRPr="00372F61">
        <w:rPr>
          <w:rFonts w:ascii="Garamond" w:eastAsia="Times New Roman" w:hAnsi="Garamond" w:cs="Times New Roman"/>
        </w:rPr>
        <w:instrText>New York v. United States</w:instrText>
      </w:r>
      <w:r w:rsidR="00074968" w:rsidRPr="00C05D6B">
        <w:rPr>
          <w:rFonts w:ascii="Garamond" w:hAnsi="Garamond"/>
        </w:rPr>
        <w:instrText xml:space="preserve">" \s "New York v. United States" \c 1 </w:instrText>
      </w:r>
      <w:r w:rsidR="00074968" w:rsidRPr="00C05D6B">
        <w:rPr>
          <w:rFonts w:ascii="Garamond" w:eastAsia="Times New Roman" w:hAnsi="Garamond" w:cs="Times New Roman"/>
          <w:b/>
          <w:bCs/>
        </w:rPr>
        <w:fldChar w:fldCharType="end"/>
      </w:r>
      <w:r w:rsidRPr="00C05D6B">
        <w:rPr>
          <w:rFonts w:ascii="Garamond" w:eastAsia="Times New Roman" w:hAnsi="Garamond" w:cs="Times New Roman"/>
          <w:b/>
          <w:bCs/>
        </w:rPr>
        <w:t xml:space="preserve"> (1992))</w:t>
      </w:r>
    </w:p>
    <w:p w14:paraId="4470AA8F" w14:textId="77777777" w:rsidR="00285176" w:rsidRPr="00C05D6B" w:rsidRDefault="00285176" w:rsidP="003125BF">
      <w:pPr>
        <w:rPr>
          <w:rFonts w:ascii="Garamond" w:hAnsi="Garamond" w:cs="Times New Roman"/>
          <w:b/>
          <w:bCs/>
        </w:rPr>
      </w:pPr>
    </w:p>
    <w:p w14:paraId="5867A13F" w14:textId="16E84C79" w:rsidR="003125BF" w:rsidRPr="00C05D6B" w:rsidRDefault="00285176" w:rsidP="002E331E">
      <w:pPr>
        <w:rPr>
          <w:rFonts w:ascii="Garamond" w:hAnsi="Garamond" w:cs="Times New Roman"/>
        </w:rPr>
      </w:pPr>
      <w:r w:rsidRPr="00C05D6B">
        <w:rPr>
          <w:rFonts w:ascii="Garamond" w:hAnsi="Garamond" w:cs="Times New Roman"/>
          <w:i/>
          <w:iCs/>
        </w:rPr>
        <w:t>M</w:t>
      </w:r>
      <w:r w:rsidR="003125BF" w:rsidRPr="00C05D6B">
        <w:rPr>
          <w:rFonts w:ascii="Garamond" w:hAnsi="Garamond" w:cs="Times New Roman"/>
          <w:i/>
          <w:iCs/>
        </w:rPr>
        <w:t xml:space="preserve">urphy v. </w:t>
      </w:r>
      <w:r w:rsidR="001F4B45" w:rsidRPr="00C05D6B">
        <w:rPr>
          <w:rFonts w:ascii="Garamond" w:hAnsi="Garamond" w:cs="Times New Roman"/>
          <w:i/>
          <w:iCs/>
        </w:rPr>
        <w:t>NCAA</w:t>
      </w:r>
      <w:r w:rsidR="00B76B37" w:rsidRPr="00C05D6B">
        <w:rPr>
          <w:rFonts w:ascii="Garamond" w:hAnsi="Garamond" w:cs="Times New Roman"/>
          <w:i/>
          <w:iCs/>
        </w:rPr>
        <w:fldChar w:fldCharType="begin"/>
      </w:r>
      <w:r w:rsidR="00B76B37" w:rsidRPr="00C05D6B">
        <w:rPr>
          <w:rFonts w:ascii="Garamond" w:hAnsi="Garamond"/>
        </w:rPr>
        <w:instrText xml:space="preserve"> TA \l "</w:instrText>
      </w:r>
      <w:r w:rsidR="00B76B37" w:rsidRPr="00372F61">
        <w:rPr>
          <w:rFonts w:ascii="Garamond" w:hAnsi="Garamond" w:cs="Times New Roman"/>
        </w:rPr>
        <w:instrText>Murphy v. NCAA</w:instrText>
      </w:r>
      <w:r w:rsidR="00B76B37" w:rsidRPr="00C05D6B">
        <w:rPr>
          <w:rFonts w:ascii="Garamond" w:hAnsi="Garamond"/>
        </w:rPr>
        <w:instrText xml:space="preserve">" \s "Murphy v. NCAA" \c 1 </w:instrText>
      </w:r>
      <w:r w:rsidR="00B76B37" w:rsidRPr="00C05D6B">
        <w:rPr>
          <w:rFonts w:ascii="Garamond" w:hAnsi="Garamond" w:cs="Times New Roman"/>
          <w:i/>
          <w:iCs/>
        </w:rPr>
        <w:fldChar w:fldCharType="end"/>
      </w:r>
      <w:r w:rsidR="001F4B45" w:rsidRPr="00C05D6B">
        <w:rPr>
          <w:rFonts w:ascii="Garamond" w:hAnsi="Garamond" w:cs="Times New Roman"/>
        </w:rPr>
        <w:t xml:space="preserve"> </w:t>
      </w:r>
      <w:r w:rsidR="003125BF" w:rsidRPr="00C05D6B">
        <w:rPr>
          <w:rFonts w:ascii="Garamond" w:hAnsi="Garamond" w:cs="Times New Roman"/>
        </w:rPr>
        <w:t>(2018) (</w:t>
      </w:r>
      <w:r w:rsidRPr="00C05D6B">
        <w:rPr>
          <w:rFonts w:ascii="Garamond" w:hAnsi="Garamond" w:cs="Times New Roman"/>
        </w:rPr>
        <w:t xml:space="preserve">Congress cannot compel a state legislature to enact a law or make it unlawful for a state legislature to enact a law and therefore a </w:t>
      </w:r>
      <w:r w:rsidR="003125BF" w:rsidRPr="00C05D6B">
        <w:rPr>
          <w:rFonts w:ascii="Garamond" w:hAnsi="Garamond" w:cs="Times New Roman"/>
        </w:rPr>
        <w:t>federal statute banning states from authorizing sports betting unconstitutionally commandeer</w:t>
      </w:r>
      <w:r w:rsidRPr="00C05D6B">
        <w:rPr>
          <w:rFonts w:ascii="Garamond" w:hAnsi="Garamond" w:cs="Times New Roman"/>
        </w:rPr>
        <w:t>ed</w:t>
      </w:r>
      <w:r w:rsidR="003125BF" w:rsidRPr="00C05D6B">
        <w:rPr>
          <w:rFonts w:ascii="Garamond" w:hAnsi="Garamond" w:cs="Times New Roman"/>
        </w:rPr>
        <w:t xml:space="preserve"> state legislative powers); </w:t>
      </w:r>
      <w:r w:rsidR="003125BF" w:rsidRPr="00C05D6B">
        <w:rPr>
          <w:rFonts w:ascii="Garamond" w:hAnsi="Garamond" w:cs="Times New Roman"/>
          <w:i/>
          <w:iCs/>
        </w:rPr>
        <w:t>cf.</w:t>
      </w:r>
      <w:r w:rsidR="003125BF" w:rsidRPr="00C05D6B">
        <w:rPr>
          <w:rFonts w:ascii="Garamond" w:hAnsi="Garamond" w:cs="Times New Roman"/>
        </w:rPr>
        <w:t xml:space="preserve"> </w:t>
      </w:r>
      <w:proofErr w:type="spellStart"/>
      <w:r w:rsidR="003125BF" w:rsidRPr="00C05D6B">
        <w:rPr>
          <w:rFonts w:ascii="Garamond" w:hAnsi="Garamond" w:cs="Times New Roman"/>
        </w:rPr>
        <w:t>Haaland</w:t>
      </w:r>
      <w:proofErr w:type="spellEnd"/>
      <w:r w:rsidR="003125BF" w:rsidRPr="00C05D6B">
        <w:rPr>
          <w:rFonts w:ascii="Garamond" w:hAnsi="Garamond" w:cs="Times New Roman"/>
        </w:rPr>
        <w:t xml:space="preserve"> v. </w:t>
      </w:r>
      <w:proofErr w:type="spellStart"/>
      <w:r w:rsidR="003125BF" w:rsidRPr="00C05D6B">
        <w:rPr>
          <w:rFonts w:ascii="Garamond" w:hAnsi="Garamond" w:cs="Times New Roman"/>
        </w:rPr>
        <w:t>Bra</w:t>
      </w:r>
      <w:r w:rsidR="00CA35FE" w:rsidRPr="00C05D6B">
        <w:rPr>
          <w:rFonts w:ascii="Garamond" w:hAnsi="Garamond" w:cs="Times New Roman"/>
        </w:rPr>
        <w:t>c</w:t>
      </w:r>
      <w:r w:rsidR="003125BF" w:rsidRPr="00C05D6B">
        <w:rPr>
          <w:rFonts w:ascii="Garamond" w:hAnsi="Garamond" w:cs="Times New Roman"/>
        </w:rPr>
        <w:t>keen</w:t>
      </w:r>
      <w:proofErr w:type="spellEnd"/>
      <w:r w:rsidR="00074968" w:rsidRPr="00C05D6B">
        <w:rPr>
          <w:rFonts w:ascii="Garamond" w:hAnsi="Garamond" w:cs="Times New Roman"/>
        </w:rPr>
        <w:fldChar w:fldCharType="begin"/>
      </w:r>
      <w:r w:rsidR="00074968" w:rsidRPr="00C05D6B">
        <w:rPr>
          <w:rFonts w:ascii="Garamond" w:hAnsi="Garamond"/>
        </w:rPr>
        <w:instrText xml:space="preserve"> TA \s "Haaland v. Brackeen" </w:instrText>
      </w:r>
      <w:r w:rsidR="00074968" w:rsidRPr="00C05D6B">
        <w:rPr>
          <w:rFonts w:ascii="Garamond" w:hAnsi="Garamond" w:cs="Times New Roman"/>
        </w:rPr>
        <w:fldChar w:fldCharType="end"/>
      </w:r>
      <w:r w:rsidR="003125BF" w:rsidRPr="00C05D6B">
        <w:rPr>
          <w:rFonts w:ascii="Garamond" w:hAnsi="Garamond" w:cs="Times New Roman"/>
        </w:rPr>
        <w:t xml:space="preserve"> (2023) (</w:t>
      </w:r>
      <w:r w:rsidR="00EA24A1" w:rsidRPr="00C05D6B">
        <w:rPr>
          <w:rFonts w:ascii="Garamond" w:hAnsi="Garamond" w:cs="Times New Roman"/>
        </w:rPr>
        <w:t xml:space="preserve">Congress may enact a federal law that provides rules of decision that apply in cases adjudicated under state law causes of action and therefore the </w:t>
      </w:r>
      <w:r w:rsidR="003125BF" w:rsidRPr="00C05D6B">
        <w:rPr>
          <w:rFonts w:ascii="Garamond" w:hAnsi="Garamond" w:cs="Times New Roman"/>
        </w:rPr>
        <w:t>Indian Child Welfare Act</w:t>
      </w:r>
      <w:r w:rsidR="00074968" w:rsidRPr="00C05D6B">
        <w:rPr>
          <w:rFonts w:ascii="Garamond" w:hAnsi="Garamond" w:cs="Times New Roman"/>
        </w:rPr>
        <w:fldChar w:fldCharType="begin"/>
      </w:r>
      <w:r w:rsidR="00074968" w:rsidRPr="00C05D6B">
        <w:rPr>
          <w:rFonts w:ascii="Garamond" w:hAnsi="Garamond"/>
        </w:rPr>
        <w:instrText xml:space="preserve"> TA \l "</w:instrText>
      </w:r>
      <w:r w:rsidR="00074968" w:rsidRPr="00C05D6B">
        <w:rPr>
          <w:rFonts w:ascii="Garamond" w:hAnsi="Garamond" w:cs="Times New Roman"/>
        </w:rPr>
        <w:instrText>Indian Child Welfare Act</w:instrText>
      </w:r>
      <w:r w:rsidR="00074968" w:rsidRPr="00C05D6B">
        <w:rPr>
          <w:rFonts w:ascii="Garamond" w:hAnsi="Garamond"/>
        </w:rPr>
        <w:instrText xml:space="preserve">" \s "Indian Child Welfare Act" \c 2 </w:instrText>
      </w:r>
      <w:r w:rsidR="00074968" w:rsidRPr="00C05D6B">
        <w:rPr>
          <w:rFonts w:ascii="Garamond" w:hAnsi="Garamond" w:cs="Times New Roman"/>
        </w:rPr>
        <w:fldChar w:fldCharType="end"/>
      </w:r>
      <w:r w:rsidR="00611A04" w:rsidRPr="00C05D6B">
        <w:rPr>
          <w:rFonts w:ascii="Garamond" w:hAnsi="Garamond" w:cs="Times New Roman"/>
        </w:rPr>
        <w:t>’</w:t>
      </w:r>
      <w:r w:rsidR="00EA24A1" w:rsidRPr="00C05D6B">
        <w:rPr>
          <w:rFonts w:ascii="Garamond" w:hAnsi="Garamond" w:cs="Times New Roman"/>
        </w:rPr>
        <w:t>s</w:t>
      </w:r>
      <w:r w:rsidR="003125BF" w:rsidRPr="00C05D6B">
        <w:rPr>
          <w:rFonts w:ascii="Garamond" w:hAnsi="Garamond" w:cs="Times New Roman"/>
        </w:rPr>
        <w:t xml:space="preserve"> provisions imposing obligations to protect integrity of Indian families on state child welfare agencies d</w:t>
      </w:r>
      <w:r w:rsidR="00EA24A1" w:rsidRPr="00C05D6B">
        <w:rPr>
          <w:rFonts w:ascii="Garamond" w:hAnsi="Garamond" w:cs="Times New Roman"/>
        </w:rPr>
        <w:t>id not violate the anti-commandeering rule</w:t>
      </w:r>
      <w:r w:rsidR="003125BF" w:rsidRPr="00C05D6B">
        <w:rPr>
          <w:rFonts w:ascii="Garamond" w:hAnsi="Garamond" w:cs="Times New Roman"/>
        </w:rPr>
        <w:t>).</w:t>
      </w:r>
    </w:p>
    <w:p w14:paraId="70121CF1" w14:textId="77777777" w:rsidR="00BA2D38" w:rsidRPr="00C05D6B" w:rsidRDefault="00BA2D38">
      <w:pPr>
        <w:rPr>
          <w:rFonts w:ascii="Garamond" w:hAnsi="Garamond" w:cs="Times New Roman"/>
        </w:rPr>
      </w:pPr>
    </w:p>
    <w:p w14:paraId="5F833A41" w14:textId="77777777" w:rsidR="00567887" w:rsidRPr="00C05D6B" w:rsidRDefault="00567887" w:rsidP="00567887">
      <w:pPr>
        <w:spacing w:before="120" w:after="120"/>
        <w:rPr>
          <w:rFonts w:ascii="Garamond" w:eastAsia="Garamond" w:hAnsi="Garamond" w:cs="Garamond"/>
          <w:b/>
          <w:bCs/>
        </w:rPr>
      </w:pPr>
      <w:r w:rsidRPr="00C05D6B">
        <w:rPr>
          <w:rFonts w:ascii="Garamond" w:eastAsia="Garamond" w:hAnsi="Garamond" w:cs="Garamond"/>
          <w:b/>
          <w:bCs/>
        </w:rPr>
        <w:t>(CB, at page 554, end of first paragraph)</w:t>
      </w:r>
    </w:p>
    <w:p w14:paraId="485EAB8D" w14:textId="77777777" w:rsidR="00567887" w:rsidRPr="00C05D6B" w:rsidRDefault="00567887" w:rsidP="00567887">
      <w:pPr>
        <w:spacing w:before="120" w:after="120"/>
        <w:rPr>
          <w:rFonts w:ascii="Garamond" w:hAnsi="Garamond"/>
        </w:rPr>
      </w:pPr>
      <w:r w:rsidRPr="00C05D6B">
        <w:rPr>
          <w:rFonts w:ascii="Garamond" w:eastAsia="Garamond" w:hAnsi="Garamond" w:cs="Garamond"/>
          <w:b/>
          <w:bCs/>
        </w:rPr>
        <w:t xml:space="preserve">State Criminal Prosecution of Federal Officers </w:t>
      </w:r>
    </w:p>
    <w:p w14:paraId="72E81530" w14:textId="4B694C4D" w:rsidR="00567887" w:rsidRPr="00C05D6B" w:rsidRDefault="00567887" w:rsidP="00567887">
      <w:pPr>
        <w:ind w:left="-5"/>
        <w:rPr>
          <w:rFonts w:ascii="Garamond" w:hAnsi="Garamond"/>
        </w:rPr>
      </w:pPr>
      <w:r w:rsidRPr="00C05D6B">
        <w:rPr>
          <w:rFonts w:ascii="Garamond" w:hAnsi="Garamond"/>
        </w:rPr>
        <w:tab/>
      </w:r>
      <w:r w:rsidRPr="00C05D6B">
        <w:rPr>
          <w:rFonts w:ascii="Garamond" w:hAnsi="Garamond"/>
        </w:rPr>
        <w:tab/>
      </w:r>
      <w:proofErr w:type="spellStart"/>
      <w:r w:rsidRPr="00C05D6B">
        <w:rPr>
          <w:rFonts w:ascii="Garamond" w:hAnsi="Garamond"/>
          <w:i/>
          <w:iCs/>
        </w:rPr>
        <w:t>Tarble’s</w:t>
      </w:r>
      <w:proofErr w:type="spellEnd"/>
      <w:r w:rsidRPr="00C05D6B">
        <w:rPr>
          <w:rFonts w:ascii="Garamond" w:hAnsi="Garamond"/>
          <w:i/>
          <w:iCs/>
        </w:rPr>
        <w:t xml:space="preserve"> Case</w:t>
      </w:r>
      <w:r w:rsidRPr="00C05D6B">
        <w:rPr>
          <w:rFonts w:ascii="Garamond" w:hAnsi="Garamond"/>
        </w:rPr>
        <w:t xml:space="preserve">, </w:t>
      </w:r>
      <w:r w:rsidRPr="00C05D6B">
        <w:rPr>
          <w:rFonts w:ascii="Garamond" w:hAnsi="Garamond"/>
          <w:i/>
          <w:iCs/>
        </w:rPr>
        <w:t>Slocum</w:t>
      </w:r>
      <w:r w:rsidRPr="00C05D6B">
        <w:rPr>
          <w:rFonts w:ascii="Garamond" w:hAnsi="Garamond"/>
        </w:rPr>
        <w:t xml:space="preserve"> and </w:t>
      </w:r>
      <w:r w:rsidRPr="00C05D6B">
        <w:rPr>
          <w:rFonts w:ascii="Garamond" w:hAnsi="Garamond"/>
          <w:i/>
          <w:iCs/>
        </w:rPr>
        <w:t>McClung</w:t>
      </w:r>
      <w:r w:rsidRPr="00C05D6B">
        <w:rPr>
          <w:rFonts w:ascii="Garamond" w:hAnsi="Garamond"/>
        </w:rPr>
        <w:t xml:space="preserve"> indicate that the incompatibility of state jurisdiction over certain federal issues is remedy specific</w:t>
      </w:r>
      <w:r w:rsidR="00D91DF1" w:rsidRPr="00C05D6B">
        <w:rPr>
          <w:rFonts w:ascii="Garamond" w:hAnsi="Garamond"/>
        </w:rPr>
        <w:t>—</w:t>
      </w:r>
      <w:r w:rsidRPr="00C05D6B">
        <w:rPr>
          <w:rFonts w:ascii="Garamond" w:hAnsi="Garamond"/>
        </w:rPr>
        <w:t xml:space="preserve">state habeas jurisdiction over federal military officers is incompatible with the Supremacy Clause and Article II war powers, but common law remedies are not. What if a federal officer’s conduct constitutes a crime under state law? Recall that the officer in </w:t>
      </w:r>
      <w:r w:rsidRPr="00C05D6B">
        <w:rPr>
          <w:rFonts w:ascii="Garamond" w:hAnsi="Garamond"/>
          <w:i/>
          <w:iCs/>
        </w:rPr>
        <w:t>Tennessee v. Davis</w:t>
      </w:r>
      <w:r w:rsidR="00B76B37" w:rsidRPr="00C05D6B">
        <w:rPr>
          <w:rFonts w:ascii="Garamond" w:hAnsi="Garamond"/>
          <w:i/>
          <w:iCs/>
        </w:rPr>
        <w:fldChar w:fldCharType="begin"/>
      </w:r>
      <w:r w:rsidR="00B76B37" w:rsidRPr="00C05D6B">
        <w:rPr>
          <w:rFonts w:ascii="Garamond" w:hAnsi="Garamond"/>
        </w:rPr>
        <w:instrText xml:space="preserve"> TA \l "</w:instrText>
      </w:r>
      <w:r w:rsidR="00B76B37" w:rsidRPr="00372F61">
        <w:rPr>
          <w:rFonts w:ascii="Garamond" w:hAnsi="Garamond"/>
        </w:rPr>
        <w:instrText>Tennessee v. Davis</w:instrText>
      </w:r>
      <w:r w:rsidR="00B76B37" w:rsidRPr="00C05D6B">
        <w:rPr>
          <w:rFonts w:ascii="Garamond" w:hAnsi="Garamond"/>
        </w:rPr>
        <w:instrText xml:space="preserve">" \s "Tennessee v. Davis" \c 1 </w:instrText>
      </w:r>
      <w:r w:rsidR="00B76B37" w:rsidRPr="00C05D6B">
        <w:rPr>
          <w:rFonts w:ascii="Garamond" w:hAnsi="Garamond"/>
          <w:i/>
          <w:iCs/>
        </w:rPr>
        <w:fldChar w:fldCharType="end"/>
      </w:r>
      <w:r w:rsidRPr="00C05D6B">
        <w:rPr>
          <w:rFonts w:ascii="Garamond" w:hAnsi="Garamond"/>
        </w:rPr>
        <w:t xml:space="preserve"> was charged with murder. That case held that the case could be removed to federal court, but is state criminal prosecution of federal officers itself compatible with the supremacy of federal law? Is removal sufficient to alleviate any concerns about state interference with federal officers in the performance of their duties?</w:t>
      </w:r>
    </w:p>
    <w:p w14:paraId="4C81D1E4" w14:textId="77777777" w:rsidR="00567887" w:rsidRPr="00C05D6B" w:rsidRDefault="00567887" w:rsidP="00567887">
      <w:pPr>
        <w:ind w:left="-5"/>
        <w:rPr>
          <w:rFonts w:ascii="Garamond" w:hAnsi="Garamond"/>
        </w:rPr>
      </w:pPr>
    </w:p>
    <w:p w14:paraId="2B5DF09F" w14:textId="23322EAE" w:rsidR="00567887" w:rsidRPr="00C05D6B" w:rsidRDefault="00567887" w:rsidP="00567887">
      <w:pPr>
        <w:ind w:left="-5" w:firstLine="725"/>
        <w:rPr>
          <w:rFonts w:ascii="Garamond" w:hAnsi="Garamond"/>
        </w:rPr>
      </w:pPr>
      <w:r w:rsidRPr="00C05D6B">
        <w:rPr>
          <w:rFonts w:ascii="Garamond" w:hAnsi="Garamond"/>
        </w:rPr>
        <w:lastRenderedPageBreak/>
        <w:t xml:space="preserve">The following two cases involve a form of federal officer immunity from state criminal prosecution. They establish the basic proposition that federal courts may use the writ of habeas corpus to release a federal officer from state criminal detention and prosecution for acts clearly within the scope of federal employment where those acts involve “no more than what was necessary and proper” to perform federal duties. The canonical Supreme Court case, </w:t>
      </w:r>
      <w:r w:rsidRPr="00C05D6B">
        <w:rPr>
          <w:rFonts w:ascii="Garamond" w:hAnsi="Garamond"/>
          <w:i/>
          <w:iCs/>
        </w:rPr>
        <w:t xml:space="preserve">In re </w:t>
      </w:r>
      <w:proofErr w:type="spellStart"/>
      <w:r w:rsidRPr="00C05D6B">
        <w:rPr>
          <w:rFonts w:ascii="Garamond" w:hAnsi="Garamond"/>
          <w:i/>
          <w:iCs/>
        </w:rPr>
        <w:t>Neagle</w:t>
      </w:r>
      <w:proofErr w:type="spellEnd"/>
      <w:r w:rsidR="00B76B37" w:rsidRPr="008D6577">
        <w:rPr>
          <w:rFonts w:ascii="Garamond" w:hAnsi="Garamond"/>
        </w:rPr>
        <w:fldChar w:fldCharType="begin"/>
      </w:r>
      <w:r w:rsidR="00B76B37" w:rsidRPr="008D6577">
        <w:rPr>
          <w:rFonts w:ascii="Garamond" w:hAnsi="Garamond"/>
        </w:rPr>
        <w:instrText xml:space="preserve"> TA \l "In re Neagle" \s "In re Neagle" \c 1 </w:instrText>
      </w:r>
      <w:r w:rsidR="00B76B37" w:rsidRPr="008D6577">
        <w:rPr>
          <w:rFonts w:ascii="Garamond" w:hAnsi="Garamond"/>
        </w:rPr>
        <w:fldChar w:fldCharType="end"/>
      </w:r>
      <w:r w:rsidRPr="00C05D6B">
        <w:rPr>
          <w:rFonts w:ascii="Garamond" w:hAnsi="Garamond"/>
        </w:rPr>
        <w:t xml:space="preserve">, involves a U.S. Marshal who shot a man attempting to assassinate a Supreme Court justice. The second, </w:t>
      </w:r>
      <w:r w:rsidRPr="00C05D6B">
        <w:rPr>
          <w:rFonts w:ascii="Garamond" w:hAnsi="Garamond"/>
          <w:i/>
          <w:iCs/>
        </w:rPr>
        <w:t>In re McShane</w:t>
      </w:r>
      <w:r w:rsidR="00B76B37" w:rsidRPr="00C05D6B">
        <w:rPr>
          <w:rFonts w:ascii="Garamond" w:hAnsi="Garamond"/>
          <w:i/>
          <w:iCs/>
        </w:rPr>
        <w:fldChar w:fldCharType="begin"/>
      </w:r>
      <w:r w:rsidR="00B76B37" w:rsidRPr="00C05D6B">
        <w:rPr>
          <w:rFonts w:ascii="Garamond" w:hAnsi="Garamond"/>
        </w:rPr>
        <w:instrText xml:space="preserve"> TA \l "</w:instrText>
      </w:r>
      <w:r w:rsidR="00B76B37" w:rsidRPr="00F5595D">
        <w:rPr>
          <w:rFonts w:ascii="Garamond" w:hAnsi="Garamond"/>
        </w:rPr>
        <w:instrText>In re McShane</w:instrText>
      </w:r>
      <w:r w:rsidR="00B76B37" w:rsidRPr="00C05D6B">
        <w:rPr>
          <w:rFonts w:ascii="Garamond" w:hAnsi="Garamond"/>
        </w:rPr>
        <w:instrText xml:space="preserve">" \s "In re McShane" \c 1 </w:instrText>
      </w:r>
      <w:r w:rsidR="00B76B37" w:rsidRPr="00C05D6B">
        <w:rPr>
          <w:rFonts w:ascii="Garamond" w:hAnsi="Garamond"/>
          <w:i/>
          <w:iCs/>
        </w:rPr>
        <w:fldChar w:fldCharType="end"/>
      </w:r>
      <w:r w:rsidRPr="00C05D6B">
        <w:rPr>
          <w:rFonts w:ascii="Garamond" w:hAnsi="Garamond"/>
        </w:rPr>
        <w:t xml:space="preserve">, involves the use of tear gas by a U.S. Marshal on protesters attempting to obstruct James Meredith from enrolling in the University of Mississippi in 1962 after </w:t>
      </w:r>
      <w:r w:rsidRPr="00C05D6B">
        <w:rPr>
          <w:rFonts w:ascii="Garamond" w:hAnsi="Garamond"/>
          <w:i/>
          <w:iCs/>
        </w:rPr>
        <w:t>Brown</w:t>
      </w:r>
      <w:r w:rsidRPr="00C05D6B">
        <w:rPr>
          <w:rFonts w:ascii="Garamond" w:hAnsi="Garamond"/>
        </w:rPr>
        <w:t xml:space="preserve"> struck down racial segregation in schools.</w:t>
      </w:r>
      <w:r w:rsidR="006D27AB" w:rsidRPr="00C05D6B">
        <w:rPr>
          <w:rFonts w:ascii="Garamond" w:hAnsi="Garamond"/>
        </w:rPr>
        <w:t xml:space="preserve"> T</w:t>
      </w:r>
      <w:r w:rsidRPr="00C05D6B">
        <w:rPr>
          <w:rFonts w:ascii="Garamond" w:hAnsi="Garamond"/>
        </w:rPr>
        <w:t>he latter case gathers many other 20</w:t>
      </w:r>
      <w:r w:rsidRPr="00C05D6B">
        <w:rPr>
          <w:rFonts w:ascii="Garamond" w:hAnsi="Garamond"/>
          <w:vertAlign w:val="superscript"/>
        </w:rPr>
        <w:t>th</w:t>
      </w:r>
      <w:r w:rsidRPr="00C05D6B">
        <w:rPr>
          <w:rFonts w:ascii="Garamond" w:hAnsi="Garamond"/>
        </w:rPr>
        <w:t xml:space="preserve"> century authorities on the use of federal habeas to suspend state court criminal prosecution of federal officers. </w:t>
      </w:r>
    </w:p>
    <w:p w14:paraId="4DE4C09A" w14:textId="77777777" w:rsidR="00567887" w:rsidRPr="00C05D6B" w:rsidRDefault="00567887" w:rsidP="00567887">
      <w:pPr>
        <w:ind w:left="-5" w:firstLine="725"/>
        <w:rPr>
          <w:rFonts w:ascii="Garamond" w:hAnsi="Garamond"/>
        </w:rPr>
      </w:pPr>
    </w:p>
    <w:p w14:paraId="5BBDC0AA" w14:textId="34979C69" w:rsidR="00567887" w:rsidRPr="00C05D6B" w:rsidRDefault="00567887" w:rsidP="00567887">
      <w:pPr>
        <w:ind w:left="-5" w:firstLine="725"/>
        <w:rPr>
          <w:rFonts w:ascii="Garamond" w:hAnsi="Garamond"/>
        </w:rPr>
      </w:pPr>
      <w:r w:rsidRPr="00C05D6B">
        <w:rPr>
          <w:rFonts w:ascii="Garamond" w:hAnsi="Garamond"/>
        </w:rPr>
        <w:t xml:space="preserve">As you read the cases, consider what the relationship is between the habeas analysis and the determination of the merits of state criminal culpability. Consider as well when and why supremacy-federalism conflicts have caused resort to this form of habeas jurisdiction.   </w:t>
      </w:r>
    </w:p>
    <w:p w14:paraId="5D549136" w14:textId="77777777" w:rsidR="006D27AB" w:rsidRPr="00C05D6B" w:rsidRDefault="006D27AB" w:rsidP="006D27AB">
      <w:pPr>
        <w:rPr>
          <w:rFonts w:ascii="Garamond" w:eastAsia="Times New Roman" w:hAnsi="Garamond" w:cs="Times New Roman"/>
          <w:b/>
          <w:bCs/>
          <w:smallCaps/>
        </w:rPr>
      </w:pPr>
    </w:p>
    <w:p w14:paraId="427C9416" w14:textId="4D94BAD6" w:rsidR="006D27AB" w:rsidRPr="00C05D6B" w:rsidRDefault="006D27AB" w:rsidP="006D27AB">
      <w:pPr>
        <w:rPr>
          <w:rFonts w:ascii="Garamond" w:eastAsia="Times New Roman" w:hAnsi="Garamond" w:cs="Times New Roman"/>
          <w:b/>
          <w:bCs/>
          <w:smallCaps/>
        </w:rPr>
      </w:pPr>
      <w:r w:rsidRPr="00C05D6B">
        <w:rPr>
          <w:rFonts w:ascii="Garamond" w:eastAsia="Times New Roman" w:hAnsi="Garamond" w:cs="Times New Roman"/>
          <w:b/>
          <w:bCs/>
          <w:smallCaps/>
        </w:rPr>
        <w:t xml:space="preserve">In re </w:t>
      </w:r>
      <w:proofErr w:type="spellStart"/>
      <w:r w:rsidRPr="00C05D6B">
        <w:rPr>
          <w:rFonts w:ascii="Garamond" w:eastAsia="Times New Roman" w:hAnsi="Garamond" w:cs="Times New Roman"/>
          <w:b/>
          <w:bCs/>
          <w:smallCaps/>
        </w:rPr>
        <w:t>Neagle</w:t>
      </w:r>
      <w:proofErr w:type="spellEnd"/>
      <w:r w:rsidR="00B76B37" w:rsidRPr="00C05D6B">
        <w:rPr>
          <w:rFonts w:ascii="Garamond" w:eastAsia="Times New Roman" w:hAnsi="Garamond" w:cs="Times New Roman"/>
          <w:b/>
          <w:bCs/>
          <w:smallCaps/>
        </w:rPr>
        <w:fldChar w:fldCharType="begin"/>
      </w:r>
      <w:r w:rsidR="00B76B37" w:rsidRPr="00C05D6B">
        <w:rPr>
          <w:rFonts w:ascii="Garamond" w:hAnsi="Garamond"/>
        </w:rPr>
        <w:instrText xml:space="preserve"> TA \s "In re Neagle" </w:instrText>
      </w:r>
      <w:r w:rsidR="00B76B37" w:rsidRPr="00C05D6B">
        <w:rPr>
          <w:rFonts w:ascii="Garamond" w:eastAsia="Times New Roman" w:hAnsi="Garamond" w:cs="Times New Roman"/>
          <w:b/>
          <w:bCs/>
          <w:smallCaps/>
        </w:rPr>
        <w:fldChar w:fldCharType="end"/>
      </w:r>
    </w:p>
    <w:p w14:paraId="46FDDC87" w14:textId="1401F772" w:rsidR="006D27AB" w:rsidRPr="00C05D6B" w:rsidRDefault="006D27AB" w:rsidP="006D27AB">
      <w:pPr>
        <w:rPr>
          <w:rFonts w:ascii="Garamond" w:eastAsia="Times New Roman" w:hAnsi="Garamond" w:cs="Times New Roman"/>
        </w:rPr>
      </w:pPr>
      <w:r w:rsidRPr="00C05D6B">
        <w:rPr>
          <w:rFonts w:ascii="Garamond" w:eastAsia="Times New Roman" w:hAnsi="Garamond" w:cs="Times New Roman"/>
        </w:rPr>
        <w:t>135 U.S. 1 (1890)</w:t>
      </w:r>
    </w:p>
    <w:p w14:paraId="38709BA0" w14:textId="3D31A054" w:rsidR="00567887" w:rsidRPr="00C05D6B" w:rsidRDefault="006D27AB" w:rsidP="006D27AB">
      <w:pPr>
        <w:spacing w:before="120" w:after="120"/>
        <w:ind w:firstLine="720"/>
        <w:rPr>
          <w:rFonts w:ascii="Garamond" w:hAnsi="Garamond"/>
        </w:rPr>
      </w:pPr>
      <w:r w:rsidRPr="00C05D6B">
        <w:rPr>
          <w:rFonts w:ascii="Garamond" w:eastAsia="Garamond" w:hAnsi="Garamond" w:cs="Garamond"/>
        </w:rPr>
        <w:t>Justice Miller delivered the opinion of the Court.</w:t>
      </w:r>
    </w:p>
    <w:p w14:paraId="530F0FC8" w14:textId="5203FA18" w:rsidR="00567887" w:rsidRPr="00C05D6B" w:rsidRDefault="00567887" w:rsidP="006D27AB">
      <w:pPr>
        <w:spacing w:before="120" w:after="240"/>
        <w:ind w:firstLine="720"/>
        <w:rPr>
          <w:rFonts w:ascii="Garamond" w:hAnsi="Garamond"/>
        </w:rPr>
      </w:pPr>
      <w:r w:rsidRPr="00C05D6B">
        <w:rPr>
          <w:rFonts w:ascii="Garamond" w:eastAsia="Garamond" w:hAnsi="Garamond" w:cs="Garamond"/>
        </w:rPr>
        <w:t xml:space="preserve">This is an appeal by Cunningham, sheriff of the county of San Joaquin, in the state of California, from a judgment of the circuit court of the United States for the northern district of California, discharging David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from the custody of said sheriff, who held him a prisoner on a charge of murder. … David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was, at the time of the occurrences recited in the petition, and at the time of filing it, a duly-appointed and acting deputy United States marshal for the same district. </w:t>
      </w:r>
    </w:p>
    <w:p w14:paraId="03DD5084" w14:textId="5F1D31C6" w:rsidR="00567887" w:rsidRPr="00C05D6B" w:rsidRDefault="00567887" w:rsidP="006D27AB">
      <w:pPr>
        <w:spacing w:before="120" w:after="240"/>
        <w:ind w:firstLine="720"/>
        <w:rPr>
          <w:rFonts w:ascii="Garamond" w:hAnsi="Garamond"/>
        </w:rPr>
      </w:pPr>
      <w:r w:rsidRPr="00C05D6B">
        <w:rPr>
          <w:rFonts w:ascii="Garamond" w:eastAsia="Garamond" w:hAnsi="Garamond" w:cs="Garamond"/>
        </w:rPr>
        <w:t xml:space="preserve">The petition then recites the circumstances of an encounter between said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and David S. Terry, in which the latter was instantly killed by two shots from a revolver in the hands of the former. …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as United States deputy-marshal, acting under the orders of Marshal Franks, and in pursuance of instructions from the attorney general of the United States, had, in consequence of an anticipated attempt at violence on the part of Terry against the Honorable Stephen J. Field, a justice of the supreme court of the United States, been in attendance upon said justice, and was sitting by his side at a breakfast table when a murderous assault was made by Terry on Judge Field, and in defense of the life of the judge the homicide was committed for which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was held by Cunningham. The allegation is very distinct that Justice Field was engaged in the discharge of his duties as circuit justice of the United States for that circuit, having held court at Los Angeles, one of the places at which the court is by law held, and, having left that court, was on his way to San Francisco for the purpose of holding the circuit court at that place. The allegation is also very full that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was directed by Marshal Franks to accompany him for the purpose of protecting him, and that these orders of Franks were given in anticipation of the assault which actually occurred. It is also stated, in more general terms, that </w:t>
      </w:r>
      <w:proofErr w:type="spellStart"/>
      <w:r w:rsidRPr="00C05D6B">
        <w:rPr>
          <w:rFonts w:ascii="Garamond" w:eastAsia="Garamond" w:hAnsi="Garamond" w:cs="Garamond"/>
        </w:rPr>
        <w:t>Marhsall</w:t>
      </w:r>
      <w:proofErr w:type="spellEnd"/>
      <w:r w:rsidRPr="00C05D6B">
        <w:rPr>
          <w:rFonts w:ascii="Garamond" w:eastAsia="Garamond" w:hAnsi="Garamond" w:cs="Garamond"/>
        </w:rPr>
        <w:t xml:space="preserve"> </w:t>
      </w:r>
      <w:proofErr w:type="spellStart"/>
      <w:r w:rsidRPr="00C05D6B">
        <w:rPr>
          <w:rFonts w:ascii="Garamond" w:eastAsia="Garamond" w:hAnsi="Garamond" w:cs="Garamond"/>
        </w:rPr>
        <w:t>Neagle</w:t>
      </w:r>
      <w:proofErr w:type="spellEnd"/>
      <w:r w:rsidRPr="00C05D6B">
        <w:rPr>
          <w:rFonts w:ascii="Garamond" w:eastAsia="Garamond" w:hAnsi="Garamond" w:cs="Garamond"/>
        </w:rPr>
        <w:t>, in killing Terry under the circumstances, was in the discharge of his duty as an o</w:t>
      </w:r>
      <w:r w:rsidR="00511D36" w:rsidRPr="00C05D6B">
        <w:rPr>
          <w:rFonts w:ascii="Garamond" w:eastAsia="Garamond" w:hAnsi="Garamond" w:cs="Garamond"/>
        </w:rPr>
        <w:t>ff</w:t>
      </w:r>
      <w:r w:rsidRPr="00C05D6B">
        <w:rPr>
          <w:rFonts w:ascii="Garamond" w:eastAsia="Garamond" w:hAnsi="Garamond" w:cs="Garamond"/>
        </w:rPr>
        <w:t>icer of the United States, and was not, therefore, guilty of a murder, and that his imprisonment under the warrant held by Sheri</w:t>
      </w:r>
      <w:r w:rsidR="00511D36" w:rsidRPr="00C05D6B">
        <w:rPr>
          <w:rFonts w:ascii="Garamond" w:eastAsia="Garamond" w:hAnsi="Garamond" w:cs="Garamond"/>
        </w:rPr>
        <w:t>ff</w:t>
      </w:r>
      <w:r w:rsidRPr="00C05D6B">
        <w:rPr>
          <w:rFonts w:ascii="Garamond" w:eastAsia="Garamond" w:hAnsi="Garamond" w:cs="Garamond"/>
        </w:rPr>
        <w:t xml:space="preserve"> Cunningham is in violation of the laws and constitution of the United States, and that he is in custody for an act done in pursuance of the laws of the United States. … </w:t>
      </w:r>
    </w:p>
    <w:p w14:paraId="5C6677CC" w14:textId="1E6F3FEA"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On </w:t>
      </w:r>
      <w:r w:rsidRPr="00C05D6B">
        <w:rPr>
          <w:rFonts w:ascii="Garamond" w:eastAsia="Garamond" w:hAnsi="Garamond" w:cs="Garamond"/>
          <w:i/>
          <w:iCs/>
        </w:rPr>
        <w:t>habeas corpus</w:t>
      </w:r>
      <w:r w:rsidRPr="00C05D6B">
        <w:rPr>
          <w:rFonts w:ascii="Garamond" w:eastAsia="Garamond" w:hAnsi="Garamond" w:cs="Garamond"/>
        </w:rPr>
        <w:t xml:space="preserve"> [the lower court ordered:] “that petitioner be, and he is hereby, discharged from custody.</w:t>
      </w:r>
      <w:r w:rsidR="00AE00B3" w:rsidRPr="00C05D6B">
        <w:rPr>
          <w:rFonts w:ascii="Garamond" w:eastAsia="Garamond" w:hAnsi="Garamond" w:cs="Garamond"/>
        </w:rPr>
        <w:t>”</w:t>
      </w:r>
      <w:r w:rsidRPr="00C05D6B">
        <w:rPr>
          <w:rFonts w:ascii="Garamond" w:eastAsia="Garamond" w:hAnsi="Garamond" w:cs="Garamond"/>
        </w:rPr>
        <w:t xml:space="preserve"> From that order an appeal was allowed, which brings the case to this court. </w:t>
      </w:r>
    </w:p>
    <w:p w14:paraId="620EAE84" w14:textId="740ED7A4" w:rsidR="00567887" w:rsidRPr="00C05D6B" w:rsidRDefault="00567887" w:rsidP="00AE00B3">
      <w:pPr>
        <w:spacing w:before="120" w:after="240"/>
        <w:ind w:firstLine="720"/>
        <w:rPr>
          <w:rFonts w:ascii="Garamond" w:hAnsi="Garamond"/>
        </w:rPr>
      </w:pPr>
      <w:r w:rsidRPr="00C05D6B">
        <w:rPr>
          <w:rFonts w:ascii="Garamond" w:eastAsia="Garamond" w:hAnsi="Garamond" w:cs="Garamond"/>
        </w:rPr>
        <w:lastRenderedPageBreak/>
        <w:t xml:space="preserve">[Terry and his wife had threatened and assaulted a federal circuit court judge after the judge ruled that she had </w:t>
      </w:r>
      <w:r w:rsidR="00511D36" w:rsidRPr="00C05D6B">
        <w:rPr>
          <w:rFonts w:ascii="Garamond" w:eastAsia="Garamond" w:hAnsi="Garamond" w:cs="Garamond"/>
        </w:rPr>
        <w:t>fi</w:t>
      </w:r>
      <w:r w:rsidRPr="00C05D6B">
        <w:rPr>
          <w:rFonts w:ascii="Garamond" w:eastAsia="Garamond" w:hAnsi="Garamond" w:cs="Garamond"/>
        </w:rPr>
        <w:t xml:space="preserve">led fraudulent papers to oppose the annulment of a prior marriage and claim property under a will by her former husband.  Terry also assaulted a federal Marshal in court when Justice Field ordered Terry’s wife escorted from the courtroom for disobeying an order to be seated.  Terry was prevented from drawing a bowie-knife by other marshals.  Both Terry and his wife were imprisoned for six months on charges of contempt of court.  In prison and after release, both made death threats against Justice Field, some of which were published in California newspapers] </w:t>
      </w:r>
    </w:p>
    <w:p w14:paraId="6849DCE3" w14:textId="1E926B3A"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It appears from the uncontradicted evidence in the case that … Terry and wife got on the train at Fresno.  [At the next stop, there was an attempt to get aid from local law enforcement, but none were available.  In the dining car at breakfast,] Terry and wife came into the room, and Mrs. Terry, recognizing Judge Field, turned and left in great haste, while Terry passed beyond where Judge Field and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were, and took his seat at another table. It was afterwards ascertained that Mrs. Terry went to the car, and took from it a satchel in which was a revolver. Before she returned to the eating-room, Terry arose from his seat, and, passing around the table in such a way as brought him behind Judge Field, who did not see him or notice him … and struck him a blow on the side of his face, which was repeated on the other side. He also had his arm drawn back and his </w:t>
      </w:r>
      <w:r w:rsidR="00511D36" w:rsidRPr="00C05D6B">
        <w:rPr>
          <w:rFonts w:ascii="Garamond" w:eastAsia="Garamond" w:hAnsi="Garamond" w:cs="Garamond"/>
        </w:rPr>
        <w:t>fi</w:t>
      </w:r>
      <w:r w:rsidRPr="00C05D6B">
        <w:rPr>
          <w:rFonts w:ascii="Garamond" w:eastAsia="Garamond" w:hAnsi="Garamond" w:cs="Garamond"/>
        </w:rPr>
        <w:t xml:space="preserve">st doubled up, apparently to strike a third blow, when </w:t>
      </w:r>
      <w:proofErr w:type="spellStart"/>
      <w:r w:rsidRPr="00C05D6B">
        <w:rPr>
          <w:rFonts w:ascii="Garamond" w:eastAsia="Garamond" w:hAnsi="Garamond" w:cs="Garamond"/>
        </w:rPr>
        <w:t>Neagle</w:t>
      </w:r>
      <w:proofErr w:type="spellEnd"/>
      <w:r w:rsidRPr="00C05D6B">
        <w:rPr>
          <w:rFonts w:ascii="Garamond" w:eastAsia="Garamond" w:hAnsi="Garamond" w:cs="Garamond"/>
        </w:rPr>
        <w:t>, who had been observing him all this time, arose from his seat with his revolver in his hand, and in a very loud voice shouted out: 'Stop! stop! I am an o</w:t>
      </w:r>
      <w:r w:rsidR="00511D36" w:rsidRPr="00C05D6B">
        <w:rPr>
          <w:rFonts w:ascii="Garamond" w:eastAsia="Garamond" w:hAnsi="Garamond" w:cs="Garamond"/>
        </w:rPr>
        <w:t>ff</w:t>
      </w:r>
      <w:r w:rsidRPr="00C05D6B">
        <w:rPr>
          <w:rFonts w:ascii="Garamond" w:eastAsia="Garamond" w:hAnsi="Garamond" w:cs="Garamond"/>
        </w:rPr>
        <w:t xml:space="preserve">icer!' Upon this Terry turned his attention to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and, as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testi</w:t>
      </w:r>
      <w:r w:rsidR="00511D36" w:rsidRPr="00C05D6B">
        <w:rPr>
          <w:rFonts w:ascii="Garamond" w:eastAsia="Garamond" w:hAnsi="Garamond" w:cs="Garamond"/>
        </w:rPr>
        <w:t>fi</w:t>
      </w:r>
      <w:r w:rsidRPr="00C05D6B">
        <w:rPr>
          <w:rFonts w:ascii="Garamond" w:eastAsia="Garamond" w:hAnsi="Garamond" w:cs="Garamond"/>
        </w:rPr>
        <w:t xml:space="preserve">es, seemed to recognize him, and immediately turned his hand to thrust it in his bosom, as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felt sure, with the purpose of drawing a bowie-knife. At this instant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w:t>
      </w:r>
      <w:r w:rsidR="00511D36" w:rsidRPr="00C05D6B">
        <w:rPr>
          <w:rFonts w:ascii="Garamond" w:eastAsia="Garamond" w:hAnsi="Garamond" w:cs="Garamond"/>
        </w:rPr>
        <w:t>fi</w:t>
      </w:r>
      <w:r w:rsidRPr="00C05D6B">
        <w:rPr>
          <w:rFonts w:ascii="Garamond" w:eastAsia="Garamond" w:hAnsi="Garamond" w:cs="Garamond"/>
        </w:rPr>
        <w:t xml:space="preserve">red two shots from his revolver into the body of Terry, who immediately sank down, and died in a few minutes. Mrs. Terry entered the room, with the satchel in her hand, just after Terry sank to the </w:t>
      </w:r>
      <w:r w:rsidR="00511D36" w:rsidRPr="00C05D6B">
        <w:rPr>
          <w:rFonts w:ascii="Garamond" w:eastAsia="Garamond" w:hAnsi="Garamond" w:cs="Garamond"/>
        </w:rPr>
        <w:t>fl</w:t>
      </w:r>
      <w:r w:rsidRPr="00C05D6B">
        <w:rPr>
          <w:rFonts w:ascii="Garamond" w:eastAsia="Garamond" w:hAnsi="Garamond" w:cs="Garamond"/>
        </w:rPr>
        <w:t xml:space="preserve">oor. She rushed up to the place where he was, threw herself upon his body, made loud exclamations and moans, and commenced inviting the spectators to avenge her wrong upon Field and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 The satchel which she had, being taken from her, was found to contain a revolver…. </w:t>
      </w:r>
    </w:p>
    <w:p w14:paraId="74ABCF9F" w14:textId="7228608A"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Without a more minute discussion of this testimony, it produces upon us the conviction of a settled purpose on the part of Terry and his wife, amounting to a conspiracy, to murder Justice Field; and we are quite sure that if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had been merely a brother or a friend of Judge Field … he would have been justi</w:t>
      </w:r>
      <w:r w:rsidR="00511D36" w:rsidRPr="00C05D6B">
        <w:rPr>
          <w:rFonts w:ascii="Garamond" w:eastAsia="Garamond" w:hAnsi="Garamond" w:cs="Garamond"/>
        </w:rPr>
        <w:t>fi</w:t>
      </w:r>
      <w:r w:rsidRPr="00C05D6B">
        <w:rPr>
          <w:rFonts w:ascii="Garamond" w:eastAsia="Garamond" w:hAnsi="Garamond" w:cs="Garamond"/>
        </w:rPr>
        <w:t xml:space="preserve">ed in what he did in defense of Mr. Justice Field’s life, and possibly of his own…. </w:t>
      </w:r>
    </w:p>
    <w:p w14:paraId="7E48FAD2" w14:textId="120C917C" w:rsidR="00567887" w:rsidRPr="00C05D6B" w:rsidRDefault="00567887" w:rsidP="00AE00B3">
      <w:pPr>
        <w:spacing w:before="120" w:after="240"/>
        <w:ind w:firstLine="720"/>
        <w:rPr>
          <w:rFonts w:ascii="Garamond" w:hAnsi="Garamond"/>
        </w:rPr>
      </w:pPr>
      <w:r w:rsidRPr="00C05D6B">
        <w:rPr>
          <w:rFonts w:ascii="Garamond" w:eastAsia="Garamond" w:hAnsi="Garamond" w:cs="Garamond"/>
        </w:rPr>
        <w:t>In order to enable him to perform this duty, Mr. Justice FIELD had to travel each year from Washington city, near the Atlantic coast, to San Francisco, on the Paci</w:t>
      </w:r>
      <w:r w:rsidR="00511D36" w:rsidRPr="00C05D6B">
        <w:rPr>
          <w:rFonts w:ascii="Garamond" w:eastAsia="Garamond" w:hAnsi="Garamond" w:cs="Garamond"/>
        </w:rPr>
        <w:t>fi</w:t>
      </w:r>
      <w:r w:rsidRPr="00C05D6B">
        <w:rPr>
          <w:rFonts w:ascii="Garamond" w:eastAsia="Garamond" w:hAnsi="Garamond" w:cs="Garamond"/>
        </w:rPr>
        <w:t xml:space="preserve">c coast. In doing this, he was as much in the discharge of a duty imposed upon him by law as he was while sitting in court and trying causes. There are many duties which the judge performs outside of the courtroom where he sits to pronounce judgment or to preside over a trial. </w:t>
      </w:r>
    </w:p>
    <w:p w14:paraId="50CB586D"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We have no doubt that Mr. Justice Field, when attacked by Terry, was engaged in the discharge of his duties as circuit justice of the ninth circuit, and was entitled to all the protection, under those circumstances, which the law could give him. </w:t>
      </w:r>
    </w:p>
    <w:p w14:paraId="240C3D78" w14:textId="1A6BD951"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It is urged, however, that there exists no statute authorizing any such protection as that which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was instructed to give Judge Field in the present case…. But we are of opinion that this view of the [habeas] statute is an unwarranted restriction of the meaning of a law designed to extend in a liberal manner the bene</w:t>
      </w:r>
      <w:r w:rsidR="00511D36" w:rsidRPr="00C05D6B">
        <w:rPr>
          <w:rFonts w:ascii="Garamond" w:eastAsia="Garamond" w:hAnsi="Garamond" w:cs="Garamond"/>
        </w:rPr>
        <w:t>fi</w:t>
      </w:r>
      <w:r w:rsidRPr="00C05D6B">
        <w:rPr>
          <w:rFonts w:ascii="Garamond" w:eastAsia="Garamond" w:hAnsi="Garamond" w:cs="Garamond"/>
        </w:rPr>
        <w:t xml:space="preserve">t of the writ of </w:t>
      </w:r>
      <w:r w:rsidRPr="00C05D6B">
        <w:rPr>
          <w:rFonts w:ascii="Garamond" w:eastAsia="Garamond" w:hAnsi="Garamond" w:cs="Garamond"/>
          <w:i/>
          <w:iCs/>
        </w:rPr>
        <w:t>habeas corpus</w:t>
      </w:r>
      <w:r w:rsidRPr="00C05D6B">
        <w:rPr>
          <w:rFonts w:ascii="Garamond" w:eastAsia="Garamond" w:hAnsi="Garamond" w:cs="Garamond"/>
        </w:rPr>
        <w:t xml:space="preserve"> to persons imprisoned for the </w:t>
      </w:r>
      <w:r w:rsidRPr="00C05D6B">
        <w:rPr>
          <w:rFonts w:ascii="Garamond" w:eastAsia="Garamond" w:hAnsi="Garamond" w:cs="Garamond"/>
        </w:rPr>
        <w:lastRenderedPageBreak/>
        <w:t>performance of their duty; and we are satis</w:t>
      </w:r>
      <w:r w:rsidR="00511D36" w:rsidRPr="00C05D6B">
        <w:rPr>
          <w:rFonts w:ascii="Garamond" w:eastAsia="Garamond" w:hAnsi="Garamond" w:cs="Garamond"/>
        </w:rPr>
        <w:t>fi</w:t>
      </w:r>
      <w:r w:rsidRPr="00C05D6B">
        <w:rPr>
          <w:rFonts w:ascii="Garamond" w:eastAsia="Garamond" w:hAnsi="Garamond" w:cs="Garamond"/>
        </w:rPr>
        <w:t xml:space="preserve">ed that, if it was the duty of </w:t>
      </w:r>
      <w:proofErr w:type="spellStart"/>
      <w:r w:rsidRPr="00C05D6B">
        <w:rPr>
          <w:rFonts w:ascii="Garamond" w:eastAsia="Garamond" w:hAnsi="Garamond" w:cs="Garamond"/>
        </w:rPr>
        <w:t>Neagle</w:t>
      </w:r>
      <w:proofErr w:type="spellEnd"/>
      <w:r w:rsidRPr="00C05D6B">
        <w:rPr>
          <w:rFonts w:ascii="Garamond" w:eastAsia="Garamond" w:hAnsi="Garamond" w:cs="Garamond"/>
        </w:rPr>
        <w:t>, under the circumstances,—a duty which could only arise under the laws of the United States,—to defend Mr. Justice Field from a murderous attack upon him, he brings himself within the meaning of the section we have recited. This view of the subject is con</w:t>
      </w:r>
      <w:r w:rsidR="00511D36" w:rsidRPr="00C05D6B">
        <w:rPr>
          <w:rFonts w:ascii="Garamond" w:eastAsia="Garamond" w:hAnsi="Garamond" w:cs="Garamond"/>
        </w:rPr>
        <w:t>fi</w:t>
      </w:r>
      <w:r w:rsidRPr="00C05D6B">
        <w:rPr>
          <w:rFonts w:ascii="Garamond" w:eastAsia="Garamond" w:hAnsi="Garamond" w:cs="Garamond"/>
        </w:rPr>
        <w:t xml:space="preserve">rmed by the alternative provision that he must be in custody </w:t>
      </w:r>
      <w:r w:rsidR="00AE00B3" w:rsidRPr="00C05D6B">
        <w:rPr>
          <w:rFonts w:ascii="Garamond" w:eastAsia="Garamond" w:hAnsi="Garamond" w:cs="Garamond"/>
        </w:rPr>
        <w:t>‘</w:t>
      </w:r>
      <w:r w:rsidRPr="00C05D6B">
        <w:rPr>
          <w:rFonts w:ascii="Garamond" w:eastAsia="Garamond" w:hAnsi="Garamond" w:cs="Garamond"/>
        </w:rPr>
        <w:t>for an act done or omitted in pursuance of a law of the United States, or of an order, process, or decree of a court or a judge thereof, or is in custody in violation of the constitution or of a law or treaty of the United States.</w:t>
      </w:r>
      <w:r w:rsidR="00AE00B3" w:rsidRPr="00C05D6B">
        <w:rPr>
          <w:rFonts w:ascii="Garamond" w:eastAsia="Garamond" w:hAnsi="Garamond" w:cs="Garamond"/>
        </w:rPr>
        <w:t>’</w:t>
      </w:r>
      <w:r w:rsidRPr="00C05D6B">
        <w:rPr>
          <w:rFonts w:ascii="Garamond" w:eastAsia="Garamond" w:hAnsi="Garamond" w:cs="Garamond"/>
        </w:rPr>
        <w:t xml:space="preserve"> In the view we take of the Constitution of the United states, any obligation fairly and properly inferable from that instrument, or any duty of the marshal to be derived from the general scope of his duties under the laws of the United States, is a </w:t>
      </w:r>
      <w:r w:rsidR="00AE00B3" w:rsidRPr="00C05D6B">
        <w:rPr>
          <w:rFonts w:ascii="Garamond" w:eastAsia="Garamond" w:hAnsi="Garamond" w:cs="Garamond"/>
        </w:rPr>
        <w:t>‘</w:t>
      </w:r>
      <w:r w:rsidRPr="00C05D6B">
        <w:rPr>
          <w:rFonts w:ascii="Garamond" w:eastAsia="Garamond" w:hAnsi="Garamond" w:cs="Garamond"/>
        </w:rPr>
        <w:t>law,</w:t>
      </w:r>
      <w:r w:rsidR="00AE00B3" w:rsidRPr="00C05D6B">
        <w:rPr>
          <w:rFonts w:ascii="Garamond" w:eastAsia="Garamond" w:hAnsi="Garamond" w:cs="Garamond"/>
        </w:rPr>
        <w:t>’</w:t>
      </w:r>
      <w:r w:rsidRPr="00C05D6B">
        <w:rPr>
          <w:rFonts w:ascii="Garamond" w:eastAsia="Garamond" w:hAnsi="Garamond" w:cs="Garamond"/>
        </w:rPr>
        <w:t xml:space="preserve"> within the meaning of this phrase.  </w:t>
      </w:r>
    </w:p>
    <w:p w14:paraId="049EDF57"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It would be a great reproach to the system of government of the United States, declared to be within its sphere sovereign and supreme, if there is to be found within the domain of its powers no means of protecting the judges, in the conscientious and faithful discharge of their duties, from the malice and hatred of those upon whom their judgments may operate unfavorably. …</w:t>
      </w:r>
    </w:p>
    <w:p w14:paraId="5DEACFAA"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The views expressed by this court, through Mr. Justice Bradley, In </w:t>
      </w:r>
      <w:r w:rsidRPr="00C05D6B">
        <w:rPr>
          <w:rFonts w:ascii="Garamond" w:eastAsia="Garamond" w:hAnsi="Garamond" w:cs="Garamond"/>
          <w:i/>
          <w:iCs/>
        </w:rPr>
        <w:t xml:space="preserve">Ex </w:t>
      </w:r>
      <w:proofErr w:type="spellStart"/>
      <w:r w:rsidRPr="00C05D6B">
        <w:rPr>
          <w:rFonts w:ascii="Garamond" w:eastAsia="Garamond" w:hAnsi="Garamond" w:cs="Garamond"/>
          <w:i/>
          <w:iCs/>
        </w:rPr>
        <w:t>parte</w:t>
      </w:r>
      <w:proofErr w:type="spellEnd"/>
      <w:r w:rsidRPr="00C05D6B">
        <w:rPr>
          <w:rFonts w:ascii="Garamond" w:eastAsia="Garamond" w:hAnsi="Garamond" w:cs="Garamond"/>
          <w:i/>
          <w:iCs/>
        </w:rPr>
        <w:t xml:space="preserve"> Siebold</w:t>
      </w:r>
      <w:r w:rsidRPr="00C05D6B">
        <w:rPr>
          <w:rFonts w:ascii="Garamond" w:eastAsia="Garamond" w:hAnsi="Garamond" w:cs="Garamond"/>
        </w:rPr>
        <w:t xml:space="preserve">, are very pertinent to this subject, and express our views with great force. That was a case of a writ of </w:t>
      </w:r>
      <w:r w:rsidRPr="00C05D6B">
        <w:rPr>
          <w:rFonts w:ascii="Garamond" w:eastAsia="Garamond" w:hAnsi="Garamond" w:cs="Garamond"/>
          <w:i/>
          <w:iCs/>
        </w:rPr>
        <w:t>habeas corpus</w:t>
      </w:r>
      <w:r w:rsidRPr="00C05D6B">
        <w:rPr>
          <w:rFonts w:ascii="Garamond" w:eastAsia="Garamond" w:hAnsi="Garamond" w:cs="Garamond"/>
        </w:rPr>
        <w:t xml:space="preserve">, where Siebold had been indicted in the Circuit Court of the United States for the district of Maryland for an offense committed against the election laws during an election at which members of congress and officers of the state of Maryland were elected. He was convicted, and sentenced to fine and imprisonment, and filed his petition in this court for a writ of </w:t>
      </w:r>
      <w:r w:rsidRPr="00C05D6B">
        <w:rPr>
          <w:rFonts w:ascii="Garamond" w:eastAsia="Garamond" w:hAnsi="Garamond" w:cs="Garamond"/>
          <w:i/>
          <w:iCs/>
        </w:rPr>
        <w:t>habeas corpus</w:t>
      </w:r>
      <w:r w:rsidRPr="00C05D6B">
        <w:rPr>
          <w:rFonts w:ascii="Garamond" w:eastAsia="Garamond" w:hAnsi="Garamond" w:cs="Garamond"/>
        </w:rPr>
        <w:t xml:space="preserve">, to be relieved on the ground that the court which had convicted him was without jurisdiction. The foundation of this allegation was that the congress of the United States had no right to prescribe laws for the conduct of the election in question, or for enforcing the laws of the state of Maryland by the courts of the United States. In the course of the discussion of the relative powers of the federal and state courts on this subject, it is said:  </w:t>
      </w:r>
    </w:p>
    <w:p w14:paraId="142D9C67" w14:textId="099E6214" w:rsidR="00567887" w:rsidRPr="00C05D6B" w:rsidRDefault="00AE00B3" w:rsidP="006D27AB">
      <w:pPr>
        <w:spacing w:before="120" w:after="240"/>
        <w:ind w:left="720"/>
        <w:rPr>
          <w:rFonts w:ascii="Garamond" w:hAnsi="Garamond"/>
        </w:rPr>
      </w:pPr>
      <w:r w:rsidRPr="00C05D6B">
        <w:rPr>
          <w:rFonts w:ascii="Garamond" w:eastAsia="Garamond" w:hAnsi="Garamond" w:cs="Garamond"/>
        </w:rPr>
        <w:t>‘</w:t>
      </w:r>
      <w:r w:rsidR="00567887" w:rsidRPr="00C05D6B">
        <w:rPr>
          <w:rFonts w:ascii="Garamond" w:eastAsia="Garamond" w:hAnsi="Garamond" w:cs="Garamond"/>
        </w:rPr>
        <w:t xml:space="preserve">Somewhat akin to the argument which has been considered is the objection that the deputy marshals authorized by the act of congress to be created, and to attend the elections, are authorized to keep the peace, and that this is a duty which belongs to the state authorities alone. It is argued that the preservation of peace and good order in society is not within the powers confined to the government of the United States, but belongs exclusively to the states. Here, again, we are met with the theory that the government of the United States does not rest upon the soil and territory of the country. We think that this theory is founded on an entire misconception of the nature and powers of that government. We hold it to be an incontrovertible principle that the government of the United States may, by means of physical force, exercised through its official agents execute on every foot of American soil the powers and functions that belong to it. This necessarily involves the power to command obedience to its laws, and hence the power to keep the peace to that extent.  </w:t>
      </w:r>
    </w:p>
    <w:p w14:paraId="34D5E79F" w14:textId="6EB583AC" w:rsidR="00567887" w:rsidRPr="00C05D6B" w:rsidRDefault="00567887" w:rsidP="006D27AB">
      <w:pPr>
        <w:spacing w:before="120" w:after="240"/>
        <w:ind w:left="720"/>
        <w:rPr>
          <w:rFonts w:ascii="Garamond" w:hAnsi="Garamond"/>
        </w:rPr>
      </w:pPr>
      <w:r w:rsidRPr="00C05D6B">
        <w:rPr>
          <w:rFonts w:ascii="Garamond" w:eastAsia="Garamond" w:hAnsi="Garamond" w:cs="Garamond"/>
        </w:rPr>
        <w:t xml:space="preserve">This power to enforce its laws and to execute its functions in all places does not derogate from the power of the state to execute its laws at the same time and in the same places. The one does not exclude the other, except where both cannot be executed at the same time. In that case the words of the constitution itself show which is to yield. 'This constitution, and all laws which shall be made in pursuance thereof, * * * shall be the supreme law of the land.' * * * Without the concurrent sovereignty referred to, the national government would be nothing but an advisory government. Its executive power would be absolutely nullified. Why </w:t>
      </w:r>
      <w:r w:rsidRPr="00C05D6B">
        <w:rPr>
          <w:rFonts w:ascii="Garamond" w:eastAsia="Garamond" w:hAnsi="Garamond" w:cs="Garamond"/>
        </w:rPr>
        <w:lastRenderedPageBreak/>
        <w:t xml:space="preserve">do we have marshals at all, if they cannot physically lay their </w:t>
      </w:r>
      <w:proofErr w:type="gramStart"/>
      <w:r w:rsidRPr="00C05D6B">
        <w:rPr>
          <w:rFonts w:ascii="Garamond" w:eastAsia="Garamond" w:hAnsi="Garamond" w:cs="Garamond"/>
        </w:rPr>
        <w:t>hands on</w:t>
      </w:r>
      <w:proofErr w:type="gramEnd"/>
      <w:r w:rsidRPr="00C05D6B">
        <w:rPr>
          <w:rFonts w:ascii="Garamond" w:eastAsia="Garamond" w:hAnsi="Garamond" w:cs="Garamond"/>
        </w:rPr>
        <w:t xml:space="preserve"> persons and things in the performance of their proper duties? What functions can they perform, if they cannot use force? In executing the process of the courts, must they call on the nearest constable for protection? Must they rely on him to use the requisite compulsion, and to keep the peace, whilst they are soliciting and entreating the parties and by-standers to allow the law to take its course? This is the necessary consequence of the positions that are assumed. If we indulge in such impracticable views as these, and keep on refining and re-refining, we shall drive the national government out of the United States, and relegate it to the District of Columbia, or perhaps to some foreign soil. We shall bring it back to a condition of greater helplessness than that of the old confederation. * * * It must execute its powers, or it is no government. It must execute them on the land as well as on the sea, on things as well as on persons. And, to do this, it must necessarily have power to command obedience, preserve order, and keep the peace; and no person or power in this land has the right to resist or question its authority, so long as it keeps within the bounds of its jurisdiction.</w:t>
      </w:r>
      <w:r w:rsidR="00AE00B3" w:rsidRPr="00C05D6B">
        <w:rPr>
          <w:rFonts w:ascii="Garamond" w:eastAsia="Garamond" w:hAnsi="Garamond" w:cs="Garamond"/>
        </w:rPr>
        <w:t>’</w:t>
      </w:r>
    </w:p>
    <w:p w14:paraId="0D238E30" w14:textId="77777777" w:rsidR="00567887" w:rsidRPr="00C05D6B" w:rsidRDefault="00567887" w:rsidP="006D27AB">
      <w:pPr>
        <w:spacing w:before="120" w:after="240"/>
        <w:rPr>
          <w:rFonts w:ascii="Garamond" w:eastAsia="Garamond" w:hAnsi="Garamond" w:cs="Garamond"/>
        </w:rPr>
      </w:pPr>
      <w:r w:rsidRPr="00C05D6B">
        <w:rPr>
          <w:rFonts w:ascii="Garamond" w:eastAsia="Garamond" w:hAnsi="Garamond" w:cs="Garamond"/>
        </w:rPr>
        <w:t xml:space="preserve">At the same term of the court, in the case of </w:t>
      </w:r>
      <w:r w:rsidRPr="00C05D6B">
        <w:rPr>
          <w:rFonts w:ascii="Garamond" w:eastAsia="Garamond" w:hAnsi="Garamond" w:cs="Garamond"/>
          <w:i/>
          <w:iCs/>
        </w:rPr>
        <w:t>Tennessee v. Davis</w:t>
      </w:r>
      <w:r w:rsidRPr="00C05D6B">
        <w:rPr>
          <w:rFonts w:ascii="Garamond" w:eastAsia="Garamond" w:hAnsi="Garamond" w:cs="Garamond"/>
        </w:rPr>
        <w:t xml:space="preserve">, where the same questions in regard to the relative powers of the federal and state courts were concerned, in regard to criminal offenses, the court expressed its views through Mr. Justice Strong, quoting from the case of </w:t>
      </w:r>
      <w:r w:rsidRPr="00C05D6B">
        <w:rPr>
          <w:rFonts w:ascii="Garamond" w:eastAsia="Garamond" w:hAnsi="Garamond" w:cs="Garamond"/>
          <w:i/>
          <w:iCs/>
        </w:rPr>
        <w:t>Martin v. Hunter</w:t>
      </w:r>
      <w:r w:rsidRPr="00C05D6B">
        <w:rPr>
          <w:rFonts w:ascii="Garamond" w:eastAsia="Garamond" w:hAnsi="Garamond" w:cs="Garamond"/>
        </w:rPr>
        <w:t xml:space="preserve"> the following language:</w:t>
      </w:r>
    </w:p>
    <w:p w14:paraId="28128F98" w14:textId="22CD40F7" w:rsidR="00567887" w:rsidRPr="00C05D6B" w:rsidRDefault="00567887" w:rsidP="006D27AB">
      <w:pPr>
        <w:spacing w:before="120" w:after="240"/>
        <w:ind w:left="720"/>
        <w:rPr>
          <w:rFonts w:ascii="Garamond" w:hAnsi="Garamond"/>
        </w:rPr>
      </w:pPr>
      <w:r w:rsidRPr="00C05D6B">
        <w:rPr>
          <w:rFonts w:ascii="Garamond" w:eastAsia="Garamond" w:hAnsi="Garamond" w:cs="Garamond"/>
        </w:rPr>
        <w:t xml:space="preserve"> </w:t>
      </w:r>
      <w:r w:rsidR="00AE00B3" w:rsidRPr="00C05D6B">
        <w:rPr>
          <w:rFonts w:ascii="Garamond" w:eastAsia="Garamond" w:hAnsi="Garamond" w:cs="Garamond"/>
        </w:rPr>
        <w:t>‘</w:t>
      </w:r>
      <w:r w:rsidRPr="00C05D6B">
        <w:rPr>
          <w:rFonts w:ascii="Garamond" w:eastAsia="Garamond" w:hAnsi="Garamond" w:cs="Garamond"/>
        </w:rPr>
        <w:t>The general government must cease to exist whenever it loses the power of protecting itself in the exercise of its constitutional powers,' and then proceeding: 'It can act only through its officers and agents, and they must act within the states. If, when thus acting, and within the scope of their authority, those officers can be arrested and brought to trial in a state court for an alleged offense against the law of the state, yet warranted by the federal authority they possess, and if the general government is powerless to interfere at once for their protection,—if their protection must be left to the action of the state court,—the operations of the general government may at any time be arrested at the will of one of its members. The legislation of a state may be unfriendly. It may affix penalties to acts done under the immediate direction of the national government and in obedience to its laws. It may deny the authority conferred by those laws. The state court may administer not only the laws of the state, but equally federal law, in such a manner as to paralyze the operations of the government; and even if, after trial and final judgment in the state court, the case can be brought into the United States court for review, the officer is withdrawn from the discharge of his duty during the pendency of the prosecution, and the exercise of acknowledged federal power arrested. We do not think such an element of weakness is to be found in the constitution. The United States is a government with authority extending over the whole territory of the Union, acting</w:t>
      </w:r>
      <w:r w:rsidR="00822187" w:rsidRPr="00C05D6B">
        <w:rPr>
          <w:rFonts w:ascii="Garamond" w:eastAsia="Garamond" w:hAnsi="Garamond" w:cs="Garamond"/>
        </w:rPr>
        <w:t xml:space="preserve"> </w:t>
      </w:r>
      <w:r w:rsidRPr="00C05D6B">
        <w:rPr>
          <w:rFonts w:ascii="Garamond" w:eastAsia="Garamond" w:hAnsi="Garamond" w:cs="Garamond"/>
        </w:rPr>
        <w:t>upon the states and upon the people of the states. While it is limited in the number of its powers, so far as its sovereignty extends, it is supreme. No state government can exclude it from the exercise of any authority conferred upon it by the constitution, obstruct its authorized officers against its will, or withhold from it for a moment the cognizance of any subject which that instrument has committed to it.</w:t>
      </w:r>
      <w:r w:rsidR="00AE00B3" w:rsidRPr="00C05D6B">
        <w:rPr>
          <w:rFonts w:ascii="Garamond" w:eastAsia="Garamond" w:hAnsi="Garamond" w:cs="Garamond"/>
        </w:rPr>
        <w:t>’</w:t>
      </w:r>
    </w:p>
    <w:p w14:paraId="6B1B90FC" w14:textId="0F891EB4"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Where, then, are we to look for the protection which we have shown Judge Field was entitled to when engaged in the discharge of his official duties? Not to the courts of the United States, because, as has been more than once said in this court, in the division of the powers of government between the three great departments, executive, legislative, and judicial, the judicial is the weakest for the purposes of self-protection, and for the enforcement of the powers which it </w:t>
      </w:r>
      <w:r w:rsidRPr="00C05D6B">
        <w:rPr>
          <w:rFonts w:ascii="Garamond" w:eastAsia="Garamond" w:hAnsi="Garamond" w:cs="Garamond"/>
        </w:rPr>
        <w:lastRenderedPageBreak/>
        <w:t xml:space="preserve">exercises. The ministerial officers through whom its commands must be executed are marshals of the United States, and belong emphatically to the executive department of the government. They are appointed by the president, with the advice and consent of the senate. They are removable from office at his pleasure. They are subjected by act of congress to the supervision and control of the department of justice, in the hands of one of the cabinet officers of the president, and their compensation is provided by acts of congress. The same may be said of the district attorneys of the United States who prosecute and defend the claims of the government in the courts. The legislative branch of the government can only protect the judicial officers by the enactment of laws for that purpose, and the argument we are now combating assumes that no such law has been passed by congress. If we turn to the executive department of the government, we find a very different condition of affairs. The constitution, § 3, art. 2, declares that the president </w:t>
      </w:r>
      <w:r w:rsidR="00AE00B3" w:rsidRPr="00C05D6B">
        <w:rPr>
          <w:rFonts w:ascii="Garamond" w:eastAsia="Garamond" w:hAnsi="Garamond" w:cs="Garamond"/>
        </w:rPr>
        <w:t>‘</w:t>
      </w:r>
      <w:r w:rsidRPr="00C05D6B">
        <w:rPr>
          <w:rFonts w:ascii="Garamond" w:eastAsia="Garamond" w:hAnsi="Garamond" w:cs="Garamond"/>
        </w:rPr>
        <w:t>shall take care that the laws be faithfully executed;</w:t>
      </w:r>
      <w:r w:rsidR="00AE00B3" w:rsidRPr="00C05D6B">
        <w:rPr>
          <w:rFonts w:ascii="Garamond" w:eastAsia="Garamond" w:hAnsi="Garamond" w:cs="Garamond"/>
        </w:rPr>
        <w:t>’</w:t>
      </w:r>
      <w:r w:rsidRPr="00C05D6B">
        <w:rPr>
          <w:rFonts w:ascii="Garamond" w:eastAsia="Garamond" w:hAnsi="Garamond" w:cs="Garamond"/>
        </w:rPr>
        <w:t xml:space="preserve"> and he is provided with the means of fulfilling this obligation by his authority to commission all the officers of the United States, and, by and with the advice and consent of the senate, to appoint the most important of them, and to fill vacancies. He is declared to be the commander in chief of the army and navy of the United States. The duties which are thus imposed upon him he is further enabled to perform by the recognition in the constitution, and the creation by acts of congress, of executive departments, which have varied in number from four or five to seven or eight, who are familiarly called </w:t>
      </w:r>
      <w:r w:rsidR="00AE00B3" w:rsidRPr="00C05D6B">
        <w:rPr>
          <w:rFonts w:ascii="Garamond" w:eastAsia="Garamond" w:hAnsi="Garamond" w:cs="Garamond"/>
        </w:rPr>
        <w:t>‘</w:t>
      </w:r>
      <w:r w:rsidRPr="00C05D6B">
        <w:rPr>
          <w:rFonts w:ascii="Garamond" w:eastAsia="Garamond" w:hAnsi="Garamond" w:cs="Garamond"/>
        </w:rPr>
        <w:t>cabinet ministers.</w:t>
      </w:r>
      <w:r w:rsidR="00AE00B3" w:rsidRPr="00C05D6B">
        <w:rPr>
          <w:rFonts w:ascii="Garamond" w:eastAsia="Garamond" w:hAnsi="Garamond" w:cs="Garamond"/>
        </w:rPr>
        <w:t>’</w:t>
      </w:r>
      <w:r w:rsidRPr="00C05D6B">
        <w:rPr>
          <w:rFonts w:ascii="Garamond" w:eastAsia="Garamond" w:hAnsi="Garamond" w:cs="Garamond"/>
        </w:rPr>
        <w:t xml:space="preserve"> These aid him in the performance of the great duties of his office, and represent him in a thousand acts to which it can hardly be supposed his personal attention is called; and thus he is enabled to fulfill the duty of his great department, expressed in the phrase that </w:t>
      </w:r>
      <w:r w:rsidR="00AE00B3" w:rsidRPr="00C05D6B">
        <w:rPr>
          <w:rFonts w:ascii="Garamond" w:eastAsia="Garamond" w:hAnsi="Garamond" w:cs="Garamond"/>
        </w:rPr>
        <w:t>‘</w:t>
      </w:r>
      <w:r w:rsidRPr="00C05D6B">
        <w:rPr>
          <w:rFonts w:ascii="Garamond" w:eastAsia="Garamond" w:hAnsi="Garamond" w:cs="Garamond"/>
        </w:rPr>
        <w:t>he shall take care that the laws be faithfully executed.</w:t>
      </w:r>
      <w:r w:rsidR="00AE00B3" w:rsidRPr="00C05D6B">
        <w:rPr>
          <w:rFonts w:ascii="Garamond" w:eastAsia="Garamond" w:hAnsi="Garamond" w:cs="Garamond"/>
        </w:rPr>
        <w:t>’</w:t>
      </w:r>
      <w:r w:rsidRPr="00C05D6B">
        <w:rPr>
          <w:rFonts w:ascii="Garamond" w:eastAsia="Garamond" w:hAnsi="Garamond" w:cs="Garamond"/>
        </w:rPr>
        <w:t xml:space="preserve"> Is this duty limited to the enforcement of acts of congress or of treaties of the United States according to their express terms; or does it include the rights, duties, and obligations growing out of the constitution itself, our international relations, and all the protection implied by the nature of the government under the constitution?... </w:t>
      </w:r>
    </w:p>
    <w:p w14:paraId="1B95FA6D" w14:textId="484303F3"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The United States is the owner of millions of acres of valuable public land, and has been the owner of much more, which it has sold. Some of these lands owe a large part of their value to the forests which grow upon them. These forests are liable to depredations by people living in the neighborhood, known as 'timber thieves,' who make a living by cutting and selling such timber, and who are trespassers. But until quite recently, even if there be one now, there was no statute authorizing any preventive measures for the protection of this valuable public property. Has the president no authority to place guards upon the public territory to protect its timber? No authority to seize the timber when cut and found upon the ground? Has he no power to take any measures to protect this vast domain? Fortunately, we </w:t>
      </w:r>
      <w:r w:rsidR="00511D36" w:rsidRPr="00C05D6B">
        <w:rPr>
          <w:rFonts w:ascii="Garamond" w:eastAsia="Garamond" w:hAnsi="Garamond" w:cs="Garamond"/>
        </w:rPr>
        <w:t>fi</w:t>
      </w:r>
      <w:r w:rsidRPr="00C05D6B">
        <w:rPr>
          <w:rFonts w:ascii="Garamond" w:eastAsia="Garamond" w:hAnsi="Garamond" w:cs="Garamond"/>
        </w:rPr>
        <w:t xml:space="preserve">nd this question answered by this court in the case of </w:t>
      </w:r>
      <w:r w:rsidRPr="00C05D6B">
        <w:rPr>
          <w:rFonts w:ascii="Garamond" w:eastAsia="Garamond" w:hAnsi="Garamond" w:cs="Garamond"/>
          <w:i/>
          <w:iCs/>
        </w:rPr>
        <w:t xml:space="preserve">Wells v. </w:t>
      </w:r>
      <w:proofErr w:type="spellStart"/>
      <w:r w:rsidRPr="00C05D6B">
        <w:rPr>
          <w:rFonts w:ascii="Garamond" w:eastAsia="Garamond" w:hAnsi="Garamond" w:cs="Garamond"/>
          <w:i/>
          <w:iCs/>
        </w:rPr>
        <w:t>Nickles</w:t>
      </w:r>
      <w:proofErr w:type="spellEnd"/>
      <w:r w:rsidRPr="00C05D6B">
        <w:rPr>
          <w:rFonts w:ascii="Garamond" w:eastAsia="Garamond" w:hAnsi="Garamond" w:cs="Garamond"/>
        </w:rPr>
        <w:t>. That was a case in which a class of men appointed by local land-o</w:t>
      </w:r>
      <w:r w:rsidR="00511D36" w:rsidRPr="00C05D6B">
        <w:rPr>
          <w:rFonts w:ascii="Garamond" w:eastAsia="Garamond" w:hAnsi="Garamond" w:cs="Garamond"/>
        </w:rPr>
        <w:t>ff</w:t>
      </w:r>
      <w:r w:rsidRPr="00C05D6B">
        <w:rPr>
          <w:rFonts w:ascii="Garamond" w:eastAsia="Garamond" w:hAnsi="Garamond" w:cs="Garamond"/>
        </w:rPr>
        <w:t xml:space="preserve">icers, under instructions from the secretary of the interior, having found a large quantity of this timber cut down from the forests of the United States, and lying where it was cut, seized it. The question of the title to this property coming in controversy between Wells and </w:t>
      </w:r>
      <w:proofErr w:type="spellStart"/>
      <w:r w:rsidRPr="00C05D6B">
        <w:rPr>
          <w:rFonts w:ascii="Garamond" w:eastAsia="Garamond" w:hAnsi="Garamond" w:cs="Garamond"/>
        </w:rPr>
        <w:t>Nickles</w:t>
      </w:r>
      <w:proofErr w:type="spellEnd"/>
      <w:r w:rsidRPr="00C05D6B">
        <w:rPr>
          <w:rFonts w:ascii="Garamond" w:eastAsia="Garamond" w:hAnsi="Garamond" w:cs="Garamond"/>
        </w:rPr>
        <w:t xml:space="preserve">, it became essential to inquire into the authority of these timber agents of the government, thus to seize the timber cut by trespassers on its lands. The court said: </w:t>
      </w:r>
      <w:r w:rsidR="00AE00B3" w:rsidRPr="00C05D6B">
        <w:rPr>
          <w:rFonts w:ascii="Garamond" w:eastAsia="Garamond" w:hAnsi="Garamond" w:cs="Garamond"/>
        </w:rPr>
        <w:t>‘</w:t>
      </w:r>
      <w:r w:rsidRPr="00C05D6B">
        <w:rPr>
          <w:rFonts w:ascii="Garamond" w:eastAsia="Garamond" w:hAnsi="Garamond" w:cs="Garamond"/>
        </w:rPr>
        <w:t>The e</w:t>
      </w:r>
      <w:r w:rsidR="00511D36" w:rsidRPr="00C05D6B">
        <w:rPr>
          <w:rFonts w:ascii="Garamond" w:eastAsia="Garamond" w:hAnsi="Garamond" w:cs="Garamond"/>
        </w:rPr>
        <w:t>ff</w:t>
      </w:r>
      <w:r w:rsidRPr="00C05D6B">
        <w:rPr>
          <w:rFonts w:ascii="Garamond" w:eastAsia="Garamond" w:hAnsi="Garamond" w:cs="Garamond"/>
        </w:rPr>
        <w:t xml:space="preserve">ort we have made to ascertain and </w:t>
      </w:r>
      <w:r w:rsidR="00511D36" w:rsidRPr="00C05D6B">
        <w:rPr>
          <w:rFonts w:ascii="Garamond" w:eastAsia="Garamond" w:hAnsi="Garamond" w:cs="Garamond"/>
        </w:rPr>
        <w:t>fi</w:t>
      </w:r>
      <w:r w:rsidRPr="00C05D6B">
        <w:rPr>
          <w:rFonts w:ascii="Garamond" w:eastAsia="Garamond" w:hAnsi="Garamond" w:cs="Garamond"/>
        </w:rPr>
        <w:t>x the authority of these timber agents by any positive provision of law has been unsuccessful.</w:t>
      </w:r>
      <w:r w:rsidR="00AE00B3" w:rsidRPr="00C05D6B">
        <w:rPr>
          <w:rFonts w:ascii="Garamond" w:eastAsia="Garamond" w:hAnsi="Garamond" w:cs="Garamond"/>
        </w:rPr>
        <w:t xml:space="preserve">’ </w:t>
      </w:r>
      <w:r w:rsidRPr="00C05D6B">
        <w:rPr>
          <w:rFonts w:ascii="Garamond" w:eastAsia="Garamond" w:hAnsi="Garamond" w:cs="Garamond"/>
        </w:rPr>
        <w:t>But the court, notwithstanding there was no special statute for it, held that the department of the interior, acting under the idea of protecting from depredation timber on the lands of the government, had gradually come to assert the right to seize what is cut and taken away from them wherever it can be traced, and in aid of this the registers and receivers of the land-o</w:t>
      </w:r>
      <w:r w:rsidR="00511D36" w:rsidRPr="00C05D6B">
        <w:rPr>
          <w:rFonts w:ascii="Garamond" w:eastAsia="Garamond" w:hAnsi="Garamond" w:cs="Garamond"/>
        </w:rPr>
        <w:t>ff</w:t>
      </w:r>
      <w:r w:rsidRPr="00C05D6B">
        <w:rPr>
          <w:rFonts w:ascii="Garamond" w:eastAsia="Garamond" w:hAnsi="Garamond" w:cs="Garamond"/>
        </w:rPr>
        <w:t xml:space="preserve">ice had, by instructions from the secretary of the interior, been constituted agents of the United States for these purposes, with power to </w:t>
      </w:r>
      <w:r w:rsidRPr="00C05D6B">
        <w:rPr>
          <w:rFonts w:ascii="Garamond" w:eastAsia="Garamond" w:hAnsi="Garamond" w:cs="Garamond"/>
        </w:rPr>
        <w:lastRenderedPageBreak/>
        <w:t xml:space="preserve">appoint special agents under themselves. And the court upheld the authority of the secretary of the interior to make these rules and regulations for the protection of the public lands. </w:t>
      </w:r>
    </w:p>
    <w:p w14:paraId="63B4EA35" w14:textId="268979AD" w:rsidR="00567887" w:rsidRPr="00C05D6B" w:rsidRDefault="00567887" w:rsidP="00AE00B3">
      <w:pPr>
        <w:spacing w:before="120" w:after="240"/>
        <w:ind w:firstLine="720"/>
        <w:rPr>
          <w:rFonts w:ascii="Garamond" w:hAnsi="Garamond"/>
        </w:rPr>
      </w:pPr>
      <w:r w:rsidRPr="00C05D6B">
        <w:rPr>
          <w:rFonts w:ascii="Garamond" w:eastAsia="Garamond" w:hAnsi="Garamond" w:cs="Garamond"/>
        </w:rPr>
        <w:t>So, if the president or the postmaster general is advised that the mails of the United States, possibly carrying treasure, are liable to be robbed, and the mail carriers assaulted and murdered, in any particular region of country, who can doubt the authority of the president, or of one of the executive departments under him, to make an order for the protection of the mail, and of the persons and lives of its carriers, by doing exactly what was done in the case of Mr. Justice Field, namely, providing a su</w:t>
      </w:r>
      <w:r w:rsidR="00511D36" w:rsidRPr="00C05D6B">
        <w:rPr>
          <w:rFonts w:ascii="Garamond" w:eastAsia="Garamond" w:hAnsi="Garamond" w:cs="Garamond"/>
        </w:rPr>
        <w:t>ff</w:t>
      </w:r>
      <w:r w:rsidRPr="00C05D6B">
        <w:rPr>
          <w:rFonts w:ascii="Garamond" w:eastAsia="Garamond" w:hAnsi="Garamond" w:cs="Garamond"/>
        </w:rPr>
        <w:t xml:space="preserve">icient guard, whether it be by soldiers of the army or by marshals of the United States, with a </w:t>
      </w:r>
      <w:r w:rsidRPr="00C05D6B">
        <w:rPr>
          <w:rFonts w:ascii="Garamond" w:eastAsia="Garamond" w:hAnsi="Garamond" w:cs="Garamond"/>
          <w:i/>
          <w:iCs/>
        </w:rPr>
        <w:t>posse comitatus</w:t>
      </w:r>
      <w:r w:rsidRPr="00C05D6B">
        <w:rPr>
          <w:rFonts w:ascii="Garamond" w:eastAsia="Garamond" w:hAnsi="Garamond" w:cs="Garamond"/>
        </w:rPr>
        <w:t xml:space="preserve"> properly armed and equipped, to secure the safe performance of the duty of carrying the mail wherever it may be intended to go?</w:t>
      </w:r>
    </w:p>
    <w:p w14:paraId="2E89DF74" w14:textId="2495531F" w:rsidR="00567887" w:rsidRPr="00C05D6B" w:rsidRDefault="00567887" w:rsidP="00AE00B3">
      <w:pPr>
        <w:spacing w:before="120" w:after="240"/>
        <w:ind w:firstLine="720"/>
        <w:rPr>
          <w:rFonts w:ascii="Garamond" w:hAnsi="Garamond"/>
        </w:rPr>
      </w:pPr>
      <w:r w:rsidRPr="00C05D6B">
        <w:rPr>
          <w:rFonts w:ascii="Garamond" w:eastAsia="Garamond" w:hAnsi="Garamond" w:cs="Garamond"/>
        </w:rPr>
        <w:t>We cannot doubt the power of the president to take measures for the protection of a judge of one of the courts of the United States who, while in the discharge of the duties of his o</w:t>
      </w:r>
      <w:r w:rsidR="00511D36" w:rsidRPr="00C05D6B">
        <w:rPr>
          <w:rFonts w:ascii="Garamond" w:eastAsia="Garamond" w:hAnsi="Garamond" w:cs="Garamond"/>
        </w:rPr>
        <w:t>ff</w:t>
      </w:r>
      <w:r w:rsidRPr="00C05D6B">
        <w:rPr>
          <w:rFonts w:ascii="Garamond" w:eastAsia="Garamond" w:hAnsi="Garamond" w:cs="Garamond"/>
        </w:rPr>
        <w:t>ice, is threatened with a personal attack which may probably result in his death; and we think it clear that where this protection is to be a</w:t>
      </w:r>
      <w:r w:rsidR="00511D36" w:rsidRPr="00C05D6B">
        <w:rPr>
          <w:rFonts w:ascii="Garamond" w:eastAsia="Garamond" w:hAnsi="Garamond" w:cs="Garamond"/>
        </w:rPr>
        <w:t>ff</w:t>
      </w:r>
      <w:r w:rsidRPr="00C05D6B">
        <w:rPr>
          <w:rFonts w:ascii="Garamond" w:eastAsia="Garamond" w:hAnsi="Garamond" w:cs="Garamond"/>
        </w:rPr>
        <w:t>orded through the civil power, the department of justice is the proper one to set in motion the necessary means of protection.</w:t>
      </w:r>
    </w:p>
    <w:p w14:paraId="7A4E23B4" w14:textId="673F71B6"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But there is positive law investing the marshals and their deputies with powers which not only justify what Marshal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did in this matter, but which imposed it upon him as a duty. In chapter 14, title 13, of the Revised Statutes of the United States, which is devoted to the appointment and duties of the district attorneys, marshals, and clerks of the courts of the United States, section 788 declares: </w:t>
      </w:r>
      <w:r w:rsidR="00AE00B3" w:rsidRPr="00C05D6B">
        <w:rPr>
          <w:rFonts w:ascii="Garamond" w:eastAsia="Garamond" w:hAnsi="Garamond" w:cs="Garamond"/>
        </w:rPr>
        <w:t>‘</w:t>
      </w:r>
      <w:r w:rsidRPr="00C05D6B">
        <w:rPr>
          <w:rFonts w:ascii="Garamond" w:eastAsia="Garamond" w:hAnsi="Garamond" w:cs="Garamond"/>
        </w:rPr>
        <w:t>The marshals and their deputies shall have, in each state, the same powers in executing the laws of the United States as the sheri</w:t>
      </w:r>
      <w:r w:rsidR="00511D36" w:rsidRPr="00C05D6B">
        <w:rPr>
          <w:rFonts w:ascii="Garamond" w:eastAsia="Garamond" w:hAnsi="Garamond" w:cs="Garamond"/>
        </w:rPr>
        <w:t>ff</w:t>
      </w:r>
      <w:r w:rsidRPr="00C05D6B">
        <w:rPr>
          <w:rFonts w:ascii="Garamond" w:eastAsia="Garamond" w:hAnsi="Garamond" w:cs="Garamond"/>
        </w:rPr>
        <w:t>s and their deputies in such state may have, by law, in executing the laws thereof.</w:t>
      </w:r>
      <w:r w:rsidR="00AE00B3" w:rsidRPr="00C05D6B">
        <w:rPr>
          <w:rFonts w:ascii="Garamond" w:eastAsia="Garamond" w:hAnsi="Garamond" w:cs="Garamond"/>
        </w:rPr>
        <w:t>’</w:t>
      </w:r>
      <w:r w:rsidRPr="00C05D6B">
        <w:rPr>
          <w:rFonts w:ascii="Garamond" w:eastAsia="Garamond" w:hAnsi="Garamond" w:cs="Garamond"/>
        </w:rPr>
        <w:t xml:space="preserve"> If, therefore, a sheri</w:t>
      </w:r>
      <w:r w:rsidR="00511D36" w:rsidRPr="00C05D6B">
        <w:rPr>
          <w:rFonts w:ascii="Garamond" w:eastAsia="Garamond" w:hAnsi="Garamond" w:cs="Garamond"/>
        </w:rPr>
        <w:t>ff</w:t>
      </w:r>
      <w:r w:rsidRPr="00C05D6B">
        <w:rPr>
          <w:rFonts w:ascii="Garamond" w:eastAsia="Garamond" w:hAnsi="Garamond" w:cs="Garamond"/>
        </w:rPr>
        <w:t xml:space="preserve"> of the state of California was authorized to do in regard to the laws of California what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did,—that is, if he was authorized to keep the peace, to protect a judge from assault and murder,—then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was authorized to do the same thing in reference to the laws of the United States.</w:t>
      </w:r>
    </w:p>
    <w:p w14:paraId="22BCA3EF" w14:textId="732CEB36"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But, all these questions being conceded, it is urged against the relief sought by this writ of </w:t>
      </w:r>
      <w:r w:rsidRPr="00C05D6B">
        <w:rPr>
          <w:rFonts w:ascii="Garamond" w:eastAsia="Garamond" w:hAnsi="Garamond" w:cs="Garamond"/>
          <w:i/>
          <w:iCs/>
        </w:rPr>
        <w:t>habeas corpus</w:t>
      </w:r>
      <w:r w:rsidRPr="00C05D6B">
        <w:rPr>
          <w:rFonts w:ascii="Garamond" w:eastAsia="Garamond" w:hAnsi="Garamond" w:cs="Garamond"/>
        </w:rPr>
        <w:t xml:space="preserve"> that the question of the guilt of the prisoner of the crime of murder is a question to be determined by the laws of California, and to be decided by its courts, and that there exists no power in the government of the United States to take away the prisoner from the custody of the proper authorities of the state of California, and carry him before a judge of the court of the United States, and release him without a trial by jury according to the laws of the state of California. That the statute of the United States authorizes and directs such a proceeding and such a judgment in a case where the o</w:t>
      </w:r>
      <w:r w:rsidR="00511D36" w:rsidRPr="00C05D6B">
        <w:rPr>
          <w:rFonts w:ascii="Garamond" w:eastAsia="Garamond" w:hAnsi="Garamond" w:cs="Garamond"/>
        </w:rPr>
        <w:t>ff</w:t>
      </w:r>
      <w:r w:rsidRPr="00C05D6B">
        <w:rPr>
          <w:rFonts w:ascii="Garamond" w:eastAsia="Garamond" w:hAnsi="Garamond" w:cs="Garamond"/>
        </w:rPr>
        <w:t xml:space="preserve">ense charged against the prisoner consists in an act done in pursuance of a law of the United States, and by virtue of its authority, and where the imprisonment of the party is in violation of the constitution and laws of the United States, is clear by its express language. The enactments now found in the Revised Statutes of the United States on the subject of the writ of </w:t>
      </w:r>
      <w:r w:rsidRPr="00C05D6B">
        <w:rPr>
          <w:rFonts w:ascii="Garamond" w:eastAsia="Garamond" w:hAnsi="Garamond" w:cs="Garamond"/>
          <w:i/>
          <w:iCs/>
        </w:rPr>
        <w:t>habeas corpus</w:t>
      </w:r>
      <w:r w:rsidRPr="00C05D6B">
        <w:rPr>
          <w:rFonts w:ascii="Garamond" w:eastAsia="Garamond" w:hAnsi="Garamond" w:cs="Garamond"/>
        </w:rPr>
        <w:t xml:space="preserve"> are the result of a long course of legislation forced upon congress by the attempt of the states of the Union to exercise the power of imprisonment over o</w:t>
      </w:r>
      <w:r w:rsidR="00511D36" w:rsidRPr="00C05D6B">
        <w:rPr>
          <w:rFonts w:ascii="Garamond" w:eastAsia="Garamond" w:hAnsi="Garamond" w:cs="Garamond"/>
        </w:rPr>
        <w:t>ff</w:t>
      </w:r>
      <w:r w:rsidRPr="00C05D6B">
        <w:rPr>
          <w:rFonts w:ascii="Garamond" w:eastAsia="Garamond" w:hAnsi="Garamond" w:cs="Garamond"/>
        </w:rPr>
        <w:t>icers and other persons asserting rights under the federal government or foreign governments, which the states denied. [Discussing 1833 and 1842 expansions of federal habeas corpus to cover state detention of federal o</w:t>
      </w:r>
      <w:r w:rsidR="00511D36" w:rsidRPr="00C05D6B">
        <w:rPr>
          <w:rFonts w:ascii="Garamond" w:eastAsia="Garamond" w:hAnsi="Garamond" w:cs="Garamond"/>
        </w:rPr>
        <w:t>ff</w:t>
      </w:r>
      <w:r w:rsidRPr="00C05D6B">
        <w:rPr>
          <w:rFonts w:ascii="Garamond" w:eastAsia="Garamond" w:hAnsi="Garamond" w:cs="Garamond"/>
        </w:rPr>
        <w:t>icers interfering with the performance of federal duties during the nulli</w:t>
      </w:r>
      <w:r w:rsidR="00511D36" w:rsidRPr="00C05D6B">
        <w:rPr>
          <w:rFonts w:ascii="Garamond" w:eastAsia="Garamond" w:hAnsi="Garamond" w:cs="Garamond"/>
        </w:rPr>
        <w:t>fi</w:t>
      </w:r>
      <w:r w:rsidRPr="00C05D6B">
        <w:rPr>
          <w:rFonts w:ascii="Garamond" w:eastAsia="Garamond" w:hAnsi="Garamond" w:cs="Garamond"/>
        </w:rPr>
        <w:t>cation crisis</w:t>
      </w:r>
      <w:r w:rsidR="00AE00B3" w:rsidRPr="00C05D6B">
        <w:rPr>
          <w:rFonts w:ascii="Garamond" w:eastAsia="Garamond" w:hAnsi="Garamond" w:cs="Garamond"/>
        </w:rPr>
        <w:t>].</w:t>
      </w:r>
    </w:p>
    <w:p w14:paraId="39E9BEBF"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We have already cited such decisions of this court as are most important and directly in point, and there is a series of cases decided by the circuit and district courts to the same purport. </w:t>
      </w:r>
      <w:r w:rsidRPr="00C05D6B">
        <w:rPr>
          <w:rFonts w:ascii="Garamond" w:eastAsia="Garamond" w:hAnsi="Garamond" w:cs="Garamond"/>
        </w:rPr>
        <w:lastRenderedPageBreak/>
        <w:t xml:space="preserve">Several of these arose out of proceedings under the fugitive slave law, in which the marshal of the United States, while engaged in apprehending the fugitive slave with a view to returning him to his master in another state, was arrested by the authorities of the state. In many of these cases they made application to the judges of the United States for relief by the writ of </w:t>
      </w:r>
      <w:r w:rsidRPr="00C05D6B">
        <w:rPr>
          <w:rFonts w:ascii="Garamond" w:eastAsia="Garamond" w:hAnsi="Garamond" w:cs="Garamond"/>
          <w:i/>
          <w:iCs/>
        </w:rPr>
        <w:t>habeas corpus</w:t>
      </w:r>
      <w:r w:rsidRPr="00C05D6B">
        <w:rPr>
          <w:rFonts w:ascii="Garamond" w:eastAsia="Garamond" w:hAnsi="Garamond" w:cs="Garamond"/>
        </w:rPr>
        <w:t xml:space="preserve">, which gave rise to several very interesting decisions on this subject.  </w:t>
      </w:r>
    </w:p>
    <w:p w14:paraId="574784B2"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In </w:t>
      </w:r>
      <w:r w:rsidRPr="00C05D6B">
        <w:rPr>
          <w:rFonts w:ascii="Garamond" w:eastAsia="Garamond" w:hAnsi="Garamond" w:cs="Garamond"/>
          <w:i/>
          <w:iCs/>
        </w:rPr>
        <w:t xml:space="preserve">Ex </w:t>
      </w:r>
      <w:proofErr w:type="spellStart"/>
      <w:r w:rsidRPr="00C05D6B">
        <w:rPr>
          <w:rFonts w:ascii="Garamond" w:eastAsia="Garamond" w:hAnsi="Garamond" w:cs="Garamond"/>
          <w:i/>
          <w:iCs/>
        </w:rPr>
        <w:t>parte</w:t>
      </w:r>
      <w:proofErr w:type="spellEnd"/>
      <w:r w:rsidRPr="00C05D6B">
        <w:rPr>
          <w:rFonts w:ascii="Garamond" w:eastAsia="Garamond" w:hAnsi="Garamond" w:cs="Garamond"/>
          <w:i/>
          <w:iCs/>
        </w:rPr>
        <w:t xml:space="preserve"> Jenkins</w:t>
      </w:r>
      <w:r w:rsidRPr="00C05D6B">
        <w:rPr>
          <w:rFonts w:ascii="Garamond" w:eastAsia="Garamond" w:hAnsi="Garamond" w:cs="Garamond"/>
        </w:rPr>
        <w:t xml:space="preserve">, the marshal, who had been engaged, while executing a warrant, in arresting a fugitive, in a bloody encounter, was himself arrested under a warrant of a justice of the peace for assault with intent to kill, which makes the case very analogous to the one now under consideration. He presented to the circuit court of the United States for the eastern district of Pennsylvania a petition for a writ of </w:t>
      </w:r>
      <w:r w:rsidRPr="00C05D6B">
        <w:rPr>
          <w:rFonts w:ascii="Garamond" w:eastAsia="Garamond" w:hAnsi="Garamond" w:cs="Garamond"/>
          <w:i/>
          <w:iCs/>
        </w:rPr>
        <w:t>habeas corpus</w:t>
      </w:r>
      <w:r w:rsidRPr="00C05D6B">
        <w:rPr>
          <w:rFonts w:ascii="Garamond" w:eastAsia="Garamond" w:hAnsi="Garamond" w:cs="Garamond"/>
        </w:rPr>
        <w:t xml:space="preserve">, which was heard before Mr. Justice Grier, who held that under the act of 1833, already referred to, the marshal was entitled to his discharge, because what he had done was in pursuance of and by the authority conferred upon him by the act of congress concerning the rendition of fugitive slaves. He said:  </w:t>
      </w:r>
    </w:p>
    <w:p w14:paraId="6DBA7C4D" w14:textId="7BB84BA8" w:rsidR="00567887" w:rsidRPr="00C05D6B" w:rsidRDefault="00AE00B3" w:rsidP="006D27AB">
      <w:pPr>
        <w:spacing w:before="120" w:after="240"/>
        <w:ind w:left="720"/>
        <w:rPr>
          <w:rFonts w:ascii="Garamond" w:hAnsi="Garamond"/>
        </w:rPr>
      </w:pPr>
      <w:r w:rsidRPr="00C05D6B">
        <w:rPr>
          <w:rFonts w:ascii="Garamond" w:eastAsia="Garamond" w:hAnsi="Garamond" w:cs="Garamond"/>
        </w:rPr>
        <w:t>‘</w:t>
      </w:r>
      <w:r w:rsidR="00567887" w:rsidRPr="00C05D6B">
        <w:rPr>
          <w:rFonts w:ascii="Garamond" w:eastAsia="Garamond" w:hAnsi="Garamond" w:cs="Garamond"/>
        </w:rPr>
        <w:t xml:space="preserve">The authority conferred on the judges of the United States by this act of congress gives them all the power that any other court could exercise under the writ of </w:t>
      </w:r>
      <w:r w:rsidR="00567887" w:rsidRPr="00C05D6B">
        <w:rPr>
          <w:rFonts w:ascii="Garamond" w:eastAsia="Garamond" w:hAnsi="Garamond" w:cs="Garamond"/>
          <w:i/>
          <w:iCs/>
        </w:rPr>
        <w:t>habeas corpus</w:t>
      </w:r>
      <w:r w:rsidR="00567887" w:rsidRPr="00C05D6B">
        <w:rPr>
          <w:rFonts w:ascii="Garamond" w:eastAsia="Garamond" w:hAnsi="Garamond" w:cs="Garamond"/>
        </w:rPr>
        <w:t xml:space="preserve">, or gives them none at all. If, under such a writ, they may not discharge their officer when imprisoned </w:t>
      </w:r>
      <w:r w:rsidRPr="00C05D6B">
        <w:rPr>
          <w:rFonts w:ascii="Garamond" w:eastAsia="Garamond" w:hAnsi="Garamond" w:cs="Garamond"/>
        </w:rPr>
        <w:t>‘</w:t>
      </w:r>
      <w:r w:rsidR="00567887" w:rsidRPr="00C05D6B">
        <w:rPr>
          <w:rFonts w:ascii="Garamond" w:eastAsia="Garamond" w:hAnsi="Garamond" w:cs="Garamond"/>
        </w:rPr>
        <w:t>by any authority</w:t>
      </w:r>
      <w:r w:rsidRPr="00C05D6B">
        <w:rPr>
          <w:rFonts w:ascii="Garamond" w:eastAsia="Garamond" w:hAnsi="Garamond" w:cs="Garamond"/>
        </w:rPr>
        <w:t>’</w:t>
      </w:r>
      <w:r w:rsidR="00567887" w:rsidRPr="00C05D6B">
        <w:rPr>
          <w:rFonts w:ascii="Garamond" w:eastAsia="Garamond" w:hAnsi="Garamond" w:cs="Garamond"/>
        </w:rPr>
        <w:t xml:space="preserve"> for an act done in pursuance of a law of the United States, it would be impossible to discover for what useful purpose the act was passed. * * * It was passed when a certain state of this Union had threatened to nullify acts of congress, and to treat those as criminals who should attempt to execute them; and it was intended as a remedy against such state legislation.</w:t>
      </w:r>
      <w:r w:rsidRPr="00C05D6B">
        <w:rPr>
          <w:rFonts w:ascii="Garamond" w:eastAsia="Garamond" w:hAnsi="Garamond" w:cs="Garamond"/>
        </w:rPr>
        <w:t>’</w:t>
      </w:r>
    </w:p>
    <w:p w14:paraId="263F756F" w14:textId="77777777" w:rsidR="00567887" w:rsidRPr="00C05D6B" w:rsidRDefault="00567887" w:rsidP="006D27AB">
      <w:pPr>
        <w:spacing w:before="120" w:after="240"/>
        <w:rPr>
          <w:rFonts w:ascii="Garamond" w:hAnsi="Garamond"/>
        </w:rPr>
      </w:pPr>
      <w:r w:rsidRPr="00C05D6B">
        <w:rPr>
          <w:rFonts w:ascii="Garamond" w:eastAsia="Garamond" w:hAnsi="Garamond" w:cs="Garamond"/>
        </w:rPr>
        <w:t xml:space="preserve">This same matter was up again when the fugitive slave, Thomas, had the marshal arrested in a civil suit for an alleged assault and battery. He was carried before Judge Kane on another writ of </w:t>
      </w:r>
      <w:r w:rsidRPr="00C05D6B">
        <w:rPr>
          <w:rFonts w:ascii="Garamond" w:eastAsia="Garamond" w:hAnsi="Garamond" w:cs="Garamond"/>
          <w:i/>
          <w:iCs/>
        </w:rPr>
        <w:t>habeas corpus</w:t>
      </w:r>
      <w:r w:rsidRPr="00C05D6B">
        <w:rPr>
          <w:rFonts w:ascii="Garamond" w:eastAsia="Garamond" w:hAnsi="Garamond" w:cs="Garamond"/>
        </w:rPr>
        <w:t xml:space="preserve">, and again released. A third time the marshal, being indicted, was arrested on a bench warrant issued by the state court, and again brought before the circuit court of the United States by a writ of </w:t>
      </w:r>
      <w:r w:rsidRPr="00C05D6B">
        <w:rPr>
          <w:rFonts w:ascii="Garamond" w:eastAsia="Garamond" w:hAnsi="Garamond" w:cs="Garamond"/>
          <w:i/>
          <w:iCs/>
        </w:rPr>
        <w:t>habeas corpus</w:t>
      </w:r>
      <w:r w:rsidRPr="00C05D6B">
        <w:rPr>
          <w:rFonts w:ascii="Garamond" w:eastAsia="Garamond" w:hAnsi="Garamond" w:cs="Garamond"/>
        </w:rPr>
        <w:t xml:space="preserve">, and discharged. Some remarks of Judge Kane on this occasion are very pertinent to the objections raised in the present case. He said:  </w:t>
      </w:r>
    </w:p>
    <w:p w14:paraId="6B88E688" w14:textId="10748F86" w:rsidR="00567887" w:rsidRPr="00C05D6B" w:rsidRDefault="00AE00B3" w:rsidP="006D27AB">
      <w:pPr>
        <w:spacing w:before="120" w:after="240"/>
        <w:ind w:left="720"/>
        <w:rPr>
          <w:rFonts w:ascii="Garamond" w:hAnsi="Garamond"/>
        </w:rPr>
      </w:pPr>
      <w:r w:rsidRPr="00C05D6B">
        <w:rPr>
          <w:rFonts w:ascii="Garamond" w:eastAsia="Garamond" w:hAnsi="Garamond" w:cs="Garamond"/>
        </w:rPr>
        <w:t>‘</w:t>
      </w:r>
      <w:r w:rsidR="00567887" w:rsidRPr="00C05D6B">
        <w:rPr>
          <w:rFonts w:ascii="Garamond" w:eastAsia="Garamond" w:hAnsi="Garamond" w:cs="Garamond"/>
        </w:rPr>
        <w:t xml:space="preserve">It has been urged that my order, if it shall withdraw the relators from the prosecution pending against them, [in the state court,] will, in effect, prevent their trial by jury at all, since there is no act of congress under which they can be indicted for an abuse of process. It will not be an anomaly, however, if the action of this court shall interfere with the trial of these prisoners by a jury. Our constitutions secure that mode of trial as a right to the accused; but they nowhere recognize it as a right of the government, either state or federal, still less of an individual prosecutor. The action of a jury is overruled constantly by the granting of new trials after conviction. It is arrested by the entering of </w:t>
      </w:r>
      <w:proofErr w:type="spellStart"/>
      <w:r w:rsidR="00567887" w:rsidRPr="00C05D6B">
        <w:rPr>
          <w:rFonts w:ascii="Garamond" w:eastAsia="Garamond" w:hAnsi="Garamond" w:cs="Garamond"/>
          <w:i/>
          <w:iCs/>
        </w:rPr>
        <w:t>nolle</w:t>
      </w:r>
      <w:proofErr w:type="spellEnd"/>
      <w:r w:rsidR="00567887" w:rsidRPr="00C05D6B">
        <w:rPr>
          <w:rFonts w:ascii="Garamond" w:eastAsia="Garamond" w:hAnsi="Garamond" w:cs="Garamond"/>
          <w:i/>
          <w:iCs/>
        </w:rPr>
        <w:t xml:space="preserve"> </w:t>
      </w:r>
      <w:proofErr w:type="spellStart"/>
      <w:r w:rsidR="00567887" w:rsidRPr="00C05D6B">
        <w:rPr>
          <w:rFonts w:ascii="Garamond" w:eastAsia="Garamond" w:hAnsi="Garamond" w:cs="Garamond"/>
          <w:i/>
          <w:iCs/>
        </w:rPr>
        <w:t>prosequis</w:t>
      </w:r>
      <w:proofErr w:type="spellEnd"/>
      <w:r w:rsidR="00567887" w:rsidRPr="00C05D6B">
        <w:rPr>
          <w:rFonts w:ascii="Garamond" w:eastAsia="Garamond" w:hAnsi="Garamond" w:cs="Garamond"/>
        </w:rPr>
        <w:t xml:space="preserve"> while the case is at bar. It is made Ineffectual at any time by the discharge on </w:t>
      </w:r>
      <w:r w:rsidR="00567887" w:rsidRPr="00C05D6B">
        <w:rPr>
          <w:rFonts w:ascii="Garamond" w:eastAsia="Garamond" w:hAnsi="Garamond" w:cs="Garamond"/>
          <w:i/>
          <w:iCs/>
        </w:rPr>
        <w:t>habeas corpus</w:t>
      </w:r>
      <w:r w:rsidR="00567887" w:rsidRPr="00C05D6B">
        <w:rPr>
          <w:rFonts w:ascii="Garamond" w:eastAsia="Garamond" w:hAnsi="Garamond" w:cs="Garamond"/>
        </w:rPr>
        <w:t>. * * * And there is no harm in this. No one imagines that because a man is accused he must therefore, of course, be tried. Public prosecutions are not devised for the purpose of indemnifying the wrongs of individuals, still less of retaliating them.</w:t>
      </w:r>
      <w:r w:rsidRPr="00C05D6B">
        <w:rPr>
          <w:rFonts w:ascii="Garamond" w:eastAsia="Garamond" w:hAnsi="Garamond" w:cs="Garamond"/>
        </w:rPr>
        <w:t>’</w:t>
      </w:r>
    </w:p>
    <w:p w14:paraId="7E00ECFC" w14:textId="77777777" w:rsidR="00567887" w:rsidRPr="00C05D6B" w:rsidRDefault="00567887" w:rsidP="006D27AB">
      <w:pPr>
        <w:spacing w:before="120" w:after="240"/>
        <w:rPr>
          <w:rFonts w:ascii="Garamond" w:hAnsi="Garamond"/>
        </w:rPr>
      </w:pPr>
      <w:r w:rsidRPr="00C05D6B">
        <w:rPr>
          <w:rFonts w:ascii="Garamond" w:eastAsia="Garamond" w:hAnsi="Garamond" w:cs="Garamond"/>
        </w:rPr>
        <w:t xml:space="preserve">Many other decisions by the circuit and district courts to the same purport are to be found. Similar language was used by Mr. Choate in the senate of the United States upon the passage of the act of 1842. He said:  </w:t>
      </w:r>
    </w:p>
    <w:p w14:paraId="049069E0" w14:textId="5E14E0B6" w:rsidR="00567887" w:rsidRPr="00C05D6B" w:rsidRDefault="00AE00B3" w:rsidP="006D27AB">
      <w:pPr>
        <w:spacing w:before="120" w:after="240"/>
        <w:ind w:left="720"/>
        <w:rPr>
          <w:rFonts w:ascii="Garamond" w:hAnsi="Garamond"/>
        </w:rPr>
      </w:pPr>
      <w:r w:rsidRPr="00C05D6B">
        <w:rPr>
          <w:rFonts w:ascii="Garamond" w:eastAsia="Garamond" w:hAnsi="Garamond" w:cs="Garamond"/>
        </w:rPr>
        <w:lastRenderedPageBreak/>
        <w:t>‘</w:t>
      </w:r>
      <w:r w:rsidR="00567887" w:rsidRPr="00C05D6B">
        <w:rPr>
          <w:rFonts w:ascii="Garamond" w:eastAsia="Garamond" w:hAnsi="Garamond" w:cs="Garamond"/>
        </w:rPr>
        <w:t>If you have the power to interpose after judgment, you have the power to do so before. If you can reverse a judgment, you can anticipate its rendition. If, within the constitution, your judicial power extends to these cases or these controversies, whether you take hold of the case or controversy at one stage or another is totally immaterial. The single question submitted to the national tribunal, the question whether, under the statute adopting the law of nations, the prisoner is entitled to the exemption or immunity he claims, may as well be extracted from the entire case, and presented and decided in those tribunals before any judgment in the state court, as for it to be revised afterwards on a writ of error. Either way, they pass on no other question. Either way, they do not administer the criminal law of a state. In the one case as much as in the other, and no more, do they interfere with state judicial power.</w:t>
      </w:r>
      <w:r w:rsidRPr="00C05D6B">
        <w:rPr>
          <w:rFonts w:ascii="Garamond" w:eastAsia="Garamond" w:hAnsi="Garamond" w:cs="Garamond"/>
        </w:rPr>
        <w:t>’</w:t>
      </w:r>
    </w:p>
    <w:p w14:paraId="333A6043" w14:textId="430004B3"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The same answer is given in the present case. To the objection, made in argument, that the prisoner is discharged by this writ from the power of the state court to try him for the whole offense, the reply is that </w:t>
      </w:r>
      <w:r w:rsidRPr="00C05D6B">
        <w:rPr>
          <w:rFonts w:ascii="Garamond" w:eastAsia="Garamond" w:hAnsi="Garamond" w:cs="Garamond"/>
          <w:i/>
          <w:iCs/>
        </w:rPr>
        <w:t>if the prisoner is held in the state court to answer for an act which he was authorized to do by the law of the United States, which it was his duty to do as marshal of the United States, and if, in doing that act, he did no more than what was necessary and proper for him to do</w:t>
      </w:r>
      <w:r w:rsidRPr="00C05D6B">
        <w:rPr>
          <w:rFonts w:ascii="Garamond" w:eastAsia="Garamond" w:hAnsi="Garamond" w:cs="Garamond"/>
        </w:rPr>
        <w:t>, he cannot be guilty of a crime under the law of the state of California. When these things are shown, it is established that he is innocent of any crime against the laws of the state, or of any other authority whatever. There is no occasion for any further trial in the state court, or in any court. The circuit court of the United States was as competent to ascertain these facts as any other tribunal, and it was not at all necessary that a jury should be impaneled to render a verdict on them. It is the exercise of a power common under all systems of criminal jurisprudence. There must always be a preliminary examination by a committing magistrate, or some similar authority, as to whether there is an offense to be submitted to a jury; and, if this is submitted in the first instance to a grand jury, that is still not the right of trial by jury which is insisted on in the present argumen</w:t>
      </w:r>
      <w:r w:rsidR="00AE00B3" w:rsidRPr="00C05D6B">
        <w:rPr>
          <w:rFonts w:ascii="Garamond" w:eastAsia="Garamond" w:hAnsi="Garamond" w:cs="Garamond"/>
        </w:rPr>
        <w:t>t.</w:t>
      </w:r>
      <w:r w:rsidRPr="00C05D6B">
        <w:rPr>
          <w:rFonts w:ascii="Garamond" w:eastAsia="Garamond" w:hAnsi="Garamond" w:cs="Garamond"/>
        </w:rPr>
        <w:t xml:space="preserve"> </w:t>
      </w:r>
    </w:p>
    <w:p w14:paraId="618BB26B" w14:textId="2CF3AFE1"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The result at which we have arrived upon this examination is that, in the protection of the person and the life of Mr. Justice Field while in the discharge of his official duties,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was authorized to resist the attack of Terry upon him; that </w:t>
      </w:r>
      <w:proofErr w:type="spellStart"/>
      <w:r w:rsidRPr="00C05D6B">
        <w:rPr>
          <w:rFonts w:ascii="Garamond" w:eastAsia="Garamond" w:hAnsi="Garamond" w:cs="Garamond"/>
        </w:rPr>
        <w:t>Neagle</w:t>
      </w:r>
      <w:proofErr w:type="spellEnd"/>
      <w:r w:rsidRPr="00C05D6B">
        <w:rPr>
          <w:rFonts w:ascii="Garamond" w:eastAsia="Garamond" w:hAnsi="Garamond" w:cs="Garamond"/>
        </w:rPr>
        <w:t xml:space="preserve"> was correct in the belief that, without prompt action on his part, the assault of Terry upon the judge would have ended in the death of the latter; that, such being his well-founded belief, he was justified in taking the life of Terry, as the only means of preventing the death of the man who was intended to be his victim; that in taking the life of Terry, under the circumstances, he was acting under the authority of the law of the United States, and was justified in so doing; and that he is not liable to answer in the courts of California on account of his part in that transaction. We therefore affirm the judgment of the circuit court authorizing his discharge from the custody of the sheriff of San Joaquin county. </w:t>
      </w:r>
    </w:p>
    <w:p w14:paraId="4748A908" w14:textId="1BAF033D" w:rsidR="00567887" w:rsidRPr="00C05D6B" w:rsidRDefault="00567887" w:rsidP="006D27AB">
      <w:pPr>
        <w:spacing w:before="120" w:after="240"/>
        <w:rPr>
          <w:rFonts w:ascii="Garamond" w:hAnsi="Garamond"/>
        </w:rPr>
      </w:pPr>
      <w:r w:rsidRPr="00C05D6B">
        <w:rPr>
          <w:rFonts w:ascii="Garamond" w:eastAsia="Garamond" w:hAnsi="Garamond" w:cs="Garamond"/>
        </w:rPr>
        <w:t xml:space="preserve"> </w:t>
      </w:r>
      <w:r w:rsidR="00AE00B3" w:rsidRPr="00C05D6B">
        <w:rPr>
          <w:rFonts w:ascii="Garamond" w:eastAsia="Garamond" w:hAnsi="Garamond" w:cs="Garamond"/>
        </w:rPr>
        <w:tab/>
      </w:r>
      <w:r w:rsidRPr="00C05D6B">
        <w:rPr>
          <w:rFonts w:ascii="Garamond" w:eastAsia="Garamond" w:hAnsi="Garamond" w:cs="Garamond"/>
        </w:rPr>
        <w:t xml:space="preserve">Field, J., did not sit at the hearing of this case, and took no part in its decision. </w:t>
      </w:r>
    </w:p>
    <w:p w14:paraId="3B6FC072" w14:textId="502AB5F1" w:rsidR="00567887" w:rsidRPr="00C05D6B" w:rsidRDefault="00567887" w:rsidP="006D27AB">
      <w:pPr>
        <w:spacing w:before="120" w:after="240"/>
        <w:jc w:val="center"/>
        <w:rPr>
          <w:rFonts w:ascii="Garamond" w:hAnsi="Garamond"/>
        </w:rPr>
      </w:pPr>
      <w:r w:rsidRPr="00C05D6B">
        <w:rPr>
          <w:rFonts w:ascii="Garamond" w:eastAsia="Garamond" w:hAnsi="Garamond" w:cs="Garamond"/>
        </w:rPr>
        <w:t xml:space="preserve">*** </w:t>
      </w:r>
    </w:p>
    <w:p w14:paraId="2C9DF7AD" w14:textId="152F527B" w:rsidR="006D27AB" w:rsidRPr="00C05D6B" w:rsidRDefault="00567887" w:rsidP="00567887">
      <w:pPr>
        <w:spacing w:before="120" w:after="120"/>
        <w:rPr>
          <w:rFonts w:ascii="Garamond" w:eastAsia="Garamond" w:hAnsi="Garamond" w:cs="Garamond"/>
          <w:b/>
          <w:bCs/>
        </w:rPr>
      </w:pPr>
      <w:r w:rsidRPr="00C05D6B">
        <w:rPr>
          <w:rFonts w:ascii="Garamond" w:eastAsia="Garamond" w:hAnsi="Garamond" w:cs="Garamond"/>
          <w:b/>
          <w:bCs/>
          <w:smallCaps/>
        </w:rPr>
        <w:t>In Re McShane</w:t>
      </w:r>
      <w:r w:rsidR="00AE00B3" w:rsidRPr="00C05D6B">
        <w:rPr>
          <w:rFonts w:ascii="Garamond" w:eastAsia="Garamond" w:hAnsi="Garamond" w:cs="Garamond"/>
          <w:b/>
          <w:bCs/>
          <w:smallCaps/>
        </w:rPr>
        <w:t>’</w:t>
      </w:r>
      <w:r w:rsidRPr="00C05D6B">
        <w:rPr>
          <w:rFonts w:ascii="Garamond" w:eastAsia="Garamond" w:hAnsi="Garamond" w:cs="Garamond"/>
          <w:b/>
          <w:bCs/>
          <w:smallCaps/>
        </w:rPr>
        <w:t>s Petition</w:t>
      </w:r>
      <w:r w:rsidR="00B76B37" w:rsidRPr="00C05D6B">
        <w:rPr>
          <w:rFonts w:ascii="Garamond" w:eastAsia="Garamond" w:hAnsi="Garamond" w:cs="Garamond"/>
          <w:b/>
          <w:bCs/>
          <w:smallCaps/>
        </w:rPr>
        <w:fldChar w:fldCharType="begin"/>
      </w:r>
      <w:r w:rsidR="00B76B37" w:rsidRPr="00C05D6B">
        <w:rPr>
          <w:rFonts w:ascii="Garamond" w:hAnsi="Garamond"/>
        </w:rPr>
        <w:instrText xml:space="preserve"> TA \s "In re McShane" </w:instrText>
      </w:r>
      <w:r w:rsidR="00B76B37" w:rsidRPr="00C05D6B">
        <w:rPr>
          <w:rFonts w:ascii="Garamond" w:eastAsia="Garamond" w:hAnsi="Garamond" w:cs="Garamond"/>
          <w:b/>
          <w:bCs/>
          <w:smallCaps/>
        </w:rPr>
        <w:fldChar w:fldCharType="end"/>
      </w:r>
    </w:p>
    <w:p w14:paraId="493697CD" w14:textId="433376D2" w:rsidR="00567887" w:rsidRPr="00C05D6B" w:rsidRDefault="006D27AB" w:rsidP="006D27AB">
      <w:pPr>
        <w:spacing w:before="120" w:after="240"/>
        <w:rPr>
          <w:rFonts w:ascii="Garamond" w:hAnsi="Garamond"/>
        </w:rPr>
      </w:pPr>
      <w:r w:rsidRPr="00C05D6B">
        <w:rPr>
          <w:rFonts w:ascii="Garamond" w:eastAsia="Garamond" w:hAnsi="Garamond" w:cs="Garamond"/>
        </w:rPr>
        <w:t>2</w:t>
      </w:r>
      <w:r w:rsidR="00567887" w:rsidRPr="00C05D6B">
        <w:rPr>
          <w:rFonts w:ascii="Garamond" w:eastAsia="Garamond" w:hAnsi="Garamond" w:cs="Garamond"/>
        </w:rPr>
        <w:t xml:space="preserve">35 F. Supp. 262 (N.D. Miss. 1964) </w:t>
      </w:r>
    </w:p>
    <w:p w14:paraId="4E6A6AC3" w14:textId="2862415D" w:rsidR="00567887" w:rsidRPr="00C05D6B" w:rsidRDefault="00567887" w:rsidP="006D27AB">
      <w:pPr>
        <w:spacing w:before="120" w:after="240"/>
        <w:rPr>
          <w:rFonts w:ascii="Garamond" w:hAnsi="Garamond"/>
        </w:rPr>
      </w:pPr>
      <w:r w:rsidRPr="00C05D6B">
        <w:rPr>
          <w:rFonts w:ascii="Garamond" w:eastAsia="Garamond" w:hAnsi="Garamond" w:cs="Garamond"/>
        </w:rPr>
        <w:t xml:space="preserve">Clayton, District Judge. </w:t>
      </w:r>
    </w:p>
    <w:p w14:paraId="638EAC21" w14:textId="5E4036D4" w:rsidR="00567887" w:rsidRPr="00C05D6B" w:rsidRDefault="00567887" w:rsidP="00AE00B3">
      <w:pPr>
        <w:spacing w:before="120" w:after="240"/>
        <w:ind w:firstLine="720"/>
        <w:rPr>
          <w:rFonts w:ascii="Garamond" w:hAnsi="Garamond"/>
        </w:rPr>
      </w:pPr>
      <w:r w:rsidRPr="00C05D6B">
        <w:rPr>
          <w:rFonts w:ascii="Garamond" w:eastAsia="Garamond" w:hAnsi="Garamond" w:cs="Garamond"/>
        </w:rPr>
        <w:lastRenderedPageBreak/>
        <w:t xml:space="preserve">James P. McShane, during the time with which we are concerned, was the Chief of the Executive Office of the United States Marshals in the Department of Justice in Washington. On September 30, 1962, at the direction of the Attorney General of the United States, McShane was in Lafayette County, Mississippi, and upon the campus of the University of Mississippi and was acting in his official capacity and as a deputy United States marshal for the Northern District of Mississippi to supervise all of the deputy United States marshals who were in that area regarding the execution and enforcement of orders entered by the United States District Court for the </w:t>
      </w:r>
      <w:r w:rsidR="006D3A17" w:rsidRPr="00C05D6B">
        <w:rPr>
          <w:rFonts w:ascii="Garamond" w:eastAsia="Garamond" w:hAnsi="Garamond" w:cs="Garamond"/>
        </w:rPr>
        <w:t>S</w:t>
      </w:r>
      <w:r w:rsidRPr="00C05D6B">
        <w:rPr>
          <w:rFonts w:ascii="Garamond" w:eastAsia="Garamond" w:hAnsi="Garamond" w:cs="Garamond"/>
        </w:rPr>
        <w:t xml:space="preserve">outhern District of Mississippi and the United States Court of Appeals for the Fifth Circuit having to do with the admission of James H. Meredith, a Negro, as a student at the University of Mississippi. He and a number of other deputy United States marshals were also directed by the Attorney General toward the removal of all obstructions of justice </w:t>
      </w:r>
      <w:proofErr w:type="gramStart"/>
      <w:r w:rsidRPr="00C05D6B">
        <w:rPr>
          <w:rFonts w:ascii="Garamond" w:eastAsia="Garamond" w:hAnsi="Garamond" w:cs="Garamond"/>
        </w:rPr>
        <w:t>to insure that</w:t>
      </w:r>
      <w:proofErr w:type="gramEnd"/>
      <w:r w:rsidRPr="00C05D6B">
        <w:rPr>
          <w:rFonts w:ascii="Garamond" w:eastAsia="Garamond" w:hAnsi="Garamond" w:cs="Garamond"/>
        </w:rPr>
        <w:t xml:space="preserve"> the orders of these courts would be executed and enforced. McShane and the other deputy marshals were acting under the immediate direction of Nicholas de B. Katzenbach, Deputy Attorney General of the United States, who was there, and were thus engaged in the performance of their duties as officers of the United States. </w:t>
      </w:r>
    </w:p>
    <w:p w14:paraId="736E6067" w14:textId="510E5050"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Disorders and a riot occurred on the campus of the University of Mississippi and elsewhere in the immediate vicinity in connection with the said admission of Meredith. At least two people were killed, many others were injured, and much property was damaged or destroyed. Afterward at a special term of the Circuit Court of Lafayette County, Mississippi, the Grand Jury returned an indictment against James P. McShane charging that on the 30th day of September, 1962, </w:t>
      </w:r>
      <w:r w:rsidR="00AE00B3" w:rsidRPr="00C05D6B">
        <w:rPr>
          <w:rFonts w:ascii="Garamond" w:eastAsia="Garamond" w:hAnsi="Garamond" w:cs="Garamond"/>
        </w:rPr>
        <w:t>“</w:t>
      </w:r>
      <w:r w:rsidRPr="00C05D6B">
        <w:rPr>
          <w:rFonts w:ascii="Garamond" w:eastAsia="Garamond" w:hAnsi="Garamond" w:cs="Garamond"/>
        </w:rPr>
        <w:t>under circumstances such that a breach of the peace may be occasioned, did unlawfully and feloniously use physical acts, to-wit: the ordering of tear gas to be fired into a crowd assembled at University, Mississippi, and thereby causing tear gas to be fired in said crowd; and such conduct did lead to a breach of the peace and did incite a riot in the place aforesaid; and as a result of said breach of the peace and riot; another person, to-wit: Walter Ray Gunter was killed, in violation of § 2087.5 of the Mississippi Code of 1942 and amendments thereto.</w:t>
      </w:r>
      <w:r w:rsidR="00AE00B3" w:rsidRPr="00C05D6B">
        <w:rPr>
          <w:rFonts w:ascii="Garamond" w:eastAsia="Garamond" w:hAnsi="Garamond" w:cs="Garamond"/>
        </w:rPr>
        <w:t>”</w:t>
      </w:r>
    </w:p>
    <w:p w14:paraId="6C753744"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A warrant (capias) was issued on this indictment and … James P. McShane was taken into custody on November 21, 1962. Immediately his petition for a writ of habeas corpus was filed in this court, the writ was issued and he was produced and released on his own recognizance. </w:t>
      </w:r>
    </w:p>
    <w:p w14:paraId="1CF50553" w14:textId="4B6BC6DF" w:rsidR="00567887" w:rsidRPr="00C05D6B" w:rsidRDefault="00567887" w:rsidP="00AE00B3">
      <w:pPr>
        <w:spacing w:before="120" w:after="240"/>
        <w:ind w:firstLine="720"/>
        <w:rPr>
          <w:rFonts w:ascii="Garamond" w:eastAsia="Garamond" w:hAnsi="Garamond" w:cs="Garamond"/>
        </w:rPr>
      </w:pPr>
      <w:r w:rsidRPr="00C05D6B">
        <w:rPr>
          <w:rFonts w:ascii="Garamond" w:eastAsia="Garamond" w:hAnsi="Garamond" w:cs="Garamond"/>
        </w:rPr>
        <w:t>The Sheriff filed his answer or return to the petition and writ of habeas corpus; petitioner filed a traverse to this answer or return and then petitioner filed a motion for summary judgment supported by affidavits.</w:t>
      </w:r>
    </w:p>
    <w:p w14:paraId="7EDA0FAC" w14:textId="5A9EB55A" w:rsidR="00567887" w:rsidRPr="00C05D6B" w:rsidRDefault="00567887" w:rsidP="006D27AB">
      <w:pPr>
        <w:spacing w:before="120" w:after="240"/>
        <w:rPr>
          <w:rFonts w:ascii="Garamond" w:hAnsi="Garamond"/>
        </w:rPr>
      </w:pPr>
      <w:r w:rsidRPr="00C05D6B">
        <w:rPr>
          <w:rFonts w:ascii="Garamond" w:eastAsia="Garamond" w:hAnsi="Garamond" w:cs="Garamond"/>
        </w:rPr>
        <w:t>I</w:t>
      </w:r>
    </w:p>
    <w:p w14:paraId="0E98477A" w14:textId="39D07E9D"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The essence of the motion to dismiss is that 28 U.S.C. § 2254 precludes the granting of the relief sought in this court before exhaustion by petitioner of all state remedies which are available to him. </w:t>
      </w:r>
    </w:p>
    <w:p w14:paraId="02FACEE4" w14:textId="0302A00E"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[It] is clear that this statute, when it was passed in its present form, was intended by Congress to afford protection to federal officers. As originally drafted, section 2254 withdrew habeas corpus from persons held </w:t>
      </w:r>
      <w:r w:rsidR="00AE00B3" w:rsidRPr="00C05D6B">
        <w:rPr>
          <w:rFonts w:ascii="Garamond" w:eastAsia="Garamond" w:hAnsi="Garamond" w:cs="Garamond"/>
        </w:rPr>
        <w:t>“</w:t>
      </w:r>
      <w:r w:rsidRPr="00C05D6B">
        <w:rPr>
          <w:rFonts w:ascii="Garamond" w:eastAsia="Garamond" w:hAnsi="Garamond" w:cs="Garamond"/>
        </w:rPr>
        <w:t xml:space="preserve">in custody pursuant to the judgment of a state court </w:t>
      </w:r>
      <w:r w:rsidRPr="00C05D6B">
        <w:rPr>
          <w:rFonts w:ascii="Garamond" w:eastAsia="Garamond" w:hAnsi="Garamond" w:cs="Garamond"/>
          <w:i/>
          <w:iCs/>
        </w:rPr>
        <w:t>or authority of a state officer</w:t>
      </w:r>
      <w:r w:rsidR="00AE00B3" w:rsidRPr="00C05D6B">
        <w:rPr>
          <w:rFonts w:ascii="Garamond" w:eastAsia="Garamond" w:hAnsi="Garamond" w:cs="Garamond"/>
        </w:rPr>
        <w:t>”</w:t>
      </w:r>
      <w:r w:rsidRPr="00C05D6B">
        <w:rPr>
          <w:rFonts w:ascii="Garamond" w:eastAsia="Garamond" w:hAnsi="Garamond" w:cs="Garamond"/>
        </w:rPr>
        <w:t xml:space="preserve"> until they had exhausted their state remedies. (Emphasis added.) The emphasized phrase was deleted at the insistence of the Senate for fear that if </w:t>
      </w:r>
      <w:r w:rsidR="00AE00B3" w:rsidRPr="00C05D6B">
        <w:rPr>
          <w:rFonts w:ascii="Garamond" w:eastAsia="Garamond" w:hAnsi="Garamond" w:cs="Garamond"/>
        </w:rPr>
        <w:t>“</w:t>
      </w:r>
      <w:r w:rsidRPr="00C05D6B">
        <w:rPr>
          <w:rFonts w:ascii="Garamond" w:eastAsia="Garamond" w:hAnsi="Garamond" w:cs="Garamond"/>
        </w:rPr>
        <w:t xml:space="preserve">the section were applied to applications by persons detained solely under authority of a State officer, it would unduly hamper Federal courts in the protection of Federal officers prosecuted for acts committed in the course of </w:t>
      </w:r>
      <w:r w:rsidRPr="00C05D6B">
        <w:rPr>
          <w:rFonts w:ascii="Garamond" w:eastAsia="Garamond" w:hAnsi="Garamond" w:cs="Garamond"/>
        </w:rPr>
        <w:lastRenderedPageBreak/>
        <w:t>official duty.</w:t>
      </w:r>
      <w:r w:rsidR="00AE00B3" w:rsidRPr="00C05D6B">
        <w:rPr>
          <w:rFonts w:ascii="Garamond" w:eastAsia="Garamond" w:hAnsi="Garamond" w:cs="Garamond"/>
        </w:rPr>
        <w:t>”</w:t>
      </w:r>
      <w:r w:rsidRPr="00C05D6B">
        <w:rPr>
          <w:rFonts w:ascii="Garamond" w:eastAsia="Garamond" w:hAnsi="Garamond" w:cs="Garamond"/>
        </w:rPr>
        <w:t xml:space="preserve"> S.Rep.No.1559, 80th Cong., 2d Sess. 9 (1948). The intention is clear also that this statute in its present form was intended to be </w:t>
      </w:r>
      <w:r w:rsidR="00AE00B3" w:rsidRPr="00C05D6B">
        <w:rPr>
          <w:rFonts w:ascii="Garamond" w:eastAsia="Garamond" w:hAnsi="Garamond" w:cs="Garamond"/>
        </w:rPr>
        <w:t>“</w:t>
      </w:r>
      <w:r w:rsidRPr="00C05D6B">
        <w:rPr>
          <w:rFonts w:ascii="Garamond" w:eastAsia="Garamond" w:hAnsi="Garamond" w:cs="Garamond"/>
        </w:rPr>
        <w:t>declaratory of existing law as affirmed by the Supreme Court.</w:t>
      </w:r>
      <w:r w:rsidR="00AE00B3" w:rsidRPr="00C05D6B">
        <w:rPr>
          <w:rFonts w:ascii="Garamond" w:eastAsia="Garamond" w:hAnsi="Garamond" w:cs="Garamond"/>
        </w:rPr>
        <w:t>”</w:t>
      </w:r>
      <w:r w:rsidRPr="00C05D6B">
        <w:rPr>
          <w:rFonts w:ascii="Garamond" w:eastAsia="Garamond" w:hAnsi="Garamond" w:cs="Garamond"/>
        </w:rPr>
        <w:t xml:space="preserve"> H.R.Rep.No.308, 80th Cong., 1st Sess. A180 (1948). It was well recognized before Congress took this action that, unlike other situations in which the writ might be sought, habeas corpus could be granted to a federal officer who had been ordered committed on charges of violating state law, In re </w:t>
      </w:r>
      <w:proofErr w:type="spellStart"/>
      <w:r w:rsidRPr="00C05D6B">
        <w:rPr>
          <w:rFonts w:ascii="Garamond" w:eastAsia="Garamond" w:hAnsi="Garamond" w:cs="Garamond"/>
        </w:rPr>
        <w:t>Neagle</w:t>
      </w:r>
      <w:proofErr w:type="spellEnd"/>
      <w:r w:rsidR="00AE00B3" w:rsidRPr="00C05D6B">
        <w:rPr>
          <w:rFonts w:ascii="Garamond" w:eastAsia="Garamond" w:hAnsi="Garamond" w:cs="Garamond"/>
        </w:rPr>
        <w:t xml:space="preserve"> (1890)</w:t>
      </w:r>
      <w:r w:rsidRPr="00C05D6B">
        <w:rPr>
          <w:rFonts w:ascii="Garamond" w:eastAsia="Garamond" w:hAnsi="Garamond" w:cs="Garamond"/>
        </w:rPr>
        <w:t>; In re Lewis</w:t>
      </w:r>
      <w:r w:rsidR="00AE00B3" w:rsidRPr="00C05D6B">
        <w:rPr>
          <w:rFonts w:ascii="Garamond" w:eastAsia="Garamond" w:hAnsi="Garamond" w:cs="Garamond"/>
        </w:rPr>
        <w:t xml:space="preserve"> </w:t>
      </w:r>
      <w:r w:rsidRPr="00C05D6B">
        <w:rPr>
          <w:rFonts w:ascii="Garamond" w:eastAsia="Garamond" w:hAnsi="Garamond" w:cs="Garamond"/>
        </w:rPr>
        <w:t>(D. Wash.1897), or who had been indicted, West Virginia v. Laing</w:t>
      </w:r>
      <w:r w:rsidR="00AE00B3" w:rsidRPr="00C05D6B">
        <w:rPr>
          <w:rFonts w:ascii="Garamond" w:eastAsia="Garamond" w:hAnsi="Garamond" w:cs="Garamond"/>
        </w:rPr>
        <w:t xml:space="preserve"> </w:t>
      </w:r>
      <w:r w:rsidRPr="00C05D6B">
        <w:rPr>
          <w:rFonts w:ascii="Garamond" w:eastAsia="Garamond" w:hAnsi="Garamond" w:cs="Garamond"/>
        </w:rPr>
        <w:t>(4</w:t>
      </w:r>
      <w:r w:rsidR="00AE00B3" w:rsidRPr="00C05D6B">
        <w:rPr>
          <w:rFonts w:ascii="Garamond" w:eastAsia="Garamond" w:hAnsi="Garamond" w:cs="Garamond"/>
        </w:rPr>
        <w:t>th</w:t>
      </w:r>
      <w:r w:rsidRPr="00C05D6B">
        <w:rPr>
          <w:rFonts w:ascii="Garamond" w:eastAsia="Garamond" w:hAnsi="Garamond" w:cs="Garamond"/>
        </w:rPr>
        <w:t xml:space="preserve"> Cir. 1904); Brown v. Cain (E.D.</w:t>
      </w:r>
      <w:r w:rsidR="00AE00B3" w:rsidRPr="00C05D6B">
        <w:rPr>
          <w:rFonts w:ascii="Garamond" w:eastAsia="Garamond" w:hAnsi="Garamond" w:cs="Garamond"/>
        </w:rPr>
        <w:t xml:space="preserve"> </w:t>
      </w:r>
      <w:r w:rsidRPr="00C05D6B">
        <w:rPr>
          <w:rFonts w:ascii="Garamond" w:eastAsia="Garamond" w:hAnsi="Garamond" w:cs="Garamond"/>
        </w:rPr>
        <w:t>Pa.</w:t>
      </w:r>
      <w:r w:rsidR="00AE00B3" w:rsidRPr="00C05D6B">
        <w:rPr>
          <w:rFonts w:ascii="Garamond" w:eastAsia="Garamond" w:hAnsi="Garamond" w:cs="Garamond"/>
        </w:rPr>
        <w:t xml:space="preserve"> 1</w:t>
      </w:r>
      <w:r w:rsidRPr="00C05D6B">
        <w:rPr>
          <w:rFonts w:ascii="Garamond" w:eastAsia="Garamond" w:hAnsi="Garamond" w:cs="Garamond"/>
        </w:rPr>
        <w:t>944), or otherwise formally charged with a state offense, United States v. Lipsett</w:t>
      </w:r>
      <w:r w:rsidR="00AE00B3" w:rsidRPr="00C05D6B">
        <w:rPr>
          <w:rFonts w:ascii="Garamond" w:eastAsia="Garamond" w:hAnsi="Garamond" w:cs="Garamond"/>
        </w:rPr>
        <w:t xml:space="preserve"> </w:t>
      </w:r>
      <w:r w:rsidRPr="00C05D6B">
        <w:rPr>
          <w:rFonts w:ascii="Garamond" w:eastAsia="Garamond" w:hAnsi="Garamond" w:cs="Garamond"/>
        </w:rPr>
        <w:t>(W.D. Mich.</w:t>
      </w:r>
      <w:r w:rsidR="00AE00B3" w:rsidRPr="00C05D6B">
        <w:rPr>
          <w:rFonts w:ascii="Garamond" w:eastAsia="Garamond" w:hAnsi="Garamond" w:cs="Garamond"/>
        </w:rPr>
        <w:t xml:space="preserve"> </w:t>
      </w:r>
      <w:r w:rsidRPr="00C05D6B">
        <w:rPr>
          <w:rFonts w:ascii="Garamond" w:eastAsia="Garamond" w:hAnsi="Garamond" w:cs="Garamond"/>
        </w:rPr>
        <w:t>1907); In re Fair</w:t>
      </w:r>
      <w:r w:rsidR="00AE00B3" w:rsidRPr="00C05D6B">
        <w:rPr>
          <w:rFonts w:ascii="Garamond" w:eastAsia="Garamond" w:hAnsi="Garamond" w:cs="Garamond"/>
        </w:rPr>
        <w:t xml:space="preserve"> </w:t>
      </w:r>
      <w:r w:rsidRPr="00C05D6B">
        <w:rPr>
          <w:rFonts w:ascii="Garamond" w:eastAsia="Garamond" w:hAnsi="Garamond" w:cs="Garamond"/>
        </w:rPr>
        <w:t>(D.</w:t>
      </w:r>
      <w:r w:rsidR="00AE00B3" w:rsidRPr="00C05D6B">
        <w:rPr>
          <w:rFonts w:ascii="Garamond" w:eastAsia="Garamond" w:hAnsi="Garamond" w:cs="Garamond"/>
        </w:rPr>
        <w:t xml:space="preserve"> </w:t>
      </w:r>
      <w:r w:rsidRPr="00C05D6B">
        <w:rPr>
          <w:rFonts w:ascii="Garamond" w:eastAsia="Garamond" w:hAnsi="Garamond" w:cs="Garamond"/>
        </w:rPr>
        <w:t>Nebr.</w:t>
      </w:r>
      <w:r w:rsidR="00AE00B3" w:rsidRPr="00C05D6B">
        <w:rPr>
          <w:rFonts w:ascii="Garamond" w:eastAsia="Garamond" w:hAnsi="Garamond" w:cs="Garamond"/>
        </w:rPr>
        <w:t xml:space="preserve"> </w:t>
      </w:r>
      <w:r w:rsidRPr="00C05D6B">
        <w:rPr>
          <w:rFonts w:ascii="Garamond" w:eastAsia="Garamond" w:hAnsi="Garamond" w:cs="Garamond"/>
        </w:rPr>
        <w:t xml:space="preserve">1900), but had not yet been tried on the state charges. No case has been cited and none has been found which stands clearly for the proposition that a federal officer charged with a violation of state law while performing his official duty must exhaust state remedies before seeking habeas corpus relief in a federal court. </w:t>
      </w:r>
    </w:p>
    <w:p w14:paraId="2567EB3E" w14:textId="2B056F3F" w:rsidR="00567887" w:rsidRPr="00C05D6B" w:rsidRDefault="00567887" w:rsidP="00AE00B3">
      <w:pPr>
        <w:spacing w:before="120" w:after="240"/>
        <w:ind w:firstLine="720"/>
        <w:rPr>
          <w:rFonts w:ascii="Garamond" w:eastAsia="Garamond" w:hAnsi="Garamond" w:cs="Garamond"/>
        </w:rPr>
      </w:pPr>
      <w:r w:rsidRPr="00C05D6B">
        <w:rPr>
          <w:rFonts w:ascii="Garamond" w:eastAsia="Garamond" w:hAnsi="Garamond" w:cs="Garamond"/>
        </w:rPr>
        <w:t>It is this court</w:t>
      </w:r>
      <w:r w:rsidR="00AE00B3" w:rsidRPr="00C05D6B">
        <w:rPr>
          <w:rFonts w:ascii="Garamond" w:eastAsia="Garamond" w:hAnsi="Garamond" w:cs="Garamond"/>
        </w:rPr>
        <w:t>’</w:t>
      </w:r>
      <w:r w:rsidRPr="00C05D6B">
        <w:rPr>
          <w:rFonts w:ascii="Garamond" w:eastAsia="Garamond" w:hAnsi="Garamond" w:cs="Garamond"/>
        </w:rPr>
        <w:t xml:space="preserve">s opinion that respondent's motion to dismiss is not well taken and it will be overruled. </w:t>
      </w:r>
    </w:p>
    <w:p w14:paraId="1EB86A7D" w14:textId="5CB6D744" w:rsidR="00567887" w:rsidRPr="00C05D6B" w:rsidRDefault="00567887" w:rsidP="006D27AB">
      <w:pPr>
        <w:spacing w:before="120" w:after="240"/>
        <w:rPr>
          <w:rFonts w:ascii="Garamond" w:hAnsi="Garamond"/>
        </w:rPr>
      </w:pPr>
      <w:r w:rsidRPr="00C05D6B">
        <w:rPr>
          <w:rFonts w:ascii="Garamond" w:eastAsia="Garamond" w:hAnsi="Garamond" w:cs="Garamond"/>
        </w:rPr>
        <w:t>II</w:t>
      </w:r>
    </w:p>
    <w:p w14:paraId="23DA0365"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With respect to the motion for summary judgment, this court is of the opinion that this is a proper procedure to be used in a habeas corpus case.  </w:t>
      </w:r>
    </w:p>
    <w:p w14:paraId="7DC10631"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[T]he statute which prescribes procedure to be followed in habeas corpus actions, 28 U.S.C. § 2243, strongly suggests that a motion for summary judgment is available in such a case. The concluding paragraph of that statute reads: </w:t>
      </w:r>
    </w:p>
    <w:p w14:paraId="2B5AAA1E" w14:textId="10CCEC5E" w:rsidR="00567887" w:rsidRPr="00C05D6B" w:rsidRDefault="00AE00B3" w:rsidP="00AE00B3">
      <w:pPr>
        <w:spacing w:before="120" w:after="240"/>
        <w:ind w:left="720"/>
        <w:rPr>
          <w:rFonts w:ascii="Garamond" w:hAnsi="Garamond"/>
        </w:rPr>
      </w:pPr>
      <w:r w:rsidRPr="00C05D6B">
        <w:rPr>
          <w:rFonts w:ascii="Garamond" w:eastAsia="Garamond" w:hAnsi="Garamond" w:cs="Garamond"/>
        </w:rPr>
        <w:t>“</w:t>
      </w:r>
      <w:r w:rsidR="00567887" w:rsidRPr="00C05D6B">
        <w:rPr>
          <w:rFonts w:ascii="Garamond" w:eastAsia="Garamond" w:hAnsi="Garamond" w:cs="Garamond"/>
        </w:rPr>
        <w:t xml:space="preserve">The court shall </w:t>
      </w:r>
      <w:r w:rsidR="00567887" w:rsidRPr="00C05D6B">
        <w:rPr>
          <w:rFonts w:ascii="Garamond" w:eastAsia="Garamond" w:hAnsi="Garamond" w:cs="Garamond"/>
          <w:i/>
          <w:iCs/>
        </w:rPr>
        <w:t>summarily</w:t>
      </w:r>
      <w:r w:rsidR="00567887" w:rsidRPr="00C05D6B">
        <w:rPr>
          <w:rFonts w:ascii="Garamond" w:eastAsia="Garamond" w:hAnsi="Garamond" w:cs="Garamond"/>
        </w:rPr>
        <w:t xml:space="preserve"> hear and determine the facts, and dispose of the matter as law and justice require.</w:t>
      </w:r>
      <w:r w:rsidRPr="00C05D6B">
        <w:rPr>
          <w:rFonts w:ascii="Garamond" w:eastAsia="Garamond" w:hAnsi="Garamond" w:cs="Garamond"/>
        </w:rPr>
        <w:t>”</w:t>
      </w:r>
      <w:r w:rsidR="00567887" w:rsidRPr="00C05D6B">
        <w:rPr>
          <w:rFonts w:ascii="Garamond" w:eastAsia="Garamond" w:hAnsi="Garamond" w:cs="Garamond"/>
        </w:rPr>
        <w:t xml:space="preserve"> (Emphasis supplied.</w:t>
      </w:r>
      <w:r w:rsidRPr="00C05D6B">
        <w:rPr>
          <w:rFonts w:ascii="Garamond" w:eastAsia="Garamond" w:hAnsi="Garamond" w:cs="Garamond"/>
        </w:rPr>
        <w:t>)</w:t>
      </w:r>
    </w:p>
    <w:p w14:paraId="3E659EB6" w14:textId="77777777" w:rsidR="00AE00B3" w:rsidRPr="00C05D6B" w:rsidRDefault="00567887" w:rsidP="006D27AB">
      <w:pPr>
        <w:spacing w:before="120" w:after="240"/>
        <w:rPr>
          <w:rFonts w:ascii="Garamond" w:hAnsi="Garamond"/>
        </w:rPr>
      </w:pPr>
      <w:r w:rsidRPr="00C05D6B">
        <w:rPr>
          <w:rFonts w:ascii="Garamond" w:eastAsia="Garamond" w:hAnsi="Garamond" w:cs="Garamond"/>
        </w:rPr>
        <w:t>III</w:t>
      </w:r>
    </w:p>
    <w:p w14:paraId="52FE18EB" w14:textId="413C390E"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An outline of the facts which are not in dispute will serve to place this case in proper focus. </w:t>
      </w:r>
    </w:p>
    <w:p w14:paraId="790ECE74" w14:textId="0EFCEE30"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The aforementioned order of the Court of Appeals for the Fifth Circuit directed certain named individuals </w:t>
      </w:r>
      <w:r w:rsidR="00AE00B3" w:rsidRPr="00C05D6B">
        <w:rPr>
          <w:rFonts w:ascii="Garamond" w:eastAsia="Garamond" w:hAnsi="Garamond" w:cs="Garamond"/>
        </w:rPr>
        <w:t>“</w:t>
      </w:r>
      <w:r w:rsidRPr="00C05D6B">
        <w:rPr>
          <w:rFonts w:ascii="Garamond" w:eastAsia="Garamond" w:hAnsi="Garamond" w:cs="Garamond"/>
        </w:rPr>
        <w:t>and all persons acting in concert with them, as well as any and all persons having knowledge of the decree . . . to admit . . . James H. Meredith, to the University of Mississippi, on the same basis as other students at the University</w:t>
      </w:r>
      <w:r w:rsidR="00AE00B3" w:rsidRPr="00C05D6B">
        <w:rPr>
          <w:rFonts w:ascii="Garamond" w:eastAsia="Garamond" w:hAnsi="Garamond" w:cs="Garamond"/>
        </w:rPr>
        <w:t>”</w:t>
      </w:r>
      <w:r w:rsidRPr="00C05D6B">
        <w:rPr>
          <w:rFonts w:ascii="Garamond" w:eastAsia="Garamond" w:hAnsi="Garamond" w:cs="Garamond"/>
        </w:rPr>
        <w:t xml:space="preserve"> and prohibited them </w:t>
      </w:r>
      <w:r w:rsidR="00AE00B3" w:rsidRPr="00C05D6B">
        <w:rPr>
          <w:rFonts w:ascii="Garamond" w:eastAsia="Garamond" w:hAnsi="Garamond" w:cs="Garamond"/>
        </w:rPr>
        <w:t>“</w:t>
      </w:r>
      <w:r w:rsidRPr="00C05D6B">
        <w:rPr>
          <w:rFonts w:ascii="Garamond" w:eastAsia="Garamond" w:hAnsi="Garamond" w:cs="Garamond"/>
        </w:rPr>
        <w:t>from any act of discrimination relating to Meredith's admission.</w:t>
      </w:r>
      <w:r w:rsidR="00AE00B3" w:rsidRPr="00C05D6B">
        <w:rPr>
          <w:rFonts w:ascii="Garamond" w:eastAsia="Garamond" w:hAnsi="Garamond" w:cs="Garamond"/>
        </w:rPr>
        <w:t>”</w:t>
      </w:r>
      <w:r w:rsidRPr="00C05D6B">
        <w:rPr>
          <w:rFonts w:ascii="Garamond" w:eastAsia="Garamond" w:hAnsi="Garamond" w:cs="Garamond"/>
        </w:rPr>
        <w:t xml:space="preserve"> The order of the District Court for the Southern District of Mississippi enjoined certain named individuals </w:t>
      </w:r>
      <w:r w:rsidR="00AE00B3" w:rsidRPr="00C05D6B">
        <w:rPr>
          <w:rFonts w:ascii="Garamond" w:eastAsia="Garamond" w:hAnsi="Garamond" w:cs="Garamond"/>
        </w:rPr>
        <w:t>“</w:t>
      </w:r>
      <w:r w:rsidRPr="00C05D6B">
        <w:rPr>
          <w:rFonts w:ascii="Garamond" w:eastAsia="Garamond" w:hAnsi="Garamond" w:cs="Garamond"/>
        </w:rPr>
        <w:t xml:space="preserve">and all persons in active concert and participation with them . . . from . . . refusing to admit . . . James Howard Meredith immediately to the University of </w:t>
      </w:r>
      <w:r w:rsidR="00AE00B3" w:rsidRPr="00C05D6B">
        <w:rPr>
          <w:rFonts w:ascii="Garamond" w:eastAsia="Garamond" w:hAnsi="Garamond" w:cs="Garamond"/>
        </w:rPr>
        <w:t>Mississippi</w:t>
      </w:r>
      <w:r w:rsidRPr="00C05D6B">
        <w:rPr>
          <w:rFonts w:ascii="Garamond" w:eastAsia="Garamond" w:hAnsi="Garamond" w:cs="Garamond"/>
        </w:rPr>
        <w:t xml:space="preserve"> . . .;</w:t>
      </w:r>
      <w:r w:rsidR="00AE00B3" w:rsidRPr="00C05D6B">
        <w:rPr>
          <w:rFonts w:ascii="Garamond" w:eastAsia="Garamond" w:hAnsi="Garamond" w:cs="Garamond"/>
        </w:rPr>
        <w:t>”</w:t>
      </w:r>
      <w:r w:rsidRPr="00C05D6B">
        <w:rPr>
          <w:rFonts w:ascii="Garamond" w:eastAsia="Garamond" w:hAnsi="Garamond" w:cs="Garamond"/>
        </w:rPr>
        <w:t xml:space="preserve"> from </w:t>
      </w:r>
      <w:r w:rsidR="00AE00B3" w:rsidRPr="00C05D6B">
        <w:rPr>
          <w:rFonts w:ascii="Garamond" w:eastAsia="Garamond" w:hAnsi="Garamond" w:cs="Garamond"/>
        </w:rPr>
        <w:t>“</w:t>
      </w:r>
      <w:r w:rsidRPr="00C05D6B">
        <w:rPr>
          <w:rFonts w:ascii="Garamond" w:eastAsia="Garamond" w:hAnsi="Garamond" w:cs="Garamond"/>
        </w:rPr>
        <w:t>interfering in any manner with the right of . . . James Howard Meredith to matriculate in, or attend the University of Mississippi;</w:t>
      </w:r>
      <w:r w:rsidR="00AE00B3" w:rsidRPr="00C05D6B">
        <w:rPr>
          <w:rFonts w:ascii="Garamond" w:eastAsia="Garamond" w:hAnsi="Garamond" w:cs="Garamond"/>
        </w:rPr>
        <w:t>”</w:t>
      </w:r>
      <w:r w:rsidRPr="00C05D6B">
        <w:rPr>
          <w:rFonts w:ascii="Garamond" w:eastAsia="Garamond" w:hAnsi="Garamond" w:cs="Garamond"/>
        </w:rPr>
        <w:t xml:space="preserve"> and </w:t>
      </w:r>
      <w:r w:rsidR="00AE00B3" w:rsidRPr="00C05D6B">
        <w:rPr>
          <w:rFonts w:ascii="Garamond" w:eastAsia="Garamond" w:hAnsi="Garamond" w:cs="Garamond"/>
        </w:rPr>
        <w:t>“f</w:t>
      </w:r>
      <w:r w:rsidRPr="00C05D6B">
        <w:rPr>
          <w:rFonts w:ascii="Garamond" w:eastAsia="Garamond" w:hAnsi="Garamond" w:cs="Garamond"/>
        </w:rPr>
        <w:t>rom taking any action or doing any act or being guilty of any conduct which will impair, frustrate or defeat his right to enter the University of Mississippi . . . .</w:t>
      </w:r>
      <w:r w:rsidR="00AE00B3" w:rsidRPr="00C05D6B">
        <w:rPr>
          <w:rFonts w:ascii="Garamond" w:eastAsia="Garamond" w:hAnsi="Garamond" w:cs="Garamond"/>
        </w:rPr>
        <w:t>”</w:t>
      </w:r>
    </w:p>
    <w:p w14:paraId="4813253C"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There was some violent opposition to Meredith's attendance at the University and the Attorney General of the United States determined to assign additional United States Deputy Marshals to the Oxford, Mississippi area in order to execute these court orders. </w:t>
      </w:r>
    </w:p>
    <w:p w14:paraId="21885A9F" w14:textId="78AB27E0" w:rsidR="00567887" w:rsidRPr="00C05D6B" w:rsidRDefault="00567887" w:rsidP="00AE00B3">
      <w:pPr>
        <w:spacing w:before="120" w:after="240"/>
        <w:ind w:firstLine="720"/>
        <w:rPr>
          <w:rFonts w:ascii="Garamond" w:hAnsi="Garamond"/>
        </w:rPr>
      </w:pPr>
      <w:r w:rsidRPr="00C05D6B">
        <w:rPr>
          <w:rFonts w:ascii="Garamond" w:eastAsia="Garamond" w:hAnsi="Garamond" w:cs="Garamond"/>
        </w:rPr>
        <w:lastRenderedPageBreak/>
        <w:t xml:space="preserve">On September 26, 1962, the petitioner McShane and other members of the Department of Justice of the United States were frustrated in their efforts to have James H. Meredith admitted to the campus and registered as a student at the University of Mississippi by the then Lieutenant Governor of the State of Mississippi. They had been so frustrated at least twice before by the Governor. </w:t>
      </w:r>
    </w:p>
    <w:p w14:paraId="070947DA" w14:textId="320FF745" w:rsidR="00567887" w:rsidRPr="00C05D6B" w:rsidRDefault="00567887" w:rsidP="00AE00B3">
      <w:pPr>
        <w:spacing w:before="120" w:after="240"/>
        <w:ind w:firstLine="720"/>
        <w:rPr>
          <w:rFonts w:ascii="Garamond" w:hAnsi="Garamond"/>
        </w:rPr>
      </w:pPr>
      <w:r w:rsidRPr="00C05D6B">
        <w:rPr>
          <w:rFonts w:ascii="Garamond" w:eastAsia="Garamond" w:hAnsi="Garamond" w:cs="Garamond"/>
        </w:rPr>
        <w:t>Plans were made by the Attorney General and personnel of the Department of Justice to bring James H. Meredith onto the campus for registration as a student at the University of Mississippi on Sunday, September 30.</w:t>
      </w:r>
    </w:p>
    <w:p w14:paraId="0A16319E"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At about 2:45 P.M., the Commissioner of Public Safety met a representative of the Department of Justice and took him, at his request, to the Lyceum Building (which is the administrative center of the University) and then to the local airport. When they arrived at the airport about 3:45 P.M., the petitioner, McShane, was there in immediate charge or command of approximately 173 Deputy United States Marshals and men of the Border Patrol. (This force was later substantially increased.) He was acting under the personal direction of the Deputy Attorney General and had named John W. Cameron (a deputy marshal) as his deputy and three other of his personnel as group commanders. Each of the group commanders had command control of about one-third of the force which had been organized into </w:t>
      </w:r>
      <w:proofErr w:type="gramStart"/>
      <w:r w:rsidRPr="00C05D6B">
        <w:rPr>
          <w:rFonts w:ascii="Garamond" w:eastAsia="Garamond" w:hAnsi="Garamond" w:cs="Garamond"/>
        </w:rPr>
        <w:t>twelve man</w:t>
      </w:r>
      <w:proofErr w:type="gramEnd"/>
      <w:r w:rsidRPr="00C05D6B">
        <w:rPr>
          <w:rFonts w:ascii="Garamond" w:eastAsia="Garamond" w:hAnsi="Garamond" w:cs="Garamond"/>
        </w:rPr>
        <w:t xml:space="preserve"> squads. The members of this force were uniformed in orange colored protective vests and white hard helmets with "U. S. Marshal" printed across the front of the helmets. Each man was armed with a night stick or </w:t>
      </w:r>
      <w:proofErr w:type="spellStart"/>
      <w:r w:rsidRPr="00C05D6B">
        <w:rPr>
          <w:rFonts w:ascii="Garamond" w:eastAsia="Garamond" w:hAnsi="Garamond" w:cs="Garamond"/>
        </w:rPr>
        <w:t>billy</w:t>
      </w:r>
      <w:proofErr w:type="spellEnd"/>
      <w:r w:rsidRPr="00C05D6B">
        <w:rPr>
          <w:rFonts w:ascii="Garamond" w:eastAsia="Garamond" w:hAnsi="Garamond" w:cs="Garamond"/>
        </w:rPr>
        <w:t xml:space="preserve"> club and a revolver. Many of them had tear gas weapons and tear gas munitions were available to all. Each man was equipped with a gas mask. </w:t>
      </w:r>
    </w:p>
    <w:p w14:paraId="107A2F73"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At about 4:00 P.M., at the direction of the Deputy Attorney General, this force moved in convoy in army trucks to the Lyceum Building on the campus. The convoy was led by the Commissioner of Public Safety and petitioner and was accompanied by the Deputy Attorney General. Many, if not all, of these trucks were driven by Negro soldiers. </w:t>
      </w:r>
    </w:p>
    <w:p w14:paraId="3A7B1955"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Upon arrival at this building, the petitioner, McShane, acting under orders of the Deputy Attorney General, deployed his force completely around it at close intervals with the men facing outward. Some of the army trucks were parked nearby. The Deputy Attorney General and other Department of Justice personnel went inside the building where they conferred from time to time with University personnel and with officials of the State of Mississippi. </w:t>
      </w:r>
    </w:p>
    <w:p w14:paraId="1F87A174" w14:textId="4ECA3F93" w:rsidR="00567887" w:rsidRPr="00C05D6B" w:rsidRDefault="00567887" w:rsidP="00AE00B3">
      <w:pPr>
        <w:spacing w:before="120" w:after="240"/>
        <w:ind w:firstLine="720"/>
        <w:rPr>
          <w:rFonts w:ascii="Garamond" w:hAnsi="Garamond"/>
        </w:rPr>
      </w:pPr>
      <w:r w:rsidRPr="00C05D6B">
        <w:rPr>
          <w:rFonts w:ascii="Garamond" w:eastAsia="Garamond" w:hAnsi="Garamond" w:cs="Garamond"/>
        </w:rPr>
        <w:t>All of the petitioner</w:t>
      </w:r>
      <w:r w:rsidR="00AE00B3" w:rsidRPr="00C05D6B">
        <w:rPr>
          <w:rFonts w:ascii="Garamond" w:eastAsia="Garamond" w:hAnsi="Garamond" w:cs="Garamond"/>
        </w:rPr>
        <w:t>’</w:t>
      </w:r>
      <w:r w:rsidRPr="00C05D6B">
        <w:rPr>
          <w:rFonts w:ascii="Garamond" w:eastAsia="Garamond" w:hAnsi="Garamond" w:cs="Garamond"/>
        </w:rPr>
        <w:t xml:space="preserve">s force had been instructed that, in the event of trouble, tear gas could not be used, except on petitioner's order and that revolvers were to be used only as a last resort. </w:t>
      </w:r>
    </w:p>
    <w:p w14:paraId="3149B53C"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Shortly after deployment of petitioner's force, incoming traffic to the University, which was composed largely of returning students and some parents, began to increase. Some of these people began to come near the Lyceum Building out of curiosity and gradually a crowd began to build up, especially across the street in front of this building. Initially most, if not all, of this crowd were students. They first began to sing and yell and then began to jeer and taunt petitioner's force. </w:t>
      </w:r>
    </w:p>
    <w:p w14:paraId="73BA8D52" w14:textId="19A61E64"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As the day progressed, the crowd grew in size and its members, who were angry and in a highly emotional state, increased the intensity of their jeering, taunting and harassing of petitioner's force. Members of the Highway Patrol, who were under orders of the Governor, relayed by the Commissioner of Public Safety to assist federal personnel in controlling the crowd and in keeping </w:t>
      </w:r>
      <w:r w:rsidRPr="00C05D6B">
        <w:rPr>
          <w:rFonts w:ascii="Garamond" w:eastAsia="Garamond" w:hAnsi="Garamond" w:cs="Garamond"/>
        </w:rPr>
        <w:lastRenderedPageBreak/>
        <w:t>peace, moved this crowd back to the far side of the street several times. Some of them, from time to time, were at the forward edge of the crowd facing it, with their backs toward petitioner's force. By about 5:30 P.M. there were approximately 400 in the crowd. [By 8</w:t>
      </w:r>
      <w:r w:rsidR="00E3338B" w:rsidRPr="00C05D6B">
        <w:rPr>
          <w:rFonts w:ascii="Garamond" w:eastAsia="Garamond" w:hAnsi="Garamond" w:cs="Garamond"/>
        </w:rPr>
        <w:t xml:space="preserve">:00 </w:t>
      </w:r>
      <w:r w:rsidR="00284AF6" w:rsidRPr="00C05D6B">
        <w:rPr>
          <w:rFonts w:ascii="Garamond" w:eastAsia="Garamond" w:hAnsi="Garamond" w:cs="Garamond"/>
        </w:rPr>
        <w:t>P.M.</w:t>
      </w:r>
      <w:r w:rsidRPr="00C05D6B">
        <w:rPr>
          <w:rFonts w:ascii="Garamond" w:eastAsia="Garamond" w:hAnsi="Garamond" w:cs="Garamond"/>
        </w:rPr>
        <w:t xml:space="preserve"> the crowd exceeded 1,000.] </w:t>
      </w:r>
    </w:p>
    <w:p w14:paraId="56CC6A6A" w14:textId="14E8A5FE"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Objects hurled by the crowd at petitioner's force progressed from coins and small pieces of gravel to soda bottles, [one filled with gasoline], stones and pieces of metal pipe. [One pipe struck a marshal.] Efforts were made to set fire to a tarpaulin on one of the army trucks and to let the air out of truck tires. </w:t>
      </w:r>
    </w:p>
    <w:p w14:paraId="7B1B4670"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t>As early as about 6:30 P.M., an effort was made by some of petitioner's force to employ tear gas to disperse the crowd, but petitioner would not then permit this to be done. From then until about 8:00 P.M. recommendations continued to be made to petitioner to use tear gas, and at about that time, he issued orders for his force to don gas masks and shortly issued orders to use tear gas.</w:t>
      </w:r>
      <w:r w:rsidRPr="00C05D6B">
        <w:rPr>
          <w:rFonts w:ascii="Garamond" w:eastAsia="Garamond" w:hAnsi="Garamond" w:cs="Garamond"/>
          <w:sz w:val="14"/>
          <w:szCs w:val="14"/>
        </w:rPr>
        <w:t xml:space="preserve"> </w:t>
      </w:r>
      <w:r w:rsidRPr="00C05D6B">
        <w:rPr>
          <w:rFonts w:ascii="Garamond" w:eastAsia="Garamond" w:hAnsi="Garamond" w:cs="Garamond"/>
        </w:rPr>
        <w:t xml:space="preserve">When the gas was used the riot erupted. The crowd became a violent mob and got entirely out of control. </w:t>
      </w:r>
    </w:p>
    <w:p w14:paraId="625BE1F1" w14:textId="3FF5BC00"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Except for such differences as are not here material, some of which have been mentioned, the facts are without substantial dispute. There is, however, a sharp difference of </w:t>
      </w:r>
      <w:r w:rsidRPr="00C05D6B">
        <w:rPr>
          <w:rFonts w:ascii="Garamond" w:eastAsia="Garamond" w:hAnsi="Garamond" w:cs="Garamond"/>
          <w:i/>
          <w:iCs/>
        </w:rPr>
        <w:t>opinion</w:t>
      </w:r>
      <w:r w:rsidRPr="00C05D6B">
        <w:rPr>
          <w:rFonts w:ascii="Garamond" w:eastAsia="Garamond" w:hAnsi="Garamond" w:cs="Garamond"/>
        </w:rPr>
        <w:t xml:space="preserve"> with respect to the temper of the crowd and as to the use of tear gas. Affiants for respondent, experienced police officers with professional knowledge of accepted riot control procedures and familiar with the various types of tear gas, express as their </w:t>
      </w:r>
      <w:r w:rsidRPr="00C05D6B">
        <w:rPr>
          <w:rFonts w:ascii="Garamond" w:eastAsia="Garamond" w:hAnsi="Garamond" w:cs="Garamond"/>
          <w:i/>
          <w:iCs/>
        </w:rPr>
        <w:t>opinions</w:t>
      </w:r>
      <w:r w:rsidRPr="00C05D6B">
        <w:rPr>
          <w:rFonts w:ascii="Garamond" w:eastAsia="Garamond" w:hAnsi="Garamond" w:cs="Garamond"/>
        </w:rPr>
        <w:t xml:space="preserve">: </w:t>
      </w:r>
    </w:p>
    <w:p w14:paraId="79F7D13C" w14:textId="77777777" w:rsidR="00567887" w:rsidRPr="00C05D6B" w:rsidRDefault="00567887" w:rsidP="006D27AB">
      <w:pPr>
        <w:spacing w:before="120" w:after="240"/>
        <w:ind w:left="720"/>
        <w:rPr>
          <w:rFonts w:ascii="Garamond" w:eastAsia="Garamond" w:hAnsi="Garamond" w:cs="Garamond"/>
        </w:rPr>
      </w:pPr>
      <w:r w:rsidRPr="00C05D6B">
        <w:rPr>
          <w:rFonts w:ascii="Garamond" w:eastAsia="Garamond" w:hAnsi="Garamond" w:cs="Garamond"/>
        </w:rPr>
        <w:t xml:space="preserve">a) The crowd was not out of control when petitioner ordered tear gas used, but was under control and could have been kept under control with proper equipment and by the use of proper riot control tactics,   </w:t>
      </w:r>
    </w:p>
    <w:p w14:paraId="3322E036" w14:textId="77777777" w:rsidR="00567887" w:rsidRPr="00C05D6B" w:rsidRDefault="00567887" w:rsidP="006D27AB">
      <w:pPr>
        <w:spacing w:before="120" w:after="240"/>
        <w:ind w:left="720"/>
        <w:rPr>
          <w:rFonts w:ascii="Garamond" w:eastAsia="Garamond" w:hAnsi="Garamond" w:cs="Garamond"/>
        </w:rPr>
      </w:pPr>
      <w:r w:rsidRPr="00C05D6B">
        <w:rPr>
          <w:rFonts w:ascii="Garamond" w:eastAsia="Garamond" w:hAnsi="Garamond" w:cs="Garamond"/>
        </w:rPr>
        <w:t xml:space="preserve">b) The firing of tear gas into a group of students (male and female) was wholly unnecessary and in fact provoked the riot, and   </w:t>
      </w:r>
    </w:p>
    <w:p w14:paraId="5C00435E" w14:textId="77777777" w:rsidR="00567887" w:rsidRPr="00C05D6B" w:rsidRDefault="00567887" w:rsidP="006D27AB">
      <w:pPr>
        <w:spacing w:before="120" w:after="240"/>
        <w:ind w:left="720"/>
        <w:rPr>
          <w:rFonts w:ascii="Garamond" w:hAnsi="Garamond"/>
        </w:rPr>
      </w:pPr>
      <w:r w:rsidRPr="00C05D6B">
        <w:rPr>
          <w:rFonts w:ascii="Garamond" w:eastAsia="Garamond" w:hAnsi="Garamond" w:cs="Garamond"/>
        </w:rPr>
        <w:t xml:space="preserve">c) That a wrong and dangerous type of gas was used indiscriminately and recklessly, thus further inflaming the crowd. </w:t>
      </w:r>
    </w:p>
    <w:p w14:paraId="11255F7E" w14:textId="77777777" w:rsidR="00567887" w:rsidRPr="00C05D6B" w:rsidRDefault="00567887" w:rsidP="006D27AB">
      <w:pPr>
        <w:spacing w:before="120" w:after="240"/>
        <w:rPr>
          <w:rFonts w:ascii="Garamond" w:hAnsi="Garamond"/>
        </w:rPr>
      </w:pPr>
      <w:r w:rsidRPr="00C05D6B">
        <w:rPr>
          <w:rFonts w:ascii="Garamond" w:eastAsia="Garamond" w:hAnsi="Garamond" w:cs="Garamond"/>
        </w:rPr>
        <w:t xml:space="preserve">On the other hand, equally experienced and knowledgeable affiants for petitioner express as their opinions: </w:t>
      </w:r>
    </w:p>
    <w:p w14:paraId="61CD1F4A" w14:textId="77777777" w:rsidR="00567887" w:rsidRPr="00C05D6B" w:rsidRDefault="00567887" w:rsidP="006D27AB">
      <w:pPr>
        <w:spacing w:before="120" w:after="240"/>
        <w:ind w:left="720"/>
        <w:rPr>
          <w:rFonts w:ascii="Garamond" w:eastAsia="Garamond" w:hAnsi="Garamond" w:cs="Garamond"/>
        </w:rPr>
      </w:pPr>
      <w:r w:rsidRPr="00C05D6B">
        <w:rPr>
          <w:rFonts w:ascii="Garamond" w:eastAsia="Garamond" w:hAnsi="Garamond" w:cs="Garamond"/>
        </w:rPr>
        <w:t xml:space="preserve">a) The crowd was fast getting out of hand and dangerous,   </w:t>
      </w:r>
    </w:p>
    <w:p w14:paraId="153654C5" w14:textId="77777777" w:rsidR="00567887" w:rsidRPr="00C05D6B" w:rsidRDefault="00567887" w:rsidP="006D27AB">
      <w:pPr>
        <w:spacing w:before="120" w:after="240"/>
        <w:ind w:left="720"/>
        <w:rPr>
          <w:rFonts w:ascii="Garamond" w:eastAsia="Garamond" w:hAnsi="Garamond" w:cs="Garamond"/>
        </w:rPr>
      </w:pPr>
      <w:r w:rsidRPr="00C05D6B">
        <w:rPr>
          <w:rFonts w:ascii="Garamond" w:eastAsia="Garamond" w:hAnsi="Garamond" w:cs="Garamond"/>
        </w:rPr>
        <w:t xml:space="preserve">b) The use of tear gas was proper and petitioner exercised sound judgment in ordering it to be used, and   </w:t>
      </w:r>
    </w:p>
    <w:p w14:paraId="605EB8D8" w14:textId="77777777" w:rsidR="00567887" w:rsidRPr="00C05D6B" w:rsidRDefault="00567887" w:rsidP="006D27AB">
      <w:pPr>
        <w:spacing w:before="120" w:after="240"/>
        <w:ind w:left="720"/>
        <w:rPr>
          <w:rFonts w:ascii="Garamond" w:hAnsi="Garamond"/>
        </w:rPr>
      </w:pPr>
      <w:r w:rsidRPr="00C05D6B">
        <w:rPr>
          <w:rFonts w:ascii="Garamond" w:eastAsia="Garamond" w:hAnsi="Garamond" w:cs="Garamond"/>
        </w:rPr>
        <w:t xml:space="preserve">c) The gas used was a safe and proper kind for use against crowds. </w:t>
      </w:r>
    </w:p>
    <w:p w14:paraId="2CE627E9" w14:textId="48D2C1A8" w:rsidR="00567887" w:rsidRPr="00C05D6B" w:rsidRDefault="00567887" w:rsidP="006D27AB">
      <w:pPr>
        <w:spacing w:before="120" w:after="240"/>
        <w:rPr>
          <w:rFonts w:ascii="Garamond" w:hAnsi="Garamond"/>
        </w:rPr>
      </w:pPr>
      <w:r w:rsidRPr="00C05D6B">
        <w:rPr>
          <w:rFonts w:ascii="Garamond" w:eastAsia="Garamond" w:hAnsi="Garamond" w:cs="Garamond"/>
        </w:rPr>
        <w:t xml:space="preserve">It is also in evidence that after the gas was first used, the Deputy Attorney General expressed his disapproval thereof, saying, in effect, that </w:t>
      </w:r>
      <w:r w:rsidR="00AE00B3" w:rsidRPr="00C05D6B">
        <w:rPr>
          <w:rFonts w:ascii="Garamond" w:eastAsia="Garamond" w:hAnsi="Garamond" w:cs="Garamond"/>
        </w:rPr>
        <w:t>“</w:t>
      </w:r>
      <w:r w:rsidRPr="00C05D6B">
        <w:rPr>
          <w:rFonts w:ascii="Garamond" w:eastAsia="Garamond" w:hAnsi="Garamond" w:cs="Garamond"/>
        </w:rPr>
        <w:t>somebody jumped the gun.</w:t>
      </w:r>
      <w:r w:rsidR="00AE00B3" w:rsidRPr="00C05D6B">
        <w:rPr>
          <w:rFonts w:ascii="Garamond" w:eastAsia="Garamond" w:hAnsi="Garamond" w:cs="Garamond"/>
        </w:rPr>
        <w:t>”</w:t>
      </w:r>
      <w:r w:rsidRPr="00C05D6B">
        <w:rPr>
          <w:rFonts w:ascii="Garamond" w:eastAsia="Garamond" w:hAnsi="Garamond" w:cs="Garamond"/>
        </w:rPr>
        <w:t xml:space="preserve"> It is also argued (but is not in evidence) that the President said afterward that the marshals were inexperienced. </w:t>
      </w:r>
    </w:p>
    <w:p w14:paraId="1495EFA3" w14:textId="77777777" w:rsidR="00567887" w:rsidRPr="00C05D6B" w:rsidRDefault="00567887" w:rsidP="00AE00B3">
      <w:pPr>
        <w:spacing w:before="120" w:after="240"/>
        <w:ind w:firstLine="720"/>
        <w:rPr>
          <w:rFonts w:ascii="Garamond" w:hAnsi="Garamond"/>
        </w:rPr>
      </w:pPr>
      <w:r w:rsidRPr="00C05D6B">
        <w:rPr>
          <w:rFonts w:ascii="Garamond" w:eastAsia="Garamond" w:hAnsi="Garamond" w:cs="Garamond"/>
        </w:rPr>
        <w:lastRenderedPageBreak/>
        <w:t xml:space="preserve">But, estimating the temper of a crowd, which can change into a mob in the twinkling of an eye, is a matter of judgment. The difference between a mob and a crowd is gossamer thin. Not contradicted in any way are the following statements from the affidavit of petitioner:  </w:t>
      </w:r>
    </w:p>
    <w:p w14:paraId="276CF504" w14:textId="76D7C1E9" w:rsidR="00567887" w:rsidRPr="00C05D6B" w:rsidRDefault="00AE00B3" w:rsidP="00AE00B3">
      <w:pPr>
        <w:spacing w:before="120" w:after="240"/>
        <w:ind w:left="720"/>
        <w:rPr>
          <w:rFonts w:ascii="Garamond" w:eastAsia="Garamond" w:hAnsi="Garamond" w:cs="Garamond"/>
        </w:rPr>
      </w:pPr>
      <w:r w:rsidRPr="00C05D6B">
        <w:rPr>
          <w:rFonts w:ascii="Garamond" w:eastAsia="Garamond" w:hAnsi="Garamond" w:cs="Garamond"/>
        </w:rPr>
        <w:t>“</w:t>
      </w:r>
      <w:r w:rsidR="00567887" w:rsidRPr="00C05D6B">
        <w:rPr>
          <w:rFonts w:ascii="Garamond" w:eastAsia="Garamond" w:hAnsi="Garamond" w:cs="Garamond"/>
        </w:rPr>
        <w:t xml:space="preserve">From the tenor of the remarks made by persons in the crowd, </w:t>
      </w:r>
      <w:r w:rsidR="00567887" w:rsidRPr="00C05D6B">
        <w:rPr>
          <w:rFonts w:ascii="Garamond" w:eastAsia="Garamond" w:hAnsi="Garamond" w:cs="Garamond"/>
          <w:i/>
          <w:iCs/>
        </w:rPr>
        <w:t>it appeared clear that it was their purpose to obstruct and hinder the execution of these court orders.</w:t>
      </w:r>
      <w:r w:rsidR="00567887" w:rsidRPr="00C05D6B">
        <w:rPr>
          <w:rFonts w:ascii="Garamond" w:eastAsia="Garamond" w:hAnsi="Garamond" w:cs="Garamond"/>
        </w:rPr>
        <w:t xml:space="preserve"> In directing that tear gas be fired into the crowd, </w:t>
      </w:r>
      <w:r w:rsidR="00567887" w:rsidRPr="00C05D6B">
        <w:rPr>
          <w:rFonts w:ascii="Garamond" w:eastAsia="Garamond" w:hAnsi="Garamond" w:cs="Garamond"/>
          <w:i/>
          <w:iCs/>
        </w:rPr>
        <w:t>it was my purpose to disperse it so as to prevent a riot which was on the verge of erupting and which I honestly believe would have prevented the implementation of the court orders.</w:t>
      </w:r>
      <w:r w:rsidRPr="00C05D6B">
        <w:rPr>
          <w:rFonts w:ascii="Garamond" w:eastAsia="Garamond" w:hAnsi="Garamond" w:cs="Garamond"/>
        </w:rPr>
        <w:t>”</w:t>
      </w:r>
      <w:r w:rsidR="00567887" w:rsidRPr="00C05D6B">
        <w:rPr>
          <w:rFonts w:ascii="Garamond" w:eastAsia="Garamond" w:hAnsi="Garamond" w:cs="Garamond"/>
        </w:rPr>
        <w:t xml:space="preserve"> (Emphasis added.) </w:t>
      </w:r>
    </w:p>
    <w:p w14:paraId="1A00696E" w14:textId="0706BCAE"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The provisions of 28 U.S.C. § 547 (b) commit to the United States marshal of each district the authority to </w:t>
      </w:r>
      <w:r w:rsidR="00AE00B3" w:rsidRPr="00C05D6B">
        <w:rPr>
          <w:rFonts w:ascii="Garamond" w:eastAsia="Garamond" w:hAnsi="Garamond" w:cs="Garamond"/>
        </w:rPr>
        <w:t>“</w:t>
      </w:r>
      <w:r w:rsidRPr="00C05D6B">
        <w:rPr>
          <w:rFonts w:ascii="Garamond" w:eastAsia="Garamond" w:hAnsi="Garamond" w:cs="Garamond"/>
        </w:rPr>
        <w:t>execute all lawful writs, process and orders issued under authority of the United States,</w:t>
      </w:r>
      <w:r w:rsidR="00AE00B3" w:rsidRPr="00C05D6B">
        <w:rPr>
          <w:rFonts w:ascii="Garamond" w:eastAsia="Garamond" w:hAnsi="Garamond" w:cs="Garamond"/>
        </w:rPr>
        <w:t>”</w:t>
      </w:r>
      <w:r w:rsidRPr="00C05D6B">
        <w:rPr>
          <w:rFonts w:ascii="Garamond" w:eastAsia="Garamond" w:hAnsi="Garamond" w:cs="Garamond"/>
        </w:rPr>
        <w:t xml:space="preserve"> and section 547(c) subjects marshals to the supervision of the Attorney General of the United States. Thus there can be no controversy about McShane</w:t>
      </w:r>
      <w:r w:rsidR="00AE00B3" w:rsidRPr="00C05D6B">
        <w:rPr>
          <w:rFonts w:ascii="Garamond" w:eastAsia="Garamond" w:hAnsi="Garamond" w:cs="Garamond"/>
        </w:rPr>
        <w:t>’</w:t>
      </w:r>
      <w:r w:rsidRPr="00C05D6B">
        <w:rPr>
          <w:rFonts w:ascii="Garamond" w:eastAsia="Garamond" w:hAnsi="Garamond" w:cs="Garamond"/>
        </w:rPr>
        <w:t xml:space="preserve">s status at the time he ordered tear gas to be used. He was there on specific instructions of the Attorney General of the United States to execute the two court orders aforementioned, which, as a deputy marshal (if not as Chief of the Executive Office for United States Marshals) he had the statutory authority and duty to do. Thus his sole purpose there was to facilitate the execution of the orders of the federal courts and his order that tear gas be used (though it may have been based on poor judgment) was given </w:t>
      </w:r>
      <w:r w:rsidR="00AE00B3" w:rsidRPr="00C05D6B">
        <w:rPr>
          <w:rFonts w:ascii="Garamond" w:eastAsia="Garamond" w:hAnsi="Garamond" w:cs="Garamond"/>
        </w:rPr>
        <w:t>“</w:t>
      </w:r>
      <w:r w:rsidRPr="00C05D6B">
        <w:rPr>
          <w:rFonts w:ascii="Garamond" w:eastAsia="Garamond" w:hAnsi="Garamond" w:cs="Garamond"/>
        </w:rPr>
        <w:t>in the performance of the duty imposed by the Federal law.</w:t>
      </w:r>
      <w:r w:rsidR="00AE00B3" w:rsidRPr="00C05D6B">
        <w:rPr>
          <w:rFonts w:ascii="Garamond" w:eastAsia="Garamond" w:hAnsi="Garamond" w:cs="Garamond"/>
        </w:rPr>
        <w:t>”</w:t>
      </w:r>
      <w:r w:rsidRPr="00C05D6B">
        <w:rPr>
          <w:rFonts w:ascii="Garamond" w:eastAsia="Garamond" w:hAnsi="Garamond" w:cs="Garamond"/>
        </w:rPr>
        <w:t xml:space="preserve"> United States ex rel. </w:t>
      </w:r>
      <w:r w:rsidR="00A72C2B" w:rsidRPr="00C05D6B">
        <w:rPr>
          <w:rFonts w:ascii="Garamond" w:eastAsia="Garamond" w:hAnsi="Garamond" w:cs="Garamond"/>
        </w:rPr>
        <w:t>Drury</w:t>
      </w:r>
      <w:r w:rsidRPr="00C05D6B">
        <w:rPr>
          <w:rFonts w:ascii="Garamond" w:eastAsia="Garamond" w:hAnsi="Garamond" w:cs="Garamond"/>
        </w:rPr>
        <w:t xml:space="preserve"> v. Lewis</w:t>
      </w:r>
      <w:r w:rsidR="00AE00B3" w:rsidRPr="00C05D6B">
        <w:rPr>
          <w:rFonts w:ascii="Garamond" w:eastAsia="Garamond" w:hAnsi="Garamond" w:cs="Garamond"/>
        </w:rPr>
        <w:t xml:space="preserve"> (1906)</w:t>
      </w:r>
      <w:r w:rsidRPr="00C05D6B">
        <w:rPr>
          <w:rFonts w:ascii="Garamond" w:eastAsia="Garamond" w:hAnsi="Garamond" w:cs="Garamond"/>
        </w:rPr>
        <w:t>.</w:t>
      </w:r>
      <w:r w:rsidRPr="00C05D6B">
        <w:rPr>
          <w:rStyle w:val="FootnoteReference"/>
          <w:rFonts w:ascii="Garamond" w:eastAsia="Garamond" w:hAnsi="Garamond" w:cs="Garamond"/>
        </w:rPr>
        <w:footnoteReference w:id="3"/>
      </w:r>
      <w:r w:rsidRPr="00C05D6B">
        <w:rPr>
          <w:rFonts w:ascii="Garamond" w:eastAsia="Garamond" w:hAnsi="Garamond" w:cs="Garamond"/>
        </w:rPr>
        <w:t xml:space="preserve"> </w:t>
      </w:r>
    </w:p>
    <w:p w14:paraId="1CD965AC" w14:textId="138F77C0" w:rsidR="00567887" w:rsidRPr="00C05D6B" w:rsidRDefault="00567887" w:rsidP="006D27AB">
      <w:pPr>
        <w:spacing w:before="120" w:after="240"/>
        <w:rPr>
          <w:rFonts w:ascii="Garamond" w:hAnsi="Garamond"/>
        </w:rPr>
      </w:pPr>
      <w:r w:rsidRPr="00C05D6B">
        <w:rPr>
          <w:rFonts w:ascii="Garamond" w:eastAsia="Garamond" w:hAnsi="Garamond" w:cs="Garamond"/>
        </w:rPr>
        <w:t xml:space="preserve">The principle underlying [the 1833 Act] and the cases in which it has been applied </w:t>
      </w:r>
      <w:r w:rsidR="00AE00B3" w:rsidRPr="00C05D6B">
        <w:rPr>
          <w:rFonts w:ascii="Garamond" w:eastAsia="Garamond" w:hAnsi="Garamond" w:cs="Garamond"/>
        </w:rPr>
        <w:t>“</w:t>
      </w:r>
      <w:r w:rsidRPr="00C05D6B">
        <w:rPr>
          <w:rFonts w:ascii="Garamond" w:eastAsia="Garamond" w:hAnsi="Garamond" w:cs="Garamond"/>
        </w:rPr>
        <w:t>is that the state has no jurisdiction over a person when he is acting under the authority of the United States.</w:t>
      </w:r>
      <w:r w:rsidR="00AE00B3" w:rsidRPr="00C05D6B">
        <w:rPr>
          <w:rFonts w:ascii="Garamond" w:eastAsia="Garamond" w:hAnsi="Garamond" w:cs="Garamond"/>
        </w:rPr>
        <w:t>”</w:t>
      </w:r>
      <w:r w:rsidRPr="00C05D6B">
        <w:rPr>
          <w:rFonts w:ascii="Garamond" w:eastAsia="Garamond" w:hAnsi="Garamond" w:cs="Garamond"/>
        </w:rPr>
        <w:t xml:space="preserve"> In re Waite</w:t>
      </w:r>
      <w:r w:rsidR="00AE00B3" w:rsidRPr="00C05D6B">
        <w:rPr>
          <w:rFonts w:ascii="Garamond" w:eastAsia="Garamond" w:hAnsi="Garamond" w:cs="Garamond"/>
        </w:rPr>
        <w:t xml:space="preserve"> </w:t>
      </w:r>
      <w:r w:rsidRPr="00C05D6B">
        <w:rPr>
          <w:rFonts w:ascii="Garamond" w:eastAsia="Garamond" w:hAnsi="Garamond" w:cs="Garamond"/>
        </w:rPr>
        <w:t>(N.D.</w:t>
      </w:r>
      <w:r w:rsidR="00AE00B3" w:rsidRPr="00C05D6B">
        <w:rPr>
          <w:rFonts w:ascii="Garamond" w:eastAsia="Garamond" w:hAnsi="Garamond" w:cs="Garamond"/>
        </w:rPr>
        <w:t xml:space="preserve"> </w:t>
      </w:r>
      <w:r w:rsidRPr="00C05D6B">
        <w:rPr>
          <w:rFonts w:ascii="Garamond" w:eastAsia="Garamond" w:hAnsi="Garamond" w:cs="Garamond"/>
        </w:rPr>
        <w:t>Iowa 1897).</w:t>
      </w:r>
      <w:r w:rsidR="00AE00B3" w:rsidRPr="00C05D6B">
        <w:rPr>
          <w:rFonts w:ascii="Garamond" w:eastAsia="Garamond" w:hAnsi="Garamond" w:cs="Garamond"/>
        </w:rPr>
        <w:t xml:space="preserve"> </w:t>
      </w:r>
      <w:r w:rsidRPr="00C05D6B">
        <w:rPr>
          <w:rFonts w:ascii="Garamond" w:eastAsia="Garamond" w:hAnsi="Garamond" w:cs="Garamond"/>
        </w:rPr>
        <w:t>See also Ohio v. Thomas</w:t>
      </w:r>
      <w:r w:rsidR="00AE00B3" w:rsidRPr="00C05D6B">
        <w:rPr>
          <w:rFonts w:ascii="Garamond" w:eastAsia="Garamond" w:hAnsi="Garamond" w:cs="Garamond"/>
        </w:rPr>
        <w:t xml:space="preserve"> </w:t>
      </w:r>
      <w:r w:rsidRPr="00C05D6B">
        <w:rPr>
          <w:rFonts w:ascii="Garamond" w:eastAsia="Garamond" w:hAnsi="Garamond" w:cs="Garamond"/>
        </w:rPr>
        <w:t>(</w:t>
      </w:r>
      <w:r w:rsidR="00AE00B3" w:rsidRPr="00C05D6B">
        <w:rPr>
          <w:rFonts w:ascii="Garamond" w:eastAsia="Garamond" w:hAnsi="Garamond" w:cs="Garamond"/>
        </w:rPr>
        <w:t xml:space="preserve">U.S. </w:t>
      </w:r>
      <w:r w:rsidRPr="00C05D6B">
        <w:rPr>
          <w:rFonts w:ascii="Garamond" w:eastAsia="Garamond" w:hAnsi="Garamond" w:cs="Garamond"/>
        </w:rPr>
        <w:t xml:space="preserve">1899). </w:t>
      </w:r>
    </w:p>
    <w:p w14:paraId="5B1E409D" w14:textId="6E93BC39"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In </w:t>
      </w:r>
      <w:proofErr w:type="spellStart"/>
      <w:r w:rsidRPr="00C05D6B">
        <w:rPr>
          <w:rFonts w:ascii="Garamond" w:eastAsia="Garamond" w:hAnsi="Garamond" w:cs="Garamond"/>
          <w:i/>
          <w:iCs/>
        </w:rPr>
        <w:t>Neagle</w:t>
      </w:r>
      <w:proofErr w:type="spellEnd"/>
      <w:r w:rsidRPr="00C05D6B">
        <w:rPr>
          <w:rFonts w:ascii="Garamond" w:eastAsia="Garamond" w:hAnsi="Garamond" w:cs="Garamond"/>
        </w:rPr>
        <w:t xml:space="preserve"> the Supreme Court divided over whether a United States Deputy Marshal was acting in pursuance of any </w:t>
      </w:r>
      <w:r w:rsidRPr="00C05D6B">
        <w:rPr>
          <w:rFonts w:ascii="Garamond" w:eastAsia="Garamond" w:hAnsi="Garamond" w:cs="Garamond"/>
          <w:i/>
          <w:iCs/>
        </w:rPr>
        <w:t>law</w:t>
      </w:r>
      <w:r w:rsidRPr="00C05D6B">
        <w:rPr>
          <w:rFonts w:ascii="Garamond" w:eastAsia="Garamond" w:hAnsi="Garamond" w:cs="Garamond"/>
        </w:rPr>
        <w:t xml:space="preserve"> while he was accompanying a Circuit Justice and defending his person against physical attack. Two dissenters were of the opinion </w:t>
      </w:r>
      <w:r w:rsidR="00AE00B3" w:rsidRPr="00C05D6B">
        <w:rPr>
          <w:rFonts w:ascii="Garamond" w:eastAsia="Garamond" w:hAnsi="Garamond" w:cs="Garamond"/>
        </w:rPr>
        <w:t>“</w:t>
      </w:r>
      <w:r w:rsidRPr="00C05D6B">
        <w:rPr>
          <w:rFonts w:ascii="Garamond" w:eastAsia="Garamond" w:hAnsi="Garamond" w:cs="Garamond"/>
        </w:rPr>
        <w:t xml:space="preserve">that there was nothing, whatever, in </w:t>
      </w:r>
      <w:r w:rsidRPr="00C05D6B">
        <w:rPr>
          <w:rFonts w:ascii="Garamond" w:eastAsia="Garamond" w:hAnsi="Garamond" w:cs="Garamond"/>
        </w:rPr>
        <w:lastRenderedPageBreak/>
        <w:t>fact, of an official character in the transaction, whatever may have been the appellee</w:t>
      </w:r>
      <w:r w:rsidR="00AE00B3" w:rsidRPr="00C05D6B">
        <w:rPr>
          <w:rFonts w:ascii="Garamond" w:eastAsia="Garamond" w:hAnsi="Garamond" w:cs="Garamond"/>
        </w:rPr>
        <w:t>’</w:t>
      </w:r>
      <w:r w:rsidRPr="00C05D6B">
        <w:rPr>
          <w:rFonts w:ascii="Garamond" w:eastAsia="Garamond" w:hAnsi="Garamond" w:cs="Garamond"/>
        </w:rPr>
        <w:t>s view of his alleged official duties and powers.</w:t>
      </w:r>
      <w:r w:rsidR="00AE00B3" w:rsidRPr="00C05D6B">
        <w:rPr>
          <w:rFonts w:ascii="Garamond" w:eastAsia="Garamond" w:hAnsi="Garamond" w:cs="Garamond"/>
        </w:rPr>
        <w:t>”</w:t>
      </w:r>
      <w:r w:rsidRPr="00C05D6B">
        <w:rPr>
          <w:rFonts w:ascii="Garamond" w:eastAsia="Garamond" w:hAnsi="Garamond" w:cs="Garamond"/>
        </w:rPr>
        <w:t xml:space="preserve"> The majority of the court held that </w:t>
      </w:r>
      <w:r w:rsidR="00AE00B3" w:rsidRPr="00C05D6B">
        <w:rPr>
          <w:rFonts w:ascii="Garamond" w:eastAsia="Garamond" w:hAnsi="Garamond" w:cs="Garamond"/>
        </w:rPr>
        <w:t>“</w:t>
      </w:r>
      <w:r w:rsidRPr="00C05D6B">
        <w:rPr>
          <w:rFonts w:ascii="Garamond" w:eastAsia="Garamond" w:hAnsi="Garamond" w:cs="Garamond"/>
        </w:rPr>
        <w:t xml:space="preserve">any duty of the marshal to be derived from the general scope of his duties under the laws of the United States, is </w:t>
      </w:r>
      <w:r w:rsidR="00AE00B3" w:rsidRPr="00C05D6B">
        <w:rPr>
          <w:rFonts w:ascii="Garamond" w:eastAsia="Garamond" w:hAnsi="Garamond" w:cs="Garamond"/>
        </w:rPr>
        <w:t>‘</w:t>
      </w:r>
      <w:r w:rsidRPr="00C05D6B">
        <w:rPr>
          <w:rFonts w:ascii="Garamond" w:eastAsia="Garamond" w:hAnsi="Garamond" w:cs="Garamond"/>
        </w:rPr>
        <w:t>a law</w:t>
      </w:r>
      <w:r w:rsidR="00AE00B3" w:rsidRPr="00C05D6B">
        <w:rPr>
          <w:rFonts w:ascii="Garamond" w:eastAsia="Garamond" w:hAnsi="Garamond" w:cs="Garamond"/>
        </w:rPr>
        <w:t>’</w:t>
      </w:r>
      <w:r w:rsidRPr="00C05D6B">
        <w:rPr>
          <w:rFonts w:ascii="Garamond" w:eastAsia="Garamond" w:hAnsi="Garamond" w:cs="Garamond"/>
        </w:rPr>
        <w:t xml:space="preserve"> within the meaning of this phrase.</w:t>
      </w:r>
      <w:r w:rsidR="00AE00B3" w:rsidRPr="00C05D6B">
        <w:rPr>
          <w:rFonts w:ascii="Garamond" w:eastAsia="Garamond" w:hAnsi="Garamond" w:cs="Garamond"/>
        </w:rPr>
        <w:t>”</w:t>
      </w:r>
      <w:r w:rsidRPr="00C05D6B">
        <w:rPr>
          <w:rFonts w:ascii="Garamond" w:eastAsia="Garamond" w:hAnsi="Garamond" w:cs="Garamond"/>
        </w:rPr>
        <w:t xml:space="preserve"> Here, however, as has been said, petitioner was acting under express statutory authority and under express, specific orders of his superiors. </w:t>
      </w:r>
    </w:p>
    <w:p w14:paraId="32A1ABAA" w14:textId="582822F9" w:rsidR="00567887" w:rsidRPr="00C05D6B" w:rsidRDefault="00567887" w:rsidP="00AE00B3">
      <w:pPr>
        <w:spacing w:before="120" w:after="240"/>
        <w:ind w:firstLine="720"/>
        <w:rPr>
          <w:rFonts w:ascii="Garamond" w:hAnsi="Garamond"/>
        </w:rPr>
      </w:pPr>
      <w:r w:rsidRPr="00C05D6B">
        <w:rPr>
          <w:rFonts w:ascii="Garamond" w:eastAsia="Garamond" w:hAnsi="Garamond" w:cs="Garamond"/>
        </w:rPr>
        <w:t xml:space="preserve">Keeping in mind the quoted portions of petitioner's own affidavit (which are not contradicted), the language quoted in </w:t>
      </w:r>
      <w:proofErr w:type="spellStart"/>
      <w:r w:rsidRPr="00C05D6B">
        <w:rPr>
          <w:rFonts w:ascii="Garamond" w:eastAsia="Garamond" w:hAnsi="Garamond" w:cs="Garamond"/>
          <w:i/>
          <w:iCs/>
        </w:rPr>
        <w:t>Neagle</w:t>
      </w:r>
      <w:proofErr w:type="spellEnd"/>
      <w:r w:rsidR="00B76B37" w:rsidRPr="00C05D6B">
        <w:rPr>
          <w:rFonts w:ascii="Garamond" w:eastAsia="Garamond" w:hAnsi="Garamond" w:cs="Garamond"/>
          <w:i/>
          <w:iCs/>
        </w:rPr>
        <w:fldChar w:fldCharType="begin"/>
      </w:r>
      <w:r w:rsidR="00B76B37" w:rsidRPr="00C05D6B">
        <w:rPr>
          <w:rFonts w:ascii="Garamond" w:hAnsi="Garamond"/>
        </w:rPr>
        <w:instrText xml:space="preserve"> TA \s "In re Neagle" </w:instrText>
      </w:r>
      <w:r w:rsidR="00B76B37" w:rsidRPr="00C05D6B">
        <w:rPr>
          <w:rFonts w:ascii="Garamond" w:eastAsia="Garamond" w:hAnsi="Garamond" w:cs="Garamond"/>
          <w:i/>
          <w:iCs/>
        </w:rPr>
        <w:fldChar w:fldCharType="end"/>
      </w:r>
      <w:r w:rsidRPr="00C05D6B">
        <w:rPr>
          <w:rFonts w:ascii="Garamond" w:eastAsia="Garamond" w:hAnsi="Garamond" w:cs="Garamond"/>
        </w:rPr>
        <w:t xml:space="preserve"> from Ex </w:t>
      </w:r>
      <w:proofErr w:type="spellStart"/>
      <w:r w:rsidRPr="00C05D6B">
        <w:rPr>
          <w:rFonts w:ascii="Garamond" w:eastAsia="Garamond" w:hAnsi="Garamond" w:cs="Garamond"/>
        </w:rPr>
        <w:t>parte</w:t>
      </w:r>
      <w:proofErr w:type="spellEnd"/>
      <w:r w:rsidRPr="00C05D6B">
        <w:rPr>
          <w:rFonts w:ascii="Garamond" w:eastAsia="Garamond" w:hAnsi="Garamond" w:cs="Garamond"/>
        </w:rPr>
        <w:t xml:space="preserve"> Siebold</w:t>
      </w:r>
      <w:r w:rsidR="00B76B37" w:rsidRPr="00C05D6B">
        <w:rPr>
          <w:rFonts w:ascii="Garamond" w:eastAsia="Garamond" w:hAnsi="Garamond" w:cs="Garamond"/>
        </w:rPr>
        <w:fldChar w:fldCharType="begin"/>
      </w:r>
      <w:r w:rsidR="00B76B37" w:rsidRPr="00C05D6B">
        <w:rPr>
          <w:rFonts w:ascii="Garamond" w:hAnsi="Garamond"/>
        </w:rPr>
        <w:instrText xml:space="preserve"> TA \l "</w:instrText>
      </w:r>
      <w:r w:rsidR="00B76B37" w:rsidRPr="00C05D6B">
        <w:rPr>
          <w:rFonts w:ascii="Garamond" w:eastAsia="Garamond" w:hAnsi="Garamond" w:cs="Garamond"/>
        </w:rPr>
        <w:instrText>Ex parte Siebold</w:instrText>
      </w:r>
      <w:r w:rsidR="00B76B37" w:rsidRPr="00C05D6B">
        <w:rPr>
          <w:rFonts w:ascii="Garamond" w:hAnsi="Garamond"/>
        </w:rPr>
        <w:instrText xml:space="preserve">" \s "Ex parte Siebold" \c 1 </w:instrText>
      </w:r>
      <w:r w:rsidR="00B76B37" w:rsidRPr="00C05D6B">
        <w:rPr>
          <w:rFonts w:ascii="Garamond" w:eastAsia="Garamond" w:hAnsi="Garamond" w:cs="Garamond"/>
        </w:rPr>
        <w:fldChar w:fldCharType="end"/>
      </w:r>
      <w:r w:rsidRPr="00C05D6B">
        <w:rPr>
          <w:rFonts w:ascii="Garamond" w:eastAsia="Garamond" w:hAnsi="Garamond" w:cs="Garamond"/>
        </w:rPr>
        <w:t xml:space="preserve"> (1880), is relevant: </w:t>
      </w:r>
    </w:p>
    <w:p w14:paraId="7F43706C" w14:textId="7968CD40" w:rsidR="00567887" w:rsidRPr="00C05D6B" w:rsidRDefault="00AE00B3" w:rsidP="006D27AB">
      <w:pPr>
        <w:spacing w:before="120" w:after="240"/>
        <w:ind w:left="720"/>
        <w:rPr>
          <w:rFonts w:ascii="Garamond" w:hAnsi="Garamond"/>
        </w:rPr>
      </w:pPr>
      <w:r w:rsidRPr="00C05D6B">
        <w:rPr>
          <w:rFonts w:ascii="Garamond" w:eastAsia="Garamond" w:hAnsi="Garamond" w:cs="Garamond"/>
        </w:rPr>
        <w:t>“</w:t>
      </w:r>
      <w:r w:rsidR="00567887" w:rsidRPr="00C05D6B">
        <w:rPr>
          <w:rFonts w:ascii="Garamond" w:eastAsia="Garamond" w:hAnsi="Garamond" w:cs="Garamond"/>
        </w:rPr>
        <w:t xml:space="preserve">Why do we have marshals at all, if they cannot physically lay their </w:t>
      </w:r>
      <w:proofErr w:type="gramStart"/>
      <w:r w:rsidR="00567887" w:rsidRPr="00C05D6B">
        <w:rPr>
          <w:rFonts w:ascii="Garamond" w:eastAsia="Garamond" w:hAnsi="Garamond" w:cs="Garamond"/>
        </w:rPr>
        <w:t>hands on</w:t>
      </w:r>
      <w:proofErr w:type="gramEnd"/>
      <w:r w:rsidR="00567887" w:rsidRPr="00C05D6B">
        <w:rPr>
          <w:rFonts w:ascii="Garamond" w:eastAsia="Garamond" w:hAnsi="Garamond" w:cs="Garamond"/>
        </w:rPr>
        <w:t xml:space="preserve"> persons and things in the performance of their proper duties? What functions can they perform, if they cannot use force? In executing the process of the courts must they call on the nearest constable for protection? Must they rely on him to use the requisite compulsion, and to keep the peace, whilst they are soliciting and intriguing the parties and by-standers to allow the law to take its course?</w:t>
      </w:r>
      <w:r w:rsidRPr="00C05D6B">
        <w:rPr>
          <w:rFonts w:ascii="Garamond" w:eastAsia="Garamond" w:hAnsi="Garamond" w:cs="Garamond"/>
        </w:rPr>
        <w:t>”</w:t>
      </w:r>
      <w:r w:rsidR="00567887" w:rsidRPr="00C05D6B">
        <w:rPr>
          <w:rFonts w:ascii="Garamond" w:eastAsia="Garamond" w:hAnsi="Garamond" w:cs="Garamond"/>
        </w:rPr>
        <w:t xml:space="preserve"> </w:t>
      </w:r>
    </w:p>
    <w:p w14:paraId="593CCD01" w14:textId="3F1FE02D" w:rsidR="00567887" w:rsidRPr="00C05D6B" w:rsidRDefault="00567887" w:rsidP="006D27AB">
      <w:pPr>
        <w:spacing w:before="120" w:after="240"/>
        <w:rPr>
          <w:rFonts w:ascii="Garamond" w:hAnsi="Garamond"/>
        </w:rPr>
      </w:pPr>
      <w:r w:rsidRPr="00C05D6B">
        <w:rPr>
          <w:rFonts w:ascii="Garamond" w:eastAsia="Garamond" w:hAnsi="Garamond" w:cs="Garamond"/>
        </w:rPr>
        <w:t>It seems clear to this court from the cases that one in petitioner</w:t>
      </w:r>
      <w:r w:rsidR="00AE00B3" w:rsidRPr="00C05D6B">
        <w:rPr>
          <w:rFonts w:ascii="Garamond" w:eastAsia="Garamond" w:hAnsi="Garamond" w:cs="Garamond"/>
        </w:rPr>
        <w:t>’</w:t>
      </w:r>
      <w:r w:rsidRPr="00C05D6B">
        <w:rPr>
          <w:rFonts w:ascii="Garamond" w:eastAsia="Garamond" w:hAnsi="Garamond" w:cs="Garamond"/>
        </w:rPr>
        <w:t xml:space="preserve">s position should be denied relief by way of habeas corpus only if the physical force used </w:t>
      </w:r>
      <w:r w:rsidR="00AE00B3" w:rsidRPr="00C05D6B">
        <w:rPr>
          <w:rFonts w:ascii="Garamond" w:eastAsia="Garamond" w:hAnsi="Garamond" w:cs="Garamond"/>
        </w:rPr>
        <w:t>“</w:t>
      </w:r>
      <w:r w:rsidRPr="00C05D6B">
        <w:rPr>
          <w:rFonts w:ascii="Garamond" w:eastAsia="Garamond" w:hAnsi="Garamond" w:cs="Garamond"/>
        </w:rPr>
        <w:t>exceeded the exigency of the process under which (he) acted.</w:t>
      </w:r>
      <w:r w:rsidR="00AE00B3" w:rsidRPr="00C05D6B">
        <w:rPr>
          <w:rFonts w:ascii="Garamond" w:eastAsia="Garamond" w:hAnsi="Garamond" w:cs="Garamond"/>
        </w:rPr>
        <w:t>”</w:t>
      </w:r>
      <w:r w:rsidRPr="00C05D6B">
        <w:rPr>
          <w:rFonts w:ascii="Garamond" w:eastAsia="Garamond" w:hAnsi="Garamond" w:cs="Garamond"/>
        </w:rPr>
        <w:t xml:space="preserve"> </w:t>
      </w:r>
      <w:r w:rsidRPr="00C05D6B">
        <w:rPr>
          <w:rFonts w:ascii="Garamond" w:eastAsia="Garamond" w:hAnsi="Garamond" w:cs="Garamond"/>
          <w:i/>
          <w:iCs/>
        </w:rPr>
        <w:t xml:space="preserve">Ex </w:t>
      </w:r>
      <w:proofErr w:type="spellStart"/>
      <w:r w:rsidRPr="00C05D6B">
        <w:rPr>
          <w:rFonts w:ascii="Garamond" w:eastAsia="Garamond" w:hAnsi="Garamond" w:cs="Garamond"/>
          <w:i/>
          <w:iCs/>
        </w:rPr>
        <w:t>parte</w:t>
      </w:r>
      <w:proofErr w:type="spellEnd"/>
      <w:r w:rsidRPr="00C05D6B">
        <w:rPr>
          <w:rFonts w:ascii="Garamond" w:eastAsia="Garamond" w:hAnsi="Garamond" w:cs="Garamond"/>
          <w:i/>
          <w:iCs/>
        </w:rPr>
        <w:t xml:space="preserve"> Jenkins</w:t>
      </w:r>
      <w:r w:rsidRPr="00C05D6B">
        <w:rPr>
          <w:rFonts w:ascii="Garamond" w:eastAsia="Garamond" w:hAnsi="Garamond" w:cs="Garamond"/>
        </w:rPr>
        <w:t xml:space="preserve">. If petitioner </w:t>
      </w:r>
      <w:r w:rsidR="00B73D2A" w:rsidRPr="00C05D6B">
        <w:rPr>
          <w:rFonts w:ascii="Garamond" w:eastAsia="Garamond" w:hAnsi="Garamond" w:cs="Garamond"/>
        </w:rPr>
        <w:t>“</w:t>
      </w:r>
      <w:r w:rsidRPr="00C05D6B">
        <w:rPr>
          <w:rFonts w:ascii="Garamond" w:eastAsia="Garamond" w:hAnsi="Garamond" w:cs="Garamond"/>
        </w:rPr>
        <w:t>did no more than was necessary and proper for him to do</w:t>
      </w:r>
      <w:r w:rsidR="00B73D2A" w:rsidRPr="00C05D6B">
        <w:rPr>
          <w:rFonts w:ascii="Garamond" w:eastAsia="Garamond" w:hAnsi="Garamond" w:cs="Garamond"/>
        </w:rPr>
        <w:t>”</w:t>
      </w:r>
      <w:r w:rsidRPr="00C05D6B">
        <w:rPr>
          <w:rFonts w:ascii="Garamond" w:eastAsia="Garamond" w:hAnsi="Garamond" w:cs="Garamond"/>
        </w:rPr>
        <w:t xml:space="preserve"> in the exercise of his federal authority, he is entitled to release on habeas corpus. </w:t>
      </w:r>
      <w:r w:rsidRPr="00C05D6B">
        <w:rPr>
          <w:rFonts w:ascii="Garamond" w:eastAsia="Garamond" w:hAnsi="Garamond" w:cs="Garamond"/>
          <w:i/>
          <w:iCs/>
        </w:rPr>
        <w:t xml:space="preserve">In re </w:t>
      </w:r>
      <w:proofErr w:type="spellStart"/>
      <w:r w:rsidRPr="00C05D6B">
        <w:rPr>
          <w:rFonts w:ascii="Garamond" w:eastAsia="Garamond" w:hAnsi="Garamond" w:cs="Garamond"/>
          <w:i/>
          <w:iCs/>
        </w:rPr>
        <w:t>Neagle</w:t>
      </w:r>
      <w:proofErr w:type="spellEnd"/>
      <w:r w:rsidR="00B76B37" w:rsidRPr="00C05D6B">
        <w:rPr>
          <w:rFonts w:ascii="Garamond" w:eastAsia="Garamond" w:hAnsi="Garamond" w:cs="Garamond"/>
          <w:i/>
          <w:iCs/>
        </w:rPr>
        <w:fldChar w:fldCharType="begin"/>
      </w:r>
      <w:r w:rsidR="00B76B37" w:rsidRPr="00C05D6B">
        <w:rPr>
          <w:rFonts w:ascii="Garamond" w:hAnsi="Garamond"/>
        </w:rPr>
        <w:instrText xml:space="preserve"> TA \s "In re Neagle" </w:instrText>
      </w:r>
      <w:r w:rsidR="00B76B37" w:rsidRPr="00C05D6B">
        <w:rPr>
          <w:rFonts w:ascii="Garamond" w:eastAsia="Garamond" w:hAnsi="Garamond" w:cs="Garamond"/>
          <w:i/>
          <w:iCs/>
        </w:rPr>
        <w:fldChar w:fldCharType="end"/>
      </w:r>
      <w:r w:rsidR="00B73D2A" w:rsidRPr="00C05D6B">
        <w:rPr>
          <w:rFonts w:ascii="Garamond" w:eastAsia="Garamond" w:hAnsi="Garamond" w:cs="Garamond"/>
        </w:rPr>
        <w:t>.</w:t>
      </w:r>
      <w:r w:rsidRPr="00C05D6B">
        <w:rPr>
          <w:rFonts w:ascii="Garamond" w:eastAsia="Garamond" w:hAnsi="Garamond" w:cs="Garamond"/>
        </w:rPr>
        <w:t xml:space="preserve"> </w:t>
      </w:r>
    </w:p>
    <w:p w14:paraId="0C917D40" w14:textId="7B6F5F32" w:rsidR="00567887" w:rsidRPr="00C05D6B" w:rsidRDefault="00567887" w:rsidP="00B73D2A">
      <w:pPr>
        <w:spacing w:before="120" w:after="240"/>
        <w:ind w:firstLine="720"/>
        <w:rPr>
          <w:rFonts w:ascii="Garamond" w:hAnsi="Garamond"/>
        </w:rPr>
      </w:pPr>
      <w:r w:rsidRPr="00C05D6B">
        <w:rPr>
          <w:rFonts w:ascii="Garamond" w:eastAsia="Garamond" w:hAnsi="Garamond" w:cs="Garamond"/>
        </w:rPr>
        <w:t xml:space="preserve">Many cases have followed </w:t>
      </w:r>
      <w:proofErr w:type="spellStart"/>
      <w:r w:rsidRPr="00C05D6B">
        <w:rPr>
          <w:rFonts w:ascii="Garamond" w:eastAsia="Garamond" w:hAnsi="Garamond" w:cs="Garamond"/>
          <w:i/>
          <w:iCs/>
        </w:rPr>
        <w:t>Neagle</w:t>
      </w:r>
      <w:proofErr w:type="spellEnd"/>
      <w:r w:rsidRPr="00C05D6B">
        <w:rPr>
          <w:rFonts w:ascii="Garamond" w:eastAsia="Garamond" w:hAnsi="Garamond" w:cs="Garamond"/>
        </w:rPr>
        <w:t xml:space="preserve">. Some of the illustrative decisions are </w:t>
      </w:r>
      <w:r w:rsidRPr="00C05D6B">
        <w:rPr>
          <w:rFonts w:ascii="Garamond" w:eastAsia="Garamond" w:hAnsi="Garamond" w:cs="Garamond"/>
          <w:i/>
          <w:iCs/>
        </w:rPr>
        <w:t>Ohio v. Thomas</w:t>
      </w:r>
      <w:r w:rsidR="00B76B37" w:rsidRPr="00C05D6B">
        <w:rPr>
          <w:rFonts w:ascii="Garamond" w:eastAsia="Garamond" w:hAnsi="Garamond" w:cs="Garamond"/>
          <w:i/>
          <w:iCs/>
        </w:rPr>
        <w:fldChar w:fldCharType="begin"/>
      </w:r>
      <w:r w:rsidR="00B76B37" w:rsidRPr="00C05D6B">
        <w:rPr>
          <w:rFonts w:ascii="Garamond" w:hAnsi="Garamond"/>
        </w:rPr>
        <w:instrText xml:space="preserve"> TA \l "</w:instrText>
      </w:r>
      <w:r w:rsidR="00B76B37" w:rsidRPr="00372F61">
        <w:rPr>
          <w:rFonts w:ascii="Garamond" w:eastAsia="Garamond" w:hAnsi="Garamond" w:cs="Garamond"/>
        </w:rPr>
        <w:instrText>Ohio v. Thomas</w:instrText>
      </w:r>
      <w:r w:rsidR="00B76B37" w:rsidRPr="00C05D6B">
        <w:rPr>
          <w:rFonts w:ascii="Garamond" w:hAnsi="Garamond"/>
        </w:rPr>
        <w:instrText xml:space="preserve">" \s "Ohio v. Thomas" \c 1 </w:instrText>
      </w:r>
      <w:r w:rsidR="00B76B37" w:rsidRPr="00C05D6B">
        <w:rPr>
          <w:rFonts w:ascii="Garamond" w:eastAsia="Garamond" w:hAnsi="Garamond" w:cs="Garamond"/>
          <w:i/>
          <w:iCs/>
        </w:rPr>
        <w:fldChar w:fldCharType="end"/>
      </w:r>
      <w:r w:rsidR="00B73D2A" w:rsidRPr="00C05D6B">
        <w:rPr>
          <w:rFonts w:ascii="Garamond" w:eastAsia="Garamond" w:hAnsi="Garamond" w:cs="Garamond"/>
        </w:rPr>
        <w:t xml:space="preserve"> </w:t>
      </w:r>
      <w:r w:rsidRPr="00C05D6B">
        <w:rPr>
          <w:rFonts w:ascii="Garamond" w:eastAsia="Garamond" w:hAnsi="Garamond" w:cs="Garamond"/>
        </w:rPr>
        <w:t xml:space="preserve">(release of governor of federal soldiers' home who was convicted of violating state oleomargarine statute); </w:t>
      </w:r>
      <w:proofErr w:type="spellStart"/>
      <w:r w:rsidRPr="00C05D6B">
        <w:rPr>
          <w:rFonts w:ascii="Garamond" w:eastAsia="Garamond" w:hAnsi="Garamond" w:cs="Garamond"/>
          <w:i/>
          <w:iCs/>
        </w:rPr>
        <w:t>Boske</w:t>
      </w:r>
      <w:proofErr w:type="spellEnd"/>
      <w:r w:rsidRPr="00C05D6B">
        <w:rPr>
          <w:rFonts w:ascii="Garamond" w:eastAsia="Garamond" w:hAnsi="Garamond" w:cs="Garamond"/>
          <w:i/>
          <w:iCs/>
        </w:rPr>
        <w:t xml:space="preserve"> v. </w:t>
      </w:r>
      <w:proofErr w:type="spellStart"/>
      <w:r w:rsidRPr="00C05D6B">
        <w:rPr>
          <w:rFonts w:ascii="Garamond" w:eastAsia="Garamond" w:hAnsi="Garamond" w:cs="Garamond"/>
          <w:i/>
          <w:iCs/>
        </w:rPr>
        <w:t>Comingore</w:t>
      </w:r>
      <w:proofErr w:type="spellEnd"/>
      <w:r w:rsidR="00B76B37" w:rsidRPr="00C05D6B">
        <w:rPr>
          <w:rFonts w:ascii="Garamond" w:eastAsia="Garamond" w:hAnsi="Garamond" w:cs="Garamond"/>
          <w:i/>
          <w:iCs/>
        </w:rPr>
        <w:fldChar w:fldCharType="begin"/>
      </w:r>
      <w:r w:rsidR="00B76B37" w:rsidRPr="00C05D6B">
        <w:rPr>
          <w:rFonts w:ascii="Garamond" w:hAnsi="Garamond"/>
        </w:rPr>
        <w:instrText xml:space="preserve"> TA \s "Boske v. Comingore" </w:instrText>
      </w:r>
      <w:r w:rsidR="00B76B37" w:rsidRPr="00C05D6B">
        <w:rPr>
          <w:rFonts w:ascii="Garamond" w:eastAsia="Garamond" w:hAnsi="Garamond" w:cs="Garamond"/>
          <w:i/>
          <w:iCs/>
        </w:rPr>
        <w:fldChar w:fldCharType="end"/>
      </w:r>
      <w:r w:rsidR="00B73D2A" w:rsidRPr="00C05D6B">
        <w:rPr>
          <w:rFonts w:ascii="Garamond" w:eastAsia="Garamond" w:hAnsi="Garamond" w:cs="Garamond"/>
        </w:rPr>
        <w:t xml:space="preserve"> </w:t>
      </w:r>
      <w:r w:rsidRPr="00C05D6B">
        <w:rPr>
          <w:rFonts w:ascii="Garamond" w:eastAsia="Garamond" w:hAnsi="Garamond" w:cs="Garamond"/>
        </w:rPr>
        <w:t>(release of United States Collector of Internal Revenue convicted of contempt for refusing to disclose confidential records); Hunter v. Wood</w:t>
      </w:r>
      <w:r w:rsidR="00B76B37" w:rsidRPr="00C05D6B">
        <w:rPr>
          <w:rFonts w:ascii="Garamond" w:eastAsia="Garamond" w:hAnsi="Garamond" w:cs="Garamond"/>
        </w:rPr>
        <w:fldChar w:fldCharType="begin"/>
      </w:r>
      <w:r w:rsidR="00B76B37" w:rsidRPr="00C05D6B">
        <w:rPr>
          <w:rFonts w:ascii="Garamond" w:hAnsi="Garamond"/>
        </w:rPr>
        <w:instrText xml:space="preserve"> TA \l "</w:instrText>
      </w:r>
      <w:r w:rsidR="00B76B37" w:rsidRPr="00C05D6B">
        <w:rPr>
          <w:rFonts w:ascii="Garamond" w:eastAsia="Garamond" w:hAnsi="Garamond" w:cs="Garamond"/>
        </w:rPr>
        <w:instrText>Hunter v. Wood</w:instrText>
      </w:r>
      <w:r w:rsidR="00B76B37" w:rsidRPr="00C05D6B">
        <w:rPr>
          <w:rFonts w:ascii="Garamond" w:hAnsi="Garamond"/>
        </w:rPr>
        <w:instrText xml:space="preserve">" \s "Hunter v. Wood" \c 1 </w:instrText>
      </w:r>
      <w:r w:rsidR="00B76B37" w:rsidRPr="00C05D6B">
        <w:rPr>
          <w:rFonts w:ascii="Garamond" w:eastAsia="Garamond" w:hAnsi="Garamond" w:cs="Garamond"/>
        </w:rPr>
        <w:fldChar w:fldCharType="end"/>
      </w:r>
      <w:r w:rsidR="00B73D2A" w:rsidRPr="00C05D6B">
        <w:rPr>
          <w:rFonts w:ascii="Garamond" w:eastAsia="Garamond" w:hAnsi="Garamond" w:cs="Garamond"/>
        </w:rPr>
        <w:t xml:space="preserve"> </w:t>
      </w:r>
      <w:r w:rsidRPr="00C05D6B">
        <w:rPr>
          <w:rFonts w:ascii="Garamond" w:eastAsia="Garamond" w:hAnsi="Garamond" w:cs="Garamond"/>
        </w:rPr>
        <w:t>(</w:t>
      </w:r>
      <w:r w:rsidR="00B73D2A" w:rsidRPr="00C05D6B">
        <w:rPr>
          <w:rFonts w:ascii="Garamond" w:eastAsia="Garamond" w:hAnsi="Garamond" w:cs="Garamond"/>
        </w:rPr>
        <w:t xml:space="preserve">U.S. </w:t>
      </w:r>
      <w:r w:rsidRPr="00C05D6B">
        <w:rPr>
          <w:rFonts w:ascii="Garamond" w:eastAsia="Garamond" w:hAnsi="Garamond" w:cs="Garamond"/>
        </w:rPr>
        <w:t xml:space="preserve">1908) (release of ticket agent convicted for ticket sale made pursuant to federal injunction); </w:t>
      </w:r>
      <w:r w:rsidRPr="00C05D6B">
        <w:rPr>
          <w:rFonts w:ascii="Garamond" w:eastAsia="Garamond" w:hAnsi="Garamond" w:cs="Garamond"/>
          <w:i/>
          <w:iCs/>
        </w:rPr>
        <w:t>West Virginia v. Laing</w:t>
      </w:r>
      <w:r w:rsidR="00B76B37" w:rsidRPr="00C05D6B">
        <w:rPr>
          <w:rFonts w:ascii="Garamond" w:eastAsia="Garamond" w:hAnsi="Garamond" w:cs="Garamond"/>
          <w:i/>
          <w:iCs/>
        </w:rPr>
        <w:fldChar w:fldCharType="begin"/>
      </w:r>
      <w:r w:rsidR="00B76B37" w:rsidRPr="00C05D6B">
        <w:rPr>
          <w:rFonts w:ascii="Garamond" w:hAnsi="Garamond"/>
        </w:rPr>
        <w:instrText xml:space="preserve"> TA \l "</w:instrText>
      </w:r>
      <w:r w:rsidR="00B76B37" w:rsidRPr="00372F61">
        <w:rPr>
          <w:rFonts w:ascii="Garamond" w:eastAsia="Garamond" w:hAnsi="Garamond" w:cs="Garamond"/>
        </w:rPr>
        <w:instrText>West Virginia v. Laing</w:instrText>
      </w:r>
      <w:r w:rsidR="00B76B37" w:rsidRPr="00C05D6B">
        <w:rPr>
          <w:rFonts w:ascii="Garamond" w:hAnsi="Garamond"/>
        </w:rPr>
        <w:instrText xml:space="preserve">" \s "West Virginia v. Laing" \c 1 </w:instrText>
      </w:r>
      <w:r w:rsidR="00B76B37" w:rsidRPr="00C05D6B">
        <w:rPr>
          <w:rFonts w:ascii="Garamond" w:eastAsia="Garamond" w:hAnsi="Garamond" w:cs="Garamond"/>
          <w:i/>
          <w:iCs/>
        </w:rPr>
        <w:fldChar w:fldCharType="end"/>
      </w:r>
      <w:r w:rsidRPr="00C05D6B">
        <w:rPr>
          <w:rFonts w:ascii="Garamond" w:eastAsia="Garamond" w:hAnsi="Garamond" w:cs="Garamond"/>
        </w:rPr>
        <w:t>, supra (release of members of posse who killed federal fugitive resisting arrest); Campbell v. Waite</w:t>
      </w:r>
      <w:r w:rsidR="00B76B37" w:rsidRPr="00C05D6B">
        <w:rPr>
          <w:rFonts w:ascii="Garamond" w:eastAsia="Garamond" w:hAnsi="Garamond" w:cs="Garamond"/>
        </w:rPr>
        <w:fldChar w:fldCharType="begin"/>
      </w:r>
      <w:r w:rsidR="00B76B37" w:rsidRPr="00C05D6B">
        <w:rPr>
          <w:rFonts w:ascii="Garamond" w:hAnsi="Garamond"/>
        </w:rPr>
        <w:instrText xml:space="preserve"> TA \l "</w:instrText>
      </w:r>
      <w:r w:rsidR="00B76B37" w:rsidRPr="00C05D6B">
        <w:rPr>
          <w:rFonts w:ascii="Garamond" w:eastAsia="Garamond" w:hAnsi="Garamond" w:cs="Garamond"/>
        </w:rPr>
        <w:instrText>Campbell v. Waite</w:instrText>
      </w:r>
      <w:r w:rsidR="00B76B37" w:rsidRPr="00C05D6B">
        <w:rPr>
          <w:rFonts w:ascii="Garamond" w:hAnsi="Garamond"/>
        </w:rPr>
        <w:instrText xml:space="preserve">" \s "Campbell v. Waite" \c 1 </w:instrText>
      </w:r>
      <w:r w:rsidR="00B76B37" w:rsidRPr="00C05D6B">
        <w:rPr>
          <w:rFonts w:ascii="Garamond" w:eastAsia="Garamond" w:hAnsi="Garamond" w:cs="Garamond"/>
        </w:rPr>
        <w:fldChar w:fldCharType="end"/>
      </w:r>
      <w:r w:rsidR="00B73D2A" w:rsidRPr="00C05D6B">
        <w:rPr>
          <w:rFonts w:ascii="Garamond" w:eastAsia="Garamond" w:hAnsi="Garamond" w:cs="Garamond"/>
        </w:rPr>
        <w:t xml:space="preserve"> </w:t>
      </w:r>
      <w:r w:rsidRPr="00C05D6B">
        <w:rPr>
          <w:rFonts w:ascii="Garamond" w:eastAsia="Garamond" w:hAnsi="Garamond" w:cs="Garamond"/>
        </w:rPr>
        <w:t>(8</w:t>
      </w:r>
      <w:r w:rsidR="00B73D2A" w:rsidRPr="00C05D6B">
        <w:rPr>
          <w:rFonts w:ascii="Garamond" w:eastAsia="Garamond" w:hAnsi="Garamond" w:cs="Garamond"/>
        </w:rPr>
        <w:t>th</w:t>
      </w:r>
      <w:r w:rsidRPr="00C05D6B">
        <w:rPr>
          <w:rFonts w:ascii="Garamond" w:eastAsia="Garamond" w:hAnsi="Garamond" w:cs="Garamond"/>
        </w:rPr>
        <w:t xml:space="preserve"> Cir. 1898)</w:t>
      </w:r>
      <w:r w:rsidR="00B73D2A" w:rsidRPr="00C05D6B">
        <w:rPr>
          <w:rFonts w:ascii="Garamond" w:eastAsia="Garamond" w:hAnsi="Garamond" w:cs="Garamond"/>
        </w:rPr>
        <w:t xml:space="preserve"> </w:t>
      </w:r>
      <w:r w:rsidRPr="00C05D6B">
        <w:rPr>
          <w:rFonts w:ascii="Garamond" w:eastAsia="Garamond" w:hAnsi="Garamond" w:cs="Garamond"/>
        </w:rPr>
        <w:t>(release of federal pension examiner convicted of threatening prospective witness with perjury prosecution); Lima v. Lawler</w:t>
      </w:r>
      <w:r w:rsidR="00B76B37" w:rsidRPr="00C05D6B">
        <w:rPr>
          <w:rFonts w:ascii="Garamond" w:eastAsia="Garamond" w:hAnsi="Garamond" w:cs="Garamond"/>
        </w:rPr>
        <w:fldChar w:fldCharType="begin"/>
      </w:r>
      <w:r w:rsidR="00B76B37" w:rsidRPr="00C05D6B">
        <w:rPr>
          <w:rFonts w:ascii="Garamond" w:hAnsi="Garamond"/>
        </w:rPr>
        <w:instrText xml:space="preserve"> TA \l "</w:instrText>
      </w:r>
      <w:r w:rsidR="00B76B37" w:rsidRPr="00C05D6B">
        <w:rPr>
          <w:rFonts w:ascii="Garamond" w:eastAsia="Garamond" w:hAnsi="Garamond" w:cs="Garamond"/>
        </w:rPr>
        <w:instrText>Lima v. Lawler</w:instrText>
      </w:r>
      <w:r w:rsidR="00B76B37" w:rsidRPr="00C05D6B">
        <w:rPr>
          <w:rFonts w:ascii="Garamond" w:hAnsi="Garamond"/>
        </w:rPr>
        <w:instrText xml:space="preserve">" \s "Lima v. Lawler" \c 1 </w:instrText>
      </w:r>
      <w:r w:rsidR="00B76B37" w:rsidRPr="00C05D6B">
        <w:rPr>
          <w:rFonts w:ascii="Garamond" w:eastAsia="Garamond" w:hAnsi="Garamond" w:cs="Garamond"/>
        </w:rPr>
        <w:fldChar w:fldCharType="end"/>
      </w:r>
      <w:r w:rsidRPr="00C05D6B">
        <w:rPr>
          <w:rFonts w:ascii="Garamond" w:eastAsia="Garamond" w:hAnsi="Garamond" w:cs="Garamond"/>
        </w:rPr>
        <w:t>, (E.D.</w:t>
      </w:r>
      <w:r w:rsidR="00B73D2A" w:rsidRPr="00C05D6B">
        <w:rPr>
          <w:rFonts w:ascii="Garamond" w:eastAsia="Garamond" w:hAnsi="Garamond" w:cs="Garamond"/>
        </w:rPr>
        <w:t xml:space="preserve"> </w:t>
      </w:r>
      <w:r w:rsidRPr="00C05D6B">
        <w:rPr>
          <w:rFonts w:ascii="Garamond" w:eastAsia="Garamond" w:hAnsi="Garamond" w:cs="Garamond"/>
        </w:rPr>
        <w:t>Va.1945) (release of naval shore patrolman convicted of assaulting civilian who interfered with patrolman</w:t>
      </w:r>
      <w:r w:rsidR="00B73D2A" w:rsidRPr="00C05D6B">
        <w:rPr>
          <w:rFonts w:ascii="Garamond" w:eastAsia="Garamond" w:hAnsi="Garamond" w:cs="Garamond"/>
        </w:rPr>
        <w:t>’</w:t>
      </w:r>
      <w:r w:rsidRPr="00C05D6B">
        <w:rPr>
          <w:rFonts w:ascii="Garamond" w:eastAsia="Garamond" w:hAnsi="Garamond" w:cs="Garamond"/>
        </w:rPr>
        <w:t xml:space="preserve">s custody of sailor); In re </w:t>
      </w:r>
      <w:proofErr w:type="spellStart"/>
      <w:r w:rsidRPr="00C05D6B">
        <w:rPr>
          <w:rFonts w:ascii="Garamond" w:eastAsia="Garamond" w:hAnsi="Garamond" w:cs="Garamond"/>
        </w:rPr>
        <w:t>Wulzen</w:t>
      </w:r>
      <w:proofErr w:type="spellEnd"/>
      <w:r w:rsidR="00B76B37" w:rsidRPr="00C05D6B">
        <w:rPr>
          <w:rFonts w:ascii="Garamond" w:eastAsia="Garamond" w:hAnsi="Garamond" w:cs="Garamond"/>
        </w:rPr>
        <w:fldChar w:fldCharType="begin"/>
      </w:r>
      <w:r w:rsidR="00B76B37" w:rsidRPr="00C05D6B">
        <w:rPr>
          <w:rFonts w:ascii="Garamond" w:hAnsi="Garamond"/>
        </w:rPr>
        <w:instrText xml:space="preserve"> TA \l "</w:instrText>
      </w:r>
      <w:r w:rsidR="00B76B37" w:rsidRPr="00C05D6B">
        <w:rPr>
          <w:rFonts w:ascii="Garamond" w:eastAsia="Garamond" w:hAnsi="Garamond" w:cs="Garamond"/>
        </w:rPr>
        <w:instrText>In re Wulzen</w:instrText>
      </w:r>
      <w:r w:rsidR="00B76B37" w:rsidRPr="00C05D6B">
        <w:rPr>
          <w:rFonts w:ascii="Garamond" w:hAnsi="Garamond"/>
        </w:rPr>
        <w:instrText xml:space="preserve">" \s "In re Wulzen" \c 1 </w:instrText>
      </w:r>
      <w:r w:rsidR="00B76B37" w:rsidRPr="00C05D6B">
        <w:rPr>
          <w:rFonts w:ascii="Garamond" w:eastAsia="Garamond" w:hAnsi="Garamond" w:cs="Garamond"/>
        </w:rPr>
        <w:fldChar w:fldCharType="end"/>
      </w:r>
      <w:r w:rsidR="00B73D2A" w:rsidRPr="00C05D6B">
        <w:rPr>
          <w:rFonts w:ascii="Garamond" w:eastAsia="Garamond" w:hAnsi="Garamond" w:cs="Garamond"/>
        </w:rPr>
        <w:t xml:space="preserve"> </w:t>
      </w:r>
      <w:r w:rsidRPr="00C05D6B">
        <w:rPr>
          <w:rFonts w:ascii="Garamond" w:eastAsia="Garamond" w:hAnsi="Garamond" w:cs="Garamond"/>
        </w:rPr>
        <w:t>(S.D.</w:t>
      </w:r>
      <w:r w:rsidR="00B73D2A" w:rsidRPr="00C05D6B">
        <w:rPr>
          <w:rFonts w:ascii="Garamond" w:eastAsia="Garamond" w:hAnsi="Garamond" w:cs="Garamond"/>
        </w:rPr>
        <w:t xml:space="preserve"> </w:t>
      </w:r>
      <w:r w:rsidRPr="00C05D6B">
        <w:rPr>
          <w:rFonts w:ascii="Garamond" w:eastAsia="Garamond" w:hAnsi="Garamond" w:cs="Garamond"/>
        </w:rPr>
        <w:t xml:space="preserve">Ohio 1916) (release of army officers charged with breaching the peace by pushing back crowd blocking road along which military company was marching); Ex </w:t>
      </w:r>
      <w:proofErr w:type="spellStart"/>
      <w:r w:rsidRPr="00C05D6B">
        <w:rPr>
          <w:rFonts w:ascii="Garamond" w:eastAsia="Garamond" w:hAnsi="Garamond" w:cs="Garamond"/>
        </w:rPr>
        <w:t>parte</w:t>
      </w:r>
      <w:proofErr w:type="spellEnd"/>
      <w:r w:rsidRPr="00C05D6B">
        <w:rPr>
          <w:rFonts w:ascii="Garamond" w:eastAsia="Garamond" w:hAnsi="Garamond" w:cs="Garamond"/>
        </w:rPr>
        <w:t xml:space="preserve"> Gillette</w:t>
      </w:r>
      <w:r w:rsidR="00B76B37" w:rsidRPr="00C05D6B">
        <w:rPr>
          <w:rFonts w:ascii="Garamond" w:eastAsia="Garamond" w:hAnsi="Garamond" w:cs="Garamond"/>
        </w:rPr>
        <w:fldChar w:fldCharType="begin"/>
      </w:r>
      <w:r w:rsidR="00B76B37" w:rsidRPr="00C05D6B">
        <w:rPr>
          <w:rFonts w:ascii="Garamond" w:hAnsi="Garamond"/>
        </w:rPr>
        <w:instrText xml:space="preserve"> TA \l "</w:instrText>
      </w:r>
      <w:r w:rsidR="00B76B37" w:rsidRPr="00C05D6B">
        <w:rPr>
          <w:rFonts w:ascii="Garamond" w:eastAsia="Garamond" w:hAnsi="Garamond" w:cs="Garamond"/>
        </w:rPr>
        <w:instrText>Ex parte Gillette</w:instrText>
      </w:r>
      <w:r w:rsidR="00B76B37" w:rsidRPr="00C05D6B">
        <w:rPr>
          <w:rFonts w:ascii="Garamond" w:hAnsi="Garamond"/>
        </w:rPr>
        <w:instrText xml:space="preserve">" \s "Ex parte Gillette" \c 1 </w:instrText>
      </w:r>
      <w:r w:rsidR="00B76B37" w:rsidRPr="00C05D6B">
        <w:rPr>
          <w:rFonts w:ascii="Garamond" w:eastAsia="Garamond" w:hAnsi="Garamond" w:cs="Garamond"/>
        </w:rPr>
        <w:fldChar w:fldCharType="end"/>
      </w:r>
      <w:r w:rsidR="00B73D2A" w:rsidRPr="00C05D6B">
        <w:rPr>
          <w:rFonts w:ascii="Garamond" w:eastAsia="Garamond" w:hAnsi="Garamond" w:cs="Garamond"/>
        </w:rPr>
        <w:t xml:space="preserve"> </w:t>
      </w:r>
      <w:r w:rsidRPr="00C05D6B">
        <w:rPr>
          <w:rFonts w:ascii="Garamond" w:eastAsia="Garamond" w:hAnsi="Garamond" w:cs="Garamond"/>
        </w:rPr>
        <w:t>(W.D.</w:t>
      </w:r>
      <w:r w:rsidR="00B73D2A" w:rsidRPr="00C05D6B">
        <w:rPr>
          <w:rFonts w:ascii="Garamond" w:eastAsia="Garamond" w:hAnsi="Garamond" w:cs="Garamond"/>
        </w:rPr>
        <w:t xml:space="preserve"> </w:t>
      </w:r>
      <w:r w:rsidRPr="00C05D6B">
        <w:rPr>
          <w:rFonts w:ascii="Garamond" w:eastAsia="Garamond" w:hAnsi="Garamond" w:cs="Garamond"/>
        </w:rPr>
        <w:t xml:space="preserve">Mich.1907) (release of soldier charged with manslaughter for shooting bystander while </w:t>
      </w:r>
      <w:r w:rsidRPr="00C05D6B">
        <w:rPr>
          <w:rFonts w:ascii="Garamond" w:hAnsi="Garamond"/>
        </w:rPr>
        <w:t xml:space="preserve"> </w:t>
      </w:r>
      <w:r w:rsidRPr="00C05D6B">
        <w:rPr>
          <w:rFonts w:ascii="Garamond" w:eastAsia="Garamond" w:hAnsi="Garamond" w:cs="Garamond"/>
        </w:rPr>
        <w:t xml:space="preserve">attempting to apprehend deserter); United States ex rel. McSweeney v. </w:t>
      </w:r>
      <w:proofErr w:type="spellStart"/>
      <w:r w:rsidRPr="00C05D6B">
        <w:rPr>
          <w:rFonts w:ascii="Garamond" w:eastAsia="Garamond" w:hAnsi="Garamond" w:cs="Garamond"/>
        </w:rPr>
        <w:t>Fullhart</w:t>
      </w:r>
      <w:proofErr w:type="spellEnd"/>
      <w:r w:rsidR="00B76B37" w:rsidRPr="00C05D6B">
        <w:rPr>
          <w:rFonts w:ascii="Garamond" w:eastAsia="Garamond" w:hAnsi="Garamond" w:cs="Garamond"/>
        </w:rPr>
        <w:fldChar w:fldCharType="begin"/>
      </w:r>
      <w:r w:rsidR="00B76B37" w:rsidRPr="00C05D6B">
        <w:rPr>
          <w:rFonts w:ascii="Garamond" w:hAnsi="Garamond"/>
        </w:rPr>
        <w:instrText xml:space="preserve"> TA \l "</w:instrText>
      </w:r>
      <w:r w:rsidR="00B76B37" w:rsidRPr="00C05D6B">
        <w:rPr>
          <w:rFonts w:ascii="Garamond" w:eastAsia="Garamond" w:hAnsi="Garamond" w:cs="Garamond"/>
        </w:rPr>
        <w:instrText>United States ex rel. McSweeney v. Fullhart</w:instrText>
      </w:r>
      <w:r w:rsidR="00B76B37" w:rsidRPr="00C05D6B">
        <w:rPr>
          <w:rFonts w:ascii="Garamond" w:hAnsi="Garamond"/>
        </w:rPr>
        <w:instrText xml:space="preserve">" \s "United States ex rel. McSweeney v. Fullhart" \c 1 </w:instrText>
      </w:r>
      <w:r w:rsidR="00B76B37" w:rsidRPr="00C05D6B">
        <w:rPr>
          <w:rFonts w:ascii="Garamond" w:eastAsia="Garamond" w:hAnsi="Garamond" w:cs="Garamond"/>
        </w:rPr>
        <w:fldChar w:fldCharType="end"/>
      </w:r>
      <w:r w:rsidR="00B73D2A" w:rsidRPr="00C05D6B">
        <w:rPr>
          <w:rFonts w:ascii="Garamond" w:eastAsia="Garamond" w:hAnsi="Garamond" w:cs="Garamond"/>
        </w:rPr>
        <w:t xml:space="preserve"> </w:t>
      </w:r>
      <w:r w:rsidRPr="00C05D6B">
        <w:rPr>
          <w:rFonts w:ascii="Garamond" w:eastAsia="Garamond" w:hAnsi="Garamond" w:cs="Garamond"/>
        </w:rPr>
        <w:t>(W.D.Pa.1891) (release of deputy marshal charged with assault for pointing a gun at individuals who interfered with custody of a fugitive). In each of these cases a federal court ordered the permanent release of a person or persons who had been taken into custody by a state under its criminal law for having committed an act pursuant to federal law or federal court orders. In each case reliance was placed on the habeas corpus provision now appearing as 28 U.S.C. § 2241(c) (2)</w:t>
      </w:r>
      <w:r w:rsidR="001C1DF6" w:rsidRPr="00C05D6B">
        <w:rPr>
          <w:rFonts w:ascii="Garamond" w:eastAsia="Garamond" w:hAnsi="Garamond" w:cs="Garamond"/>
        </w:rPr>
        <w:fldChar w:fldCharType="begin"/>
      </w:r>
      <w:r w:rsidR="001C1DF6" w:rsidRPr="00C05D6B">
        <w:rPr>
          <w:rFonts w:ascii="Garamond" w:hAnsi="Garamond"/>
        </w:rPr>
        <w:instrText xml:space="preserve"> TA \l "</w:instrText>
      </w:r>
      <w:r w:rsidR="001C1DF6" w:rsidRPr="00C05D6B">
        <w:rPr>
          <w:rFonts w:ascii="Garamond" w:eastAsia="Garamond" w:hAnsi="Garamond" w:cs="Garamond"/>
        </w:rPr>
        <w:instrText>28 U.S.C. § 2241(c)(2)</w:instrText>
      </w:r>
      <w:r w:rsidR="001C1DF6" w:rsidRPr="00C05D6B">
        <w:rPr>
          <w:rFonts w:ascii="Garamond" w:hAnsi="Garamond"/>
        </w:rPr>
        <w:instrText xml:space="preserve">" \s "28 U.S.C. § 2241(c)(2)" \c 2 </w:instrText>
      </w:r>
      <w:r w:rsidR="001C1DF6" w:rsidRPr="00C05D6B">
        <w:rPr>
          <w:rFonts w:ascii="Garamond" w:eastAsia="Garamond" w:hAnsi="Garamond" w:cs="Garamond"/>
        </w:rPr>
        <w:fldChar w:fldCharType="end"/>
      </w:r>
      <w:r w:rsidRPr="00C05D6B">
        <w:rPr>
          <w:rFonts w:ascii="Garamond" w:eastAsia="Garamond" w:hAnsi="Garamond" w:cs="Garamond"/>
        </w:rPr>
        <w:t xml:space="preserve"> and upon the Supreme Court</w:t>
      </w:r>
      <w:r w:rsidR="00B73D2A" w:rsidRPr="00C05D6B">
        <w:rPr>
          <w:rFonts w:ascii="Garamond" w:eastAsia="Garamond" w:hAnsi="Garamond" w:cs="Garamond"/>
        </w:rPr>
        <w:t>’</w:t>
      </w:r>
      <w:r w:rsidRPr="00C05D6B">
        <w:rPr>
          <w:rFonts w:ascii="Garamond" w:eastAsia="Garamond" w:hAnsi="Garamond" w:cs="Garamond"/>
        </w:rPr>
        <w:t xml:space="preserve">s decision in </w:t>
      </w:r>
      <w:r w:rsidRPr="00C05D6B">
        <w:rPr>
          <w:rFonts w:ascii="Garamond" w:eastAsia="Garamond" w:hAnsi="Garamond" w:cs="Garamond"/>
          <w:i/>
          <w:iCs/>
        </w:rPr>
        <w:t xml:space="preserve">In re </w:t>
      </w:r>
      <w:proofErr w:type="spellStart"/>
      <w:r w:rsidRPr="00C05D6B">
        <w:rPr>
          <w:rFonts w:ascii="Garamond" w:eastAsia="Garamond" w:hAnsi="Garamond" w:cs="Garamond"/>
          <w:i/>
          <w:iCs/>
        </w:rPr>
        <w:t>Neagle</w:t>
      </w:r>
      <w:proofErr w:type="spellEnd"/>
      <w:r w:rsidR="001C1DF6" w:rsidRPr="00C05D6B">
        <w:rPr>
          <w:rFonts w:ascii="Garamond" w:eastAsia="Garamond" w:hAnsi="Garamond" w:cs="Garamond"/>
          <w:i/>
          <w:iCs/>
        </w:rPr>
        <w:fldChar w:fldCharType="begin"/>
      </w:r>
      <w:r w:rsidR="001C1DF6" w:rsidRPr="00C05D6B">
        <w:rPr>
          <w:rFonts w:ascii="Garamond" w:hAnsi="Garamond"/>
        </w:rPr>
        <w:instrText xml:space="preserve"> TA \s "In re Neagle" </w:instrText>
      </w:r>
      <w:r w:rsidR="001C1DF6" w:rsidRPr="00C05D6B">
        <w:rPr>
          <w:rFonts w:ascii="Garamond" w:eastAsia="Garamond" w:hAnsi="Garamond" w:cs="Garamond"/>
          <w:i/>
          <w:iCs/>
        </w:rPr>
        <w:fldChar w:fldCharType="end"/>
      </w:r>
      <w:r w:rsidRPr="00C05D6B">
        <w:rPr>
          <w:rFonts w:ascii="Garamond" w:eastAsia="Garamond" w:hAnsi="Garamond" w:cs="Garamond"/>
        </w:rPr>
        <w:t xml:space="preserve">. </w:t>
      </w:r>
    </w:p>
    <w:p w14:paraId="447ECA94" w14:textId="4E497EFB" w:rsidR="00567887" w:rsidRPr="00C05D6B" w:rsidRDefault="00567887" w:rsidP="00B73D2A">
      <w:pPr>
        <w:spacing w:before="120" w:after="240"/>
        <w:ind w:firstLine="720"/>
        <w:rPr>
          <w:rFonts w:ascii="Garamond" w:hAnsi="Garamond"/>
        </w:rPr>
      </w:pPr>
      <w:r w:rsidRPr="00C05D6B">
        <w:rPr>
          <w:rFonts w:ascii="Garamond" w:eastAsia="Garamond" w:hAnsi="Garamond" w:cs="Garamond"/>
        </w:rPr>
        <w:t xml:space="preserve">The mere fact that petitioner was present at the University of Mississippi in an official capacity, and that he was then acting to execute federal court orders does not qualify him for release on habeas corpus. Certainly it cannot be said that any federal official is absolutely immune merely because of his official standing and his official purpose. The act which he commits in this capacity, in order to meet the requirements of the statute </w:t>
      </w:r>
      <w:r w:rsidR="00B73D2A" w:rsidRPr="00C05D6B">
        <w:rPr>
          <w:rFonts w:ascii="Garamond" w:eastAsia="Garamond" w:hAnsi="Garamond" w:cs="Garamond"/>
        </w:rPr>
        <w:t>“</w:t>
      </w:r>
      <w:r w:rsidRPr="00C05D6B">
        <w:rPr>
          <w:rFonts w:ascii="Garamond" w:eastAsia="Garamond" w:hAnsi="Garamond" w:cs="Garamond"/>
        </w:rPr>
        <w:t>must be done in pursuance of his official duty.</w:t>
      </w:r>
      <w:r w:rsidR="00B73D2A" w:rsidRPr="00C05D6B">
        <w:rPr>
          <w:rFonts w:ascii="Garamond" w:eastAsia="Garamond" w:hAnsi="Garamond" w:cs="Garamond"/>
        </w:rPr>
        <w:t>”</w:t>
      </w:r>
      <w:r w:rsidRPr="00C05D6B">
        <w:rPr>
          <w:rFonts w:ascii="Garamond" w:eastAsia="Garamond" w:hAnsi="Garamond" w:cs="Garamond"/>
        </w:rPr>
        <w:t xml:space="preserve"> </w:t>
      </w:r>
      <w:r w:rsidRPr="00FA4C45">
        <w:rPr>
          <w:rFonts w:ascii="Garamond" w:eastAsia="Garamond" w:hAnsi="Garamond" w:cs="Garamond"/>
        </w:rPr>
        <w:t xml:space="preserve">Isaac v. </w:t>
      </w:r>
      <w:proofErr w:type="spellStart"/>
      <w:r w:rsidRPr="00FA4C45">
        <w:rPr>
          <w:rFonts w:ascii="Garamond" w:eastAsia="Garamond" w:hAnsi="Garamond" w:cs="Garamond"/>
        </w:rPr>
        <w:t>Googe</w:t>
      </w:r>
      <w:proofErr w:type="spellEnd"/>
      <w:r w:rsidR="001C1DF6" w:rsidRPr="00C05D6B">
        <w:rPr>
          <w:rFonts w:ascii="Garamond" w:eastAsia="Garamond" w:hAnsi="Garamond" w:cs="Garamond"/>
          <w:lang w:val="es-ES"/>
        </w:rPr>
        <w:fldChar w:fldCharType="begin"/>
      </w:r>
      <w:r w:rsidR="001C1DF6" w:rsidRPr="00C05D6B">
        <w:rPr>
          <w:rFonts w:ascii="Garamond" w:hAnsi="Garamond"/>
        </w:rPr>
        <w:instrText xml:space="preserve"> TA \l "</w:instrText>
      </w:r>
      <w:r w:rsidR="001C1DF6" w:rsidRPr="00FA4C45">
        <w:rPr>
          <w:rFonts w:ascii="Garamond" w:eastAsia="Garamond" w:hAnsi="Garamond" w:cs="Garamond"/>
        </w:rPr>
        <w:instrText>Isaac v. Googe</w:instrText>
      </w:r>
      <w:r w:rsidR="001C1DF6" w:rsidRPr="00C05D6B">
        <w:rPr>
          <w:rFonts w:ascii="Garamond" w:hAnsi="Garamond"/>
        </w:rPr>
        <w:instrText xml:space="preserve">" \s "Isaac v. Googe" \c 1 </w:instrText>
      </w:r>
      <w:r w:rsidR="001C1DF6" w:rsidRPr="00C05D6B">
        <w:rPr>
          <w:rFonts w:ascii="Garamond" w:eastAsia="Garamond" w:hAnsi="Garamond" w:cs="Garamond"/>
          <w:lang w:val="es-ES"/>
        </w:rPr>
        <w:fldChar w:fldCharType="end"/>
      </w:r>
      <w:r w:rsidR="00B73D2A" w:rsidRPr="00FA4C45">
        <w:rPr>
          <w:rFonts w:ascii="Garamond" w:eastAsia="Garamond" w:hAnsi="Garamond" w:cs="Garamond"/>
        </w:rPr>
        <w:t xml:space="preserve"> </w:t>
      </w:r>
      <w:r w:rsidRPr="00FA4C45">
        <w:rPr>
          <w:rFonts w:ascii="Garamond" w:eastAsia="Garamond" w:hAnsi="Garamond" w:cs="Garamond"/>
        </w:rPr>
        <w:t>(5</w:t>
      </w:r>
      <w:r w:rsidR="00B73D2A" w:rsidRPr="00FA4C45">
        <w:rPr>
          <w:rFonts w:ascii="Garamond" w:eastAsia="Garamond" w:hAnsi="Garamond" w:cs="Garamond"/>
        </w:rPr>
        <w:t>th</w:t>
      </w:r>
      <w:r w:rsidRPr="00FA4C45">
        <w:rPr>
          <w:rFonts w:ascii="Garamond" w:eastAsia="Garamond" w:hAnsi="Garamond" w:cs="Garamond"/>
        </w:rPr>
        <w:t xml:space="preserve"> Cir. 1922). </w:t>
      </w:r>
      <w:r w:rsidRPr="00C05D6B">
        <w:rPr>
          <w:rFonts w:ascii="Garamond" w:eastAsia="Garamond" w:hAnsi="Garamond" w:cs="Garamond"/>
        </w:rPr>
        <w:t xml:space="preserve">The statutory habeas corpus provision for the benefit of federal officers was not intended to place beyond the reach of a state's criminal law federal officials </w:t>
      </w:r>
      <w:r w:rsidRPr="00C05D6B">
        <w:rPr>
          <w:rFonts w:ascii="Garamond" w:eastAsia="Garamond" w:hAnsi="Garamond" w:cs="Garamond"/>
          <w:i/>
          <w:iCs/>
        </w:rPr>
        <w:t xml:space="preserve">who </w:t>
      </w:r>
      <w:r w:rsidRPr="00C05D6B">
        <w:rPr>
          <w:rFonts w:ascii="Garamond" w:eastAsia="Garamond" w:hAnsi="Garamond" w:cs="Garamond"/>
          <w:i/>
          <w:iCs/>
        </w:rPr>
        <w:lastRenderedPageBreak/>
        <w:t>employ means which they cannot honestly consider reasonable in discharging their duties or who otherwise act out of malice or with some criminal intent.</w:t>
      </w:r>
      <w:r w:rsidRPr="00C05D6B">
        <w:rPr>
          <w:rFonts w:ascii="Garamond" w:eastAsia="Garamond" w:hAnsi="Garamond" w:cs="Garamond"/>
        </w:rPr>
        <w:t xml:space="preserve"> Consequently, when the evidence discloses, as it did, for example, in Castle v. Lewis</w:t>
      </w:r>
      <w:r w:rsidR="001C1DF6" w:rsidRPr="00C05D6B">
        <w:rPr>
          <w:rFonts w:ascii="Garamond" w:eastAsia="Garamond" w:hAnsi="Garamond" w:cs="Garamond"/>
        </w:rPr>
        <w:fldChar w:fldCharType="begin"/>
      </w:r>
      <w:r w:rsidR="001C1DF6" w:rsidRPr="00C05D6B">
        <w:rPr>
          <w:rFonts w:ascii="Garamond" w:hAnsi="Garamond"/>
        </w:rPr>
        <w:instrText xml:space="preserve"> TA \l "</w:instrText>
      </w:r>
      <w:r w:rsidR="001C1DF6" w:rsidRPr="00C05D6B">
        <w:rPr>
          <w:rFonts w:ascii="Garamond" w:eastAsia="Garamond" w:hAnsi="Garamond" w:cs="Garamond"/>
        </w:rPr>
        <w:instrText>Castle v. Lewis</w:instrText>
      </w:r>
      <w:r w:rsidR="001C1DF6" w:rsidRPr="00C05D6B">
        <w:rPr>
          <w:rFonts w:ascii="Garamond" w:hAnsi="Garamond"/>
        </w:rPr>
        <w:instrText xml:space="preserve">" \s "Castle v. Lewis" \c 1 </w:instrText>
      </w:r>
      <w:r w:rsidR="001C1DF6" w:rsidRPr="00C05D6B">
        <w:rPr>
          <w:rFonts w:ascii="Garamond" w:eastAsia="Garamond" w:hAnsi="Garamond" w:cs="Garamond"/>
        </w:rPr>
        <w:fldChar w:fldCharType="end"/>
      </w:r>
      <w:r w:rsidR="00B73D2A" w:rsidRPr="00C05D6B">
        <w:rPr>
          <w:rFonts w:ascii="Garamond" w:eastAsia="Garamond" w:hAnsi="Garamond" w:cs="Garamond"/>
        </w:rPr>
        <w:t xml:space="preserve"> </w:t>
      </w:r>
      <w:r w:rsidRPr="00C05D6B">
        <w:rPr>
          <w:rFonts w:ascii="Garamond" w:eastAsia="Garamond" w:hAnsi="Garamond" w:cs="Garamond"/>
        </w:rPr>
        <w:t>(8</w:t>
      </w:r>
      <w:r w:rsidR="00B73D2A" w:rsidRPr="00C05D6B">
        <w:rPr>
          <w:rFonts w:ascii="Garamond" w:eastAsia="Garamond" w:hAnsi="Garamond" w:cs="Garamond"/>
        </w:rPr>
        <w:t>th</w:t>
      </w:r>
      <w:r w:rsidRPr="00C05D6B">
        <w:rPr>
          <w:rFonts w:ascii="Garamond" w:eastAsia="Garamond" w:hAnsi="Garamond" w:cs="Garamond"/>
        </w:rPr>
        <w:t xml:space="preserve"> Cir. 1918) that federal officials acted without reasonable cause or that their conduct was unreasonably dangerous </w:t>
      </w:r>
      <w:r w:rsidR="00B73D2A" w:rsidRPr="00C05D6B">
        <w:rPr>
          <w:rFonts w:ascii="Garamond" w:eastAsia="Garamond" w:hAnsi="Garamond" w:cs="Garamond"/>
        </w:rPr>
        <w:t>“</w:t>
      </w:r>
      <w:r w:rsidRPr="00C05D6B">
        <w:rPr>
          <w:rFonts w:ascii="Garamond" w:eastAsia="Garamond" w:hAnsi="Garamond" w:cs="Garamond"/>
        </w:rPr>
        <w:t>in the exercise of sound discretion,</w:t>
      </w:r>
      <w:r w:rsidR="00B73D2A" w:rsidRPr="00C05D6B">
        <w:rPr>
          <w:rFonts w:ascii="Garamond" w:eastAsia="Garamond" w:hAnsi="Garamond" w:cs="Garamond"/>
        </w:rPr>
        <w:t>”</w:t>
      </w:r>
      <w:r w:rsidRPr="00C05D6B">
        <w:rPr>
          <w:rFonts w:ascii="Garamond" w:eastAsia="Garamond" w:hAnsi="Garamond" w:cs="Garamond"/>
        </w:rPr>
        <w:t xml:space="preserve"> release on habeas corpus should be denied. Indeed, even if there is material conflict of evidence such that if the state's version is accepted </w:t>
      </w:r>
      <w:r w:rsidR="00B73D2A" w:rsidRPr="00C05D6B">
        <w:rPr>
          <w:rFonts w:ascii="Garamond" w:eastAsia="Garamond" w:hAnsi="Garamond" w:cs="Garamond"/>
        </w:rPr>
        <w:t>“</w:t>
      </w:r>
      <w:r w:rsidRPr="00C05D6B">
        <w:rPr>
          <w:rFonts w:ascii="Garamond" w:eastAsia="Garamond" w:hAnsi="Garamond" w:cs="Garamond"/>
        </w:rPr>
        <w:t>it could not reasonably be claimed that (the act charged to be criminal was committed) in the performance of the duty imposed by the Federal law,</w:t>
      </w:r>
      <w:r w:rsidR="00B73D2A" w:rsidRPr="00C05D6B">
        <w:rPr>
          <w:rFonts w:ascii="Garamond" w:eastAsia="Garamond" w:hAnsi="Garamond" w:cs="Garamond"/>
        </w:rPr>
        <w:t>”</w:t>
      </w:r>
      <w:r w:rsidRPr="00C05D6B">
        <w:rPr>
          <w:rFonts w:ascii="Garamond" w:eastAsia="Garamond" w:hAnsi="Garamond" w:cs="Garamond"/>
        </w:rPr>
        <w:t xml:space="preserve"> habeas corpus should be denied. </w:t>
      </w:r>
      <w:r w:rsidRPr="00C05D6B">
        <w:rPr>
          <w:rFonts w:ascii="Garamond" w:eastAsia="Garamond" w:hAnsi="Garamond" w:cs="Garamond"/>
          <w:i/>
          <w:iCs/>
        </w:rPr>
        <w:t>United States ex rel. Drury v. Lewis</w:t>
      </w:r>
      <w:r w:rsidR="001C1DF6" w:rsidRPr="00C05D6B">
        <w:rPr>
          <w:rFonts w:ascii="Garamond" w:eastAsia="Garamond" w:hAnsi="Garamond" w:cs="Garamond"/>
          <w:i/>
          <w:iCs/>
        </w:rPr>
        <w:fldChar w:fldCharType="begin"/>
      </w:r>
      <w:r w:rsidR="001C1DF6" w:rsidRPr="00C05D6B">
        <w:rPr>
          <w:rFonts w:ascii="Garamond" w:hAnsi="Garamond"/>
        </w:rPr>
        <w:instrText xml:space="preserve"> TA \l "</w:instrText>
      </w:r>
      <w:r w:rsidR="001C1DF6" w:rsidRPr="00372F61">
        <w:rPr>
          <w:rFonts w:ascii="Garamond" w:eastAsia="Garamond" w:hAnsi="Garamond" w:cs="Garamond"/>
        </w:rPr>
        <w:instrText>United States ex rel. Drury v. Lewis</w:instrText>
      </w:r>
      <w:r w:rsidR="001C1DF6" w:rsidRPr="00C05D6B">
        <w:rPr>
          <w:rFonts w:ascii="Garamond" w:hAnsi="Garamond"/>
        </w:rPr>
        <w:instrText xml:space="preserve">" \s "United States ex rel. Drury v. Lewis" \c 1 </w:instrText>
      </w:r>
      <w:r w:rsidR="001C1DF6" w:rsidRPr="00C05D6B">
        <w:rPr>
          <w:rFonts w:ascii="Garamond" w:eastAsia="Garamond" w:hAnsi="Garamond" w:cs="Garamond"/>
          <w:i/>
          <w:iCs/>
        </w:rPr>
        <w:fldChar w:fldCharType="end"/>
      </w:r>
      <w:r w:rsidRPr="00C05D6B">
        <w:rPr>
          <w:rFonts w:ascii="Garamond" w:eastAsia="Garamond" w:hAnsi="Garamond" w:cs="Garamond"/>
        </w:rPr>
        <w:t xml:space="preserve">, [permitting state murder and manslaughter prosecution of enlisted Army soldier on disputed facts whether decedent was a fleeing felon or had already surrendered; two witnesses testified that “before the shot was fired, [the decedent] stopped, turned around, and facing the pursuing soldier, threw up his hand, said ‘Don’t shoot, I will come back,’ or ‘I will give up,’ and just then Lieutenant Drury said ‘Fire’ and [his subordinate] fired the shot that killed” the decedent; “if the question of [the decedent] being a fleeing felon was open to dispute on the evidence – that is, if that were the gist of the case, it was for the state court to pass upon it, and its doing so could not be collaterally attacked …[T]he acts of Congress in relation to habeas corpus do not imperatively require the circuit courts to wrest petitioners from the custody of state officers in advance of trial in the state courts, and that those courts may decline to discharge, in the proper exercise of discretion. We think that discretion was properly exercised in this case”]. </w:t>
      </w:r>
    </w:p>
    <w:p w14:paraId="4F2E70CC" w14:textId="12F1B954" w:rsidR="00567887" w:rsidRPr="00C05D6B" w:rsidRDefault="00567887" w:rsidP="00B73D2A">
      <w:pPr>
        <w:spacing w:before="120" w:after="240"/>
        <w:ind w:firstLine="720"/>
        <w:rPr>
          <w:rFonts w:ascii="Garamond" w:hAnsi="Garamond"/>
        </w:rPr>
      </w:pPr>
      <w:r w:rsidRPr="00C05D6B">
        <w:rPr>
          <w:rFonts w:ascii="Garamond" w:eastAsia="Garamond" w:hAnsi="Garamond" w:cs="Garamond"/>
        </w:rPr>
        <w:t xml:space="preserve">The standards by which the act committed by the petitioner are to be measured must take into account the circumstances existing at the time he gave his command </w:t>
      </w:r>
      <w:r w:rsidRPr="00C05D6B">
        <w:rPr>
          <w:rFonts w:ascii="Garamond" w:eastAsia="Garamond" w:hAnsi="Garamond" w:cs="Garamond"/>
          <w:i/>
          <w:iCs/>
        </w:rPr>
        <w:t>as they appeared to him,</w:t>
      </w:r>
      <w:r w:rsidRPr="00C05D6B">
        <w:rPr>
          <w:rFonts w:ascii="Garamond" w:eastAsia="Garamond" w:hAnsi="Garamond" w:cs="Garamond"/>
        </w:rPr>
        <w:t xml:space="preserve"> and the reasonableness and integrity of his conclusion that such action was necessary. From the reported cases, it would appear that he is entitled to release in these proceedings if the evidence revealed that, in the exercise of a sound judgment under the circumstances, he could reasonably have entertained an honest belief that it was necessary to have tear gas fired into the crowd in order to discharge his lawful duty. This standard has been applied consistently by the federal courts which have been faced with similar questions. </w:t>
      </w:r>
      <w:r w:rsidRPr="00C05D6B">
        <w:rPr>
          <w:rFonts w:ascii="Garamond" w:eastAsia="Garamond" w:hAnsi="Garamond" w:cs="Garamond"/>
          <w:i/>
          <w:iCs/>
        </w:rPr>
        <w:t xml:space="preserve">United States ex rel. McSweeney v. </w:t>
      </w:r>
      <w:proofErr w:type="spellStart"/>
      <w:r w:rsidRPr="00C05D6B">
        <w:rPr>
          <w:rFonts w:ascii="Garamond" w:eastAsia="Garamond" w:hAnsi="Garamond" w:cs="Garamond"/>
          <w:i/>
          <w:iCs/>
        </w:rPr>
        <w:t>Fullhart</w:t>
      </w:r>
      <w:proofErr w:type="spellEnd"/>
      <w:r w:rsidR="001C1DF6" w:rsidRPr="00C05D6B">
        <w:rPr>
          <w:rFonts w:ascii="Garamond" w:eastAsia="Garamond" w:hAnsi="Garamond" w:cs="Garamond"/>
          <w:i/>
          <w:iCs/>
        </w:rPr>
        <w:fldChar w:fldCharType="begin"/>
      </w:r>
      <w:r w:rsidR="001C1DF6" w:rsidRPr="00C05D6B">
        <w:rPr>
          <w:rFonts w:ascii="Garamond" w:hAnsi="Garamond"/>
        </w:rPr>
        <w:instrText xml:space="preserve"> TA \s "United States ex rel. McSweeney v. Fullhart" </w:instrText>
      </w:r>
      <w:r w:rsidR="001C1DF6" w:rsidRPr="00C05D6B">
        <w:rPr>
          <w:rFonts w:ascii="Garamond" w:eastAsia="Garamond" w:hAnsi="Garamond" w:cs="Garamond"/>
          <w:i/>
          <w:iCs/>
        </w:rPr>
        <w:fldChar w:fldCharType="end"/>
      </w:r>
      <w:r w:rsidR="00B73D2A" w:rsidRPr="00C05D6B">
        <w:rPr>
          <w:rFonts w:ascii="Garamond" w:eastAsia="Garamond" w:hAnsi="Garamond" w:cs="Garamond"/>
        </w:rPr>
        <w:t xml:space="preserve"> [“</w:t>
      </w:r>
      <w:r w:rsidRPr="00C05D6B">
        <w:rPr>
          <w:rFonts w:ascii="Garamond" w:eastAsia="Garamond" w:hAnsi="Garamond" w:cs="Garamond"/>
        </w:rPr>
        <w:t>[d]</w:t>
      </w:r>
      <w:proofErr w:type="spellStart"/>
      <w:r w:rsidRPr="00C05D6B">
        <w:rPr>
          <w:rFonts w:ascii="Garamond" w:eastAsia="Garamond" w:hAnsi="Garamond" w:cs="Garamond"/>
        </w:rPr>
        <w:t>id</w:t>
      </w:r>
      <w:proofErr w:type="spellEnd"/>
      <w:r w:rsidRPr="00C05D6B">
        <w:rPr>
          <w:rFonts w:ascii="Garamond" w:eastAsia="Garamond" w:hAnsi="Garamond" w:cs="Garamond"/>
        </w:rPr>
        <w:t xml:space="preserve"> he do more than was necessary and proper for him to do under the circumstances? This must be decided </w:t>
      </w:r>
      <w:r w:rsidRPr="00C05D6B">
        <w:rPr>
          <w:rFonts w:ascii="Garamond" w:eastAsia="Garamond" w:hAnsi="Garamond" w:cs="Garamond"/>
          <w:i/>
          <w:iCs/>
        </w:rPr>
        <w:t>under all the circumstances,</w:t>
      </w:r>
      <w:r w:rsidRPr="00C05D6B">
        <w:rPr>
          <w:rFonts w:ascii="Garamond" w:eastAsia="Garamond" w:hAnsi="Garamond" w:cs="Garamond"/>
        </w:rPr>
        <w:t xml:space="preserve"> and keeping in mind the situation of the deputies when compelled to decide upon a course of action</w:t>
      </w:r>
      <w:r w:rsidR="00B73D2A" w:rsidRPr="00C05D6B">
        <w:rPr>
          <w:rFonts w:ascii="Garamond" w:eastAsia="Garamond" w:hAnsi="Garamond" w:cs="Garamond"/>
        </w:rPr>
        <w:t>”]</w:t>
      </w:r>
      <w:r w:rsidRPr="00C05D6B">
        <w:rPr>
          <w:rFonts w:ascii="Garamond" w:eastAsia="Garamond" w:hAnsi="Garamond" w:cs="Garamond"/>
        </w:rPr>
        <w:t xml:space="preserve">; </w:t>
      </w:r>
      <w:r w:rsidRPr="00C05D6B">
        <w:rPr>
          <w:rFonts w:ascii="Garamond" w:eastAsia="Garamond" w:hAnsi="Garamond" w:cs="Garamond"/>
          <w:i/>
          <w:iCs/>
        </w:rPr>
        <w:t>In re Lewis</w:t>
      </w:r>
      <w:r w:rsidR="001C1DF6" w:rsidRPr="00C05D6B">
        <w:rPr>
          <w:rFonts w:ascii="Garamond" w:eastAsia="Garamond" w:hAnsi="Garamond" w:cs="Garamond"/>
          <w:i/>
          <w:iCs/>
        </w:rPr>
        <w:fldChar w:fldCharType="begin"/>
      </w:r>
      <w:r w:rsidR="001C1DF6" w:rsidRPr="00C05D6B">
        <w:rPr>
          <w:rFonts w:ascii="Garamond" w:hAnsi="Garamond"/>
        </w:rPr>
        <w:instrText xml:space="preserve"> TA \l "</w:instrText>
      </w:r>
      <w:r w:rsidR="001C1DF6" w:rsidRPr="00F5595D">
        <w:rPr>
          <w:rFonts w:ascii="Garamond" w:eastAsia="Garamond" w:hAnsi="Garamond" w:cs="Garamond"/>
        </w:rPr>
        <w:instrText>In re Lewis</w:instrText>
      </w:r>
      <w:r w:rsidR="001C1DF6" w:rsidRPr="00F5595D">
        <w:rPr>
          <w:rFonts w:ascii="Garamond" w:hAnsi="Garamond"/>
        </w:rPr>
        <w:instrText>"</w:instrText>
      </w:r>
      <w:r w:rsidR="001C1DF6" w:rsidRPr="00C05D6B">
        <w:rPr>
          <w:rFonts w:ascii="Garamond" w:hAnsi="Garamond"/>
        </w:rPr>
        <w:instrText xml:space="preserve"> \s "In re Lewis" \c 1 </w:instrText>
      </w:r>
      <w:r w:rsidR="001C1DF6" w:rsidRPr="00C05D6B">
        <w:rPr>
          <w:rFonts w:ascii="Garamond" w:eastAsia="Garamond" w:hAnsi="Garamond" w:cs="Garamond"/>
          <w:i/>
          <w:iCs/>
        </w:rPr>
        <w:fldChar w:fldCharType="end"/>
      </w:r>
      <w:r w:rsidR="00B73D2A" w:rsidRPr="00C05D6B">
        <w:rPr>
          <w:rFonts w:ascii="Garamond" w:eastAsia="Garamond" w:hAnsi="Garamond" w:cs="Garamond"/>
        </w:rPr>
        <w:t xml:space="preserve"> [“</w:t>
      </w:r>
      <w:r w:rsidRPr="00C05D6B">
        <w:rPr>
          <w:rFonts w:ascii="Garamond" w:eastAsia="Garamond" w:hAnsi="Garamond" w:cs="Garamond"/>
        </w:rPr>
        <w:t xml:space="preserve">and all that they did was in an official capacity, </w:t>
      </w:r>
      <w:r w:rsidRPr="00C05D6B">
        <w:rPr>
          <w:rFonts w:ascii="Garamond" w:eastAsia="Garamond" w:hAnsi="Garamond" w:cs="Garamond"/>
          <w:i/>
          <w:iCs/>
        </w:rPr>
        <w:t>without any private or individual malice,</w:t>
      </w:r>
      <w:r w:rsidRPr="00C05D6B">
        <w:rPr>
          <w:rFonts w:ascii="Garamond" w:eastAsia="Garamond" w:hAnsi="Garamond" w:cs="Garamond"/>
        </w:rPr>
        <w:t xml:space="preserve"> and without any felonious intent to commit a robbery or to do any criminal act</w:t>
      </w:r>
      <w:r w:rsidR="00B73D2A" w:rsidRPr="00C05D6B">
        <w:rPr>
          <w:rFonts w:ascii="Garamond" w:eastAsia="Garamond" w:hAnsi="Garamond" w:cs="Garamond"/>
        </w:rPr>
        <w:t>”]</w:t>
      </w:r>
      <w:r w:rsidRPr="00C05D6B">
        <w:rPr>
          <w:rFonts w:ascii="Garamond" w:eastAsia="Garamond" w:hAnsi="Garamond" w:cs="Garamond"/>
        </w:rPr>
        <w:t xml:space="preserve">; </w:t>
      </w:r>
      <w:r w:rsidRPr="00C05D6B">
        <w:rPr>
          <w:rFonts w:ascii="Garamond" w:eastAsia="Garamond" w:hAnsi="Garamond" w:cs="Garamond"/>
          <w:i/>
          <w:iCs/>
        </w:rPr>
        <w:t>In re Fair</w:t>
      </w:r>
      <w:r w:rsidR="001C1DF6" w:rsidRPr="00C05D6B">
        <w:rPr>
          <w:rFonts w:ascii="Garamond" w:eastAsia="Garamond" w:hAnsi="Garamond" w:cs="Garamond"/>
          <w:i/>
          <w:iCs/>
        </w:rPr>
        <w:fldChar w:fldCharType="begin"/>
      </w:r>
      <w:r w:rsidR="001C1DF6" w:rsidRPr="00C05D6B">
        <w:rPr>
          <w:rFonts w:ascii="Garamond" w:hAnsi="Garamond"/>
        </w:rPr>
        <w:instrText xml:space="preserve"> TA \l "</w:instrText>
      </w:r>
      <w:r w:rsidR="001C1DF6" w:rsidRPr="00F5595D">
        <w:rPr>
          <w:rFonts w:ascii="Garamond" w:eastAsia="Garamond" w:hAnsi="Garamond" w:cs="Garamond"/>
        </w:rPr>
        <w:instrText>In re Fair</w:instrText>
      </w:r>
      <w:r w:rsidR="001C1DF6" w:rsidRPr="00C05D6B">
        <w:rPr>
          <w:rFonts w:ascii="Garamond" w:hAnsi="Garamond"/>
        </w:rPr>
        <w:instrText xml:space="preserve">" \s "In re Fair" \c 1 </w:instrText>
      </w:r>
      <w:r w:rsidR="001C1DF6" w:rsidRPr="00C05D6B">
        <w:rPr>
          <w:rFonts w:ascii="Garamond" w:eastAsia="Garamond" w:hAnsi="Garamond" w:cs="Garamond"/>
          <w:i/>
          <w:iCs/>
        </w:rPr>
        <w:fldChar w:fldCharType="end"/>
      </w:r>
      <w:r w:rsidR="00B73D2A" w:rsidRPr="00C05D6B">
        <w:rPr>
          <w:rFonts w:ascii="Garamond" w:eastAsia="Garamond" w:hAnsi="Garamond" w:cs="Garamond"/>
        </w:rPr>
        <w:t xml:space="preserve"> [“</w:t>
      </w:r>
      <w:r w:rsidRPr="00C05D6B">
        <w:rPr>
          <w:rFonts w:ascii="Garamond" w:eastAsia="Garamond" w:hAnsi="Garamond" w:cs="Garamond"/>
        </w:rPr>
        <w:t>[</w:t>
      </w:r>
      <w:proofErr w:type="spellStart"/>
      <w:r w:rsidRPr="00C05D6B">
        <w:rPr>
          <w:rFonts w:ascii="Garamond" w:eastAsia="Garamond" w:hAnsi="Garamond" w:cs="Garamond"/>
        </w:rPr>
        <w:t>i</w:t>
      </w:r>
      <w:proofErr w:type="spellEnd"/>
      <w:r w:rsidRPr="00C05D6B">
        <w:rPr>
          <w:rFonts w:ascii="Garamond" w:eastAsia="Garamond" w:hAnsi="Garamond" w:cs="Garamond"/>
        </w:rPr>
        <w:t xml:space="preserve">]f, then, the petitioners acted under such order in good faith, without any criminal intent, but </w:t>
      </w:r>
      <w:r w:rsidRPr="00C05D6B">
        <w:rPr>
          <w:rFonts w:ascii="Garamond" w:eastAsia="Garamond" w:hAnsi="Garamond" w:cs="Garamond"/>
          <w:i/>
          <w:iCs/>
        </w:rPr>
        <w:t>with an honest purpose to perform</w:t>
      </w:r>
      <w:r w:rsidRPr="00C05D6B">
        <w:rPr>
          <w:rFonts w:ascii="Garamond" w:eastAsia="Garamond" w:hAnsi="Garamond" w:cs="Garamond"/>
        </w:rPr>
        <w:t xml:space="preserve"> a supposed duty, they are not liable to prosecution under the criminal laws of the state</w:t>
      </w:r>
      <w:r w:rsidR="00B73D2A" w:rsidRPr="00C05D6B">
        <w:rPr>
          <w:rFonts w:ascii="Garamond" w:eastAsia="Garamond" w:hAnsi="Garamond" w:cs="Garamond"/>
        </w:rPr>
        <w:t>”]</w:t>
      </w:r>
      <w:r w:rsidRPr="00C05D6B">
        <w:rPr>
          <w:rFonts w:ascii="Garamond" w:eastAsia="Garamond" w:hAnsi="Garamond" w:cs="Garamond"/>
        </w:rPr>
        <w:t xml:space="preserve">; </w:t>
      </w:r>
      <w:r w:rsidRPr="00C05D6B">
        <w:rPr>
          <w:rFonts w:ascii="Garamond" w:eastAsia="Garamond" w:hAnsi="Garamond" w:cs="Garamond"/>
          <w:i/>
          <w:iCs/>
        </w:rPr>
        <w:t>West Virginia v. Laing</w:t>
      </w:r>
      <w:r w:rsidR="001C1DF6" w:rsidRPr="00C05D6B">
        <w:rPr>
          <w:rFonts w:ascii="Garamond" w:eastAsia="Garamond" w:hAnsi="Garamond" w:cs="Garamond"/>
          <w:i/>
          <w:iCs/>
        </w:rPr>
        <w:fldChar w:fldCharType="begin"/>
      </w:r>
      <w:r w:rsidR="001C1DF6" w:rsidRPr="00C05D6B">
        <w:rPr>
          <w:rFonts w:ascii="Garamond" w:hAnsi="Garamond"/>
        </w:rPr>
        <w:instrText xml:space="preserve"> TA \s "West Virginia v. Laing" </w:instrText>
      </w:r>
      <w:r w:rsidR="001C1DF6" w:rsidRPr="00C05D6B">
        <w:rPr>
          <w:rFonts w:ascii="Garamond" w:eastAsia="Garamond" w:hAnsi="Garamond" w:cs="Garamond"/>
          <w:i/>
          <w:iCs/>
        </w:rPr>
        <w:fldChar w:fldCharType="end"/>
      </w:r>
      <w:r w:rsidR="00B73D2A" w:rsidRPr="00C05D6B">
        <w:rPr>
          <w:rFonts w:ascii="Garamond" w:eastAsia="Garamond" w:hAnsi="Garamond" w:cs="Garamond"/>
        </w:rPr>
        <w:t xml:space="preserve"> [“</w:t>
      </w:r>
      <w:r w:rsidRPr="00C05D6B">
        <w:rPr>
          <w:rFonts w:ascii="Garamond" w:eastAsia="Garamond" w:hAnsi="Garamond" w:cs="Garamond"/>
        </w:rPr>
        <w:t xml:space="preserve">[f]rom the evidence we are to determine whether or not the appellees were </w:t>
      </w:r>
      <w:r w:rsidRPr="00C05D6B">
        <w:rPr>
          <w:rFonts w:ascii="Garamond" w:eastAsia="Garamond" w:hAnsi="Garamond" w:cs="Garamond"/>
          <w:i/>
          <w:iCs/>
        </w:rPr>
        <w:t>honestly endeavoring to lawfully execute the writ</w:t>
      </w:r>
      <w:r w:rsidRPr="00C05D6B">
        <w:rPr>
          <w:rFonts w:ascii="Garamond" w:eastAsia="Garamond" w:hAnsi="Garamond" w:cs="Garamond"/>
        </w:rPr>
        <w:t xml:space="preserve"> issued by the court below, and whether or not the circumstances attending such endeavor on their part authorized them to act as they did</w:t>
      </w:r>
      <w:r w:rsidR="00B73D2A" w:rsidRPr="00C05D6B">
        <w:rPr>
          <w:rFonts w:ascii="Garamond" w:eastAsia="Garamond" w:hAnsi="Garamond" w:cs="Garamond"/>
        </w:rPr>
        <w:t>”]</w:t>
      </w:r>
      <w:r w:rsidRPr="00C05D6B">
        <w:rPr>
          <w:rFonts w:ascii="Garamond" w:eastAsia="Garamond" w:hAnsi="Garamond" w:cs="Garamond"/>
        </w:rPr>
        <w:t xml:space="preserve">; </w:t>
      </w:r>
      <w:r w:rsidRPr="00C05D6B">
        <w:rPr>
          <w:rFonts w:ascii="Garamond" w:eastAsia="Garamond" w:hAnsi="Garamond" w:cs="Garamond"/>
          <w:i/>
          <w:iCs/>
        </w:rPr>
        <w:t xml:space="preserve">Ex </w:t>
      </w:r>
      <w:proofErr w:type="spellStart"/>
      <w:r w:rsidRPr="00C05D6B">
        <w:rPr>
          <w:rFonts w:ascii="Garamond" w:eastAsia="Garamond" w:hAnsi="Garamond" w:cs="Garamond"/>
          <w:i/>
          <w:iCs/>
        </w:rPr>
        <w:t>parte</w:t>
      </w:r>
      <w:proofErr w:type="spellEnd"/>
      <w:r w:rsidRPr="00C05D6B">
        <w:rPr>
          <w:rFonts w:ascii="Garamond" w:eastAsia="Garamond" w:hAnsi="Garamond" w:cs="Garamond"/>
          <w:i/>
          <w:iCs/>
        </w:rPr>
        <w:t xml:space="preserve"> Gillette</w:t>
      </w:r>
      <w:r w:rsidR="001C1DF6" w:rsidRPr="00C05D6B">
        <w:rPr>
          <w:rFonts w:ascii="Garamond" w:eastAsia="Garamond" w:hAnsi="Garamond" w:cs="Garamond"/>
          <w:i/>
          <w:iCs/>
        </w:rPr>
        <w:fldChar w:fldCharType="begin"/>
      </w:r>
      <w:r w:rsidR="001C1DF6" w:rsidRPr="00C05D6B">
        <w:rPr>
          <w:rFonts w:ascii="Garamond" w:hAnsi="Garamond"/>
        </w:rPr>
        <w:instrText xml:space="preserve"> TA \s "Ex parte Gillette" </w:instrText>
      </w:r>
      <w:r w:rsidR="001C1DF6" w:rsidRPr="00C05D6B">
        <w:rPr>
          <w:rFonts w:ascii="Garamond" w:eastAsia="Garamond" w:hAnsi="Garamond" w:cs="Garamond"/>
          <w:i/>
          <w:iCs/>
        </w:rPr>
        <w:fldChar w:fldCharType="end"/>
      </w:r>
      <w:r w:rsidR="00B73D2A" w:rsidRPr="00C05D6B">
        <w:rPr>
          <w:rFonts w:ascii="Garamond" w:eastAsia="Garamond" w:hAnsi="Garamond" w:cs="Garamond"/>
        </w:rPr>
        <w:t xml:space="preserve"> [“</w:t>
      </w:r>
      <w:r w:rsidRPr="00C05D6B">
        <w:rPr>
          <w:rFonts w:ascii="Garamond" w:eastAsia="Garamond" w:hAnsi="Garamond" w:cs="Garamond"/>
        </w:rPr>
        <w:t>[</w:t>
      </w:r>
      <w:proofErr w:type="spellStart"/>
      <w:r w:rsidRPr="00C05D6B">
        <w:rPr>
          <w:rFonts w:ascii="Garamond" w:eastAsia="Garamond" w:hAnsi="Garamond" w:cs="Garamond"/>
        </w:rPr>
        <w:t>i</w:t>
      </w:r>
      <w:proofErr w:type="spellEnd"/>
      <w:r w:rsidRPr="00C05D6B">
        <w:rPr>
          <w:rFonts w:ascii="Garamond" w:eastAsia="Garamond" w:hAnsi="Garamond" w:cs="Garamond"/>
        </w:rPr>
        <w:t xml:space="preserve">]f a reasonable question existed, under a conflict of testimony, whether the guard was acting wantonly, rather than in the supposed performance of his duty, or otherwise stated, </w:t>
      </w:r>
      <w:r w:rsidRPr="00C05D6B">
        <w:rPr>
          <w:rFonts w:ascii="Garamond" w:eastAsia="Garamond" w:hAnsi="Garamond" w:cs="Garamond"/>
          <w:i/>
          <w:iCs/>
        </w:rPr>
        <w:t>whether it was believed by him at the time</w:t>
      </w:r>
      <w:r w:rsidRPr="00C05D6B">
        <w:rPr>
          <w:rFonts w:ascii="Garamond" w:eastAsia="Garamond" w:hAnsi="Garamond" w:cs="Garamond"/>
        </w:rPr>
        <w:t xml:space="preserve"> to be reasonably necessary to shoot, I should perhaps exercise the discretion which rests in me in favor of submitting the question to a jury in the state court</w:t>
      </w:r>
      <w:r w:rsidR="00B73D2A" w:rsidRPr="00C05D6B">
        <w:rPr>
          <w:rFonts w:ascii="Garamond" w:eastAsia="Garamond" w:hAnsi="Garamond" w:cs="Garamond"/>
        </w:rPr>
        <w:t>”]</w:t>
      </w:r>
      <w:r w:rsidRPr="00C05D6B">
        <w:rPr>
          <w:rFonts w:ascii="Garamond" w:eastAsia="Garamond" w:hAnsi="Garamond" w:cs="Garamond"/>
        </w:rPr>
        <w:t xml:space="preserve">; </w:t>
      </w:r>
      <w:r w:rsidRPr="00C05D6B">
        <w:rPr>
          <w:rFonts w:ascii="Garamond" w:eastAsia="Garamond" w:hAnsi="Garamond" w:cs="Garamond"/>
          <w:i/>
          <w:iCs/>
        </w:rPr>
        <w:t xml:space="preserve">In re </w:t>
      </w:r>
      <w:proofErr w:type="spellStart"/>
      <w:r w:rsidRPr="00C05D6B">
        <w:rPr>
          <w:rFonts w:ascii="Garamond" w:eastAsia="Garamond" w:hAnsi="Garamond" w:cs="Garamond"/>
          <w:i/>
          <w:iCs/>
        </w:rPr>
        <w:t>Wulzen</w:t>
      </w:r>
      <w:proofErr w:type="spellEnd"/>
      <w:r w:rsidR="001C1DF6" w:rsidRPr="00C05D6B">
        <w:rPr>
          <w:rFonts w:ascii="Garamond" w:eastAsia="Garamond" w:hAnsi="Garamond" w:cs="Garamond"/>
          <w:i/>
          <w:iCs/>
        </w:rPr>
        <w:fldChar w:fldCharType="begin"/>
      </w:r>
      <w:r w:rsidR="001C1DF6" w:rsidRPr="00C05D6B">
        <w:rPr>
          <w:rFonts w:ascii="Garamond" w:hAnsi="Garamond"/>
        </w:rPr>
        <w:instrText xml:space="preserve"> TA \s "In re Wulzen" </w:instrText>
      </w:r>
      <w:r w:rsidR="001C1DF6" w:rsidRPr="00C05D6B">
        <w:rPr>
          <w:rFonts w:ascii="Garamond" w:eastAsia="Garamond" w:hAnsi="Garamond" w:cs="Garamond"/>
          <w:i/>
          <w:iCs/>
        </w:rPr>
        <w:fldChar w:fldCharType="end"/>
      </w:r>
      <w:r w:rsidR="00B73D2A" w:rsidRPr="00C05D6B">
        <w:rPr>
          <w:rFonts w:ascii="Garamond" w:eastAsia="Garamond" w:hAnsi="Garamond" w:cs="Garamond"/>
          <w:i/>
          <w:iCs/>
        </w:rPr>
        <w:t xml:space="preserve"> </w:t>
      </w:r>
      <w:r w:rsidR="00B73D2A" w:rsidRPr="00C05D6B">
        <w:rPr>
          <w:rFonts w:ascii="Garamond" w:eastAsia="Garamond" w:hAnsi="Garamond" w:cs="Garamond"/>
        </w:rPr>
        <w:t>[“</w:t>
      </w:r>
      <w:r w:rsidRPr="00C05D6B">
        <w:rPr>
          <w:rFonts w:ascii="Garamond" w:eastAsia="Garamond" w:hAnsi="Garamond" w:cs="Garamond"/>
        </w:rPr>
        <w:t xml:space="preserve">federal courts have authority in habeas corpus proceedings . . . to determine whether </w:t>
      </w:r>
      <w:r w:rsidRPr="00C05D6B">
        <w:rPr>
          <w:rFonts w:ascii="Garamond" w:eastAsia="Garamond" w:hAnsi="Garamond" w:cs="Garamond"/>
          <w:i/>
          <w:iCs/>
        </w:rPr>
        <w:t>the acts were done wantonly and with criminal intent</w:t>
      </w:r>
      <w:r w:rsidRPr="00C05D6B">
        <w:rPr>
          <w:rFonts w:ascii="Garamond" w:eastAsia="Garamond" w:hAnsi="Garamond" w:cs="Garamond"/>
        </w:rPr>
        <w:t>; if not so done, the release must follow</w:t>
      </w:r>
      <w:r w:rsidR="00B73D2A" w:rsidRPr="00C05D6B">
        <w:rPr>
          <w:rFonts w:ascii="Garamond" w:eastAsia="Garamond" w:hAnsi="Garamond" w:cs="Garamond"/>
        </w:rPr>
        <w:t>”</w:t>
      </w:r>
      <w:r w:rsidRPr="00C05D6B">
        <w:rPr>
          <w:rFonts w:ascii="Garamond" w:eastAsia="Garamond" w:hAnsi="Garamond" w:cs="Garamond"/>
        </w:rPr>
        <w:t xml:space="preserve">; Ex </w:t>
      </w:r>
      <w:proofErr w:type="spellStart"/>
      <w:r w:rsidRPr="00C05D6B">
        <w:rPr>
          <w:rFonts w:ascii="Garamond" w:eastAsia="Garamond" w:hAnsi="Garamond" w:cs="Garamond"/>
        </w:rPr>
        <w:t>parte</w:t>
      </w:r>
      <w:proofErr w:type="spellEnd"/>
      <w:r w:rsidRPr="00C05D6B">
        <w:rPr>
          <w:rFonts w:ascii="Garamond" w:eastAsia="Garamond" w:hAnsi="Garamond" w:cs="Garamond"/>
        </w:rPr>
        <w:t xml:space="preserve"> Beach</w:t>
      </w:r>
      <w:r w:rsidR="001C1DF6" w:rsidRPr="00C05D6B">
        <w:rPr>
          <w:rFonts w:ascii="Garamond" w:eastAsia="Garamond" w:hAnsi="Garamond" w:cs="Garamond"/>
        </w:rPr>
        <w:fldChar w:fldCharType="begin"/>
      </w:r>
      <w:r w:rsidR="001C1DF6" w:rsidRPr="00C05D6B">
        <w:rPr>
          <w:rFonts w:ascii="Garamond" w:hAnsi="Garamond"/>
        </w:rPr>
        <w:instrText xml:space="preserve"> TA \l "</w:instrText>
      </w:r>
      <w:r w:rsidR="001C1DF6" w:rsidRPr="00C05D6B">
        <w:rPr>
          <w:rFonts w:ascii="Garamond" w:eastAsia="Garamond" w:hAnsi="Garamond" w:cs="Garamond"/>
        </w:rPr>
        <w:instrText>Ex parte Beach</w:instrText>
      </w:r>
      <w:r w:rsidR="001C1DF6" w:rsidRPr="00C05D6B">
        <w:rPr>
          <w:rFonts w:ascii="Garamond" w:hAnsi="Garamond"/>
        </w:rPr>
        <w:instrText xml:space="preserve">" \s "Ex parte Beach" \c 1 </w:instrText>
      </w:r>
      <w:r w:rsidR="001C1DF6" w:rsidRPr="00C05D6B">
        <w:rPr>
          <w:rFonts w:ascii="Garamond" w:eastAsia="Garamond" w:hAnsi="Garamond" w:cs="Garamond"/>
        </w:rPr>
        <w:fldChar w:fldCharType="end"/>
      </w:r>
      <w:r w:rsidR="00B73D2A" w:rsidRPr="00C05D6B">
        <w:rPr>
          <w:rFonts w:ascii="Garamond" w:eastAsia="Garamond" w:hAnsi="Garamond" w:cs="Garamond"/>
        </w:rPr>
        <w:t xml:space="preserve"> </w:t>
      </w:r>
      <w:r w:rsidRPr="00C05D6B">
        <w:rPr>
          <w:rFonts w:ascii="Garamond" w:eastAsia="Garamond" w:hAnsi="Garamond" w:cs="Garamond"/>
        </w:rPr>
        <w:t>(S.D.Cal.1919)</w:t>
      </w:r>
      <w:r w:rsidR="00B73D2A" w:rsidRPr="00C05D6B">
        <w:rPr>
          <w:rFonts w:ascii="Garamond" w:eastAsia="Garamond" w:hAnsi="Garamond" w:cs="Garamond"/>
        </w:rPr>
        <w:t xml:space="preserve"> [“</w:t>
      </w:r>
      <w:r w:rsidRPr="00C05D6B">
        <w:rPr>
          <w:rFonts w:ascii="Garamond" w:eastAsia="Garamond" w:hAnsi="Garamond" w:cs="Garamond"/>
        </w:rPr>
        <w:t xml:space="preserve">he used only such means or methods as were available to him, and to such extent only as the apparent necessities of the situation demanded, and that he was at </w:t>
      </w:r>
      <w:r w:rsidRPr="00C05D6B">
        <w:rPr>
          <w:rFonts w:ascii="Garamond" w:eastAsia="Garamond" w:hAnsi="Garamond" w:cs="Garamond"/>
          <w:i/>
          <w:iCs/>
        </w:rPr>
        <w:t>no time possessed of any ulterior design or motive,</w:t>
      </w:r>
      <w:r w:rsidRPr="00C05D6B">
        <w:rPr>
          <w:rFonts w:ascii="Garamond" w:eastAsia="Garamond" w:hAnsi="Garamond" w:cs="Garamond"/>
        </w:rPr>
        <w:t xml:space="preserve"> or any intention of doing anything other than merely to perform his full duty toward his government</w:t>
      </w:r>
      <w:r w:rsidR="00B73D2A" w:rsidRPr="00C05D6B">
        <w:rPr>
          <w:rFonts w:ascii="Garamond" w:eastAsia="Garamond" w:hAnsi="Garamond" w:cs="Garamond"/>
        </w:rPr>
        <w:t>”]</w:t>
      </w:r>
      <w:r w:rsidRPr="00C05D6B">
        <w:rPr>
          <w:rFonts w:ascii="Garamond" w:eastAsia="Garamond" w:hAnsi="Garamond" w:cs="Garamond"/>
        </w:rPr>
        <w:t xml:space="preserve">; Ex </w:t>
      </w:r>
      <w:proofErr w:type="spellStart"/>
      <w:r w:rsidRPr="00C05D6B">
        <w:rPr>
          <w:rFonts w:ascii="Garamond" w:eastAsia="Garamond" w:hAnsi="Garamond" w:cs="Garamond"/>
        </w:rPr>
        <w:t>parte</w:t>
      </w:r>
      <w:proofErr w:type="spellEnd"/>
      <w:r w:rsidRPr="00C05D6B">
        <w:rPr>
          <w:rFonts w:ascii="Garamond" w:eastAsia="Garamond" w:hAnsi="Garamond" w:cs="Garamond"/>
        </w:rPr>
        <w:t xml:space="preserve"> Warner</w:t>
      </w:r>
      <w:r w:rsidR="001C1DF6" w:rsidRPr="00C05D6B">
        <w:rPr>
          <w:rFonts w:ascii="Garamond" w:eastAsia="Garamond" w:hAnsi="Garamond" w:cs="Garamond"/>
        </w:rPr>
        <w:fldChar w:fldCharType="begin"/>
      </w:r>
      <w:r w:rsidR="001C1DF6" w:rsidRPr="00C05D6B">
        <w:rPr>
          <w:rFonts w:ascii="Garamond" w:hAnsi="Garamond"/>
        </w:rPr>
        <w:instrText xml:space="preserve"> TA \l "</w:instrText>
      </w:r>
      <w:r w:rsidR="001C1DF6" w:rsidRPr="00C05D6B">
        <w:rPr>
          <w:rFonts w:ascii="Garamond" w:eastAsia="Garamond" w:hAnsi="Garamond" w:cs="Garamond"/>
        </w:rPr>
        <w:instrText>Ex parte Warner</w:instrText>
      </w:r>
      <w:r w:rsidR="001C1DF6" w:rsidRPr="00C05D6B">
        <w:rPr>
          <w:rFonts w:ascii="Garamond" w:hAnsi="Garamond"/>
        </w:rPr>
        <w:instrText xml:space="preserve">" \s "Ex parte Warner" \c 1 </w:instrText>
      </w:r>
      <w:r w:rsidR="001C1DF6" w:rsidRPr="00C05D6B">
        <w:rPr>
          <w:rFonts w:ascii="Garamond" w:eastAsia="Garamond" w:hAnsi="Garamond" w:cs="Garamond"/>
        </w:rPr>
        <w:fldChar w:fldCharType="end"/>
      </w:r>
      <w:r w:rsidRPr="00C05D6B">
        <w:rPr>
          <w:rFonts w:ascii="Garamond" w:eastAsia="Garamond" w:hAnsi="Garamond" w:cs="Garamond"/>
        </w:rPr>
        <w:t xml:space="preserve"> (</w:t>
      </w:r>
      <w:proofErr w:type="spellStart"/>
      <w:r w:rsidRPr="00C05D6B">
        <w:rPr>
          <w:rFonts w:ascii="Garamond" w:eastAsia="Garamond" w:hAnsi="Garamond" w:cs="Garamond"/>
        </w:rPr>
        <w:t>N.D.Okl</w:t>
      </w:r>
      <w:proofErr w:type="spellEnd"/>
      <w:r w:rsidRPr="00C05D6B">
        <w:rPr>
          <w:rFonts w:ascii="Garamond" w:eastAsia="Garamond" w:hAnsi="Garamond" w:cs="Garamond"/>
        </w:rPr>
        <w:t>. 1927)</w:t>
      </w:r>
      <w:r w:rsidR="00B73D2A" w:rsidRPr="00C05D6B">
        <w:rPr>
          <w:rFonts w:ascii="Garamond" w:eastAsia="Garamond" w:hAnsi="Garamond" w:cs="Garamond"/>
        </w:rPr>
        <w:t xml:space="preserve"> [</w:t>
      </w:r>
      <w:r w:rsidRPr="00C05D6B">
        <w:rPr>
          <w:rFonts w:ascii="Garamond" w:eastAsia="Garamond" w:hAnsi="Garamond" w:cs="Garamond"/>
        </w:rPr>
        <w:t xml:space="preserve">petitioner is entitled to discharge </w:t>
      </w:r>
      <w:r w:rsidR="00B73D2A" w:rsidRPr="00C05D6B">
        <w:rPr>
          <w:rFonts w:ascii="Garamond" w:eastAsia="Garamond" w:hAnsi="Garamond" w:cs="Garamond"/>
        </w:rPr>
        <w:t>“</w:t>
      </w:r>
      <w:r w:rsidRPr="00C05D6B">
        <w:rPr>
          <w:rFonts w:ascii="Garamond" w:eastAsia="Garamond" w:hAnsi="Garamond" w:cs="Garamond"/>
        </w:rPr>
        <w:t xml:space="preserve">whether the view taken of the evidence be that the officer deliberately shot at the deceased while he was fleeing and escaping from arrest, or that in the pursuit the pistol was accidentally discharged, </w:t>
      </w:r>
      <w:r w:rsidRPr="00C05D6B">
        <w:rPr>
          <w:rFonts w:ascii="Garamond" w:eastAsia="Garamond" w:hAnsi="Garamond" w:cs="Garamond"/>
        </w:rPr>
        <w:lastRenderedPageBreak/>
        <w:t>resulting in the death of the person arrested</w:t>
      </w:r>
      <w:r w:rsidR="00B73D2A" w:rsidRPr="00C05D6B">
        <w:rPr>
          <w:rFonts w:ascii="Garamond" w:eastAsia="Garamond" w:hAnsi="Garamond" w:cs="Garamond"/>
        </w:rPr>
        <w:t>”]</w:t>
      </w:r>
      <w:r w:rsidRPr="00C05D6B">
        <w:rPr>
          <w:rFonts w:ascii="Garamond" w:eastAsia="Garamond" w:hAnsi="Garamond" w:cs="Garamond"/>
        </w:rPr>
        <w:t xml:space="preserve">; </w:t>
      </w:r>
      <w:proofErr w:type="spellStart"/>
      <w:r w:rsidRPr="00C05D6B">
        <w:rPr>
          <w:rFonts w:ascii="Garamond" w:eastAsia="Garamond" w:hAnsi="Garamond" w:cs="Garamond"/>
          <w:i/>
          <w:iCs/>
        </w:rPr>
        <w:t>Birsch</w:t>
      </w:r>
      <w:proofErr w:type="spellEnd"/>
      <w:r w:rsidRPr="00C05D6B">
        <w:rPr>
          <w:rFonts w:ascii="Garamond" w:eastAsia="Garamond" w:hAnsi="Garamond" w:cs="Garamond"/>
          <w:i/>
          <w:iCs/>
        </w:rPr>
        <w:t xml:space="preserve"> v. </w:t>
      </w:r>
      <w:proofErr w:type="spellStart"/>
      <w:r w:rsidRPr="00C05D6B">
        <w:rPr>
          <w:rFonts w:ascii="Garamond" w:eastAsia="Garamond" w:hAnsi="Garamond" w:cs="Garamond"/>
          <w:i/>
          <w:iCs/>
        </w:rPr>
        <w:t>Tumbleson</w:t>
      </w:r>
      <w:proofErr w:type="spellEnd"/>
      <w:r w:rsidR="001C1DF6" w:rsidRPr="00C05D6B">
        <w:rPr>
          <w:rFonts w:ascii="Garamond" w:eastAsia="Garamond" w:hAnsi="Garamond" w:cs="Garamond"/>
          <w:i/>
          <w:iCs/>
        </w:rPr>
        <w:fldChar w:fldCharType="begin"/>
      </w:r>
      <w:r w:rsidR="001C1DF6" w:rsidRPr="00C05D6B">
        <w:rPr>
          <w:rFonts w:ascii="Garamond" w:hAnsi="Garamond"/>
        </w:rPr>
        <w:instrText xml:space="preserve"> TA \l "</w:instrText>
      </w:r>
      <w:r w:rsidR="001C1DF6" w:rsidRPr="00F5595D">
        <w:rPr>
          <w:rFonts w:ascii="Garamond" w:eastAsia="Garamond" w:hAnsi="Garamond" w:cs="Garamond"/>
        </w:rPr>
        <w:instrText>Birsch v. Tumbleson</w:instrText>
      </w:r>
      <w:r w:rsidR="001C1DF6" w:rsidRPr="00C05D6B">
        <w:rPr>
          <w:rFonts w:ascii="Garamond" w:hAnsi="Garamond"/>
        </w:rPr>
        <w:instrText xml:space="preserve">" \s "Birsch v. Tumbleson" \c 1 </w:instrText>
      </w:r>
      <w:r w:rsidR="001C1DF6" w:rsidRPr="00C05D6B">
        <w:rPr>
          <w:rFonts w:ascii="Garamond" w:eastAsia="Garamond" w:hAnsi="Garamond" w:cs="Garamond"/>
          <w:i/>
          <w:iCs/>
        </w:rPr>
        <w:fldChar w:fldCharType="end"/>
      </w:r>
      <w:r w:rsidR="00B73D2A" w:rsidRPr="00C05D6B">
        <w:rPr>
          <w:rFonts w:ascii="Garamond" w:eastAsia="Garamond" w:hAnsi="Garamond" w:cs="Garamond"/>
        </w:rPr>
        <w:t xml:space="preserve"> [“</w:t>
      </w:r>
      <w:r w:rsidRPr="00C05D6B">
        <w:rPr>
          <w:rFonts w:ascii="Garamond" w:eastAsia="Garamond" w:hAnsi="Garamond" w:cs="Garamond"/>
        </w:rPr>
        <w:t xml:space="preserve">and that what they did was necessary, </w:t>
      </w:r>
      <w:r w:rsidRPr="00C05D6B">
        <w:rPr>
          <w:rFonts w:ascii="Garamond" w:eastAsia="Garamond" w:hAnsi="Garamond" w:cs="Garamond"/>
          <w:i/>
          <w:iCs/>
        </w:rPr>
        <w:t>or at least believed by them</w:t>
      </w:r>
      <w:r w:rsidRPr="00C05D6B">
        <w:rPr>
          <w:rFonts w:ascii="Garamond" w:eastAsia="Garamond" w:hAnsi="Garamond" w:cs="Garamond"/>
        </w:rPr>
        <w:t xml:space="preserve"> to be necessary, to properly discharge their duties, or for their own protection</w:t>
      </w:r>
      <w:r w:rsidR="00B73D2A" w:rsidRPr="00C05D6B">
        <w:rPr>
          <w:rFonts w:ascii="Garamond" w:eastAsia="Garamond" w:hAnsi="Garamond" w:cs="Garamond"/>
        </w:rPr>
        <w:t>”]</w:t>
      </w:r>
      <w:r w:rsidRPr="00C05D6B">
        <w:rPr>
          <w:rFonts w:ascii="Garamond" w:eastAsia="Garamond" w:hAnsi="Garamond" w:cs="Garamond"/>
        </w:rPr>
        <w:t xml:space="preserve">; </w:t>
      </w:r>
      <w:r w:rsidRPr="00C05D6B">
        <w:rPr>
          <w:rFonts w:ascii="Garamond" w:eastAsia="Garamond" w:hAnsi="Garamond" w:cs="Garamond"/>
          <w:i/>
          <w:iCs/>
        </w:rPr>
        <w:t>Brown v. Cain</w:t>
      </w:r>
      <w:r w:rsidR="001C1DF6" w:rsidRPr="00C05D6B">
        <w:rPr>
          <w:rFonts w:ascii="Garamond" w:eastAsia="Garamond" w:hAnsi="Garamond" w:cs="Garamond"/>
          <w:i/>
          <w:iCs/>
        </w:rPr>
        <w:fldChar w:fldCharType="begin"/>
      </w:r>
      <w:r w:rsidR="001C1DF6" w:rsidRPr="00C05D6B">
        <w:rPr>
          <w:rFonts w:ascii="Garamond" w:hAnsi="Garamond"/>
        </w:rPr>
        <w:instrText xml:space="preserve"> TA \l "</w:instrText>
      </w:r>
      <w:r w:rsidR="001C1DF6" w:rsidRPr="00F5595D">
        <w:rPr>
          <w:rFonts w:ascii="Garamond" w:eastAsia="Garamond" w:hAnsi="Garamond" w:cs="Garamond"/>
        </w:rPr>
        <w:instrText>Brown v. Cain</w:instrText>
      </w:r>
      <w:r w:rsidR="001C1DF6" w:rsidRPr="00C05D6B">
        <w:rPr>
          <w:rFonts w:ascii="Garamond" w:hAnsi="Garamond"/>
        </w:rPr>
        <w:instrText xml:space="preserve">" \s "Brown v. Cain" \c 1 </w:instrText>
      </w:r>
      <w:r w:rsidR="001C1DF6" w:rsidRPr="00C05D6B">
        <w:rPr>
          <w:rFonts w:ascii="Garamond" w:eastAsia="Garamond" w:hAnsi="Garamond" w:cs="Garamond"/>
          <w:i/>
          <w:iCs/>
        </w:rPr>
        <w:fldChar w:fldCharType="end"/>
      </w:r>
      <w:r w:rsidR="00B73D2A" w:rsidRPr="00C05D6B">
        <w:rPr>
          <w:rFonts w:ascii="Garamond" w:eastAsia="Garamond" w:hAnsi="Garamond" w:cs="Garamond"/>
        </w:rPr>
        <w:t xml:space="preserve"> [“</w:t>
      </w:r>
      <w:r w:rsidRPr="00C05D6B">
        <w:rPr>
          <w:rFonts w:ascii="Garamond" w:eastAsia="Garamond" w:hAnsi="Garamond" w:cs="Garamond"/>
        </w:rPr>
        <w:t xml:space="preserve">whether he </w:t>
      </w:r>
      <w:r w:rsidRPr="00C05D6B">
        <w:rPr>
          <w:rFonts w:ascii="Garamond" w:eastAsia="Garamond" w:hAnsi="Garamond" w:cs="Garamond"/>
          <w:i/>
          <w:iCs/>
        </w:rPr>
        <w:t>had reasonable cause to believe and did honestly believe</w:t>
      </w:r>
      <w:r w:rsidRPr="00C05D6B">
        <w:rPr>
          <w:rFonts w:ascii="Garamond" w:eastAsia="Garamond" w:hAnsi="Garamond" w:cs="Garamond"/>
        </w:rPr>
        <w:t xml:space="preserve"> that the person he shot was guilty of the offense for which he was trying to arrest him, and whether, in attempting to make the arrest he acted within the scope of his authority and used no more force than he honestly and reasonably believed was necessary.</w:t>
      </w:r>
      <w:r w:rsidR="00B73D2A" w:rsidRPr="00C05D6B">
        <w:rPr>
          <w:rFonts w:ascii="Garamond" w:eastAsia="Garamond" w:hAnsi="Garamond" w:cs="Garamond"/>
        </w:rPr>
        <w:t>”</w:t>
      </w:r>
      <w:r w:rsidRPr="00C05D6B">
        <w:rPr>
          <w:rFonts w:ascii="Garamond" w:eastAsia="Garamond" w:hAnsi="Garamond" w:cs="Garamond"/>
        </w:rPr>
        <w:t xml:space="preserve"> (Emphasis added.)</w:t>
      </w:r>
      <w:r w:rsidR="00B73D2A" w:rsidRPr="00C05D6B">
        <w:rPr>
          <w:rFonts w:ascii="Garamond" w:eastAsia="Garamond" w:hAnsi="Garamond" w:cs="Garamond"/>
        </w:rPr>
        <w:t>].</w:t>
      </w:r>
    </w:p>
    <w:p w14:paraId="43AA2491" w14:textId="236D2AA1" w:rsidR="00567887" w:rsidRPr="00C05D6B" w:rsidRDefault="00567887" w:rsidP="00B73D2A">
      <w:pPr>
        <w:spacing w:before="120" w:after="240"/>
        <w:ind w:firstLine="720"/>
        <w:rPr>
          <w:rFonts w:ascii="Garamond" w:hAnsi="Garamond"/>
        </w:rPr>
      </w:pPr>
      <w:r w:rsidRPr="00C05D6B">
        <w:rPr>
          <w:rFonts w:ascii="Garamond" w:eastAsia="Garamond" w:hAnsi="Garamond" w:cs="Garamond"/>
        </w:rPr>
        <w:t xml:space="preserve">The substance of the standards applied in the foregoing cases is that of honest and reasonable belief. If, as here, the petitioner </w:t>
      </w:r>
      <w:r w:rsidRPr="00C05D6B">
        <w:rPr>
          <w:rFonts w:ascii="Garamond" w:eastAsia="Garamond" w:hAnsi="Garamond" w:cs="Garamond"/>
          <w:i/>
          <w:iCs/>
        </w:rPr>
        <w:t>shows without dispute that he had no motive other than to discharge his duty under the circumstances as they appeared to him and that he had an honest and reasonable belief that what he did was necessary in the performance of his duty to see to the execution of the two court orders, then he is entitled to the relief he seeks.</w:t>
      </w:r>
      <w:r w:rsidRPr="00C05D6B">
        <w:rPr>
          <w:rFonts w:ascii="Garamond" w:eastAsia="Garamond" w:hAnsi="Garamond" w:cs="Garamond"/>
          <w:sz w:val="14"/>
          <w:szCs w:val="14"/>
        </w:rPr>
        <w:t xml:space="preserve"> </w:t>
      </w:r>
      <w:r w:rsidRPr="00C05D6B">
        <w:rPr>
          <w:rFonts w:ascii="Garamond" w:eastAsia="Garamond" w:hAnsi="Garamond" w:cs="Garamond"/>
        </w:rPr>
        <w:t xml:space="preserve">This is so even though his belief was mistaken or his judgment poor. </w:t>
      </w:r>
      <w:r w:rsidR="00B73D2A" w:rsidRPr="00C05D6B">
        <w:rPr>
          <w:rFonts w:ascii="Garamond" w:eastAsia="Garamond" w:hAnsi="Garamond" w:cs="Garamond"/>
        </w:rPr>
        <w:t>“</w:t>
      </w:r>
      <w:r w:rsidRPr="00C05D6B">
        <w:rPr>
          <w:rFonts w:ascii="Garamond" w:eastAsia="Garamond" w:hAnsi="Garamond" w:cs="Garamond"/>
        </w:rPr>
        <w:t>[F]or the mode or manner in which he performed the duty imposed upon him by the laws of the United States he cannot be called to account in a criminal case brought in a state court, based upon provisions of a state statute.</w:t>
      </w:r>
      <w:r w:rsidR="00B73D2A" w:rsidRPr="00C05D6B">
        <w:rPr>
          <w:rFonts w:ascii="Garamond" w:eastAsia="Garamond" w:hAnsi="Garamond" w:cs="Garamond"/>
        </w:rPr>
        <w:t>”</w:t>
      </w:r>
      <w:r w:rsidRPr="00C05D6B">
        <w:rPr>
          <w:rFonts w:ascii="Garamond" w:eastAsia="Garamond" w:hAnsi="Garamond" w:cs="Garamond"/>
        </w:rPr>
        <w:t xml:space="preserve"> </w:t>
      </w:r>
      <w:r w:rsidRPr="00C05D6B">
        <w:rPr>
          <w:rFonts w:ascii="Garamond" w:eastAsia="Garamond" w:hAnsi="Garamond" w:cs="Garamond"/>
          <w:i/>
          <w:iCs/>
        </w:rPr>
        <w:t>In re Waite</w:t>
      </w:r>
      <w:r w:rsidR="001C1DF6" w:rsidRPr="00C05D6B">
        <w:rPr>
          <w:rFonts w:ascii="Garamond" w:eastAsia="Garamond" w:hAnsi="Garamond" w:cs="Garamond"/>
          <w:i/>
          <w:iCs/>
        </w:rPr>
        <w:fldChar w:fldCharType="begin"/>
      </w:r>
      <w:r w:rsidR="001C1DF6" w:rsidRPr="00C05D6B">
        <w:rPr>
          <w:rFonts w:ascii="Garamond" w:hAnsi="Garamond"/>
        </w:rPr>
        <w:instrText xml:space="preserve"> TA \l "</w:instrText>
      </w:r>
      <w:r w:rsidR="001C1DF6" w:rsidRPr="00F5595D">
        <w:rPr>
          <w:rFonts w:ascii="Garamond" w:eastAsia="Garamond" w:hAnsi="Garamond" w:cs="Garamond"/>
        </w:rPr>
        <w:instrText>In re Waite</w:instrText>
      </w:r>
      <w:r w:rsidR="001C1DF6" w:rsidRPr="00C05D6B">
        <w:rPr>
          <w:rFonts w:ascii="Garamond" w:hAnsi="Garamond"/>
        </w:rPr>
        <w:instrText xml:space="preserve">" \s "In re Waite" \c 1 </w:instrText>
      </w:r>
      <w:r w:rsidR="001C1DF6" w:rsidRPr="00C05D6B">
        <w:rPr>
          <w:rFonts w:ascii="Garamond" w:eastAsia="Garamond" w:hAnsi="Garamond" w:cs="Garamond"/>
          <w:i/>
          <w:iCs/>
        </w:rPr>
        <w:fldChar w:fldCharType="end"/>
      </w:r>
      <w:r w:rsidR="00B73D2A" w:rsidRPr="00C05D6B">
        <w:rPr>
          <w:rFonts w:ascii="Garamond" w:eastAsia="Garamond" w:hAnsi="Garamond" w:cs="Garamond"/>
        </w:rPr>
        <w:t>;</w:t>
      </w:r>
      <w:r w:rsidRPr="00C05D6B">
        <w:rPr>
          <w:rFonts w:ascii="Garamond" w:eastAsia="Garamond" w:hAnsi="Garamond" w:cs="Garamond"/>
        </w:rPr>
        <w:t xml:space="preserve"> </w:t>
      </w:r>
      <w:r w:rsidRPr="00C05D6B">
        <w:rPr>
          <w:rFonts w:ascii="Garamond" w:eastAsia="Garamond" w:hAnsi="Garamond" w:cs="Garamond"/>
          <w:i/>
          <w:iCs/>
        </w:rPr>
        <w:t>Campbell v. Waite</w:t>
      </w:r>
      <w:r w:rsidR="001C1DF6" w:rsidRPr="00C05D6B">
        <w:rPr>
          <w:rFonts w:ascii="Garamond" w:eastAsia="Garamond" w:hAnsi="Garamond" w:cs="Garamond"/>
          <w:i/>
          <w:iCs/>
        </w:rPr>
        <w:fldChar w:fldCharType="begin"/>
      </w:r>
      <w:r w:rsidR="001C1DF6" w:rsidRPr="00C05D6B">
        <w:rPr>
          <w:rFonts w:ascii="Garamond" w:hAnsi="Garamond"/>
        </w:rPr>
        <w:instrText xml:space="preserve"> TA \s "Campbell v. Waite" </w:instrText>
      </w:r>
      <w:r w:rsidR="001C1DF6" w:rsidRPr="00C05D6B">
        <w:rPr>
          <w:rFonts w:ascii="Garamond" w:eastAsia="Garamond" w:hAnsi="Garamond" w:cs="Garamond"/>
          <w:i/>
          <w:iCs/>
        </w:rPr>
        <w:fldChar w:fldCharType="end"/>
      </w:r>
      <w:r w:rsidR="00B73D2A" w:rsidRPr="00C05D6B">
        <w:rPr>
          <w:rFonts w:ascii="Garamond" w:eastAsia="Garamond" w:hAnsi="Garamond" w:cs="Garamond"/>
        </w:rPr>
        <w:t>.</w:t>
      </w:r>
    </w:p>
    <w:p w14:paraId="71499C13" w14:textId="77777777" w:rsidR="00567887" w:rsidRPr="00C05D6B" w:rsidRDefault="00567887" w:rsidP="00B73D2A">
      <w:pPr>
        <w:spacing w:before="120" w:after="240"/>
        <w:ind w:firstLine="720"/>
        <w:rPr>
          <w:rFonts w:ascii="Garamond" w:hAnsi="Garamond"/>
        </w:rPr>
      </w:pPr>
      <w:r w:rsidRPr="00C05D6B">
        <w:rPr>
          <w:rFonts w:ascii="Garamond" w:eastAsia="Garamond" w:hAnsi="Garamond" w:cs="Garamond"/>
        </w:rPr>
        <w:t xml:space="preserve">To summarize, petitioner was under specific orders from his superiors and was under specific statutory duty to assist in the execution of the two federal court orders when he found himself faced with a large and growing crowd of people who were demonstrating violently their disapproval of said orders and who, as it appeared to him, were bent on obstructing the carrying out of these orders, and had for some time been engaged in doing things dangerous to persons and property. Situated as he was, it must be said, from the uncontradicted portions of his own affidavit quoted hereinbefore, that he had reasonable cause to believe that drastic action was necessary to carry out his duties, and that he had reasonable cause to believe (and did so believe) that the use of tear gas, a discretionary choice of means on his part, was a proper measure to be taken. </w:t>
      </w:r>
      <w:r w:rsidRPr="00C05D6B">
        <w:rPr>
          <w:rFonts w:ascii="Garamond" w:eastAsia="Garamond" w:hAnsi="Garamond" w:cs="Garamond"/>
          <w:i/>
          <w:iCs/>
        </w:rPr>
        <w:t>These facts are not in dispute.</w:t>
      </w:r>
      <w:r w:rsidRPr="00C05D6B">
        <w:rPr>
          <w:rFonts w:ascii="Garamond" w:eastAsia="Garamond" w:hAnsi="Garamond" w:cs="Garamond"/>
        </w:rPr>
        <w:t xml:space="preserve"> In this situation the petitioner cannot be held answerable to the State of Mississippi on the aforementioned indictment charging him with a violation of state law. </w:t>
      </w:r>
    </w:p>
    <w:p w14:paraId="2FF57718" w14:textId="77777777" w:rsidR="00567887" w:rsidRPr="00C05D6B" w:rsidRDefault="00567887" w:rsidP="00B73D2A">
      <w:pPr>
        <w:spacing w:before="120" w:after="240"/>
        <w:ind w:firstLine="720"/>
        <w:rPr>
          <w:rFonts w:ascii="Garamond" w:hAnsi="Garamond"/>
        </w:rPr>
      </w:pPr>
      <w:r w:rsidRPr="00C05D6B">
        <w:rPr>
          <w:rFonts w:ascii="Garamond" w:eastAsia="Garamond" w:hAnsi="Garamond" w:cs="Garamond"/>
        </w:rPr>
        <w:t xml:space="preserve">On the record and evidence, this court now finds that there is no genuine issue as to any </w:t>
      </w:r>
      <w:r w:rsidRPr="00C05D6B">
        <w:rPr>
          <w:rFonts w:ascii="Garamond" w:eastAsia="Garamond" w:hAnsi="Garamond" w:cs="Garamond"/>
          <w:i/>
          <w:iCs/>
        </w:rPr>
        <w:t>material</w:t>
      </w:r>
      <w:r w:rsidRPr="00C05D6B">
        <w:rPr>
          <w:rFonts w:ascii="Garamond" w:eastAsia="Garamond" w:hAnsi="Garamond" w:cs="Garamond"/>
        </w:rPr>
        <w:t xml:space="preserve"> fact and that the petitioner, James P. McShane, is entitled to judgment as a matter of law. </w:t>
      </w:r>
    </w:p>
    <w:p w14:paraId="76E6A6A9" w14:textId="77777777" w:rsidR="00567887" w:rsidRPr="00C05D6B" w:rsidRDefault="00567887" w:rsidP="00B73D2A">
      <w:pPr>
        <w:spacing w:before="120" w:after="240"/>
        <w:ind w:firstLine="720"/>
        <w:rPr>
          <w:rFonts w:ascii="Garamond" w:hAnsi="Garamond"/>
        </w:rPr>
      </w:pPr>
      <w:r w:rsidRPr="00C05D6B">
        <w:rPr>
          <w:rFonts w:ascii="Garamond" w:eastAsia="Garamond" w:hAnsi="Garamond" w:cs="Garamond"/>
          <w:i/>
          <w:iCs/>
        </w:rPr>
        <w:t xml:space="preserve">Judgment in accordance with this opinion to make the writ of habeas corpus absolute is being entered. </w:t>
      </w:r>
    </w:p>
    <w:p w14:paraId="0994A486" w14:textId="77777777" w:rsidR="00567887" w:rsidRPr="00C05D6B" w:rsidRDefault="00567887" w:rsidP="00567887">
      <w:pPr>
        <w:spacing w:before="120" w:after="120"/>
        <w:jc w:val="center"/>
        <w:rPr>
          <w:rFonts w:ascii="Garamond" w:hAnsi="Garamond"/>
        </w:rPr>
      </w:pPr>
      <w:r w:rsidRPr="00C05D6B">
        <w:rPr>
          <w:rFonts w:ascii="Garamond" w:eastAsia="Garamond" w:hAnsi="Garamond" w:cs="Garamond"/>
        </w:rPr>
        <w:t>***</w:t>
      </w:r>
    </w:p>
    <w:p w14:paraId="26785736" w14:textId="07D2D7F5" w:rsidR="00567887" w:rsidRPr="00C05D6B" w:rsidRDefault="00567887" w:rsidP="00567887">
      <w:pPr>
        <w:ind w:firstLine="710"/>
        <w:rPr>
          <w:rFonts w:ascii="Garamond" w:hAnsi="Garamond"/>
        </w:rPr>
      </w:pPr>
      <w:r w:rsidRPr="00C05D6B">
        <w:rPr>
          <w:rFonts w:ascii="Garamond" w:hAnsi="Garamond"/>
        </w:rPr>
        <w:t xml:space="preserve">How would you characterize the holding of </w:t>
      </w:r>
      <w:proofErr w:type="spellStart"/>
      <w:r w:rsidRPr="00C05D6B">
        <w:rPr>
          <w:rFonts w:ascii="Garamond" w:hAnsi="Garamond"/>
          <w:i/>
          <w:iCs/>
        </w:rPr>
        <w:t>Neagle</w:t>
      </w:r>
      <w:proofErr w:type="spellEnd"/>
      <w:r w:rsidR="001C1DF6" w:rsidRPr="00C05D6B">
        <w:rPr>
          <w:rFonts w:ascii="Garamond" w:hAnsi="Garamond"/>
          <w:i/>
          <w:iCs/>
        </w:rPr>
        <w:fldChar w:fldCharType="begin"/>
      </w:r>
      <w:r w:rsidR="001C1DF6" w:rsidRPr="00C05D6B">
        <w:rPr>
          <w:rFonts w:ascii="Garamond" w:hAnsi="Garamond"/>
        </w:rPr>
        <w:instrText xml:space="preserve"> TA \s "In re Neagle" </w:instrText>
      </w:r>
      <w:r w:rsidR="001C1DF6" w:rsidRPr="00C05D6B">
        <w:rPr>
          <w:rFonts w:ascii="Garamond" w:hAnsi="Garamond"/>
          <w:i/>
          <w:iCs/>
        </w:rPr>
        <w:fldChar w:fldCharType="end"/>
      </w:r>
      <w:r w:rsidRPr="00C05D6B">
        <w:rPr>
          <w:rFonts w:ascii="Garamond" w:hAnsi="Garamond"/>
        </w:rPr>
        <w:t xml:space="preserve">? That federal officers are entitled to immunity from state prosecution under the Supremacy Clause? That they are entitled to immunity if they acted reasonably in the execution of federal duties? That a federal court may suspend prosecution only if the facts clearly show the officer acted reasonably in the execution of federal duties?  </w:t>
      </w:r>
    </w:p>
    <w:p w14:paraId="71B684BC" w14:textId="77777777" w:rsidR="00567887" w:rsidRPr="00C05D6B" w:rsidRDefault="00567887" w:rsidP="00567887">
      <w:pPr>
        <w:ind w:firstLine="710"/>
        <w:rPr>
          <w:rFonts w:ascii="Garamond" w:hAnsi="Garamond"/>
        </w:rPr>
      </w:pPr>
    </w:p>
    <w:p w14:paraId="020F2380" w14:textId="7B52457B" w:rsidR="00567887" w:rsidRPr="00C05D6B" w:rsidRDefault="00567887" w:rsidP="00567887">
      <w:pPr>
        <w:ind w:firstLine="710"/>
        <w:rPr>
          <w:rFonts w:ascii="Garamond" w:hAnsi="Garamond"/>
        </w:rPr>
      </w:pPr>
      <w:r w:rsidRPr="00C05D6B">
        <w:rPr>
          <w:rFonts w:ascii="Garamond" w:hAnsi="Garamond"/>
          <w:i/>
          <w:iCs/>
        </w:rPr>
        <w:t>Drury</w:t>
      </w:r>
      <w:r w:rsidRPr="00C05D6B">
        <w:rPr>
          <w:rFonts w:ascii="Garamond" w:hAnsi="Garamond"/>
        </w:rPr>
        <w:t xml:space="preserve"> notes that only “exceptional” cases justify the “exceedingly delicate” remedy of suspending state court prosecutions and held that it was proper not to issue a writ of habeas corpus in advance of the state trial in view of conflicting evidence about the shooting. The Supreme Court has not addressed the immunity rule since 1920. A thoughtful Tenth Circuit opinion demonstrates the conventional approach that has developed in the lower federal courts. Wyoming v. Livingston</w:t>
      </w:r>
      <w:r w:rsidR="001C1DF6" w:rsidRPr="00C05D6B">
        <w:rPr>
          <w:rFonts w:ascii="Garamond" w:hAnsi="Garamond"/>
        </w:rPr>
        <w:fldChar w:fldCharType="begin"/>
      </w:r>
      <w:r w:rsidR="001C1DF6" w:rsidRPr="00C05D6B">
        <w:rPr>
          <w:rFonts w:ascii="Garamond" w:hAnsi="Garamond"/>
        </w:rPr>
        <w:instrText xml:space="preserve"> TA \l "Wyoming v. Livingston" \s "Wyoming v. Livingston" \c 1 </w:instrText>
      </w:r>
      <w:r w:rsidR="001C1DF6" w:rsidRPr="00C05D6B">
        <w:rPr>
          <w:rFonts w:ascii="Garamond" w:hAnsi="Garamond"/>
        </w:rPr>
        <w:fldChar w:fldCharType="end"/>
      </w:r>
      <w:r w:rsidRPr="00C05D6B">
        <w:rPr>
          <w:rFonts w:ascii="Garamond" w:hAnsi="Garamond"/>
        </w:rPr>
        <w:t xml:space="preserve"> (10th Cir. 2006) (emphasizing that a grant of habeas corpus is appropriate in advance of trial only if “undisputed facts” establish that the officer was “reasonably discharging his authorized federal duties”; the officer’s actions are reasonable if there was “an objectively reasonable and </w:t>
      </w:r>
      <w:proofErr w:type="spellStart"/>
      <w:r w:rsidRPr="00C05D6B">
        <w:rPr>
          <w:rFonts w:ascii="Garamond" w:hAnsi="Garamond"/>
        </w:rPr>
        <w:t>well founded</w:t>
      </w:r>
      <w:proofErr w:type="spellEnd"/>
      <w:r w:rsidRPr="00C05D6B">
        <w:rPr>
          <w:rFonts w:ascii="Garamond" w:hAnsi="Garamond"/>
        </w:rPr>
        <w:t xml:space="preserve"> </w:t>
      </w:r>
      <w:r w:rsidRPr="00C05D6B">
        <w:rPr>
          <w:rFonts w:ascii="Garamond" w:hAnsi="Garamond"/>
        </w:rPr>
        <w:lastRenderedPageBreak/>
        <w:t xml:space="preserve">basis to believe [the] actions were necessary to fulfill his duties”); </w:t>
      </w:r>
      <w:r w:rsidRPr="00C05D6B">
        <w:rPr>
          <w:rFonts w:ascii="Garamond" w:hAnsi="Garamond"/>
          <w:i/>
          <w:iCs/>
        </w:rPr>
        <w:t>see also</w:t>
      </w:r>
      <w:r w:rsidRPr="00C05D6B">
        <w:rPr>
          <w:rFonts w:ascii="Garamond" w:hAnsi="Garamond"/>
        </w:rPr>
        <w:t xml:space="preserve"> Michael J. </w:t>
      </w:r>
      <w:proofErr w:type="spellStart"/>
      <w:r w:rsidRPr="00C05D6B">
        <w:rPr>
          <w:rFonts w:ascii="Garamond" w:hAnsi="Garamond"/>
        </w:rPr>
        <w:t>Zydney</w:t>
      </w:r>
      <w:proofErr w:type="spellEnd"/>
      <w:r w:rsidRPr="00C05D6B">
        <w:rPr>
          <w:rFonts w:ascii="Garamond" w:hAnsi="Garamond"/>
        </w:rPr>
        <w:t xml:space="preserve"> </w:t>
      </w:r>
      <w:proofErr w:type="spellStart"/>
      <w:r w:rsidRPr="00C05D6B">
        <w:rPr>
          <w:rFonts w:ascii="Garamond" w:hAnsi="Garamond"/>
        </w:rPr>
        <w:t>Mannheimer</w:t>
      </w:r>
      <w:proofErr w:type="spellEnd"/>
      <w:r w:rsidRPr="00C05D6B">
        <w:rPr>
          <w:rFonts w:ascii="Garamond" w:hAnsi="Garamond"/>
        </w:rPr>
        <w:t xml:space="preserve">, </w:t>
      </w:r>
      <w:r w:rsidRPr="00C05D6B">
        <w:rPr>
          <w:rFonts w:ascii="Garamond" w:hAnsi="Garamond"/>
          <w:i/>
          <w:iCs/>
        </w:rPr>
        <w:t>Unpacking Supremacy Clause Immunity</w:t>
      </w:r>
      <w:r w:rsidRPr="00C05D6B">
        <w:rPr>
          <w:rFonts w:ascii="Garamond" w:hAnsi="Garamond"/>
        </w:rPr>
        <w:t>, 76 Am. U. L. Rev. ___ (forthcoming 2026)</w:t>
      </w:r>
      <w:r w:rsidR="001C1DF6" w:rsidRPr="00C05D6B">
        <w:rPr>
          <w:rFonts w:ascii="Garamond" w:hAnsi="Garamond"/>
        </w:rPr>
        <w:fldChar w:fldCharType="begin"/>
      </w:r>
      <w:r w:rsidR="001C1DF6" w:rsidRPr="00C05D6B">
        <w:rPr>
          <w:rFonts w:ascii="Garamond" w:hAnsi="Garamond"/>
        </w:rPr>
        <w:instrText xml:space="preserve"> TA \l "Michael J. Zydney Mannheimer, </w:instrText>
      </w:r>
      <w:r w:rsidR="001C1DF6" w:rsidRPr="00C05D6B">
        <w:rPr>
          <w:rFonts w:ascii="Garamond" w:hAnsi="Garamond"/>
          <w:i/>
          <w:iCs/>
        </w:rPr>
        <w:instrText>Unpacking Supremacy Clause Immunity</w:instrText>
      </w:r>
      <w:r w:rsidR="001C1DF6" w:rsidRPr="00C05D6B">
        <w:rPr>
          <w:rFonts w:ascii="Garamond" w:hAnsi="Garamond"/>
        </w:rPr>
        <w:instrText xml:space="preserve">, 76 Am. U. L. Rev. ___ (forthcoming 2026)" \s "Michael J. Zydney Mannheimer, Unpacking Supremacy Clause Immunity, 76 Am. U. L. Rev. ___ (forthcoming 2026)" \c 3 </w:instrText>
      </w:r>
      <w:r w:rsidR="001C1DF6" w:rsidRPr="00C05D6B">
        <w:rPr>
          <w:rFonts w:ascii="Garamond" w:hAnsi="Garamond"/>
        </w:rPr>
        <w:fldChar w:fldCharType="end"/>
      </w:r>
      <w:r w:rsidRPr="00C05D6B">
        <w:rPr>
          <w:rFonts w:ascii="Garamond" w:hAnsi="Garamond"/>
        </w:rPr>
        <w:t xml:space="preserve"> (defending the narrower reading). </w:t>
      </w:r>
      <w:r w:rsidR="00B73D2A" w:rsidRPr="00C05D6B">
        <w:rPr>
          <w:rFonts w:ascii="Garamond" w:hAnsi="Garamond"/>
        </w:rPr>
        <w:t>H</w:t>
      </w:r>
      <w:r w:rsidRPr="00C05D6B">
        <w:rPr>
          <w:rFonts w:ascii="Garamond" w:hAnsi="Garamond"/>
        </w:rPr>
        <w:t xml:space="preserve">ow should federal officer removal jurisdiction affect the immunity analysis?  </w:t>
      </w:r>
    </w:p>
    <w:p w14:paraId="19D19B14" w14:textId="77777777" w:rsidR="00567887" w:rsidRPr="00C05D6B" w:rsidRDefault="00567887" w:rsidP="00567887">
      <w:pPr>
        <w:spacing w:before="120" w:after="120"/>
        <w:rPr>
          <w:rFonts w:ascii="Garamond" w:hAnsi="Garamond"/>
        </w:rPr>
      </w:pPr>
    </w:p>
    <w:p w14:paraId="1936FCE0" w14:textId="77777777" w:rsidR="00567887" w:rsidRPr="00C05D6B" w:rsidRDefault="00567887" w:rsidP="00567887">
      <w:pPr>
        <w:spacing w:before="120" w:after="120"/>
        <w:rPr>
          <w:rFonts w:ascii="Garamond" w:hAnsi="Garamond"/>
        </w:rPr>
      </w:pPr>
    </w:p>
    <w:p w14:paraId="6D8FE71A" w14:textId="77777777" w:rsidR="00567887" w:rsidRPr="00C05D6B" w:rsidRDefault="00567887" w:rsidP="00567887">
      <w:pPr>
        <w:spacing w:before="120" w:after="120"/>
        <w:rPr>
          <w:rFonts w:ascii="Garamond" w:hAnsi="Garamond"/>
        </w:rPr>
      </w:pPr>
    </w:p>
    <w:p w14:paraId="44A1C675" w14:textId="77777777" w:rsidR="00567887" w:rsidRPr="00C05D6B" w:rsidRDefault="00567887" w:rsidP="00567887">
      <w:pPr>
        <w:spacing w:before="120" w:after="120"/>
        <w:rPr>
          <w:rFonts w:ascii="Garamond" w:hAnsi="Garamond"/>
        </w:rPr>
      </w:pPr>
    </w:p>
    <w:p w14:paraId="13C40970" w14:textId="77777777" w:rsidR="003125BF" w:rsidRPr="00C05D6B" w:rsidRDefault="003125BF">
      <w:pPr>
        <w:rPr>
          <w:rFonts w:ascii="Garamond" w:hAnsi="Garamond" w:cs="Times New Roman"/>
        </w:rPr>
      </w:pPr>
    </w:p>
    <w:p w14:paraId="0D7EEB49" w14:textId="77777777" w:rsidR="00002E08" w:rsidRPr="00C05D6B" w:rsidRDefault="00002E08">
      <w:pPr>
        <w:spacing w:after="160" w:line="278" w:lineRule="auto"/>
        <w:rPr>
          <w:rFonts w:ascii="Garamond" w:hAnsi="Garamond" w:cs="Times New Roman"/>
          <w:b/>
          <w:bCs/>
        </w:rPr>
      </w:pPr>
      <w:r w:rsidRPr="00C05D6B">
        <w:rPr>
          <w:rFonts w:ascii="Garamond" w:hAnsi="Garamond" w:cs="Times New Roman"/>
          <w:b/>
          <w:bCs/>
        </w:rPr>
        <w:br w:type="page"/>
      </w:r>
    </w:p>
    <w:p w14:paraId="189C05BB" w14:textId="79199816" w:rsidR="00002E08" w:rsidRPr="00C05D6B" w:rsidRDefault="00002E08" w:rsidP="009F73D4">
      <w:pPr>
        <w:jc w:val="center"/>
        <w:rPr>
          <w:rFonts w:ascii="Garamond" w:hAnsi="Garamond" w:cs="Times New Roman"/>
          <w:b/>
          <w:bCs/>
        </w:rPr>
      </w:pPr>
      <w:r w:rsidRPr="00C05D6B">
        <w:rPr>
          <w:rFonts w:ascii="Garamond" w:hAnsi="Garamond" w:cs="Times New Roman"/>
          <w:b/>
          <w:bCs/>
        </w:rPr>
        <w:lastRenderedPageBreak/>
        <w:t>______________________________________________________________________________</w:t>
      </w:r>
    </w:p>
    <w:p w14:paraId="57D41CD1" w14:textId="77777777" w:rsidR="00926DEE" w:rsidRPr="00C05D6B" w:rsidRDefault="00926DEE" w:rsidP="00926DEE">
      <w:pPr>
        <w:jc w:val="center"/>
        <w:rPr>
          <w:rFonts w:ascii="Garamond" w:hAnsi="Garamond" w:cs="Times New Roman"/>
          <w:b/>
          <w:bCs/>
        </w:rPr>
      </w:pPr>
    </w:p>
    <w:p w14:paraId="7F6252F7"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Chapter 5</w:t>
      </w:r>
    </w:p>
    <w:p w14:paraId="7A15D426" w14:textId="77777777" w:rsidR="00926DEE" w:rsidRPr="00C05D6B" w:rsidRDefault="00926DEE" w:rsidP="00926DEE">
      <w:pPr>
        <w:jc w:val="center"/>
        <w:rPr>
          <w:rFonts w:ascii="Garamond" w:hAnsi="Garamond" w:cs="Times New Roman"/>
          <w:b/>
          <w:bCs/>
          <w:i/>
          <w:iCs/>
          <w:sz w:val="40"/>
          <w:szCs w:val="40"/>
        </w:rPr>
      </w:pPr>
    </w:p>
    <w:p w14:paraId="3278B0EA"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Federal Common Law</w:t>
      </w:r>
    </w:p>
    <w:p w14:paraId="0C9CC168" w14:textId="77777777" w:rsidR="00002E08" w:rsidRPr="00C05D6B" w:rsidRDefault="00002E08" w:rsidP="00002E08">
      <w:pPr>
        <w:jc w:val="center"/>
        <w:rPr>
          <w:rFonts w:ascii="Garamond" w:hAnsi="Garamond" w:cs="Times New Roman"/>
          <w:b/>
          <w:bCs/>
        </w:rPr>
      </w:pPr>
      <w:r w:rsidRPr="00C05D6B">
        <w:rPr>
          <w:rFonts w:ascii="Garamond" w:hAnsi="Garamond" w:cs="Times New Roman"/>
          <w:b/>
          <w:bCs/>
        </w:rPr>
        <w:t>______________________________________________________________________________</w:t>
      </w:r>
    </w:p>
    <w:p w14:paraId="479E6554" w14:textId="77777777" w:rsidR="00002E08" w:rsidRPr="00C05D6B" w:rsidRDefault="00002E08" w:rsidP="003125BF">
      <w:pPr>
        <w:rPr>
          <w:rFonts w:ascii="Garamond" w:hAnsi="Garamond" w:cs="Times New Roman"/>
          <w:b/>
          <w:bCs/>
        </w:rPr>
      </w:pPr>
    </w:p>
    <w:p w14:paraId="78498D96" w14:textId="064B2128" w:rsidR="003125BF" w:rsidRPr="00C05D6B" w:rsidRDefault="00EA24A1" w:rsidP="003125BF">
      <w:pPr>
        <w:rPr>
          <w:rFonts w:ascii="Garamond" w:hAnsi="Garamond" w:cs="Times New Roman"/>
          <w:b/>
          <w:bCs/>
          <w:i/>
          <w:iCs/>
        </w:rPr>
      </w:pPr>
      <w:r w:rsidRPr="00C05D6B">
        <w:rPr>
          <w:rFonts w:ascii="Garamond" w:hAnsi="Garamond" w:cs="Times New Roman"/>
          <w:b/>
          <w:bCs/>
          <w:i/>
          <w:iCs/>
        </w:rPr>
        <w:t>C.</w:t>
      </w:r>
      <w:r w:rsidRPr="00C05D6B">
        <w:rPr>
          <w:rFonts w:ascii="Garamond" w:hAnsi="Garamond" w:cs="Times New Roman"/>
          <w:b/>
          <w:bCs/>
          <w:i/>
          <w:iCs/>
        </w:rPr>
        <w:tab/>
      </w:r>
      <w:r w:rsidR="003125BF" w:rsidRPr="00C05D6B">
        <w:rPr>
          <w:rFonts w:ascii="Garamond" w:hAnsi="Garamond" w:cs="Times New Roman"/>
          <w:b/>
          <w:bCs/>
          <w:i/>
          <w:iCs/>
        </w:rPr>
        <w:t>The Development of Federal Common Law to Effectuate Congressional Intent</w:t>
      </w:r>
    </w:p>
    <w:p w14:paraId="3CBAC720" w14:textId="77777777" w:rsidR="00EA24A1" w:rsidRPr="00C05D6B" w:rsidRDefault="00EA24A1" w:rsidP="003125BF">
      <w:pPr>
        <w:rPr>
          <w:rFonts w:ascii="Garamond" w:hAnsi="Garamond" w:cs="Times New Roman"/>
          <w:i/>
          <w:iCs/>
        </w:rPr>
      </w:pPr>
    </w:p>
    <w:p w14:paraId="29B82B2D" w14:textId="45B2A757" w:rsidR="003125BF" w:rsidRPr="00C05D6B" w:rsidRDefault="00EA24A1" w:rsidP="00EA24A1">
      <w:pPr>
        <w:ind w:firstLine="720"/>
        <w:rPr>
          <w:rFonts w:ascii="Garamond" w:hAnsi="Garamond" w:cs="Times New Roman"/>
          <w:b/>
          <w:bCs/>
        </w:rPr>
      </w:pPr>
      <w:r w:rsidRPr="00C05D6B">
        <w:rPr>
          <w:rFonts w:ascii="Garamond" w:hAnsi="Garamond" w:cs="Times New Roman"/>
          <w:b/>
          <w:bCs/>
        </w:rPr>
        <w:t>1.</w:t>
      </w:r>
      <w:r w:rsidRPr="00C05D6B">
        <w:rPr>
          <w:rFonts w:ascii="Garamond" w:hAnsi="Garamond" w:cs="Times New Roman"/>
          <w:b/>
          <w:bCs/>
        </w:rPr>
        <w:tab/>
      </w:r>
      <w:r w:rsidR="003125BF" w:rsidRPr="00C05D6B">
        <w:rPr>
          <w:rFonts w:ascii="Garamond" w:hAnsi="Garamond" w:cs="Times New Roman"/>
          <w:b/>
          <w:bCs/>
        </w:rPr>
        <w:t>Express Versus Implied Private Causes of Action</w:t>
      </w:r>
    </w:p>
    <w:p w14:paraId="5A7573C8" w14:textId="77777777" w:rsidR="00EA24A1" w:rsidRPr="00C05D6B" w:rsidRDefault="00EA24A1" w:rsidP="00EA24A1">
      <w:pPr>
        <w:rPr>
          <w:rFonts w:ascii="Garamond" w:hAnsi="Garamond" w:cs="Times New Roman"/>
          <w:b/>
          <w:bCs/>
        </w:rPr>
      </w:pPr>
    </w:p>
    <w:p w14:paraId="247480C8" w14:textId="00B01698" w:rsidR="00EA24A1" w:rsidRPr="00C05D6B" w:rsidRDefault="00EA24A1" w:rsidP="00EA24A1">
      <w:pPr>
        <w:rPr>
          <w:rFonts w:ascii="Garamond" w:eastAsia="Times New Roman" w:hAnsi="Garamond" w:cs="Times New Roman"/>
          <w:b/>
          <w:bCs/>
        </w:rPr>
      </w:pPr>
      <w:r w:rsidRPr="00C05D6B">
        <w:rPr>
          <w:rFonts w:ascii="Garamond" w:eastAsia="Times New Roman" w:hAnsi="Garamond" w:cs="Times New Roman"/>
          <w:b/>
          <w:bCs/>
        </w:rPr>
        <w:t>(CB, p. 614, after first full paragraph)</w:t>
      </w:r>
    </w:p>
    <w:p w14:paraId="195D256E" w14:textId="77777777" w:rsidR="003125BF" w:rsidRPr="00C05D6B" w:rsidRDefault="003125BF" w:rsidP="003125BF">
      <w:pPr>
        <w:rPr>
          <w:rFonts w:ascii="Garamond" w:hAnsi="Garamond" w:cs="Times New Roman"/>
          <w:b/>
          <w:bCs/>
        </w:rPr>
      </w:pPr>
      <w:r w:rsidRPr="00C05D6B">
        <w:rPr>
          <w:rFonts w:ascii="Garamond" w:hAnsi="Garamond" w:cs="Times New Roman"/>
          <w:b/>
          <w:bCs/>
        </w:rPr>
        <w:tab/>
      </w:r>
    </w:p>
    <w:p w14:paraId="2571BCC3" w14:textId="7DD45F55" w:rsidR="003125BF" w:rsidRPr="00C05D6B" w:rsidRDefault="003125BF" w:rsidP="003125BF">
      <w:pPr>
        <w:rPr>
          <w:rFonts w:ascii="Garamond" w:hAnsi="Garamond" w:cs="Times New Roman"/>
        </w:rPr>
      </w:pPr>
      <w:r w:rsidRPr="00C05D6B">
        <w:rPr>
          <w:rFonts w:ascii="Garamond" w:hAnsi="Garamond" w:cs="Times New Roman"/>
          <w:b/>
          <w:bCs/>
        </w:rPr>
        <w:tab/>
      </w:r>
      <w:r w:rsidRPr="00C05D6B">
        <w:rPr>
          <w:rFonts w:ascii="Garamond" w:hAnsi="Garamond" w:cs="Times New Roman"/>
        </w:rPr>
        <w:t>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creates an express cause of action against state and local officials who violate federal rights “secured by the Constitution </w:t>
      </w:r>
      <w:r w:rsidRPr="00C05D6B">
        <w:rPr>
          <w:rFonts w:ascii="Garamond" w:hAnsi="Garamond" w:cs="Times New Roman"/>
          <w:i/>
          <w:iCs/>
        </w:rPr>
        <w:t>and laws</w:t>
      </w:r>
      <w:r w:rsidRPr="00C05D6B">
        <w:rPr>
          <w:rFonts w:ascii="Garamond" w:hAnsi="Garamond" w:cs="Times New Roman"/>
        </w:rPr>
        <w:t>” (emphasis added</w:t>
      </w:r>
      <w:r w:rsidR="00611A04" w:rsidRPr="00C05D6B">
        <w:rPr>
          <w:rFonts w:ascii="Garamond" w:hAnsi="Garamond" w:cs="Times New Roman"/>
        </w:rPr>
        <w:t>)</w:t>
      </w:r>
      <w:r w:rsidRPr="00C05D6B">
        <w:rPr>
          <w:rFonts w:ascii="Garamond" w:hAnsi="Garamond" w:cs="Times New Roman"/>
        </w:rPr>
        <w:t>. This means a party can sue under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not only for violations of the Constitution, but also for violations of federal statutes. Maine v. </w:t>
      </w:r>
      <w:proofErr w:type="spellStart"/>
      <w:r w:rsidRPr="00C05D6B">
        <w:rPr>
          <w:rFonts w:ascii="Garamond" w:hAnsi="Garamond" w:cs="Times New Roman"/>
        </w:rPr>
        <w:t>Thiboutot</w:t>
      </w:r>
      <w:proofErr w:type="spellEnd"/>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Maine v. Thiboutot</w:instrText>
      </w:r>
      <w:r w:rsidR="00DE0601" w:rsidRPr="00C05D6B">
        <w:rPr>
          <w:rFonts w:ascii="Garamond" w:hAnsi="Garamond"/>
        </w:rPr>
        <w:instrText xml:space="preserve">" \s "Maine v. Thiboutot" \c 1 </w:instrText>
      </w:r>
      <w:r w:rsidR="00DE0601" w:rsidRPr="00C05D6B">
        <w:rPr>
          <w:rFonts w:ascii="Garamond" w:hAnsi="Garamond" w:cs="Times New Roman"/>
        </w:rPr>
        <w:fldChar w:fldCharType="end"/>
      </w:r>
      <w:r w:rsidRPr="00C05D6B">
        <w:rPr>
          <w:rFonts w:ascii="Garamond" w:hAnsi="Garamond" w:cs="Times New Roman"/>
        </w:rPr>
        <w:t xml:space="preserve"> (1980). In </w:t>
      </w:r>
      <w:proofErr w:type="spellStart"/>
      <w:r w:rsidRPr="00C05D6B">
        <w:rPr>
          <w:rFonts w:ascii="Garamond" w:hAnsi="Garamond" w:cs="Times New Roman"/>
          <w:i/>
          <w:iCs/>
        </w:rPr>
        <w:t>Thiboutot</w:t>
      </w:r>
      <w:proofErr w:type="spellEnd"/>
      <w:r w:rsidRPr="00C05D6B">
        <w:rPr>
          <w:rFonts w:ascii="Garamond" w:hAnsi="Garamond" w:cs="Times New Roman"/>
        </w:rPr>
        <w:t xml:space="preserve">, for example, the Court held that individuals could use Section 1983 </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to challenge state agencies’ wrongful denial of benefits mandated by the federal Social Security Act:</w:t>
      </w:r>
    </w:p>
    <w:p w14:paraId="1763497A" w14:textId="77777777" w:rsidR="003125BF" w:rsidRPr="00C05D6B" w:rsidRDefault="003125BF" w:rsidP="003125BF">
      <w:pPr>
        <w:rPr>
          <w:rFonts w:ascii="Garamond" w:hAnsi="Garamond" w:cs="Times New Roman"/>
        </w:rPr>
      </w:pPr>
    </w:p>
    <w:p w14:paraId="57068F7B" w14:textId="34F7327A" w:rsidR="003125BF" w:rsidRPr="00C05D6B" w:rsidRDefault="003125BF" w:rsidP="003125BF">
      <w:pPr>
        <w:ind w:left="1440" w:right="1440"/>
        <w:rPr>
          <w:rFonts w:ascii="Garamond" w:hAnsi="Garamond" w:cs="Times New Roman"/>
        </w:rPr>
      </w:pPr>
      <w:r w:rsidRPr="00C05D6B">
        <w:rPr>
          <w:rFonts w:ascii="Garamond" w:hAnsi="Garamond" w:cs="Times New Roman"/>
        </w:rPr>
        <w:t xml:space="preserve">The question before us is whether the phrase </w:t>
      </w:r>
      <w:r w:rsidR="00503568" w:rsidRPr="00C05D6B">
        <w:rPr>
          <w:rFonts w:ascii="Garamond" w:hAnsi="Garamond" w:cs="Times New Roman"/>
        </w:rPr>
        <w:t>“</w:t>
      </w:r>
      <w:r w:rsidRPr="00C05D6B">
        <w:rPr>
          <w:rFonts w:ascii="Garamond" w:hAnsi="Garamond" w:cs="Times New Roman"/>
        </w:rPr>
        <w:t>and laws</w:t>
      </w:r>
      <w:r w:rsidR="00503568" w:rsidRPr="00C05D6B">
        <w:rPr>
          <w:rFonts w:ascii="Garamond" w:hAnsi="Garamond" w:cs="Times New Roman"/>
        </w:rPr>
        <w:t>”</w:t>
      </w:r>
      <w:r w:rsidRPr="00C05D6B">
        <w:rPr>
          <w:rFonts w:ascii="Garamond" w:hAnsi="Garamond" w:cs="Times New Roman"/>
        </w:rPr>
        <w:t xml:space="preserve"> means what it says, or whether it should be limited to some subset of laws. Given that Congress attached no modifiers to the phrase, the plain language of the statute undoubtedly embraces respondents’ claim that petitioners violated the Social Security Act.</w:t>
      </w:r>
    </w:p>
    <w:p w14:paraId="31BB4A6F" w14:textId="77777777" w:rsidR="003125BF" w:rsidRPr="00C05D6B" w:rsidRDefault="003125BF" w:rsidP="003125BF">
      <w:pPr>
        <w:ind w:left="1440" w:right="1440"/>
        <w:rPr>
          <w:rFonts w:ascii="Garamond" w:hAnsi="Garamond" w:cs="Times New Roman"/>
        </w:rPr>
      </w:pPr>
    </w:p>
    <w:p w14:paraId="79235B9D" w14:textId="66B5B440" w:rsidR="003125BF" w:rsidRPr="00C05D6B" w:rsidRDefault="003125BF" w:rsidP="003125BF">
      <w:pPr>
        <w:rPr>
          <w:rFonts w:ascii="Garamond" w:hAnsi="Garamond" w:cs="Times New Roman"/>
        </w:rPr>
      </w:pPr>
      <w:r w:rsidRPr="00C05D6B">
        <w:rPr>
          <w:rFonts w:ascii="Garamond" w:hAnsi="Garamond" w:cs="Times New Roman"/>
        </w:rPr>
        <w:tab/>
        <w:t>The Court has imposed two important restrictions on the use of Section 1983 to enforce federal statutes. First,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is not available if the underlying statute does not create enforceable rights. Second, even if a statute does create rights,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is not available if Congress has foreclosed a broad, unrestricted private cause of action. For example, the Individuals With Disabilities Education Act,</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Individuals With Disabilities Education Act</w:instrText>
      </w:r>
      <w:r w:rsidR="00DE0601" w:rsidRPr="00C05D6B">
        <w:rPr>
          <w:rFonts w:ascii="Garamond" w:hAnsi="Garamond"/>
        </w:rPr>
        <w:instrText xml:space="preserve">" \s "Individuals With Disabilities Education Act" \c 2 </w:instrText>
      </w:r>
      <w:r w:rsidR="00DE0601" w:rsidRPr="00C05D6B">
        <w:rPr>
          <w:rFonts w:ascii="Garamond" w:hAnsi="Garamond" w:cs="Times New Roman"/>
        </w:rPr>
        <w:fldChar w:fldCharType="end"/>
      </w:r>
      <w:r w:rsidRPr="00C05D6B">
        <w:rPr>
          <w:rFonts w:ascii="Garamond" w:hAnsi="Garamond" w:cs="Times New Roman"/>
        </w:rPr>
        <w:t xml:space="preserve"> 20 U.S.C. §</w:t>
      </w:r>
      <w:r w:rsidRPr="00C05D6B">
        <w:rPr>
          <w:rFonts w:ascii="Times New Roman" w:hAnsi="Times New Roman" w:cs="Times New Roman"/>
        </w:rPr>
        <w:t> </w:t>
      </w:r>
      <w:r w:rsidRPr="00C05D6B">
        <w:rPr>
          <w:rFonts w:ascii="Garamond" w:hAnsi="Garamond" w:cs="Times New Roman"/>
        </w:rPr>
        <w:t>1400 et seq.</w:t>
      </w:r>
      <w:r w:rsidR="00CA35FE" w:rsidRPr="00C05D6B">
        <w:rPr>
          <w:rFonts w:ascii="Garamond" w:hAnsi="Garamond" w:cs="Times New Roman"/>
        </w:rPr>
        <w:fldChar w:fldCharType="begin"/>
      </w:r>
      <w:r w:rsidR="00CA35FE" w:rsidRPr="00C05D6B">
        <w:rPr>
          <w:rFonts w:ascii="Garamond" w:hAnsi="Garamond"/>
        </w:rPr>
        <w:instrText xml:space="preserve"> TA \l "</w:instrText>
      </w:r>
      <w:r w:rsidR="00CA35FE" w:rsidRPr="00C05D6B">
        <w:rPr>
          <w:rFonts w:ascii="Garamond" w:hAnsi="Garamond" w:cs="Times New Roman"/>
        </w:rPr>
        <w:instrText>20 U.S.C. §</w:instrText>
      </w:r>
      <w:r w:rsidR="00CA35FE" w:rsidRPr="00C05D6B">
        <w:rPr>
          <w:rFonts w:ascii="Times New Roman" w:hAnsi="Times New Roman" w:cs="Times New Roman"/>
        </w:rPr>
        <w:instrText> </w:instrText>
      </w:r>
      <w:r w:rsidR="00CA35FE" w:rsidRPr="00C05D6B">
        <w:rPr>
          <w:rFonts w:ascii="Garamond" w:hAnsi="Garamond" w:cs="Times New Roman"/>
        </w:rPr>
        <w:instrText>1400 et seq.</w:instrText>
      </w:r>
      <w:r w:rsidR="00CA35FE" w:rsidRPr="00C05D6B">
        <w:rPr>
          <w:rFonts w:ascii="Garamond" w:hAnsi="Garamond"/>
        </w:rPr>
        <w:instrText>" \s "20 U.S.C. §</w:instrText>
      </w:r>
      <w:r w:rsidR="00CA35FE" w:rsidRPr="00C05D6B">
        <w:rPr>
          <w:rFonts w:ascii="Times New Roman" w:hAnsi="Times New Roman" w:cs="Times New Roman"/>
        </w:rPr>
        <w:instrText> </w:instrText>
      </w:r>
      <w:r w:rsidR="00CA35FE" w:rsidRPr="00C05D6B">
        <w:rPr>
          <w:rFonts w:ascii="Garamond" w:hAnsi="Garamond"/>
        </w:rPr>
        <w:instrText xml:space="preserve">1400 et seq." \c 2 </w:instrText>
      </w:r>
      <w:r w:rsidR="00CA35FE" w:rsidRPr="00C05D6B">
        <w:rPr>
          <w:rFonts w:ascii="Garamond" w:hAnsi="Garamond" w:cs="Times New Roman"/>
        </w:rPr>
        <w:fldChar w:fldCharType="end"/>
      </w:r>
      <w:r w:rsidRPr="00C05D6B">
        <w:rPr>
          <w:rFonts w:ascii="Garamond" w:hAnsi="Garamond" w:cs="Times New Roman"/>
        </w:rPr>
        <w:t>, (IDEA), creates enforceable rights for students with disabilities, but many circuits have held that the IDEA is equipped with its own “comprehensive enforcement scheme” that “provides the sole remedy for statutory violations.” K.A. v. Fulton County Sch</w:t>
      </w:r>
      <w:r w:rsidR="00611A04" w:rsidRPr="00C05D6B">
        <w:rPr>
          <w:rFonts w:ascii="Garamond" w:hAnsi="Garamond" w:cs="Times New Roman"/>
        </w:rPr>
        <w:t>. Dist.</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K.A. v. Fulton County Sch. Dist.</w:instrText>
      </w:r>
      <w:r w:rsidR="00DE0601" w:rsidRPr="00C05D6B">
        <w:rPr>
          <w:rFonts w:ascii="Garamond" w:hAnsi="Garamond"/>
        </w:rPr>
        <w:instrText xml:space="preserve">" \s "K.A. v. Fulton County Sch. Dist." \c 1 </w:instrText>
      </w:r>
      <w:r w:rsidR="00DE0601" w:rsidRPr="00C05D6B">
        <w:rPr>
          <w:rFonts w:ascii="Garamond" w:hAnsi="Garamond" w:cs="Times New Roman"/>
        </w:rPr>
        <w:fldChar w:fldCharType="end"/>
      </w:r>
      <w:r w:rsidR="00611A04" w:rsidRPr="00C05D6B">
        <w:rPr>
          <w:rFonts w:ascii="Garamond" w:hAnsi="Garamond" w:cs="Times New Roman"/>
        </w:rPr>
        <w:t xml:space="preserve"> (11th Cir. 2013)</w:t>
      </w:r>
      <w:r w:rsidRPr="00C05D6B">
        <w:rPr>
          <w:rFonts w:ascii="Garamond" w:hAnsi="Garamond" w:cs="Times New Roman"/>
        </w:rPr>
        <w:t xml:space="preserve"> (documenting a circuit split on the question).</w:t>
      </w:r>
    </w:p>
    <w:p w14:paraId="2DA38D7D" w14:textId="77777777" w:rsidR="00EA24A1" w:rsidRPr="00C05D6B" w:rsidRDefault="00EA24A1" w:rsidP="003125BF">
      <w:pPr>
        <w:rPr>
          <w:rFonts w:ascii="Garamond" w:hAnsi="Garamond" w:cs="Times New Roman"/>
        </w:rPr>
      </w:pPr>
    </w:p>
    <w:p w14:paraId="5C7E8753" w14:textId="4ABEB777" w:rsidR="003125BF" w:rsidRPr="00C05D6B" w:rsidRDefault="003125BF" w:rsidP="003125BF">
      <w:pPr>
        <w:rPr>
          <w:rFonts w:ascii="Garamond" w:hAnsi="Garamond" w:cs="Times New Roman"/>
        </w:rPr>
      </w:pPr>
      <w:r w:rsidRPr="00C05D6B">
        <w:rPr>
          <w:rFonts w:ascii="Garamond" w:hAnsi="Garamond" w:cs="Times New Roman"/>
        </w:rPr>
        <w:tab/>
        <w:t xml:space="preserve">How does a Court determine whether a statute creates enforceable rights? Three factors guide this analysis. First, “Congress must have intended that the provision in question benefit the plaintiff.” Second, the plaintiff must demonstrate that the right assertedly protected by the statute is not so ‘vague and amorphous’ that its enforcement would strain judicial </w:t>
      </w:r>
      <w:r w:rsidR="00887F80">
        <w:rPr>
          <w:rFonts w:ascii="Garamond" w:hAnsi="Garamond" w:cs="Times New Roman"/>
        </w:rPr>
        <w:t>competence</w:t>
      </w:r>
      <w:r w:rsidRPr="00C05D6B">
        <w:rPr>
          <w:rFonts w:ascii="Garamond" w:hAnsi="Garamond" w:cs="Times New Roman"/>
        </w:rPr>
        <w:t xml:space="preserve">.” Third, “the provision giving rise to the asserted right must be couched in mandatory, rather than precatory, terms.” Blessing v. </w:t>
      </w:r>
      <w:r w:rsidR="00EA1625" w:rsidRPr="00C05D6B">
        <w:rPr>
          <w:rFonts w:ascii="Garamond" w:hAnsi="Garamond" w:cs="Times New Roman"/>
        </w:rPr>
        <w:t>Freestone</w:t>
      </w:r>
      <w:r w:rsidR="00A175A8" w:rsidRPr="00C05D6B">
        <w:rPr>
          <w:rFonts w:ascii="Garamond" w:hAnsi="Garamond" w:cs="Times New Roman"/>
        </w:rPr>
        <w:fldChar w:fldCharType="begin"/>
      </w:r>
      <w:r w:rsidR="00A175A8" w:rsidRPr="00C05D6B">
        <w:rPr>
          <w:rFonts w:ascii="Garamond" w:hAnsi="Garamond"/>
        </w:rPr>
        <w:instrText xml:space="preserve"> TA \l "</w:instrText>
      </w:r>
      <w:r w:rsidR="00A175A8" w:rsidRPr="00C05D6B">
        <w:rPr>
          <w:rFonts w:ascii="Garamond" w:hAnsi="Garamond" w:cs="Times New Roman"/>
        </w:rPr>
        <w:instrText>Blessing v. Freestone</w:instrText>
      </w:r>
      <w:r w:rsidR="00A175A8" w:rsidRPr="00C05D6B">
        <w:rPr>
          <w:rFonts w:ascii="Garamond" w:hAnsi="Garamond"/>
        </w:rPr>
        <w:instrText xml:space="preserve">" \s "Blessing v. Freestone" \c 1 </w:instrText>
      </w:r>
      <w:r w:rsidR="00A175A8" w:rsidRPr="00C05D6B">
        <w:rPr>
          <w:rFonts w:ascii="Garamond" w:hAnsi="Garamond" w:cs="Times New Roman"/>
        </w:rPr>
        <w:fldChar w:fldCharType="end"/>
      </w:r>
      <w:r w:rsidR="00EA1625" w:rsidRPr="00C05D6B">
        <w:rPr>
          <w:rFonts w:ascii="Garamond" w:hAnsi="Garamond" w:cs="Times New Roman"/>
        </w:rPr>
        <w:t xml:space="preserve"> </w:t>
      </w:r>
      <w:r w:rsidRPr="00C05D6B">
        <w:rPr>
          <w:rFonts w:ascii="Garamond" w:hAnsi="Garamond" w:cs="Times New Roman"/>
        </w:rPr>
        <w:t>(1997). By way of illustration, in Wright v. Roanoke Redevelopment and Housing Authority</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Wright v. Roanoke Redevelopment and Housing Authority</w:instrText>
      </w:r>
      <w:r w:rsidR="00DE0601" w:rsidRPr="00C05D6B">
        <w:rPr>
          <w:rFonts w:ascii="Garamond" w:hAnsi="Garamond"/>
        </w:rPr>
        <w:instrText xml:space="preserve">" \s "Wright v. Roanoke Redevelopment and Housing Authority" \c 1 </w:instrText>
      </w:r>
      <w:r w:rsidR="00DE0601" w:rsidRPr="00C05D6B">
        <w:rPr>
          <w:rFonts w:ascii="Garamond" w:hAnsi="Garamond" w:cs="Times New Roman"/>
        </w:rPr>
        <w:fldChar w:fldCharType="end"/>
      </w:r>
      <w:r w:rsidRPr="00C05D6B">
        <w:rPr>
          <w:rFonts w:ascii="Garamond" w:hAnsi="Garamond" w:cs="Times New Roman"/>
        </w:rPr>
        <w:t xml:space="preserve"> (1987), the Court permitted tenants to rely on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to recover for overcharges under the Public Housing Act</w:t>
      </w:r>
      <w:r w:rsidR="00A175A8" w:rsidRPr="00C05D6B">
        <w:rPr>
          <w:rFonts w:ascii="Garamond" w:hAnsi="Garamond" w:cs="Times New Roman"/>
        </w:rPr>
        <w:fldChar w:fldCharType="begin"/>
      </w:r>
      <w:r w:rsidR="00A175A8" w:rsidRPr="00C05D6B">
        <w:rPr>
          <w:rFonts w:ascii="Garamond" w:hAnsi="Garamond"/>
        </w:rPr>
        <w:instrText xml:space="preserve"> TA \l "</w:instrText>
      </w:r>
      <w:r w:rsidR="00A175A8" w:rsidRPr="00C05D6B">
        <w:rPr>
          <w:rFonts w:ascii="Garamond" w:hAnsi="Garamond" w:cs="Times New Roman"/>
        </w:rPr>
        <w:instrText>Public Housing Act</w:instrText>
      </w:r>
      <w:r w:rsidR="00A175A8" w:rsidRPr="00C05D6B">
        <w:rPr>
          <w:rFonts w:ascii="Garamond" w:hAnsi="Garamond"/>
        </w:rPr>
        <w:instrText xml:space="preserve">" \s "Public Housing Act" \c 2 </w:instrText>
      </w:r>
      <w:r w:rsidR="00A175A8" w:rsidRPr="00C05D6B">
        <w:rPr>
          <w:rFonts w:ascii="Garamond" w:hAnsi="Garamond" w:cs="Times New Roman"/>
        </w:rPr>
        <w:fldChar w:fldCharType="end"/>
      </w:r>
      <w:r w:rsidRPr="00C05D6B">
        <w:rPr>
          <w:rFonts w:ascii="Garamond" w:hAnsi="Garamond" w:cs="Times New Roman"/>
        </w:rPr>
        <w:t xml:space="preserve">. The Court reasoned that the statute unambiguously conferred “a mandatory [benefit] focusing on the individual family and its income.” According to the Court, the terms of the statute “could not be clearer” and conferred entitlements “sufficiently </w:t>
      </w:r>
      <w:r w:rsidRPr="00C05D6B">
        <w:rPr>
          <w:rFonts w:ascii="Garamond" w:hAnsi="Garamond" w:cs="Times New Roman"/>
        </w:rPr>
        <w:lastRenderedPageBreak/>
        <w:t>specific and definite to qualify as enforceable rights.” Relying on similar reasoning, in Wilder v. Virginia Hospital Assn.</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Wilder v. Virginia Hospital Assn.</w:instrText>
      </w:r>
      <w:r w:rsidR="00DE0601" w:rsidRPr="00C05D6B">
        <w:rPr>
          <w:rFonts w:ascii="Garamond" w:hAnsi="Garamond"/>
        </w:rPr>
        <w:instrText xml:space="preserve">" \s "Wilder v. Virginia Hospital Assn." \c 1 </w:instrText>
      </w:r>
      <w:r w:rsidR="00DE0601" w:rsidRPr="00C05D6B">
        <w:rPr>
          <w:rFonts w:ascii="Garamond" w:hAnsi="Garamond" w:cs="Times New Roman"/>
        </w:rPr>
        <w:fldChar w:fldCharType="end"/>
      </w:r>
      <w:r w:rsidR="00B35186" w:rsidRPr="00C05D6B">
        <w:rPr>
          <w:rFonts w:ascii="Garamond" w:hAnsi="Garamond" w:cs="Times New Roman"/>
        </w:rPr>
        <w:t xml:space="preserve"> </w:t>
      </w:r>
      <w:r w:rsidRPr="00C05D6B">
        <w:rPr>
          <w:rFonts w:ascii="Garamond" w:hAnsi="Garamond" w:cs="Times New Roman"/>
        </w:rPr>
        <w:t>(1990), the Court authorized healthcare providers to rely on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to enforce a reimbursement provision in the Medicaid Act</w:t>
      </w:r>
      <w:r w:rsidR="00A175A8" w:rsidRPr="00C05D6B">
        <w:rPr>
          <w:rFonts w:ascii="Garamond" w:hAnsi="Garamond" w:cs="Times New Roman"/>
        </w:rPr>
        <w:fldChar w:fldCharType="begin"/>
      </w:r>
      <w:r w:rsidR="00A175A8" w:rsidRPr="00C05D6B">
        <w:rPr>
          <w:rFonts w:ascii="Garamond" w:hAnsi="Garamond"/>
        </w:rPr>
        <w:instrText xml:space="preserve"> TA \l "</w:instrText>
      </w:r>
      <w:r w:rsidR="00A175A8" w:rsidRPr="00C05D6B">
        <w:rPr>
          <w:rFonts w:ascii="Garamond" w:hAnsi="Garamond" w:cs="Times New Roman"/>
        </w:rPr>
        <w:instrText>Medicaid Act</w:instrText>
      </w:r>
      <w:r w:rsidR="00A175A8" w:rsidRPr="00C05D6B">
        <w:rPr>
          <w:rFonts w:ascii="Garamond" w:hAnsi="Garamond"/>
        </w:rPr>
        <w:instrText xml:space="preserve">" \s "Medicaid Act" \c 2 </w:instrText>
      </w:r>
      <w:r w:rsidR="00A175A8" w:rsidRPr="00C05D6B">
        <w:rPr>
          <w:rFonts w:ascii="Garamond" w:hAnsi="Garamond" w:cs="Times New Roman"/>
        </w:rPr>
        <w:fldChar w:fldCharType="end"/>
      </w:r>
      <w:r w:rsidRPr="00C05D6B">
        <w:rPr>
          <w:rFonts w:ascii="Garamond" w:hAnsi="Garamond" w:cs="Times New Roman"/>
        </w:rPr>
        <w:t>. Likewise, a private cause of action is available under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to enforce Title IX’s bar against sex</w:t>
      </w:r>
      <w:r w:rsidR="00A54AD8" w:rsidRPr="00C05D6B">
        <w:rPr>
          <w:rFonts w:ascii="Garamond" w:hAnsi="Garamond" w:cs="Times New Roman"/>
        </w:rPr>
        <w:t xml:space="preserve"> </w:t>
      </w:r>
      <w:r w:rsidRPr="00C05D6B">
        <w:rPr>
          <w:rFonts w:ascii="Garamond" w:hAnsi="Garamond" w:cs="Times New Roman"/>
        </w:rPr>
        <w:t>discrimination by federally funded educational facilities. Fitzgerald v. Barnstable</w:t>
      </w:r>
      <w:r w:rsidR="00A175A8" w:rsidRPr="00C05D6B">
        <w:rPr>
          <w:rFonts w:ascii="Garamond" w:hAnsi="Garamond" w:cs="Times New Roman"/>
        </w:rPr>
        <w:fldChar w:fldCharType="begin"/>
      </w:r>
      <w:r w:rsidR="00A175A8" w:rsidRPr="00C05D6B">
        <w:rPr>
          <w:rFonts w:ascii="Garamond" w:hAnsi="Garamond"/>
        </w:rPr>
        <w:instrText xml:space="preserve"> TA \l "</w:instrText>
      </w:r>
      <w:r w:rsidR="00A175A8" w:rsidRPr="00C05D6B">
        <w:rPr>
          <w:rFonts w:ascii="Garamond" w:hAnsi="Garamond" w:cs="Times New Roman"/>
        </w:rPr>
        <w:instrText>Fitzgerald v. Barnstable</w:instrText>
      </w:r>
      <w:r w:rsidR="00A175A8" w:rsidRPr="00C05D6B">
        <w:rPr>
          <w:rFonts w:ascii="Garamond" w:hAnsi="Garamond"/>
        </w:rPr>
        <w:instrText xml:space="preserve">" \s "Fitzgerald v. Barnstable" \c 1 </w:instrText>
      </w:r>
      <w:r w:rsidR="00A175A8" w:rsidRPr="00C05D6B">
        <w:rPr>
          <w:rFonts w:ascii="Garamond" w:hAnsi="Garamond" w:cs="Times New Roman"/>
        </w:rPr>
        <w:fldChar w:fldCharType="end"/>
      </w:r>
      <w:r w:rsidRPr="00C05D6B">
        <w:rPr>
          <w:rFonts w:ascii="Garamond" w:hAnsi="Garamond" w:cs="Times New Roman"/>
          <w:i/>
          <w:iCs/>
        </w:rPr>
        <w:t xml:space="preserve"> </w:t>
      </w:r>
      <w:r w:rsidRPr="00C05D6B">
        <w:rPr>
          <w:rFonts w:ascii="Garamond" w:hAnsi="Garamond" w:cs="Times New Roman"/>
        </w:rPr>
        <w:t>(2009).</w:t>
      </w:r>
    </w:p>
    <w:p w14:paraId="6A675EFE" w14:textId="77777777" w:rsidR="00EA24A1" w:rsidRPr="00C05D6B" w:rsidRDefault="00EA24A1" w:rsidP="003125BF">
      <w:pPr>
        <w:rPr>
          <w:rFonts w:ascii="Garamond" w:hAnsi="Garamond" w:cs="Times New Roman"/>
        </w:rPr>
      </w:pPr>
    </w:p>
    <w:p w14:paraId="7D1A6D90" w14:textId="5F7A8F3E" w:rsidR="003125BF" w:rsidRPr="00C05D6B" w:rsidRDefault="003125BF" w:rsidP="003125BF">
      <w:pPr>
        <w:rPr>
          <w:rFonts w:ascii="Garamond" w:hAnsi="Garamond" w:cs="Times New Roman"/>
        </w:rPr>
      </w:pPr>
      <w:r w:rsidRPr="00C05D6B">
        <w:rPr>
          <w:rFonts w:ascii="Garamond" w:hAnsi="Garamond" w:cs="Times New Roman"/>
        </w:rPr>
        <w:tab/>
        <w:t xml:space="preserve">More recently, in Health &amp; Hospital Corporation of Marion County v. </w:t>
      </w:r>
      <w:proofErr w:type="spellStart"/>
      <w:r w:rsidRPr="00C05D6B">
        <w:rPr>
          <w:rFonts w:ascii="Garamond" w:hAnsi="Garamond" w:cs="Times New Roman"/>
        </w:rPr>
        <w:t>Talevski</w:t>
      </w:r>
      <w:proofErr w:type="spellEnd"/>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Health &amp; Hospital Corporation of Marion County v. Talevski</w:instrText>
      </w:r>
      <w:r w:rsidR="00DE0601" w:rsidRPr="00C05D6B">
        <w:rPr>
          <w:rFonts w:ascii="Garamond" w:hAnsi="Garamond"/>
        </w:rPr>
        <w:instrText xml:space="preserve">" \s "Health &amp; Hospital Corporation of Marion County v. Talevski" \c 1 </w:instrText>
      </w:r>
      <w:r w:rsidR="00DE0601" w:rsidRPr="00C05D6B">
        <w:rPr>
          <w:rFonts w:ascii="Garamond" w:hAnsi="Garamond" w:cs="Times New Roman"/>
        </w:rPr>
        <w:fldChar w:fldCharType="end"/>
      </w:r>
      <w:r w:rsidRPr="00C05D6B">
        <w:rPr>
          <w:rFonts w:ascii="Garamond" w:hAnsi="Garamond" w:cs="Times New Roman"/>
        </w:rPr>
        <w:t xml:space="preserve"> (2023), the Supreme Court ruled that the Federal Nursing Home Reform Act</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Federal Nursing Home Reform Act</w:instrText>
      </w:r>
      <w:r w:rsidR="00DE0601" w:rsidRPr="00C05D6B">
        <w:rPr>
          <w:rFonts w:ascii="Garamond" w:hAnsi="Garamond"/>
        </w:rPr>
        <w:instrText xml:space="preserve">" \s "Federal Nursing Home Reform Act" \c 2 </w:instrText>
      </w:r>
      <w:r w:rsidR="00DE0601" w:rsidRPr="00C05D6B">
        <w:rPr>
          <w:rFonts w:ascii="Garamond" w:hAnsi="Garamond" w:cs="Times New Roman"/>
        </w:rPr>
        <w:fldChar w:fldCharType="end"/>
      </w:r>
      <w:r w:rsidRPr="00C05D6B">
        <w:rPr>
          <w:rFonts w:ascii="Garamond" w:hAnsi="Garamond" w:cs="Times New Roman"/>
        </w:rPr>
        <w:t xml:space="preserve"> (FNHRA) grants nursing home residents an enforceable right under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This right protects them from “any physical or chemical restraints imposed for purposes of discipline or convenience and not required to treat the resident’s medical symptoms” (§ 1396r(c)(1)(A)(ii)). The Court’s decision hinged on two key points. First, the FNHRA uses “clear rights-creating language” that explicitly benefits residents. Second, the Court found that allowing private lawsuits under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does not conflict with the FNHRA’s existing enforcement mechanisms, which involve inspections and sanctions for non-compliant facilities.</w:t>
      </w:r>
    </w:p>
    <w:p w14:paraId="0C789091" w14:textId="77777777" w:rsidR="00EA24A1" w:rsidRPr="00C05D6B" w:rsidRDefault="00EA24A1" w:rsidP="003125BF">
      <w:pPr>
        <w:rPr>
          <w:rFonts w:ascii="Garamond" w:hAnsi="Garamond" w:cs="Times New Roman"/>
        </w:rPr>
      </w:pPr>
    </w:p>
    <w:p w14:paraId="79EA3B86" w14:textId="4B610BD4" w:rsidR="003125BF" w:rsidRPr="00C05D6B" w:rsidRDefault="003125BF" w:rsidP="003125BF">
      <w:pPr>
        <w:rPr>
          <w:rFonts w:ascii="Garamond" w:hAnsi="Garamond" w:cs="Times New Roman"/>
        </w:rPr>
      </w:pPr>
      <w:r w:rsidRPr="00C05D6B">
        <w:rPr>
          <w:rFonts w:ascii="Garamond" w:hAnsi="Garamond" w:cs="Times New Roman"/>
        </w:rPr>
        <w:tab/>
        <w:t xml:space="preserve">Even as the Court </w:t>
      </w:r>
      <w:r w:rsidR="00611A04" w:rsidRPr="00C05D6B">
        <w:rPr>
          <w:rFonts w:ascii="Garamond" w:hAnsi="Garamond" w:cs="Times New Roman"/>
        </w:rPr>
        <w:t xml:space="preserve">held </w:t>
      </w:r>
      <w:r w:rsidRPr="00C05D6B">
        <w:rPr>
          <w:rFonts w:ascii="Garamond" w:hAnsi="Garamond" w:cs="Times New Roman"/>
        </w:rPr>
        <w:t xml:space="preserve">in </w:t>
      </w:r>
      <w:proofErr w:type="spellStart"/>
      <w:r w:rsidRPr="00C05D6B">
        <w:rPr>
          <w:rFonts w:ascii="Garamond" w:hAnsi="Garamond" w:cs="Times New Roman"/>
          <w:i/>
          <w:iCs/>
        </w:rPr>
        <w:t>Talevski</w:t>
      </w:r>
      <w:proofErr w:type="spellEnd"/>
      <w:r w:rsidRPr="00C05D6B">
        <w:rPr>
          <w:rFonts w:ascii="Garamond" w:hAnsi="Garamond" w:cs="Times New Roman"/>
        </w:rPr>
        <w:t xml:space="preserve"> that the Federal Nursing Home Reform Act</w:t>
      </w:r>
      <w:r w:rsidR="00DE0601" w:rsidRPr="00C05D6B">
        <w:rPr>
          <w:rFonts w:ascii="Garamond" w:hAnsi="Garamond" w:cs="Times New Roman"/>
        </w:rPr>
        <w:fldChar w:fldCharType="begin"/>
      </w:r>
      <w:r w:rsidR="00DE0601" w:rsidRPr="00C05D6B">
        <w:rPr>
          <w:rFonts w:ascii="Garamond" w:hAnsi="Garamond"/>
        </w:rPr>
        <w:instrText xml:space="preserve"> TA \s "Federal Nursing Home Reform Act" </w:instrText>
      </w:r>
      <w:r w:rsidR="00DE0601" w:rsidRPr="00C05D6B">
        <w:rPr>
          <w:rFonts w:ascii="Garamond" w:hAnsi="Garamond" w:cs="Times New Roman"/>
        </w:rPr>
        <w:fldChar w:fldCharType="end"/>
      </w:r>
      <w:r w:rsidRPr="00C05D6B">
        <w:rPr>
          <w:rFonts w:ascii="Garamond" w:hAnsi="Garamond" w:cs="Times New Roman"/>
        </w:rPr>
        <w:t xml:space="preserve"> created enforceable rights, it simultaneously emphasized that a showing of enforceable rights requires clearing a “demanding bar.” This concept is illustrated by </w:t>
      </w:r>
      <w:r w:rsidRPr="00C05D6B">
        <w:rPr>
          <w:rFonts w:ascii="Garamond" w:hAnsi="Garamond" w:cs="Times New Roman"/>
          <w:i/>
          <w:iCs/>
        </w:rPr>
        <w:t>Gonzaga v. Doe</w:t>
      </w:r>
      <w:r w:rsidR="00DE0601" w:rsidRPr="00C05D6B">
        <w:rPr>
          <w:rFonts w:ascii="Garamond" w:hAnsi="Garamond" w:cs="Times New Roman"/>
          <w:i/>
          <w:iCs/>
        </w:rPr>
        <w:fldChar w:fldCharType="begin"/>
      </w:r>
      <w:r w:rsidR="00DE0601" w:rsidRPr="00C05D6B">
        <w:rPr>
          <w:rFonts w:ascii="Garamond" w:hAnsi="Garamond"/>
        </w:rPr>
        <w:instrText xml:space="preserve"> TA \l "</w:instrText>
      </w:r>
      <w:r w:rsidR="00DE0601" w:rsidRPr="00F5595D">
        <w:rPr>
          <w:rFonts w:ascii="Garamond" w:hAnsi="Garamond" w:cs="Times New Roman"/>
        </w:rPr>
        <w:instrText>Gonzaga v. Doe</w:instrText>
      </w:r>
      <w:r w:rsidR="00DE0601" w:rsidRPr="00C05D6B">
        <w:rPr>
          <w:rFonts w:ascii="Garamond" w:hAnsi="Garamond"/>
        </w:rPr>
        <w:instrText xml:space="preserve">" \s "Gonzaga v. Doe" \c 1 </w:instrText>
      </w:r>
      <w:r w:rsidR="00DE0601" w:rsidRPr="00C05D6B">
        <w:rPr>
          <w:rFonts w:ascii="Garamond" w:hAnsi="Garamond" w:cs="Times New Roman"/>
          <w:i/>
          <w:iCs/>
        </w:rPr>
        <w:fldChar w:fldCharType="end"/>
      </w:r>
      <w:r w:rsidRPr="00C05D6B">
        <w:rPr>
          <w:rFonts w:ascii="Garamond" w:hAnsi="Garamond" w:cs="Times New Roman"/>
        </w:rPr>
        <w:t xml:space="preserve"> (2002), an important case </w:t>
      </w:r>
      <w:r w:rsidR="009C5DE3" w:rsidRPr="00C05D6B">
        <w:rPr>
          <w:rFonts w:ascii="Garamond" w:hAnsi="Garamond" w:cs="Times New Roman"/>
        </w:rPr>
        <w:t>in which</w:t>
      </w:r>
      <w:r w:rsidR="009B58C3" w:rsidRPr="00C05D6B">
        <w:rPr>
          <w:rFonts w:ascii="Garamond" w:hAnsi="Garamond" w:cs="Times New Roman"/>
        </w:rPr>
        <w:t xml:space="preserve"> the</w:t>
      </w:r>
      <w:r w:rsidR="009C5DE3" w:rsidRPr="00C05D6B">
        <w:rPr>
          <w:rFonts w:ascii="Garamond" w:hAnsi="Garamond" w:cs="Times New Roman"/>
        </w:rPr>
        <w:t xml:space="preserve"> </w:t>
      </w:r>
      <w:r w:rsidRPr="00C05D6B">
        <w:rPr>
          <w:rFonts w:ascii="Garamond" w:hAnsi="Garamond" w:cs="Times New Roman"/>
        </w:rPr>
        <w:t>Court held that the Family Educational Rights and Privacy Act</w:t>
      </w:r>
      <w:r w:rsidR="0042306D" w:rsidRPr="00C05D6B">
        <w:rPr>
          <w:rFonts w:ascii="Garamond" w:hAnsi="Garamond" w:cs="Times New Roman"/>
        </w:rPr>
        <w:fldChar w:fldCharType="begin"/>
      </w:r>
      <w:r w:rsidR="0042306D" w:rsidRPr="00C05D6B">
        <w:rPr>
          <w:rFonts w:ascii="Garamond" w:hAnsi="Garamond"/>
        </w:rPr>
        <w:instrText xml:space="preserve"> TA \l "</w:instrText>
      </w:r>
      <w:r w:rsidR="0042306D" w:rsidRPr="00C05D6B">
        <w:rPr>
          <w:rFonts w:ascii="Garamond" w:hAnsi="Garamond" w:cs="Times New Roman"/>
        </w:rPr>
        <w:instrText>Family Educational Rights and Privacy Act</w:instrText>
      </w:r>
      <w:r w:rsidR="0042306D" w:rsidRPr="00C05D6B">
        <w:rPr>
          <w:rFonts w:ascii="Garamond" w:hAnsi="Garamond"/>
        </w:rPr>
        <w:instrText xml:space="preserve">" \s "Family Educational Rights and Privacy Act" \c 2 </w:instrText>
      </w:r>
      <w:r w:rsidR="0042306D" w:rsidRPr="00C05D6B">
        <w:rPr>
          <w:rFonts w:ascii="Garamond" w:hAnsi="Garamond" w:cs="Times New Roman"/>
        </w:rPr>
        <w:fldChar w:fldCharType="end"/>
      </w:r>
      <w:r w:rsidRPr="00C05D6B">
        <w:rPr>
          <w:rFonts w:ascii="Garamond" w:hAnsi="Garamond" w:cs="Times New Roman"/>
        </w:rPr>
        <w:t xml:space="preserve"> (FERPA) did not create enforceable rights. That law instructs federally funded educational facilities to create policies and procedures to protect students’ private information. Failure to comply can result in the withdrawal of funds. The Court explained in </w:t>
      </w:r>
      <w:r w:rsidRPr="00C05D6B">
        <w:rPr>
          <w:rFonts w:ascii="Garamond" w:hAnsi="Garamond" w:cs="Times New Roman"/>
          <w:i/>
          <w:iCs/>
        </w:rPr>
        <w:t>Gonzaga</w:t>
      </w:r>
      <w:r w:rsidRPr="00C05D6B">
        <w:rPr>
          <w:rFonts w:ascii="Garamond" w:hAnsi="Garamond" w:cs="Times New Roman"/>
        </w:rPr>
        <w:t>:</w:t>
      </w:r>
    </w:p>
    <w:p w14:paraId="29FA7A98" w14:textId="77777777" w:rsidR="003125BF" w:rsidRPr="00C05D6B" w:rsidRDefault="003125BF" w:rsidP="003125BF">
      <w:pPr>
        <w:rPr>
          <w:rFonts w:ascii="Garamond" w:hAnsi="Garamond" w:cs="Times New Roman"/>
        </w:rPr>
      </w:pPr>
    </w:p>
    <w:p w14:paraId="093DD6E3" w14:textId="77777777" w:rsidR="003125BF" w:rsidRPr="00C05D6B" w:rsidRDefault="003125BF" w:rsidP="003125BF">
      <w:pPr>
        <w:ind w:left="1440" w:right="1440"/>
        <w:rPr>
          <w:rFonts w:ascii="Garamond" w:hAnsi="Garamond" w:cs="Times New Roman"/>
        </w:rPr>
      </w:pPr>
      <w:r w:rsidRPr="00C05D6B">
        <w:rPr>
          <w:rFonts w:ascii="Garamond" w:hAnsi="Garamond" w:cs="Times New Roman"/>
        </w:rPr>
        <w:t>[T]here is no question that FERPA’s nondisclosure provisions fail to confer enforceable rights. To begin with, the provisions entirely lack the sort of “rights-creating” language critical to showing the requisite congressional intent to create new rights. Unlike the individually focused terminology of [the Civil Rights Act of 1964] (“no person shall be subjected to discrimination”), FERPA’s provisions speak only to the Secretary of Education, directing that “no funds shall be made available” to any “educational agency or institution” which has a prohibited “policy or practice.” This focus is two steps removed from the interests of individual students and parents and clearly does not confer the sort of “individual entitlement” that is enforceable under §</w:t>
      </w:r>
      <w:r w:rsidRPr="00C05D6B">
        <w:rPr>
          <w:rFonts w:ascii="Times New Roman" w:hAnsi="Times New Roman" w:cs="Times New Roman"/>
        </w:rPr>
        <w:t> </w:t>
      </w:r>
      <w:r w:rsidRPr="00C05D6B">
        <w:rPr>
          <w:rFonts w:ascii="Garamond" w:hAnsi="Garamond" w:cs="Times New Roman"/>
        </w:rPr>
        <w:t>1983.</w:t>
      </w:r>
    </w:p>
    <w:p w14:paraId="246988C0" w14:textId="77777777" w:rsidR="003125BF" w:rsidRPr="00C05D6B" w:rsidRDefault="003125BF" w:rsidP="003125BF">
      <w:pPr>
        <w:ind w:left="1440" w:right="1440"/>
        <w:rPr>
          <w:rFonts w:ascii="Garamond" w:hAnsi="Garamond" w:cs="Times New Roman"/>
        </w:rPr>
      </w:pPr>
    </w:p>
    <w:p w14:paraId="7FAFEFC2" w14:textId="67B6AF4F" w:rsidR="003125BF" w:rsidRPr="00C05D6B" w:rsidRDefault="003125BF" w:rsidP="00EA24A1">
      <w:pPr>
        <w:ind w:left="1440" w:right="1440"/>
        <w:rPr>
          <w:rFonts w:ascii="Garamond" w:hAnsi="Garamond" w:cs="Times New Roman"/>
        </w:rPr>
      </w:pPr>
      <w:r w:rsidRPr="00C05D6B">
        <w:rPr>
          <w:rFonts w:ascii="Garamond" w:hAnsi="Garamond" w:cs="Times New Roman"/>
        </w:rPr>
        <w:t xml:space="preserve">[FERPA’s] nondisclosure provisions further speak only in terms of institutional policy and practice, not individual instances of disclosure. </w:t>
      </w:r>
      <w:r w:rsidRPr="00C05D6B">
        <w:rPr>
          <w:rFonts w:ascii="Garamond" w:hAnsi="Garamond" w:cs="Times New Roman"/>
          <w:i/>
          <w:iCs/>
        </w:rPr>
        <w:t>See</w:t>
      </w:r>
      <w:r w:rsidRPr="00C05D6B">
        <w:rPr>
          <w:rFonts w:ascii="Garamond" w:hAnsi="Garamond" w:cs="Times New Roman"/>
        </w:rPr>
        <w:t xml:space="preserve"> </w:t>
      </w:r>
      <w:r w:rsidR="00503568" w:rsidRPr="00C05D6B">
        <w:rPr>
          <w:rFonts w:ascii="Garamond" w:hAnsi="Garamond" w:cs="Times New Roman"/>
        </w:rPr>
        <w:t xml:space="preserve">§ </w:t>
      </w:r>
      <w:r w:rsidRPr="00C05D6B">
        <w:rPr>
          <w:rFonts w:ascii="Garamond" w:hAnsi="Garamond" w:cs="Times New Roman"/>
        </w:rPr>
        <w:t>1232g(b)(1)–(2) (prohibiting the funding of “any educational agency or institution which has a policy or practice of permitting the release of education records</w:t>
      </w:r>
      <w:r w:rsidR="005623FE" w:rsidRPr="00C05D6B">
        <w:rPr>
          <w:rFonts w:ascii="Garamond" w:hAnsi="Garamond" w:cs="Times New Roman"/>
        </w:rPr>
        <w:t>.</w:t>
      </w:r>
      <w:r w:rsidRPr="00C05D6B">
        <w:rPr>
          <w:rFonts w:ascii="Garamond" w:hAnsi="Garamond" w:cs="Times New Roman"/>
        </w:rPr>
        <w:t>”</w:t>
      </w:r>
      <w:r w:rsidR="005623FE" w:rsidRPr="00C05D6B">
        <w:rPr>
          <w:rFonts w:ascii="Garamond" w:hAnsi="Garamond" w:cs="Times New Roman"/>
        </w:rPr>
        <w:t>)</w:t>
      </w:r>
      <w:r w:rsidRPr="00C05D6B">
        <w:rPr>
          <w:rFonts w:ascii="Garamond" w:hAnsi="Garamond" w:cs="Times New Roman"/>
        </w:rPr>
        <w:t xml:space="preserve"> Therefore, [they] have an “aggregate” focus, they are not concerned with “whether the needs of any particular person have been satisfied,” and they cannot “give rise to individual rights.” Recipient institutions can further avoid termination of funding so long as they “comply substantially” with the Act’s [requirements]</w:t>
      </w:r>
      <w:r w:rsidR="00EA24A1" w:rsidRPr="00C05D6B">
        <w:rPr>
          <w:rFonts w:ascii="Garamond" w:hAnsi="Garamond" w:cs="Times New Roman"/>
        </w:rPr>
        <w:t>.</w:t>
      </w:r>
    </w:p>
    <w:p w14:paraId="7F9AFF1F" w14:textId="77777777" w:rsidR="00681FCA" w:rsidRPr="00C05D6B" w:rsidRDefault="00681FCA" w:rsidP="00681FCA">
      <w:pPr>
        <w:ind w:right="1440"/>
        <w:rPr>
          <w:rFonts w:ascii="Garamond" w:hAnsi="Garamond" w:cs="Times New Roman"/>
        </w:rPr>
      </w:pPr>
    </w:p>
    <w:p w14:paraId="419A67BD" w14:textId="492E63E8" w:rsidR="00E86C63" w:rsidRPr="00C05D6B" w:rsidRDefault="00681FCA" w:rsidP="009B1076">
      <w:pPr>
        <w:rPr>
          <w:rFonts w:ascii="Garamond" w:hAnsi="Garamond" w:cs="Times New Roman"/>
        </w:rPr>
      </w:pPr>
      <w:r w:rsidRPr="00C05D6B">
        <w:rPr>
          <w:rFonts w:ascii="Garamond" w:hAnsi="Garamond" w:cs="Times New Roman"/>
        </w:rPr>
        <w:tab/>
        <w:t>The Court returned to the question of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enforcement in </w:t>
      </w:r>
      <w:r w:rsidR="00D90530" w:rsidRPr="00C05D6B">
        <w:rPr>
          <w:rFonts w:ascii="Garamond" w:hAnsi="Garamond" w:cs="Times New Roman"/>
        </w:rPr>
        <w:t>Medina v. Planned Parenthood South Atlantic</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Medina v. Planned Parenthood South Atlantic</w:instrText>
      </w:r>
      <w:r w:rsidR="00DE0601" w:rsidRPr="00C05D6B">
        <w:rPr>
          <w:rFonts w:ascii="Garamond" w:hAnsi="Garamond"/>
        </w:rPr>
        <w:instrText xml:space="preserve">" \s "Medina v. Planned Parenthood South Atlantic" \c 1 </w:instrText>
      </w:r>
      <w:r w:rsidR="00DE0601" w:rsidRPr="00C05D6B">
        <w:rPr>
          <w:rFonts w:ascii="Garamond" w:hAnsi="Garamond" w:cs="Times New Roman"/>
        </w:rPr>
        <w:fldChar w:fldCharType="end"/>
      </w:r>
      <w:r w:rsidR="00D90530" w:rsidRPr="00C05D6B">
        <w:rPr>
          <w:rFonts w:ascii="Garamond" w:hAnsi="Garamond" w:cs="Times New Roman"/>
        </w:rPr>
        <w:t xml:space="preserve"> (2025), which held that Planned Parenthood and one of its patients could not sue a South Carolina official to enforce Medicaid’s requirement of coverage for any qualified provider. The Court reasoned that the </w:t>
      </w:r>
      <w:r w:rsidR="00B35186" w:rsidRPr="00C05D6B">
        <w:rPr>
          <w:rFonts w:ascii="Garamond" w:hAnsi="Garamond" w:cs="Times New Roman"/>
        </w:rPr>
        <w:t xml:space="preserve">relevant </w:t>
      </w:r>
      <w:r w:rsidR="00D90530" w:rsidRPr="00C05D6B">
        <w:rPr>
          <w:rFonts w:ascii="Garamond" w:hAnsi="Garamond" w:cs="Times New Roman"/>
        </w:rPr>
        <w:t>Medicaid provision</w:t>
      </w:r>
      <w:r w:rsidR="00B35186" w:rsidRPr="00C05D6B">
        <w:rPr>
          <w:rFonts w:ascii="Garamond" w:hAnsi="Garamond" w:cs="Times New Roman"/>
        </w:rPr>
        <w:t xml:space="preserve"> </w:t>
      </w:r>
      <w:r w:rsidR="00D90530" w:rsidRPr="00C05D6B">
        <w:rPr>
          <w:rFonts w:ascii="Garamond" w:hAnsi="Garamond" w:cs="Times New Roman"/>
        </w:rPr>
        <w:t xml:space="preserve">did not clearly and unambiguously create an enforceable individual right. Generally, the Court opined, Spending Clause statutes like Medicaid do not create judicially enforceable individual rights because they are contracts between the states and the federal government. The typical remedy therefore should be funding cutoffs or other actions by the federal government. Unlike the provision at issue in </w:t>
      </w:r>
      <w:proofErr w:type="spellStart"/>
      <w:r w:rsidR="00D90530" w:rsidRPr="00C05D6B">
        <w:rPr>
          <w:rFonts w:ascii="Garamond" w:hAnsi="Garamond" w:cs="Times New Roman"/>
          <w:i/>
          <w:iCs/>
        </w:rPr>
        <w:t>Talevski</w:t>
      </w:r>
      <w:proofErr w:type="spellEnd"/>
      <w:r w:rsidR="00D90530" w:rsidRPr="00C05D6B">
        <w:rPr>
          <w:rFonts w:ascii="Garamond" w:hAnsi="Garamond" w:cs="Times New Roman"/>
        </w:rPr>
        <w:t>, the any-qualified-provider Medicaid provision did not have “rights-creating language.” It imposed an obligation but did not create a right when it stated that Medicaid plans must “provide that . . . any individual eligible for medical assistance . . . may obtain such assistance from any . . . qualified” provider. Justice Jackson’s dissent argued that the majority had clearly misinterpreted the statute, which plainly referred to “any individual” and thus created an individual right enforceable against a state official through a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00D90530" w:rsidRPr="00C05D6B">
        <w:rPr>
          <w:rFonts w:ascii="Garamond" w:hAnsi="Garamond" w:cs="Times New Roman"/>
        </w:rPr>
        <w:t xml:space="preserve"> suit. In her dissent, Justice Jackson emphasized the history and importance of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00D90530" w:rsidRPr="00C05D6B">
        <w:rPr>
          <w:rFonts w:ascii="Garamond" w:hAnsi="Garamond" w:cs="Times New Roman"/>
        </w:rPr>
        <w:t xml:space="preserve"> as a means to hold state officials accountable to federal law and warned that the Court was continuing to cut back on the practical effectiveness of this landmark civil rights statute. </w:t>
      </w:r>
    </w:p>
    <w:p w14:paraId="3FD2B9FD" w14:textId="77777777" w:rsidR="00E86C63" w:rsidRPr="00C05D6B" w:rsidRDefault="00E86C63" w:rsidP="009B1076">
      <w:pPr>
        <w:rPr>
          <w:rFonts w:ascii="Garamond" w:hAnsi="Garamond" w:cs="Times New Roman"/>
        </w:rPr>
      </w:pPr>
    </w:p>
    <w:p w14:paraId="31DF2C9E" w14:textId="0566B02E" w:rsidR="00617A6E" w:rsidRPr="00C05D6B" w:rsidRDefault="00617A6E" w:rsidP="000B38A4">
      <w:pPr>
        <w:rPr>
          <w:rStyle w:val="s1"/>
          <w:rFonts w:ascii="Garamond" w:hAnsi="Garamond" w:cs="Times New Roman"/>
          <w:sz w:val="24"/>
          <w:szCs w:val="24"/>
        </w:rPr>
      </w:pPr>
      <w:r w:rsidRPr="00C05D6B">
        <w:rPr>
          <w:rFonts w:ascii="Garamond" w:hAnsi="Garamond" w:cs="Times New Roman"/>
        </w:rPr>
        <w:tab/>
        <w:t>In a very different context, the Cour</w:t>
      </w:r>
      <w:r w:rsidR="00E86C63" w:rsidRPr="00C05D6B">
        <w:rPr>
          <w:rFonts w:ascii="Garamond" w:hAnsi="Garamond" w:cs="Times New Roman"/>
        </w:rPr>
        <w:t>t</w:t>
      </w:r>
      <w:r w:rsidRPr="00C05D6B">
        <w:rPr>
          <w:rFonts w:ascii="Garamond" w:hAnsi="Garamond" w:cs="Times New Roman"/>
        </w:rPr>
        <w:t xml:space="preserve"> in Landor v. Louisiana Department of Corrections</w:t>
      </w:r>
      <w:r w:rsidR="0042306D" w:rsidRPr="00C05D6B">
        <w:rPr>
          <w:rFonts w:ascii="Garamond" w:hAnsi="Garamond" w:cs="Times New Roman"/>
        </w:rPr>
        <w:fldChar w:fldCharType="begin"/>
      </w:r>
      <w:r w:rsidR="0042306D" w:rsidRPr="00C05D6B">
        <w:rPr>
          <w:rFonts w:ascii="Garamond" w:hAnsi="Garamond"/>
        </w:rPr>
        <w:instrText xml:space="preserve"> TA \l "</w:instrText>
      </w:r>
      <w:r w:rsidR="0042306D" w:rsidRPr="00C05D6B">
        <w:rPr>
          <w:rFonts w:ascii="Garamond" w:hAnsi="Garamond" w:cs="Times New Roman"/>
        </w:rPr>
        <w:instrText>Landor v. Louisiana Department of Corrections</w:instrText>
      </w:r>
      <w:r w:rsidR="0042306D" w:rsidRPr="00C05D6B">
        <w:rPr>
          <w:rFonts w:ascii="Garamond" w:hAnsi="Garamond"/>
        </w:rPr>
        <w:instrText xml:space="preserve">" \s "Landor v. Louisiana Department of Corrections" \c 1 </w:instrText>
      </w:r>
      <w:r w:rsidR="0042306D" w:rsidRPr="00C05D6B">
        <w:rPr>
          <w:rFonts w:ascii="Garamond" w:hAnsi="Garamond" w:cs="Times New Roman"/>
        </w:rPr>
        <w:fldChar w:fldCharType="end"/>
      </w:r>
      <w:r w:rsidR="00B73D2A" w:rsidRPr="00C05D6B">
        <w:rPr>
          <w:rFonts w:ascii="Garamond" w:hAnsi="Garamond" w:cs="Times New Roman"/>
        </w:rPr>
        <w:t xml:space="preserve"> (2026)</w:t>
      </w:r>
      <w:r w:rsidR="00E86C63" w:rsidRPr="00C05D6B">
        <w:rPr>
          <w:rFonts w:ascii="Garamond" w:hAnsi="Garamond" w:cs="Times New Roman"/>
        </w:rPr>
        <w:t xml:space="preserve"> </w:t>
      </w:r>
      <w:r w:rsidRPr="00C05D6B">
        <w:rPr>
          <w:rFonts w:ascii="Garamond" w:hAnsi="Garamond" w:cs="Times New Roman"/>
        </w:rPr>
        <w:t xml:space="preserve">held that government officials cannot be sued for money damages for violating </w:t>
      </w:r>
      <w:r w:rsidR="00E86C63" w:rsidRPr="00C05D6B">
        <w:rPr>
          <w:rFonts w:ascii="Garamond" w:hAnsi="Garamond" w:cs="Times New Roman"/>
        </w:rPr>
        <w:t>the Religious Land Use and Institutionalized Persons Act</w:t>
      </w:r>
      <w:r w:rsidR="0042306D" w:rsidRPr="00C05D6B">
        <w:rPr>
          <w:rFonts w:ascii="Garamond" w:hAnsi="Garamond" w:cs="Times New Roman"/>
        </w:rPr>
        <w:fldChar w:fldCharType="begin"/>
      </w:r>
      <w:r w:rsidR="0042306D" w:rsidRPr="00C05D6B">
        <w:rPr>
          <w:rFonts w:ascii="Garamond" w:hAnsi="Garamond"/>
        </w:rPr>
        <w:instrText xml:space="preserve"> TA \l "</w:instrText>
      </w:r>
      <w:r w:rsidR="0042306D" w:rsidRPr="00C05D6B">
        <w:rPr>
          <w:rFonts w:ascii="Garamond" w:hAnsi="Garamond" w:cs="Times New Roman"/>
        </w:rPr>
        <w:instrText>Religious Land Use and Institutionalized Persons Act</w:instrText>
      </w:r>
      <w:r w:rsidR="0042306D" w:rsidRPr="00C05D6B">
        <w:rPr>
          <w:rFonts w:ascii="Garamond" w:hAnsi="Garamond"/>
        </w:rPr>
        <w:instrText xml:space="preserve">" \s "Religious Land Use and Institutionalized Persons Act" \c 2 </w:instrText>
      </w:r>
      <w:r w:rsidR="0042306D" w:rsidRPr="00C05D6B">
        <w:rPr>
          <w:rFonts w:ascii="Garamond" w:hAnsi="Garamond" w:cs="Times New Roman"/>
        </w:rPr>
        <w:fldChar w:fldCharType="end"/>
      </w:r>
      <w:r w:rsidR="00E86C63" w:rsidRPr="00C05D6B">
        <w:rPr>
          <w:rFonts w:ascii="Garamond" w:hAnsi="Garamond" w:cs="Times New Roman"/>
        </w:rPr>
        <w:t>.</w:t>
      </w:r>
      <w:r w:rsidR="00E86C63" w:rsidRPr="00C05D6B">
        <w:rPr>
          <w:rStyle w:val="FootnoteReference"/>
          <w:rFonts w:ascii="Garamond" w:hAnsi="Garamond" w:cs="Times New Roman"/>
        </w:rPr>
        <w:footnoteReference w:id="4"/>
      </w:r>
      <w:r w:rsidR="00E86C63" w:rsidRPr="00C05D6B">
        <w:rPr>
          <w:rFonts w:ascii="Garamond" w:hAnsi="Garamond" w:cs="Times New Roman"/>
        </w:rPr>
        <w:t xml:space="preserve">  </w:t>
      </w:r>
      <w:r w:rsidRPr="00C05D6B">
        <w:rPr>
          <w:rFonts w:ascii="Garamond" w:hAnsi="Garamond" w:cs="Times New Roman"/>
        </w:rPr>
        <w:t>Damon Landor is a Rastafarian whose religious convictions require him to leave his hair uncut. He was imprisoned in Louisiana and near the end of his sentence he was transferred to a different prison. The guards there went to cut his hair.</w:t>
      </w:r>
      <w:r w:rsidR="000B38A4" w:rsidRPr="00C05D6B">
        <w:rPr>
          <w:rFonts w:ascii="Garamond" w:hAnsi="Garamond" w:cs="Times New Roman"/>
        </w:rPr>
        <w:t xml:space="preserve"> </w:t>
      </w:r>
      <w:r w:rsidRPr="00C05D6B">
        <w:rPr>
          <w:rFonts w:ascii="Garamond" w:hAnsi="Garamond" w:cs="Times New Roman"/>
        </w:rPr>
        <w:t>Previously, though, the United States Court of Appeals for the Fifth Circuit had expressly ruled that a federal statute</w:t>
      </w:r>
      <w:r w:rsidR="000B38A4" w:rsidRPr="00C05D6B">
        <w:rPr>
          <w:rFonts w:ascii="Garamond" w:hAnsi="Garamond" w:cs="Times New Roman"/>
        </w:rPr>
        <w:t>—</w:t>
      </w:r>
      <w:r w:rsidRPr="00C05D6B">
        <w:rPr>
          <w:rFonts w:ascii="Garamond" w:hAnsi="Garamond" w:cs="Times New Roman"/>
        </w:rPr>
        <w:t>the Religious Land Use and Institutionalized Persons Act</w:t>
      </w:r>
      <w:r w:rsidR="0042306D" w:rsidRPr="00C05D6B">
        <w:rPr>
          <w:rFonts w:ascii="Garamond" w:hAnsi="Garamond" w:cs="Times New Roman"/>
        </w:rPr>
        <w:fldChar w:fldCharType="begin"/>
      </w:r>
      <w:r w:rsidR="0042306D" w:rsidRPr="00C05D6B">
        <w:rPr>
          <w:rFonts w:ascii="Garamond" w:hAnsi="Garamond"/>
        </w:rPr>
        <w:instrText xml:space="preserve"> TA \s "Religious Land Use and Institutionalized Persons Act" </w:instrText>
      </w:r>
      <w:r w:rsidR="0042306D" w:rsidRPr="00C05D6B">
        <w:rPr>
          <w:rFonts w:ascii="Garamond" w:hAnsi="Garamond" w:cs="Times New Roman"/>
        </w:rPr>
        <w:fldChar w:fldCharType="end"/>
      </w:r>
      <w:r w:rsidR="000B38A4" w:rsidRPr="00C05D6B">
        <w:rPr>
          <w:rFonts w:ascii="Garamond" w:hAnsi="Garamond" w:cs="Times New Roman"/>
        </w:rPr>
        <w:t>—</w:t>
      </w:r>
      <w:r w:rsidRPr="00C05D6B">
        <w:rPr>
          <w:rFonts w:ascii="Garamond" w:hAnsi="Garamond" w:cs="Times New Roman"/>
        </w:rPr>
        <w:t>bars prisons from cutting Rastafarians’ hair.</w:t>
      </w:r>
      <w:r w:rsidR="000B38A4" w:rsidRPr="00C05D6B">
        <w:rPr>
          <w:rFonts w:ascii="Garamond" w:hAnsi="Garamond" w:cs="Times New Roman"/>
        </w:rPr>
        <w:t xml:space="preserve"> </w:t>
      </w:r>
      <w:r w:rsidRPr="00C05D6B">
        <w:rPr>
          <w:rFonts w:ascii="Garamond" w:hAnsi="Garamond" w:cs="Times New Roman"/>
        </w:rPr>
        <w:t>Landor had a copy of the Fifth Circuit’s opinion and gave it to the guards.   They threw it in the trash, forcibly held him down, and shaved his head.</w:t>
      </w:r>
      <w:r w:rsidRPr="00C05D6B">
        <w:rPr>
          <w:rStyle w:val="s1"/>
          <w:rFonts w:ascii="Garamond" w:eastAsia="Times New Roman" w:hAnsi="Garamond" w:cs="Times New Roman"/>
          <w:color w:val="000000"/>
          <w:sz w:val="24"/>
          <w:szCs w:val="24"/>
        </w:rPr>
        <w:t xml:space="preserve">  </w:t>
      </w:r>
    </w:p>
    <w:p w14:paraId="175BB411" w14:textId="77777777" w:rsidR="000B38A4" w:rsidRPr="00C05D6B" w:rsidRDefault="000B38A4" w:rsidP="000B38A4">
      <w:pPr>
        <w:rPr>
          <w:rStyle w:val="s1"/>
          <w:rFonts w:ascii="Garamond" w:eastAsia="Times New Roman" w:hAnsi="Garamond" w:cs="Times New Roman"/>
          <w:color w:val="000000"/>
          <w:sz w:val="24"/>
          <w:szCs w:val="24"/>
        </w:rPr>
      </w:pPr>
    </w:p>
    <w:p w14:paraId="59BF7F31" w14:textId="71213EDE" w:rsidR="00617A6E" w:rsidRPr="00C05D6B" w:rsidRDefault="00617A6E" w:rsidP="000B38A4">
      <w:pPr>
        <w:rPr>
          <w:rStyle w:val="s1"/>
          <w:rFonts w:ascii="Garamond" w:eastAsia="Times New Roman" w:hAnsi="Garamond" w:cs="Times New Roman"/>
          <w:color w:val="000000"/>
          <w:sz w:val="24"/>
          <w:szCs w:val="24"/>
        </w:rPr>
      </w:pPr>
      <w:r w:rsidRPr="00C05D6B">
        <w:rPr>
          <w:rStyle w:val="s1"/>
          <w:rFonts w:ascii="Garamond" w:eastAsia="Times New Roman" w:hAnsi="Garamond" w:cs="Times New Roman"/>
          <w:color w:val="000000"/>
          <w:sz w:val="24"/>
          <w:szCs w:val="24"/>
        </w:rPr>
        <w:tab/>
        <w:t>Landor sued under the Religious Land Use and Institutionalized Persons Act</w:t>
      </w:r>
      <w:r w:rsidR="0042306D" w:rsidRPr="00C05D6B">
        <w:rPr>
          <w:rStyle w:val="s1"/>
          <w:rFonts w:ascii="Garamond" w:eastAsia="Times New Roman" w:hAnsi="Garamond" w:cs="Times New Roman"/>
          <w:color w:val="000000"/>
          <w:sz w:val="24"/>
          <w:szCs w:val="24"/>
        </w:rPr>
        <w:fldChar w:fldCharType="begin"/>
      </w:r>
      <w:r w:rsidR="0042306D" w:rsidRPr="00C05D6B">
        <w:rPr>
          <w:rFonts w:ascii="Garamond" w:hAnsi="Garamond"/>
        </w:rPr>
        <w:instrText xml:space="preserve"> TA \s "Religious Land Use and Institutionalized Persons Act" </w:instrText>
      </w:r>
      <w:r w:rsidR="0042306D" w:rsidRPr="00C05D6B">
        <w:rPr>
          <w:rStyle w:val="s1"/>
          <w:rFonts w:ascii="Garamond" w:eastAsia="Times New Roman" w:hAnsi="Garamond" w:cs="Times New Roman"/>
          <w:color w:val="000000"/>
          <w:sz w:val="24"/>
          <w:szCs w:val="24"/>
        </w:rPr>
        <w:fldChar w:fldCharType="end"/>
      </w:r>
      <w:r w:rsidRPr="00C05D6B">
        <w:rPr>
          <w:rStyle w:val="s1"/>
          <w:rFonts w:ascii="Garamond" w:eastAsia="Times New Roman" w:hAnsi="Garamond" w:cs="Times New Roman"/>
          <w:color w:val="000000"/>
          <w:sz w:val="24"/>
          <w:szCs w:val="24"/>
        </w:rPr>
        <w:t xml:space="preserve"> (RLUIPA), which says that state and local governments that receive federal funds for their prisons and jails cannot infringe a person’s religious beliefs unless the action is necessary to achieve a compelling government purpose. No one disagreed that the Louisiana prison guards blatantly violated this law.  The issue was whether Landor could sue the prison guards under RLUIPA</w:t>
      </w:r>
      <w:r w:rsidR="0042306D" w:rsidRPr="00C05D6B">
        <w:rPr>
          <w:rStyle w:val="s1"/>
          <w:rFonts w:ascii="Garamond" w:eastAsia="Times New Roman" w:hAnsi="Garamond" w:cs="Times New Roman"/>
          <w:color w:val="000000"/>
          <w:sz w:val="24"/>
          <w:szCs w:val="24"/>
        </w:rPr>
        <w:fldChar w:fldCharType="begin"/>
      </w:r>
      <w:r w:rsidR="0042306D" w:rsidRPr="00C05D6B">
        <w:rPr>
          <w:rFonts w:ascii="Garamond" w:hAnsi="Garamond"/>
        </w:rPr>
        <w:instrText xml:space="preserve"> TA \s "Religious Land Use and Institutionalized Persons Act" </w:instrText>
      </w:r>
      <w:r w:rsidR="0042306D" w:rsidRPr="00C05D6B">
        <w:rPr>
          <w:rStyle w:val="s1"/>
          <w:rFonts w:ascii="Garamond" w:eastAsia="Times New Roman" w:hAnsi="Garamond" w:cs="Times New Roman"/>
          <w:color w:val="000000"/>
          <w:sz w:val="24"/>
          <w:szCs w:val="24"/>
        </w:rPr>
        <w:fldChar w:fldCharType="end"/>
      </w:r>
      <w:r w:rsidRPr="00C05D6B">
        <w:rPr>
          <w:rStyle w:val="s1"/>
          <w:rFonts w:ascii="Garamond" w:eastAsia="Times New Roman" w:hAnsi="Garamond" w:cs="Times New Roman"/>
          <w:color w:val="000000"/>
          <w:sz w:val="24"/>
          <w:szCs w:val="24"/>
        </w:rPr>
        <w:t xml:space="preserve">, which authorizes courts to provide “appropriate relief.”  </w:t>
      </w:r>
    </w:p>
    <w:p w14:paraId="24B3724C" w14:textId="77777777" w:rsidR="000B38A4" w:rsidRPr="00C05D6B" w:rsidRDefault="000B38A4" w:rsidP="000B38A4">
      <w:pPr>
        <w:rPr>
          <w:rStyle w:val="s1"/>
          <w:rFonts w:ascii="Garamond" w:eastAsia="Times New Roman" w:hAnsi="Garamond" w:cs="Times New Roman"/>
          <w:color w:val="000000"/>
          <w:sz w:val="24"/>
          <w:szCs w:val="24"/>
        </w:rPr>
      </w:pPr>
    </w:p>
    <w:p w14:paraId="227F53D1" w14:textId="57A273C9" w:rsidR="00617A6E" w:rsidRPr="00C05D6B" w:rsidRDefault="00617A6E" w:rsidP="000B38A4">
      <w:pPr>
        <w:rPr>
          <w:rFonts w:ascii="Garamond" w:eastAsia="Times New Roman" w:hAnsi="Garamond" w:cs="Times New Roman"/>
          <w:color w:val="000000"/>
        </w:rPr>
      </w:pPr>
      <w:r w:rsidRPr="00C05D6B">
        <w:rPr>
          <w:rStyle w:val="s1"/>
          <w:rFonts w:ascii="Garamond" w:eastAsia="Times New Roman" w:hAnsi="Garamond" w:cs="Times New Roman"/>
          <w:color w:val="000000"/>
          <w:sz w:val="24"/>
          <w:szCs w:val="24"/>
        </w:rPr>
        <w:lastRenderedPageBreak/>
        <w:tab/>
        <w:t>The Supreme Court in a 6-3 decision held that there cannot be suits against individual government officials who violate the statute unless they consent to being sued. Justice Neil Gorsuch wrote for the Court and said that RLUIPA</w:t>
      </w:r>
      <w:r w:rsidR="0042306D" w:rsidRPr="00C05D6B">
        <w:rPr>
          <w:rStyle w:val="s1"/>
          <w:rFonts w:ascii="Garamond" w:eastAsia="Times New Roman" w:hAnsi="Garamond" w:cs="Times New Roman"/>
          <w:color w:val="000000"/>
          <w:sz w:val="24"/>
          <w:szCs w:val="24"/>
        </w:rPr>
        <w:fldChar w:fldCharType="begin"/>
      </w:r>
      <w:r w:rsidR="0042306D" w:rsidRPr="00C05D6B">
        <w:rPr>
          <w:rFonts w:ascii="Garamond" w:hAnsi="Garamond"/>
        </w:rPr>
        <w:instrText xml:space="preserve"> TA \s "Religious Land Use and Institutionalized Persons Act" </w:instrText>
      </w:r>
      <w:r w:rsidR="0042306D" w:rsidRPr="00C05D6B">
        <w:rPr>
          <w:rStyle w:val="s1"/>
          <w:rFonts w:ascii="Garamond" w:eastAsia="Times New Roman" w:hAnsi="Garamond" w:cs="Times New Roman"/>
          <w:color w:val="000000"/>
          <w:sz w:val="24"/>
          <w:szCs w:val="24"/>
        </w:rPr>
        <w:fldChar w:fldCharType="end"/>
      </w:r>
      <w:r w:rsidRPr="00C05D6B">
        <w:rPr>
          <w:rStyle w:val="s1"/>
          <w:rFonts w:ascii="Garamond" w:eastAsia="Times New Roman" w:hAnsi="Garamond" w:cs="Times New Roman"/>
          <w:color w:val="000000"/>
          <w:sz w:val="24"/>
          <w:szCs w:val="24"/>
        </w:rPr>
        <w:t xml:space="preserve"> is a federal spending program with conditions. He wrote that “to sort out whether consent exists—and thus whether a condition associated with spending legislation is enforceable—we have traditionally turned to contract principles for guidance.”  The Court said that the crucial question is whether the individual prison guards had consented to be sued under the Act.</w:t>
      </w:r>
      <w:r w:rsidR="000B38A4" w:rsidRPr="00C05D6B">
        <w:rPr>
          <w:rStyle w:val="s1"/>
          <w:rFonts w:ascii="Garamond" w:eastAsia="Times New Roman" w:hAnsi="Garamond" w:cs="Times New Roman"/>
          <w:color w:val="000000"/>
          <w:sz w:val="24"/>
          <w:szCs w:val="24"/>
        </w:rPr>
        <w:t xml:space="preserve"> I</w:t>
      </w:r>
      <w:r w:rsidRPr="00C05D6B">
        <w:rPr>
          <w:rStyle w:val="s1"/>
          <w:rFonts w:ascii="Garamond" w:eastAsia="Times New Roman" w:hAnsi="Garamond" w:cs="Times New Roman"/>
          <w:color w:val="000000"/>
          <w:sz w:val="24"/>
          <w:szCs w:val="24"/>
        </w:rPr>
        <w:t>t concluded: “And because they never agreed to answer suits like this one, Mr. Landor’s case cannot proceed against them any more than a breach of contract action might proceed against a defendant who never formed a contract</w:t>
      </w:r>
      <w:r w:rsidR="000B38A4" w:rsidRPr="00C05D6B">
        <w:rPr>
          <w:rStyle w:val="s1"/>
          <w:rFonts w:ascii="Garamond" w:eastAsia="Times New Roman" w:hAnsi="Garamond" w:cs="Times New Roman"/>
          <w:color w:val="000000"/>
          <w:sz w:val="24"/>
          <w:szCs w:val="24"/>
        </w:rPr>
        <w:t>.”</w:t>
      </w:r>
    </w:p>
    <w:p w14:paraId="7AE2C5D2" w14:textId="77777777" w:rsidR="000B38A4" w:rsidRPr="00C05D6B" w:rsidRDefault="000B38A4" w:rsidP="000B38A4">
      <w:pPr>
        <w:rPr>
          <w:rStyle w:val="s1"/>
          <w:rFonts w:ascii="Garamond" w:eastAsia="Times New Roman" w:hAnsi="Garamond" w:cs="Times New Roman"/>
          <w:color w:val="000000"/>
          <w:sz w:val="24"/>
          <w:szCs w:val="24"/>
        </w:rPr>
      </w:pPr>
    </w:p>
    <w:p w14:paraId="15BF048F" w14:textId="2DF0CB48" w:rsidR="00E86C63" w:rsidRPr="00C05D6B" w:rsidRDefault="00617A6E" w:rsidP="000B38A4">
      <w:pPr>
        <w:ind w:firstLine="720"/>
        <w:rPr>
          <w:rStyle w:val="s1"/>
          <w:rFonts w:ascii="Garamond" w:eastAsia="Times New Roman" w:hAnsi="Garamond" w:cs="Times New Roman"/>
          <w:color w:val="000000"/>
          <w:sz w:val="24"/>
          <w:szCs w:val="24"/>
        </w:rPr>
      </w:pPr>
      <w:r w:rsidRPr="00C05D6B">
        <w:rPr>
          <w:rStyle w:val="s1"/>
          <w:rFonts w:ascii="Garamond" w:eastAsia="Times New Roman" w:hAnsi="Garamond" w:cs="Times New Roman"/>
          <w:i/>
          <w:iCs/>
          <w:color w:val="000000"/>
          <w:sz w:val="24"/>
          <w:szCs w:val="24"/>
        </w:rPr>
        <w:t>Landor</w:t>
      </w:r>
      <w:r w:rsidRPr="00C05D6B">
        <w:rPr>
          <w:rStyle w:val="s1"/>
          <w:rFonts w:ascii="Garamond" w:eastAsia="Times New Roman" w:hAnsi="Garamond" w:cs="Times New Roman"/>
          <w:color w:val="000000"/>
          <w:sz w:val="24"/>
          <w:szCs w:val="24"/>
        </w:rPr>
        <w:t xml:space="preserve"> thus means that the conditions contained in the myriad of federal laws adopted under Congress’s spending power no longer can be enforced against individual government employees who violate their terms even when the statute authorizes such suits. </w:t>
      </w:r>
      <w:r w:rsidR="00E86C63" w:rsidRPr="00C05D6B">
        <w:rPr>
          <w:rStyle w:val="s1"/>
          <w:rFonts w:ascii="Garamond" w:eastAsia="Times New Roman" w:hAnsi="Garamond" w:cs="Times New Roman"/>
          <w:color w:val="000000"/>
          <w:sz w:val="24"/>
          <w:szCs w:val="24"/>
        </w:rPr>
        <w:t xml:space="preserve">Justice Jackson, in her dissent, strongly disagreed with seeing spending programs as contracts, and argued that Congress under the </w:t>
      </w:r>
      <w:r w:rsidR="00360949" w:rsidRPr="00C05D6B">
        <w:rPr>
          <w:rStyle w:val="s1"/>
          <w:rFonts w:ascii="Garamond" w:eastAsia="Times New Roman" w:hAnsi="Garamond" w:cs="Times New Roman"/>
          <w:color w:val="000000"/>
          <w:sz w:val="24"/>
          <w:szCs w:val="24"/>
        </w:rPr>
        <w:t>N</w:t>
      </w:r>
      <w:r w:rsidR="00E86C63" w:rsidRPr="00C05D6B">
        <w:rPr>
          <w:rStyle w:val="s1"/>
          <w:rFonts w:ascii="Garamond" w:eastAsia="Times New Roman" w:hAnsi="Garamond" w:cs="Times New Roman"/>
          <w:color w:val="000000"/>
          <w:sz w:val="24"/>
          <w:szCs w:val="24"/>
        </w:rPr>
        <w:t xml:space="preserve">ecessary and </w:t>
      </w:r>
      <w:r w:rsidR="00360949" w:rsidRPr="00C05D6B">
        <w:rPr>
          <w:rStyle w:val="s1"/>
          <w:rFonts w:ascii="Garamond" w:eastAsia="Times New Roman" w:hAnsi="Garamond" w:cs="Times New Roman"/>
          <w:color w:val="000000"/>
          <w:sz w:val="24"/>
          <w:szCs w:val="24"/>
        </w:rPr>
        <w:t>P</w:t>
      </w:r>
      <w:r w:rsidR="00E86C63" w:rsidRPr="00C05D6B">
        <w:rPr>
          <w:rStyle w:val="s1"/>
          <w:rFonts w:ascii="Garamond" w:eastAsia="Times New Roman" w:hAnsi="Garamond" w:cs="Times New Roman"/>
          <w:color w:val="000000"/>
          <w:sz w:val="24"/>
          <w:szCs w:val="24"/>
        </w:rPr>
        <w:t xml:space="preserve">roper </w:t>
      </w:r>
      <w:r w:rsidR="00360949" w:rsidRPr="00C05D6B">
        <w:rPr>
          <w:rStyle w:val="s1"/>
          <w:rFonts w:ascii="Garamond" w:eastAsia="Times New Roman" w:hAnsi="Garamond" w:cs="Times New Roman"/>
          <w:color w:val="000000"/>
          <w:sz w:val="24"/>
          <w:szCs w:val="24"/>
        </w:rPr>
        <w:t>C</w:t>
      </w:r>
      <w:r w:rsidR="00E86C63" w:rsidRPr="00C05D6B">
        <w:rPr>
          <w:rStyle w:val="s1"/>
          <w:rFonts w:ascii="Garamond" w:eastAsia="Times New Roman" w:hAnsi="Garamond" w:cs="Times New Roman"/>
          <w:color w:val="000000"/>
          <w:sz w:val="24"/>
          <w:szCs w:val="24"/>
        </w:rPr>
        <w:t>lause should be able to authorize remedies.</w:t>
      </w:r>
    </w:p>
    <w:p w14:paraId="7E06337E" w14:textId="77777777" w:rsidR="00617A6E" w:rsidRPr="00C05D6B" w:rsidRDefault="00617A6E" w:rsidP="009B1076">
      <w:pPr>
        <w:rPr>
          <w:rFonts w:ascii="Garamond" w:hAnsi="Garamond" w:cs="Times New Roman"/>
        </w:rPr>
      </w:pPr>
    </w:p>
    <w:p w14:paraId="44D9C747" w14:textId="20E717BF" w:rsidR="000E0D4E" w:rsidRPr="00C05D6B" w:rsidRDefault="000B38A4" w:rsidP="009B1076">
      <w:pPr>
        <w:rPr>
          <w:rFonts w:ascii="Garamond" w:eastAsia="Times New Roman" w:hAnsi="Garamond" w:cs="Times New Roman"/>
          <w:b/>
          <w:bCs/>
        </w:rPr>
      </w:pPr>
      <w:r w:rsidRPr="00C05D6B">
        <w:rPr>
          <w:rFonts w:ascii="Garamond" w:eastAsia="Times New Roman" w:hAnsi="Garamond" w:cs="Times New Roman"/>
          <w:b/>
          <w:bCs/>
        </w:rPr>
        <w:t>(CB, p. 626)</w:t>
      </w:r>
    </w:p>
    <w:p w14:paraId="5B8C1E46" w14:textId="77777777" w:rsidR="000B38A4" w:rsidRPr="00C05D6B" w:rsidRDefault="000B38A4" w:rsidP="009B1076">
      <w:pPr>
        <w:rPr>
          <w:rFonts w:ascii="Garamond" w:hAnsi="Garamond" w:cs="Times New Roman"/>
        </w:rPr>
      </w:pPr>
    </w:p>
    <w:p w14:paraId="342F4A15" w14:textId="5E3C0FE3" w:rsidR="000E0D4E" w:rsidRPr="00C05D6B" w:rsidRDefault="000E0D4E" w:rsidP="000B38A4">
      <w:pPr>
        <w:rPr>
          <w:rFonts w:ascii="Garamond" w:eastAsia="Times New Roman" w:hAnsi="Garamond" w:cs="Times New Roman"/>
          <w:iCs/>
        </w:rPr>
      </w:pPr>
      <w:r w:rsidRPr="00C05D6B">
        <w:rPr>
          <w:rFonts w:ascii="Garamond" w:hAnsi="Garamond" w:cs="Times New Roman"/>
        </w:rPr>
        <w:tab/>
      </w:r>
      <w:r w:rsidRPr="00C05D6B">
        <w:rPr>
          <w:rFonts w:ascii="Garamond" w:hAnsi="Garamond" w:cs="Times New Roman"/>
          <w:i/>
          <w:iCs/>
        </w:rPr>
        <w:t>Sosa v. Alvarez-</w:t>
      </w:r>
      <w:proofErr w:type="spellStart"/>
      <w:r w:rsidRPr="00C05D6B">
        <w:rPr>
          <w:rFonts w:ascii="Garamond" w:hAnsi="Garamond" w:cs="Times New Roman"/>
          <w:i/>
          <w:iCs/>
        </w:rPr>
        <w:t>Machain</w:t>
      </w:r>
      <w:proofErr w:type="spellEnd"/>
      <w:r w:rsidRPr="00C05D6B">
        <w:rPr>
          <w:rFonts w:ascii="Garamond" w:hAnsi="Garamond" w:cs="Times New Roman"/>
        </w:rPr>
        <w:t xml:space="preserve"> (</w:t>
      </w:r>
      <w:r w:rsidR="000B38A4" w:rsidRPr="00C05D6B">
        <w:rPr>
          <w:rFonts w:ascii="Garamond" w:hAnsi="Garamond" w:cs="Times New Roman"/>
        </w:rPr>
        <w:t>CB</w:t>
      </w:r>
      <w:r w:rsidRPr="00C05D6B">
        <w:rPr>
          <w:rFonts w:ascii="Garamond" w:hAnsi="Garamond" w:cs="Times New Roman"/>
        </w:rPr>
        <w:t>, p. 626), recognized federal court jurisdiction to hear claims under the Alien Tort Statute</w:t>
      </w:r>
      <w:r w:rsidR="0042306D" w:rsidRPr="00C05D6B">
        <w:rPr>
          <w:rFonts w:ascii="Garamond" w:hAnsi="Garamond" w:cs="Times New Roman"/>
        </w:rPr>
        <w:fldChar w:fldCharType="begin"/>
      </w:r>
      <w:r w:rsidR="0042306D" w:rsidRPr="00C05D6B">
        <w:rPr>
          <w:rFonts w:ascii="Garamond" w:hAnsi="Garamond"/>
        </w:rPr>
        <w:instrText xml:space="preserve"> TA \l "</w:instrText>
      </w:r>
      <w:r w:rsidR="0042306D" w:rsidRPr="00C05D6B">
        <w:rPr>
          <w:rFonts w:ascii="Garamond" w:hAnsi="Garamond" w:cs="Times New Roman"/>
        </w:rPr>
        <w:instrText>Alien Tort Statute</w:instrText>
      </w:r>
      <w:r w:rsidR="0042306D" w:rsidRPr="00C05D6B">
        <w:rPr>
          <w:rFonts w:ascii="Garamond" w:hAnsi="Garamond"/>
        </w:rPr>
        <w:instrText xml:space="preserve">" \s "Alien Tort Statute" \c 2 </w:instrText>
      </w:r>
      <w:r w:rsidR="0042306D" w:rsidRPr="00C05D6B">
        <w:rPr>
          <w:rFonts w:ascii="Garamond" w:hAnsi="Garamond" w:cs="Times New Roman"/>
        </w:rPr>
        <w:fldChar w:fldCharType="end"/>
      </w:r>
      <w:r w:rsidRPr="00C05D6B">
        <w:rPr>
          <w:rFonts w:ascii="Garamond" w:hAnsi="Garamond" w:cs="Times New Roman"/>
        </w:rPr>
        <w:t>.</w:t>
      </w:r>
      <w:r w:rsidR="000B38A4" w:rsidRPr="00C05D6B">
        <w:rPr>
          <w:rFonts w:ascii="Garamond" w:hAnsi="Garamond" w:cs="Times New Roman"/>
        </w:rPr>
        <w:t xml:space="preserve"> </w:t>
      </w:r>
      <w:r w:rsidRPr="00C05D6B">
        <w:rPr>
          <w:rFonts w:ascii="Garamond" w:eastAsia="Times New Roman" w:hAnsi="Garamond" w:cs="Times New Roman"/>
        </w:rPr>
        <w:t>The Court’s decision in Cisco Systems, Inc. v. Doe I</w:t>
      </w:r>
      <w:r w:rsidR="0042306D" w:rsidRPr="00C05D6B">
        <w:rPr>
          <w:rFonts w:ascii="Garamond" w:eastAsia="Times New Roman" w:hAnsi="Garamond" w:cs="Times New Roman"/>
        </w:rPr>
        <w:fldChar w:fldCharType="begin"/>
      </w:r>
      <w:r w:rsidR="0042306D" w:rsidRPr="00C05D6B">
        <w:rPr>
          <w:rFonts w:ascii="Garamond" w:hAnsi="Garamond"/>
        </w:rPr>
        <w:instrText xml:space="preserve"> TA \l "</w:instrText>
      </w:r>
      <w:r w:rsidR="0042306D" w:rsidRPr="00C05D6B">
        <w:rPr>
          <w:rFonts w:ascii="Garamond" w:eastAsia="Times New Roman" w:hAnsi="Garamond" w:cs="Times New Roman"/>
        </w:rPr>
        <w:instrText>Cisco Systems, Inc. v. Doe I</w:instrText>
      </w:r>
      <w:r w:rsidR="0042306D" w:rsidRPr="00C05D6B">
        <w:rPr>
          <w:rFonts w:ascii="Garamond" w:hAnsi="Garamond"/>
        </w:rPr>
        <w:instrText xml:space="preserve">" \s "Cisco Systems, Inc. v. Doe I" \c 1 </w:instrText>
      </w:r>
      <w:r w:rsidR="0042306D" w:rsidRPr="00C05D6B">
        <w:rPr>
          <w:rFonts w:ascii="Garamond" w:eastAsia="Times New Roman" w:hAnsi="Garamond" w:cs="Times New Roman"/>
        </w:rPr>
        <w:fldChar w:fldCharType="end"/>
      </w:r>
      <w:r w:rsidR="00B73D2A" w:rsidRPr="00C05D6B">
        <w:rPr>
          <w:rFonts w:ascii="Garamond" w:eastAsia="Times New Roman" w:hAnsi="Garamond" w:cs="Times New Roman"/>
        </w:rPr>
        <w:t xml:space="preserve"> (2026) </w:t>
      </w:r>
      <w:r w:rsidR="001F1A3A" w:rsidRPr="00C05D6B">
        <w:rPr>
          <w:rFonts w:ascii="Garamond" w:eastAsia="Times New Roman" w:hAnsi="Garamond" w:cs="Times New Roman"/>
        </w:rPr>
        <w:t xml:space="preserve">effectively overruled </w:t>
      </w:r>
      <w:r w:rsidR="001F1A3A" w:rsidRPr="00C05D6B">
        <w:rPr>
          <w:rFonts w:ascii="Garamond" w:eastAsia="Times New Roman" w:hAnsi="Garamond" w:cs="Times New Roman"/>
          <w:i/>
        </w:rPr>
        <w:t>Sosa</w:t>
      </w:r>
      <w:r w:rsidR="001F1A3A" w:rsidRPr="00C05D6B">
        <w:rPr>
          <w:rFonts w:ascii="Garamond" w:eastAsia="Times New Roman" w:hAnsi="Garamond" w:cs="Times New Roman"/>
          <w:iCs/>
        </w:rPr>
        <w:t xml:space="preserve"> and precludes suits under the Alien Tort Statute</w:t>
      </w:r>
      <w:r w:rsidR="0042306D" w:rsidRPr="00C05D6B">
        <w:rPr>
          <w:rFonts w:ascii="Garamond" w:eastAsia="Times New Roman" w:hAnsi="Garamond" w:cs="Times New Roman"/>
          <w:iCs/>
        </w:rPr>
        <w:fldChar w:fldCharType="begin"/>
      </w:r>
      <w:r w:rsidR="0042306D" w:rsidRPr="00C05D6B">
        <w:rPr>
          <w:rFonts w:ascii="Garamond" w:hAnsi="Garamond"/>
        </w:rPr>
        <w:instrText xml:space="preserve"> TA \s "Alien Tort Statute" </w:instrText>
      </w:r>
      <w:r w:rsidR="0042306D" w:rsidRPr="00C05D6B">
        <w:rPr>
          <w:rFonts w:ascii="Garamond" w:eastAsia="Times New Roman" w:hAnsi="Garamond" w:cs="Times New Roman"/>
          <w:iCs/>
        </w:rPr>
        <w:fldChar w:fldCharType="end"/>
      </w:r>
      <w:r w:rsidR="001F1A3A" w:rsidRPr="00C05D6B">
        <w:rPr>
          <w:rFonts w:ascii="Garamond" w:eastAsia="Times New Roman" w:hAnsi="Garamond" w:cs="Times New Roman"/>
          <w:iCs/>
        </w:rPr>
        <w:t>.</w:t>
      </w:r>
    </w:p>
    <w:p w14:paraId="6C3C4CEB" w14:textId="77777777" w:rsidR="000B38A4" w:rsidRPr="00C05D6B" w:rsidRDefault="000B38A4" w:rsidP="000B38A4">
      <w:pPr>
        <w:rPr>
          <w:rFonts w:ascii="Garamond" w:eastAsia="Times New Roman" w:hAnsi="Garamond" w:cs="Times New Roman"/>
          <w:iCs/>
        </w:rPr>
      </w:pPr>
    </w:p>
    <w:p w14:paraId="160B591E" w14:textId="3BB156D8" w:rsidR="000B38A4" w:rsidRPr="00C05D6B" w:rsidRDefault="000B38A4" w:rsidP="000B38A4">
      <w:pPr>
        <w:rPr>
          <w:rFonts w:ascii="Garamond" w:eastAsia="Times New Roman" w:hAnsi="Garamond" w:cs="Times New Roman"/>
          <w:iCs/>
        </w:rPr>
      </w:pPr>
      <w:r w:rsidRPr="00C05D6B">
        <w:rPr>
          <w:rFonts w:ascii="Garamond" w:eastAsia="Times New Roman" w:hAnsi="Garamond" w:cs="Times New Roman"/>
          <w:iCs/>
        </w:rPr>
        <w:tab/>
        <w:t>The plaintiffs are practitioners of Falun Gong, a religious movement that originated in China in the 1990s. They sued, contending that the Chinese Government persecuted them because of their religious beliefs, and specifically that Cisco Systems, Inc. enabled that persecution by developing surveillance technology that allowed China to identify and apprehend them. The plaintiffs alleged that Cisco and its executives aided and abetted violations of international law: torture; cruel, inhuman, or degrading treatment; forced labor; prolonged and arbitrary detention; crimes against humanity; extrajudicial killing; and forced disappearance. The plaintiffs sued under both the Alien Tort Statute</w:t>
      </w:r>
      <w:r w:rsidR="00E46E44" w:rsidRPr="00C05D6B">
        <w:rPr>
          <w:rFonts w:ascii="Garamond" w:eastAsia="Times New Roman" w:hAnsi="Garamond" w:cs="Times New Roman"/>
          <w:iCs/>
        </w:rPr>
        <w:fldChar w:fldCharType="begin"/>
      </w:r>
      <w:r w:rsidR="00E46E44" w:rsidRPr="00C05D6B">
        <w:rPr>
          <w:rFonts w:ascii="Garamond" w:hAnsi="Garamond"/>
        </w:rPr>
        <w:instrText xml:space="preserve"> TA \s "Alien Tort Statute" </w:instrText>
      </w:r>
      <w:r w:rsidR="00E46E44" w:rsidRPr="00C05D6B">
        <w:rPr>
          <w:rFonts w:ascii="Garamond" w:eastAsia="Times New Roman" w:hAnsi="Garamond" w:cs="Times New Roman"/>
          <w:iCs/>
        </w:rPr>
        <w:fldChar w:fldCharType="end"/>
      </w:r>
      <w:r w:rsidRPr="00C05D6B">
        <w:rPr>
          <w:rFonts w:ascii="Garamond" w:eastAsia="Times New Roman" w:hAnsi="Garamond" w:cs="Times New Roman"/>
          <w:iCs/>
        </w:rPr>
        <w:t xml:space="preserve"> and the Torture Victims Protection Act</w:t>
      </w:r>
      <w:r w:rsidR="00E46E44" w:rsidRPr="00C05D6B">
        <w:rPr>
          <w:rFonts w:ascii="Garamond" w:eastAsia="Times New Roman" w:hAnsi="Garamond" w:cs="Times New Roman"/>
          <w:iCs/>
        </w:rPr>
        <w:fldChar w:fldCharType="begin"/>
      </w:r>
      <w:r w:rsidR="00E46E44" w:rsidRPr="00C05D6B">
        <w:rPr>
          <w:rFonts w:ascii="Garamond" w:hAnsi="Garamond"/>
        </w:rPr>
        <w:instrText xml:space="preserve"> TA \l "</w:instrText>
      </w:r>
      <w:r w:rsidR="00E46E44" w:rsidRPr="00C05D6B">
        <w:rPr>
          <w:rFonts w:ascii="Garamond" w:eastAsia="Times New Roman" w:hAnsi="Garamond" w:cs="Times New Roman"/>
          <w:iCs/>
        </w:rPr>
        <w:instrText>Torture Victims Protection Act</w:instrText>
      </w:r>
      <w:r w:rsidR="00E46E44" w:rsidRPr="00C05D6B">
        <w:rPr>
          <w:rFonts w:ascii="Garamond" w:hAnsi="Garamond"/>
        </w:rPr>
        <w:instrText xml:space="preserve">" \s "Torture Victims Protection Act" \c 2 </w:instrText>
      </w:r>
      <w:r w:rsidR="00E46E44" w:rsidRPr="00C05D6B">
        <w:rPr>
          <w:rFonts w:ascii="Garamond" w:eastAsia="Times New Roman" w:hAnsi="Garamond" w:cs="Times New Roman"/>
          <w:iCs/>
        </w:rPr>
        <w:fldChar w:fldCharType="end"/>
      </w:r>
      <w:r w:rsidRPr="00C05D6B">
        <w:rPr>
          <w:rFonts w:ascii="Garamond" w:eastAsia="Times New Roman" w:hAnsi="Garamond" w:cs="Times New Roman"/>
          <w:iCs/>
        </w:rPr>
        <w:t>.</w:t>
      </w:r>
    </w:p>
    <w:p w14:paraId="59746829" w14:textId="77777777" w:rsidR="000B38A4" w:rsidRPr="00C05D6B" w:rsidRDefault="000B38A4" w:rsidP="000B38A4">
      <w:pPr>
        <w:rPr>
          <w:rFonts w:ascii="Garamond" w:eastAsia="Times New Roman" w:hAnsi="Garamond" w:cs="Times New Roman"/>
          <w:iCs/>
        </w:rPr>
      </w:pPr>
    </w:p>
    <w:p w14:paraId="4C669A8E" w14:textId="67BF804A" w:rsidR="000B38A4" w:rsidRPr="00C05D6B" w:rsidRDefault="000B38A4" w:rsidP="000B38A4">
      <w:pPr>
        <w:rPr>
          <w:rFonts w:ascii="Garamond" w:eastAsia="Times New Roman" w:hAnsi="Garamond" w:cs="Times New Roman"/>
          <w:iCs/>
        </w:rPr>
      </w:pPr>
      <w:r w:rsidRPr="00C05D6B">
        <w:rPr>
          <w:rFonts w:ascii="Garamond" w:eastAsia="Times New Roman" w:hAnsi="Garamond" w:cs="Times New Roman"/>
          <w:iCs/>
        </w:rPr>
        <w:tab/>
        <w:t xml:space="preserve">The Court ruled against the plaintiffs in a 6-3 decision. Justice Amy Coney Barrett wrote for the majority and declared: “Today, we close the door that </w:t>
      </w:r>
      <w:r w:rsidRPr="00C05D6B">
        <w:rPr>
          <w:rFonts w:ascii="Garamond" w:eastAsia="Times New Roman" w:hAnsi="Garamond" w:cs="Times New Roman"/>
          <w:i/>
        </w:rPr>
        <w:t>Sosa</w:t>
      </w:r>
      <w:r w:rsidRPr="00C05D6B">
        <w:rPr>
          <w:rFonts w:ascii="Garamond" w:eastAsia="Times New Roman" w:hAnsi="Garamond" w:cs="Times New Roman"/>
          <w:iCs/>
        </w:rPr>
        <w:t xml:space="preserve"> cracked and hold that courts may not create new causes of action for violations of international norms. We also hold that the Torture Victim Protection Act</w:t>
      </w:r>
      <w:r w:rsidR="00E46E44" w:rsidRPr="00C05D6B">
        <w:rPr>
          <w:rFonts w:ascii="Garamond" w:eastAsia="Times New Roman" w:hAnsi="Garamond" w:cs="Times New Roman"/>
          <w:iCs/>
        </w:rPr>
        <w:fldChar w:fldCharType="begin"/>
      </w:r>
      <w:r w:rsidR="00E46E44" w:rsidRPr="00C05D6B">
        <w:rPr>
          <w:rFonts w:ascii="Garamond" w:hAnsi="Garamond"/>
        </w:rPr>
        <w:instrText xml:space="preserve"> TA \l "</w:instrText>
      </w:r>
      <w:r w:rsidR="00E46E44" w:rsidRPr="00C05D6B">
        <w:rPr>
          <w:rFonts w:ascii="Garamond" w:eastAsia="Times New Roman" w:hAnsi="Garamond" w:cs="Times New Roman"/>
          <w:iCs/>
        </w:rPr>
        <w:instrText>Torture Victim Protection Act</w:instrText>
      </w:r>
      <w:r w:rsidR="00E46E44" w:rsidRPr="00C05D6B">
        <w:rPr>
          <w:rFonts w:ascii="Garamond" w:hAnsi="Garamond"/>
        </w:rPr>
        <w:instrText xml:space="preserve">" \s "Torture Victim Protection Act" \c 2 </w:instrText>
      </w:r>
      <w:r w:rsidR="00E46E44" w:rsidRPr="00C05D6B">
        <w:rPr>
          <w:rFonts w:ascii="Garamond" w:eastAsia="Times New Roman" w:hAnsi="Garamond" w:cs="Times New Roman"/>
          <w:iCs/>
        </w:rPr>
        <w:fldChar w:fldCharType="end"/>
      </w:r>
      <w:r w:rsidRPr="00C05D6B">
        <w:rPr>
          <w:rFonts w:ascii="Garamond" w:eastAsia="Times New Roman" w:hAnsi="Garamond" w:cs="Times New Roman"/>
          <w:iCs/>
        </w:rPr>
        <w:t xml:space="preserve"> of 1991, which contains an express cause of action, does not provide for aiding-and-abetting liability.”</w:t>
      </w:r>
    </w:p>
    <w:p w14:paraId="64E34417" w14:textId="77777777" w:rsidR="000B38A4" w:rsidRPr="00C05D6B" w:rsidRDefault="000B38A4" w:rsidP="000B38A4">
      <w:pPr>
        <w:rPr>
          <w:rFonts w:ascii="Garamond" w:eastAsia="Times New Roman" w:hAnsi="Garamond" w:cs="Times New Roman"/>
          <w:iCs/>
        </w:rPr>
      </w:pPr>
    </w:p>
    <w:p w14:paraId="17441E71" w14:textId="77777777" w:rsidR="000B38A4" w:rsidRPr="00C05D6B" w:rsidRDefault="000B38A4" w:rsidP="000B38A4">
      <w:pPr>
        <w:rPr>
          <w:rFonts w:ascii="Garamond" w:eastAsia="Times New Roman" w:hAnsi="Garamond" w:cs="Times New Roman"/>
          <w:iCs/>
        </w:rPr>
      </w:pPr>
      <w:r w:rsidRPr="00C05D6B">
        <w:rPr>
          <w:rFonts w:ascii="Garamond" w:eastAsia="Times New Roman" w:hAnsi="Garamond" w:cs="Times New Roman"/>
          <w:iCs/>
        </w:rPr>
        <w:tab/>
        <w:t xml:space="preserve">As for the ATS, the Court said that it would not allow causes of action under it.  Justice Barrett gave two reasons: “ATS cases by their nature implicate foreign policy” and “the power to create causes of action belongs to Congress.” </w:t>
      </w:r>
    </w:p>
    <w:p w14:paraId="18733E40" w14:textId="77777777" w:rsidR="000B38A4" w:rsidRPr="00C05D6B" w:rsidRDefault="000B38A4" w:rsidP="000B38A4">
      <w:pPr>
        <w:rPr>
          <w:rFonts w:ascii="Garamond" w:eastAsia="Times New Roman" w:hAnsi="Garamond" w:cs="Times New Roman"/>
          <w:iCs/>
        </w:rPr>
      </w:pPr>
    </w:p>
    <w:p w14:paraId="2B509B43" w14:textId="2CBE3885" w:rsidR="000B38A4" w:rsidRPr="00C05D6B" w:rsidRDefault="000B38A4" w:rsidP="000B38A4">
      <w:pPr>
        <w:rPr>
          <w:rFonts w:ascii="Garamond" w:eastAsia="Times New Roman" w:hAnsi="Garamond" w:cs="Times New Roman"/>
          <w:iCs/>
        </w:rPr>
      </w:pPr>
      <w:r w:rsidRPr="00C05D6B">
        <w:rPr>
          <w:rFonts w:ascii="Garamond" w:eastAsia="Times New Roman" w:hAnsi="Garamond" w:cs="Times New Roman"/>
          <w:iCs/>
        </w:rPr>
        <w:tab/>
        <w:t xml:space="preserve">Justice Sotomayor vehemently dissented, lamenting: “The Court nonetheless closes the courthouse doors not just to respondents, but to virtually every future litigant seeking redress for a violation of international law under the ATS. It thus overrules </w:t>
      </w:r>
      <w:r w:rsidRPr="00C05D6B">
        <w:rPr>
          <w:rFonts w:ascii="Garamond" w:eastAsia="Times New Roman" w:hAnsi="Garamond" w:cs="Times New Roman"/>
          <w:i/>
        </w:rPr>
        <w:t>Sosa</w:t>
      </w:r>
      <w:r w:rsidRPr="00C05D6B">
        <w:rPr>
          <w:rFonts w:ascii="Garamond" w:eastAsia="Times New Roman" w:hAnsi="Garamond" w:cs="Times New Roman"/>
          <w:iCs/>
        </w:rPr>
        <w:t xml:space="preserve">, without even acknowledging that it is doing so. Today’s decision marks yet another low point in this Court’s esteem for its precedents.”  Justice Sotomayor disagreed that allowing liability under the ATS was inconsistent with congressional intent or that it would interfere with foreign policy. Congress, in 1789, created </w:t>
      </w:r>
      <w:r w:rsidRPr="00C05D6B">
        <w:rPr>
          <w:rFonts w:ascii="Garamond" w:eastAsia="Times New Roman" w:hAnsi="Garamond" w:cs="Times New Roman"/>
          <w:iCs/>
        </w:rPr>
        <w:lastRenderedPageBreak/>
        <w:t>jurisdiction for tort suits for violation of the law of nations; this obviously assumed that there would be such claims.</w:t>
      </w:r>
    </w:p>
    <w:p w14:paraId="4CACE827" w14:textId="77777777" w:rsidR="000B38A4" w:rsidRPr="00C05D6B" w:rsidRDefault="000B38A4" w:rsidP="000B38A4">
      <w:pPr>
        <w:rPr>
          <w:rFonts w:ascii="Garamond" w:eastAsia="Times New Roman" w:hAnsi="Garamond" w:cs="Times New Roman"/>
          <w:iCs/>
        </w:rPr>
      </w:pPr>
    </w:p>
    <w:p w14:paraId="4E611462" w14:textId="188B2328" w:rsidR="000B38A4" w:rsidRPr="00C05D6B" w:rsidRDefault="000B38A4" w:rsidP="000B38A4">
      <w:pPr>
        <w:rPr>
          <w:rFonts w:ascii="Garamond" w:eastAsia="Times New Roman" w:hAnsi="Garamond" w:cs="Times New Roman"/>
          <w:iCs/>
        </w:rPr>
      </w:pPr>
      <w:r w:rsidRPr="00C05D6B">
        <w:rPr>
          <w:rFonts w:ascii="Garamond" w:eastAsia="Times New Roman" w:hAnsi="Garamond" w:cs="Times New Roman"/>
          <w:iCs/>
        </w:rPr>
        <w:tab/>
        <w:t>As for the Torture Victim Protection Act, the Court said that there is not aiding and abetting liability because the statute does not expressly provide for it.  The Court stated: “The TVPA nowhere mentions aiding-and-abetting liability, and that silence is enough to settle the issue.”</w:t>
      </w:r>
    </w:p>
    <w:p w14:paraId="52A6DFE8" w14:textId="77777777" w:rsidR="000B38A4" w:rsidRPr="00C05D6B" w:rsidRDefault="000B38A4" w:rsidP="000B38A4">
      <w:pPr>
        <w:rPr>
          <w:rFonts w:ascii="Garamond" w:eastAsia="Times New Roman" w:hAnsi="Garamond" w:cs="Times New Roman"/>
          <w:iCs/>
        </w:rPr>
      </w:pPr>
    </w:p>
    <w:p w14:paraId="55983358" w14:textId="7D57D288" w:rsidR="000B38A4" w:rsidRPr="00C05D6B" w:rsidRDefault="000B38A4" w:rsidP="000B38A4">
      <w:pPr>
        <w:rPr>
          <w:rFonts w:ascii="Garamond" w:eastAsia="Times New Roman" w:hAnsi="Garamond" w:cs="Times New Roman"/>
          <w:iCs/>
        </w:rPr>
      </w:pPr>
      <w:r w:rsidRPr="00C05D6B">
        <w:rPr>
          <w:rFonts w:ascii="Garamond" w:eastAsia="Times New Roman" w:hAnsi="Garamond" w:cs="Times New Roman"/>
          <w:iCs/>
        </w:rPr>
        <w:tab/>
        <w:t>Justice Sotomayor strongly disagreed with this conclusion as well and argued that the text of the law authorizes aiding and abetting liability.  She wrote: “The majority also errs by holding that the TVPA does not allow plaintiffs to sue for the aiding and abetting of torture. The TVPA states that ‘[a]n individual who ... subjects an individual to torture shall, in a civil action, be liable for damages to that individual.’ . . . Putting the terms ‘subjects’ and ‘aiding and abetting’ together yields a simple answer. In ordinary meaning, a person ‘subjects’ another to torture if he ‘consciously and culpably ‘participate[s]’ in the torture ‘so as to help ‘make it succeed.’”</w:t>
      </w:r>
    </w:p>
    <w:p w14:paraId="58F2E64C" w14:textId="77777777" w:rsidR="000B38A4" w:rsidRPr="00C05D6B" w:rsidRDefault="000B38A4" w:rsidP="000B38A4">
      <w:pPr>
        <w:rPr>
          <w:rFonts w:ascii="Garamond" w:eastAsia="Times New Roman" w:hAnsi="Garamond" w:cs="Times New Roman"/>
          <w:iCs/>
        </w:rPr>
      </w:pPr>
    </w:p>
    <w:p w14:paraId="220D51FE" w14:textId="15DB822E" w:rsidR="000E0D4E" w:rsidRPr="00C05D6B" w:rsidRDefault="000E0D4E" w:rsidP="000B38A4">
      <w:pPr>
        <w:rPr>
          <w:rFonts w:ascii="Garamond" w:eastAsia="Times New Roman" w:hAnsi="Garamond" w:cs="Times New Roman"/>
          <w:color w:val="1F1F1F"/>
        </w:rPr>
      </w:pPr>
      <w:r w:rsidRPr="00C05D6B">
        <w:rPr>
          <w:rFonts w:ascii="Garamond" w:eastAsia="Times New Roman" w:hAnsi="Garamond" w:cs="Times New Roman"/>
        </w:rPr>
        <w:tab/>
      </w:r>
    </w:p>
    <w:p w14:paraId="5E20CE8D" w14:textId="7DDE5FA7" w:rsidR="00681FCA" w:rsidRPr="00C05D6B" w:rsidRDefault="000E0D4E" w:rsidP="000B38A4">
      <w:pPr>
        <w:rPr>
          <w:rFonts w:ascii="Garamond" w:hAnsi="Garamond" w:cs="Times New Roman"/>
        </w:rPr>
      </w:pPr>
      <w:r w:rsidRPr="00C05D6B">
        <w:rPr>
          <w:rFonts w:ascii="Garamond" w:eastAsia="Times New Roman" w:hAnsi="Garamond" w:cs="Times New Roman"/>
          <w:color w:val="1F1F1F"/>
        </w:rPr>
        <w:tab/>
      </w:r>
    </w:p>
    <w:p w14:paraId="5A2C8F19" w14:textId="77777777" w:rsidR="000E0D4E" w:rsidRPr="00C05D6B" w:rsidRDefault="000E0D4E" w:rsidP="009F73D4">
      <w:pPr>
        <w:spacing w:after="160" w:line="278" w:lineRule="auto"/>
        <w:rPr>
          <w:rFonts w:ascii="Garamond" w:hAnsi="Garamond" w:cs="Times New Roman"/>
        </w:rPr>
      </w:pPr>
    </w:p>
    <w:p w14:paraId="404AA61B" w14:textId="77777777" w:rsidR="000E0D4E" w:rsidRPr="00C05D6B" w:rsidRDefault="000E0D4E" w:rsidP="009F73D4">
      <w:pPr>
        <w:spacing w:after="160" w:line="278" w:lineRule="auto"/>
        <w:rPr>
          <w:rFonts w:ascii="Garamond" w:hAnsi="Garamond" w:cs="Times New Roman"/>
        </w:rPr>
      </w:pPr>
    </w:p>
    <w:p w14:paraId="05FB4E1E" w14:textId="77777777" w:rsidR="000B38A4" w:rsidRPr="00C05D6B" w:rsidRDefault="000B38A4">
      <w:pPr>
        <w:spacing w:after="160" w:line="278" w:lineRule="auto"/>
        <w:rPr>
          <w:rFonts w:ascii="Garamond" w:hAnsi="Garamond" w:cs="Times New Roman"/>
          <w:b/>
          <w:bCs/>
        </w:rPr>
      </w:pPr>
      <w:r w:rsidRPr="00C05D6B">
        <w:rPr>
          <w:rFonts w:ascii="Garamond" w:hAnsi="Garamond" w:cs="Times New Roman"/>
          <w:b/>
          <w:bCs/>
        </w:rPr>
        <w:br w:type="page"/>
      </w:r>
    </w:p>
    <w:p w14:paraId="3A46E46B" w14:textId="66E8A47D" w:rsidR="00002E08" w:rsidRPr="00C05D6B" w:rsidRDefault="00002E08" w:rsidP="009F73D4">
      <w:pPr>
        <w:jc w:val="center"/>
        <w:rPr>
          <w:rFonts w:ascii="Garamond" w:hAnsi="Garamond" w:cs="Times New Roman"/>
          <w:b/>
          <w:bCs/>
        </w:rPr>
      </w:pPr>
      <w:r w:rsidRPr="00C05D6B">
        <w:rPr>
          <w:rFonts w:ascii="Garamond" w:hAnsi="Garamond" w:cs="Times New Roman"/>
          <w:b/>
          <w:bCs/>
        </w:rPr>
        <w:lastRenderedPageBreak/>
        <w:t>______________________________________________________________________________</w:t>
      </w:r>
    </w:p>
    <w:p w14:paraId="18EA3C62" w14:textId="77777777" w:rsidR="00926DEE" w:rsidRPr="00C05D6B" w:rsidRDefault="00926DEE" w:rsidP="00926DEE">
      <w:pPr>
        <w:jc w:val="center"/>
        <w:rPr>
          <w:rFonts w:ascii="Garamond" w:hAnsi="Garamond" w:cs="Times New Roman"/>
          <w:b/>
          <w:bCs/>
        </w:rPr>
      </w:pPr>
    </w:p>
    <w:p w14:paraId="6D1B38AA"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Chapter 6</w:t>
      </w:r>
    </w:p>
    <w:p w14:paraId="4859D362" w14:textId="77777777" w:rsidR="00926DEE" w:rsidRPr="00C05D6B" w:rsidRDefault="00926DEE" w:rsidP="00926DEE">
      <w:pPr>
        <w:jc w:val="center"/>
        <w:rPr>
          <w:rFonts w:ascii="Garamond" w:hAnsi="Garamond" w:cs="Times New Roman"/>
          <w:b/>
          <w:bCs/>
          <w:i/>
          <w:iCs/>
          <w:sz w:val="40"/>
          <w:szCs w:val="40"/>
        </w:rPr>
      </w:pPr>
    </w:p>
    <w:p w14:paraId="390F39BC"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Suits Against State and Local Governments, Native Nations, Foreign Governments, and Their Officers</w:t>
      </w:r>
    </w:p>
    <w:p w14:paraId="2029C953" w14:textId="77777777" w:rsidR="00002E08" w:rsidRPr="00C05D6B" w:rsidRDefault="00002E08" w:rsidP="00002E08">
      <w:pPr>
        <w:jc w:val="center"/>
        <w:rPr>
          <w:rFonts w:ascii="Garamond" w:hAnsi="Garamond" w:cs="Times New Roman"/>
          <w:b/>
          <w:bCs/>
        </w:rPr>
      </w:pPr>
      <w:r w:rsidRPr="00C05D6B">
        <w:rPr>
          <w:rFonts w:ascii="Garamond" w:hAnsi="Garamond" w:cs="Times New Roman"/>
          <w:b/>
          <w:bCs/>
        </w:rPr>
        <w:t>______________________________________________________________________________</w:t>
      </w:r>
    </w:p>
    <w:p w14:paraId="012DCD8E" w14:textId="77777777" w:rsidR="00EA24A1" w:rsidRPr="00C05D6B" w:rsidRDefault="00EA24A1" w:rsidP="00EA24A1">
      <w:pPr>
        <w:rPr>
          <w:rFonts w:ascii="Garamond" w:eastAsia="Times New Roman" w:hAnsi="Garamond" w:cs="Times New Roman"/>
          <w:b/>
          <w:bCs/>
        </w:rPr>
      </w:pPr>
    </w:p>
    <w:p w14:paraId="56DB3C50" w14:textId="2B14251E" w:rsidR="00EA24A1" w:rsidRPr="00C05D6B" w:rsidRDefault="00EA24A1" w:rsidP="00EA24A1">
      <w:pPr>
        <w:rPr>
          <w:rFonts w:ascii="Garamond" w:hAnsi="Garamond" w:cs="Times New Roman"/>
          <w:b/>
          <w:bCs/>
          <w:i/>
          <w:iCs/>
        </w:rPr>
      </w:pPr>
      <w:r w:rsidRPr="00C05D6B">
        <w:rPr>
          <w:rFonts w:ascii="Garamond" w:hAnsi="Garamond" w:cs="Times New Roman"/>
          <w:b/>
          <w:bCs/>
          <w:i/>
          <w:iCs/>
        </w:rPr>
        <w:t>A.</w:t>
      </w:r>
      <w:r w:rsidRPr="00C05D6B">
        <w:rPr>
          <w:rFonts w:ascii="Garamond" w:hAnsi="Garamond" w:cs="Times New Roman"/>
          <w:b/>
          <w:bCs/>
          <w:i/>
          <w:iCs/>
        </w:rPr>
        <w:tab/>
        <w:t>Suits Against State Governments: The Eleventh Amendment and Sovereign Immunity</w:t>
      </w:r>
    </w:p>
    <w:p w14:paraId="4EE1FDC4" w14:textId="77777777" w:rsidR="00EA24A1" w:rsidRPr="00C05D6B" w:rsidRDefault="00EA24A1" w:rsidP="00EA24A1">
      <w:pPr>
        <w:rPr>
          <w:rFonts w:ascii="Garamond" w:hAnsi="Garamond" w:cs="Times New Roman"/>
          <w:b/>
          <w:bCs/>
          <w:i/>
          <w:iCs/>
        </w:rPr>
      </w:pPr>
    </w:p>
    <w:p w14:paraId="31959F23" w14:textId="7436E6B3" w:rsidR="00EA24A1" w:rsidRPr="00C05D6B" w:rsidRDefault="00EA24A1" w:rsidP="00EA24A1">
      <w:pPr>
        <w:ind w:left="1440" w:hanging="720"/>
        <w:rPr>
          <w:rFonts w:ascii="Garamond" w:hAnsi="Garamond" w:cs="Times New Roman"/>
          <w:b/>
          <w:bCs/>
        </w:rPr>
      </w:pPr>
      <w:r w:rsidRPr="00C05D6B">
        <w:rPr>
          <w:rFonts w:ascii="Garamond" w:hAnsi="Garamond" w:cs="Times New Roman"/>
          <w:b/>
          <w:bCs/>
        </w:rPr>
        <w:t>3.</w:t>
      </w:r>
      <w:r w:rsidRPr="00C05D6B">
        <w:rPr>
          <w:rFonts w:ascii="Garamond" w:hAnsi="Garamond" w:cs="Times New Roman"/>
          <w:b/>
          <w:bCs/>
        </w:rPr>
        <w:tab/>
        <w:t>Suits Against State Officers for Prospective Relief, Waiver, and Abrogation of State Sovereign Immunity</w:t>
      </w:r>
    </w:p>
    <w:p w14:paraId="7971FCD5" w14:textId="77777777" w:rsidR="00EA24A1" w:rsidRPr="00C05D6B" w:rsidRDefault="00EA24A1" w:rsidP="00EA24A1">
      <w:pPr>
        <w:ind w:left="1440" w:hanging="720"/>
        <w:rPr>
          <w:rFonts w:ascii="Garamond" w:hAnsi="Garamond" w:cs="Times New Roman"/>
          <w:b/>
          <w:bCs/>
        </w:rPr>
      </w:pPr>
    </w:p>
    <w:p w14:paraId="47DA5441" w14:textId="46C66044" w:rsidR="00EA24A1" w:rsidRPr="00C05D6B" w:rsidRDefault="00EA24A1" w:rsidP="00EA24A1">
      <w:pPr>
        <w:ind w:left="720" w:firstLine="720"/>
        <w:rPr>
          <w:rFonts w:ascii="Garamond" w:hAnsi="Garamond" w:cs="Times New Roman"/>
          <w:b/>
          <w:bCs/>
        </w:rPr>
      </w:pPr>
      <w:r w:rsidRPr="00C05D6B">
        <w:rPr>
          <w:rFonts w:ascii="Garamond" w:hAnsi="Garamond" w:cs="Times New Roman"/>
          <w:b/>
          <w:bCs/>
        </w:rPr>
        <w:t>a.</w:t>
      </w:r>
      <w:r w:rsidRPr="00C05D6B">
        <w:rPr>
          <w:rFonts w:ascii="Garamond" w:hAnsi="Garamond" w:cs="Times New Roman"/>
          <w:b/>
          <w:bCs/>
        </w:rPr>
        <w:tab/>
        <w:t>Suits Against State Officers for Prospective Relief</w:t>
      </w:r>
    </w:p>
    <w:p w14:paraId="3054AE5E" w14:textId="77777777" w:rsidR="00EA24A1" w:rsidRPr="00C05D6B" w:rsidRDefault="00EA24A1" w:rsidP="00EA24A1">
      <w:pPr>
        <w:rPr>
          <w:rFonts w:ascii="Garamond" w:eastAsia="Times New Roman" w:hAnsi="Garamond" w:cs="Times New Roman"/>
          <w:b/>
          <w:bCs/>
          <w:i/>
          <w:iCs/>
        </w:rPr>
      </w:pPr>
    </w:p>
    <w:p w14:paraId="63BCA99C" w14:textId="4143C247" w:rsidR="003125BF" w:rsidRPr="00C05D6B" w:rsidRDefault="003125BF" w:rsidP="003125BF">
      <w:pPr>
        <w:rPr>
          <w:rFonts w:ascii="Garamond" w:hAnsi="Garamond" w:cs="Times New Roman"/>
          <w:b/>
          <w:bCs/>
        </w:rPr>
      </w:pPr>
      <w:r w:rsidRPr="00C05D6B">
        <w:rPr>
          <w:rFonts w:ascii="Garamond" w:hAnsi="Garamond" w:cs="Times New Roman"/>
          <w:b/>
          <w:bCs/>
        </w:rPr>
        <w:t>(CB p.</w:t>
      </w:r>
      <w:r w:rsidR="00F9074C" w:rsidRPr="00C05D6B">
        <w:rPr>
          <w:rFonts w:ascii="Garamond" w:hAnsi="Garamond" w:cs="Times New Roman"/>
          <w:b/>
          <w:bCs/>
        </w:rPr>
        <w:t xml:space="preserve"> </w:t>
      </w:r>
      <w:r w:rsidRPr="00C05D6B">
        <w:rPr>
          <w:rFonts w:ascii="Garamond" w:hAnsi="Garamond" w:cs="Times New Roman"/>
          <w:b/>
          <w:bCs/>
        </w:rPr>
        <w:t>682, end of last full paragraph)</w:t>
      </w:r>
    </w:p>
    <w:p w14:paraId="57C3A5A7" w14:textId="77777777" w:rsidR="003125BF" w:rsidRPr="00C05D6B" w:rsidRDefault="003125BF" w:rsidP="003125BF">
      <w:pPr>
        <w:rPr>
          <w:rFonts w:ascii="Garamond" w:hAnsi="Garamond" w:cs="Times New Roman"/>
        </w:rPr>
      </w:pPr>
    </w:p>
    <w:p w14:paraId="07B6EBA9" w14:textId="7780E58A" w:rsidR="003125BF" w:rsidRPr="00C05D6B" w:rsidRDefault="003125BF" w:rsidP="003125BF">
      <w:pPr>
        <w:rPr>
          <w:rFonts w:ascii="Garamond" w:hAnsi="Garamond" w:cs="Times New Roman"/>
        </w:rPr>
      </w:pPr>
      <w:r w:rsidRPr="00C05D6B">
        <w:rPr>
          <w:rFonts w:ascii="Garamond" w:hAnsi="Garamond" w:cs="Times New Roman"/>
          <w:i/>
          <w:iCs/>
        </w:rPr>
        <w:t>See also</w:t>
      </w:r>
      <w:r w:rsidRPr="00C05D6B">
        <w:rPr>
          <w:rFonts w:ascii="Garamond" w:hAnsi="Garamond" w:cs="Times New Roman"/>
        </w:rPr>
        <w:t xml:space="preserve"> Puerto Rico Ports Authority v. Fed. Maritime </w:t>
      </w:r>
      <w:proofErr w:type="spellStart"/>
      <w:r w:rsidRPr="00C05D6B">
        <w:rPr>
          <w:rFonts w:ascii="Garamond" w:hAnsi="Garamond" w:cs="Times New Roman"/>
        </w:rPr>
        <w:t>Com’n</w:t>
      </w:r>
      <w:proofErr w:type="spellEnd"/>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Puerto Rico Ports Authority v. Fed. Maritime Com’n</w:instrText>
      </w:r>
      <w:r w:rsidR="00DE0601" w:rsidRPr="00C05D6B">
        <w:rPr>
          <w:rFonts w:ascii="Garamond" w:hAnsi="Garamond"/>
        </w:rPr>
        <w:instrText xml:space="preserve">" \s "Puerto Rico Ports Authority v. Fed. Maritime Com’n" \c 1 </w:instrText>
      </w:r>
      <w:r w:rsidR="00DE0601" w:rsidRPr="00C05D6B">
        <w:rPr>
          <w:rFonts w:ascii="Garamond" w:hAnsi="Garamond" w:cs="Times New Roman"/>
        </w:rPr>
        <w:fldChar w:fldCharType="end"/>
      </w:r>
      <w:r w:rsidRPr="00C05D6B">
        <w:rPr>
          <w:rFonts w:ascii="Garamond" w:hAnsi="Garamond" w:cs="Times New Roman"/>
        </w:rPr>
        <w:t xml:space="preserve"> (D.C. Cir. 2008) (whether an arm of the state enjoys state sovereign immunity turns on three factors: “(1) the functions performed by the entity; (2) the State’s control over the entity; and (3) the entity’s overall effects on the state treasury”), followed in Kohn v. State Bar of Cal.</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Kohn v. State Bar of Cal.</w:instrText>
      </w:r>
      <w:r w:rsidR="00DE0601" w:rsidRPr="00C05D6B">
        <w:rPr>
          <w:rFonts w:ascii="Garamond" w:hAnsi="Garamond"/>
        </w:rPr>
        <w:instrText xml:space="preserve">" \s "Kohn v. State Bar of Cal." \c 1 </w:instrText>
      </w:r>
      <w:r w:rsidR="00DE0601" w:rsidRPr="00C05D6B">
        <w:rPr>
          <w:rFonts w:ascii="Garamond" w:hAnsi="Garamond" w:cs="Times New Roman"/>
        </w:rPr>
        <w:fldChar w:fldCharType="end"/>
      </w:r>
      <w:r w:rsidRPr="00C05D6B">
        <w:rPr>
          <w:rFonts w:ascii="Garamond" w:hAnsi="Garamond" w:cs="Times New Roman"/>
        </w:rPr>
        <w:t xml:space="preserve"> (9th Cir. 2023) (the California state bar performs government functions, is controlled by the state supreme court and the state legislature, and therefore is a state agency entitled to sovereign immunity in disability discrimination suit regarding bar exam test accommodations even though the state treasury would not be responsible for money damages sought by the plaintiff; noting that since </w:t>
      </w:r>
      <w:r w:rsidRPr="00C05D6B">
        <w:rPr>
          <w:rFonts w:ascii="Garamond" w:hAnsi="Garamond" w:cs="Times New Roman"/>
          <w:i/>
          <w:iCs/>
        </w:rPr>
        <w:t>Seminole Tribe</w:t>
      </w:r>
      <w:r w:rsidRPr="00C05D6B">
        <w:rPr>
          <w:rFonts w:ascii="Garamond" w:hAnsi="Garamond" w:cs="Times New Roman"/>
        </w:rPr>
        <w:t xml:space="preserve"> other circuits have “moved away from an excessive emphasis on the treasury factor”).</w:t>
      </w:r>
    </w:p>
    <w:p w14:paraId="0F7B6CC4" w14:textId="77777777" w:rsidR="003125BF" w:rsidRPr="00C05D6B" w:rsidRDefault="003125BF" w:rsidP="003125BF">
      <w:pPr>
        <w:rPr>
          <w:rFonts w:ascii="Garamond" w:hAnsi="Garamond" w:cs="Times New Roman"/>
        </w:rPr>
      </w:pPr>
    </w:p>
    <w:p w14:paraId="5C3DB714" w14:textId="77777777" w:rsidR="00EA24A1" w:rsidRPr="00C05D6B" w:rsidRDefault="003125BF" w:rsidP="00EA24A1">
      <w:pPr>
        <w:ind w:left="720" w:firstLine="720"/>
        <w:rPr>
          <w:rFonts w:ascii="Garamond" w:hAnsi="Garamond" w:cs="Times New Roman"/>
        </w:rPr>
      </w:pPr>
      <w:r w:rsidRPr="00C05D6B">
        <w:rPr>
          <w:rFonts w:ascii="Garamond" w:hAnsi="Garamond" w:cs="Times New Roman"/>
          <w:b/>
          <w:bCs/>
        </w:rPr>
        <w:t>c.</w:t>
      </w:r>
      <w:r w:rsidR="00EA24A1" w:rsidRPr="00C05D6B">
        <w:rPr>
          <w:rFonts w:ascii="Garamond" w:hAnsi="Garamond" w:cs="Times New Roman"/>
          <w:b/>
          <w:bCs/>
        </w:rPr>
        <w:tab/>
      </w:r>
      <w:r w:rsidRPr="00C05D6B">
        <w:rPr>
          <w:rFonts w:ascii="Garamond" w:hAnsi="Garamond" w:cs="Times New Roman"/>
          <w:b/>
          <w:bCs/>
        </w:rPr>
        <w:t>Abrogation of Immunity by Congress</w:t>
      </w:r>
      <w:r w:rsidRPr="00C05D6B">
        <w:rPr>
          <w:rFonts w:ascii="Garamond" w:hAnsi="Garamond" w:cs="Times New Roman"/>
        </w:rPr>
        <w:t xml:space="preserve"> </w:t>
      </w:r>
    </w:p>
    <w:p w14:paraId="509DF5B6" w14:textId="77777777" w:rsidR="00EA24A1" w:rsidRPr="00C05D6B" w:rsidRDefault="00EA24A1" w:rsidP="00EA24A1">
      <w:pPr>
        <w:rPr>
          <w:rFonts w:ascii="Garamond" w:hAnsi="Garamond" w:cs="Times New Roman"/>
        </w:rPr>
      </w:pPr>
    </w:p>
    <w:p w14:paraId="0D0861CA" w14:textId="56E8291F" w:rsidR="003125BF" w:rsidRPr="00C05D6B" w:rsidRDefault="003125BF" w:rsidP="00EA24A1">
      <w:pPr>
        <w:rPr>
          <w:rFonts w:ascii="Garamond" w:hAnsi="Garamond" w:cs="Times New Roman"/>
          <w:b/>
          <w:bCs/>
        </w:rPr>
      </w:pPr>
      <w:r w:rsidRPr="00C05D6B">
        <w:rPr>
          <w:rFonts w:ascii="Garamond" w:hAnsi="Garamond" w:cs="Times New Roman"/>
          <w:b/>
          <w:bCs/>
        </w:rPr>
        <w:t>(CB p. 700</w:t>
      </w:r>
      <w:r w:rsidR="00EA24A1" w:rsidRPr="00C05D6B">
        <w:rPr>
          <w:rFonts w:ascii="Garamond" w:hAnsi="Garamond" w:cs="Times New Roman"/>
          <w:b/>
          <w:bCs/>
        </w:rPr>
        <w:t>,</w:t>
      </w:r>
      <w:r w:rsidRPr="00C05D6B">
        <w:rPr>
          <w:rFonts w:ascii="Garamond" w:hAnsi="Garamond" w:cs="Times New Roman"/>
          <w:b/>
          <w:bCs/>
        </w:rPr>
        <w:t xml:space="preserve"> end of first paragraph of section c)</w:t>
      </w:r>
    </w:p>
    <w:p w14:paraId="159C39E8" w14:textId="77777777" w:rsidR="003125BF" w:rsidRPr="00C05D6B" w:rsidRDefault="003125BF" w:rsidP="003125BF">
      <w:pPr>
        <w:rPr>
          <w:rFonts w:ascii="Garamond" w:hAnsi="Garamond" w:cs="Times New Roman"/>
        </w:rPr>
      </w:pPr>
    </w:p>
    <w:p w14:paraId="2566439D" w14:textId="5504E109" w:rsidR="003125BF" w:rsidRPr="00C05D6B" w:rsidRDefault="003125BF" w:rsidP="003125BF">
      <w:pPr>
        <w:rPr>
          <w:rFonts w:ascii="Garamond" w:hAnsi="Garamond" w:cs="Times New Roman"/>
        </w:rPr>
      </w:pPr>
      <w:proofErr w:type="spellStart"/>
      <w:r w:rsidRPr="00FA4C45">
        <w:rPr>
          <w:rFonts w:ascii="Garamond" w:hAnsi="Garamond" w:cs="Times New Roman"/>
          <w:i/>
          <w:iCs/>
          <w:lang w:val="es-ES"/>
        </w:rPr>
        <w:t>See</w:t>
      </w:r>
      <w:proofErr w:type="spellEnd"/>
      <w:r w:rsidRPr="00FA4C45">
        <w:rPr>
          <w:rFonts w:ascii="Garamond" w:hAnsi="Garamond" w:cs="Times New Roman"/>
          <w:lang w:val="es-ES"/>
        </w:rPr>
        <w:t xml:space="preserve"> Fin. </w:t>
      </w:r>
      <w:proofErr w:type="spellStart"/>
      <w:r w:rsidRPr="00FA4C45">
        <w:rPr>
          <w:rFonts w:ascii="Garamond" w:hAnsi="Garamond" w:cs="Times New Roman"/>
          <w:lang w:val="es-ES"/>
        </w:rPr>
        <w:t>Oversight</w:t>
      </w:r>
      <w:proofErr w:type="spellEnd"/>
      <w:r w:rsidRPr="00FA4C45">
        <w:rPr>
          <w:rFonts w:ascii="Garamond" w:hAnsi="Garamond" w:cs="Times New Roman"/>
          <w:lang w:val="es-ES"/>
        </w:rPr>
        <w:t xml:space="preserve"> and </w:t>
      </w:r>
      <w:proofErr w:type="spellStart"/>
      <w:r w:rsidRPr="00FA4C45">
        <w:rPr>
          <w:rFonts w:ascii="Garamond" w:hAnsi="Garamond" w:cs="Times New Roman"/>
          <w:lang w:val="es-ES"/>
        </w:rPr>
        <w:t>Mgmt</w:t>
      </w:r>
      <w:proofErr w:type="spellEnd"/>
      <w:r w:rsidRPr="00FA4C45">
        <w:rPr>
          <w:rFonts w:ascii="Garamond" w:hAnsi="Garamond" w:cs="Times New Roman"/>
          <w:lang w:val="es-ES"/>
        </w:rPr>
        <w:t xml:space="preserve">. </w:t>
      </w:r>
      <w:proofErr w:type="spellStart"/>
      <w:r w:rsidRPr="00FA4C45">
        <w:rPr>
          <w:rFonts w:ascii="Garamond" w:hAnsi="Garamond" w:cs="Times New Roman"/>
          <w:lang w:val="es-ES"/>
        </w:rPr>
        <w:t>Bd</w:t>
      </w:r>
      <w:proofErr w:type="spellEnd"/>
      <w:r w:rsidRPr="00FA4C45">
        <w:rPr>
          <w:rFonts w:ascii="Garamond" w:hAnsi="Garamond" w:cs="Times New Roman"/>
          <w:lang w:val="es-ES"/>
        </w:rPr>
        <w:t xml:space="preserve">. </w:t>
      </w:r>
      <w:proofErr w:type="spellStart"/>
      <w:r w:rsidRPr="00FA4C45">
        <w:rPr>
          <w:rFonts w:ascii="Garamond" w:hAnsi="Garamond" w:cs="Times New Roman"/>
          <w:lang w:val="es-ES"/>
        </w:rPr>
        <w:t>for</w:t>
      </w:r>
      <w:proofErr w:type="spellEnd"/>
      <w:r w:rsidRPr="00FA4C45">
        <w:rPr>
          <w:rFonts w:ascii="Garamond" w:hAnsi="Garamond" w:cs="Times New Roman"/>
          <w:lang w:val="es-ES"/>
        </w:rPr>
        <w:t xml:space="preserve"> Puerto Rico v. Centro de Periodismo Investigativo, Inc.</w:t>
      </w:r>
      <w:r w:rsidR="00DE0601" w:rsidRPr="00C05D6B">
        <w:rPr>
          <w:rFonts w:ascii="Garamond" w:hAnsi="Garamond" w:cs="Times New Roman"/>
        </w:rPr>
        <w:fldChar w:fldCharType="begin"/>
      </w:r>
      <w:r w:rsidR="00DE0601" w:rsidRPr="00FA4C45">
        <w:rPr>
          <w:rFonts w:ascii="Garamond" w:hAnsi="Garamond"/>
          <w:lang w:val="es-ES"/>
        </w:rPr>
        <w:instrText xml:space="preserve"> TA \l "</w:instrText>
      </w:r>
      <w:r w:rsidR="00DE0601" w:rsidRPr="00FA4C45">
        <w:rPr>
          <w:rFonts w:ascii="Garamond" w:hAnsi="Garamond" w:cs="Times New Roman"/>
          <w:lang w:val="es-ES"/>
        </w:rPr>
        <w:instrText>Fin. Oversight and Mgmt. Bd. for Puerto Rico v. Centro de Periodismo Investigativo, Inc.</w:instrText>
      </w:r>
      <w:r w:rsidR="00DE0601" w:rsidRPr="00FA4C45">
        <w:rPr>
          <w:rFonts w:ascii="Garamond" w:hAnsi="Garamond"/>
          <w:lang w:val="es-ES"/>
        </w:rPr>
        <w:instrText xml:space="preserve">" \s "Fin. Oversight and Mgmt. Bd. for Puerto Rico v. Centro de Periodismo Investigativo, Inc." \c 1 </w:instrText>
      </w:r>
      <w:r w:rsidR="00DE0601" w:rsidRPr="00C05D6B">
        <w:rPr>
          <w:rFonts w:ascii="Garamond" w:hAnsi="Garamond" w:cs="Times New Roman"/>
        </w:rPr>
        <w:fldChar w:fldCharType="end"/>
      </w:r>
      <w:r w:rsidRPr="00FA4C45">
        <w:rPr>
          <w:rFonts w:ascii="Garamond" w:hAnsi="Garamond" w:cs="Times New Roman"/>
          <w:lang w:val="es-ES"/>
        </w:rPr>
        <w:t xml:space="preserve">  </w:t>
      </w:r>
      <w:r w:rsidRPr="00C05D6B">
        <w:rPr>
          <w:rFonts w:ascii="Garamond" w:hAnsi="Garamond" w:cs="Times New Roman"/>
        </w:rPr>
        <w:t>(2023) (Congress “must make its intent to abrogate sovereign immunity unmistakably clear in the language of the statute.</w:t>
      </w:r>
      <w:r w:rsidR="00611A04" w:rsidRPr="00C05D6B">
        <w:rPr>
          <w:rFonts w:ascii="Garamond" w:hAnsi="Garamond" w:cs="Times New Roman"/>
        </w:rPr>
        <w:t xml:space="preserve"> . . . </w:t>
      </w:r>
      <w:r w:rsidRPr="00C05D6B">
        <w:rPr>
          <w:rFonts w:ascii="Garamond" w:hAnsi="Garamond" w:cs="Times New Roman"/>
        </w:rPr>
        <w:t xml:space="preserve">The Court has found that standard met in only two situations.  The first is when the statute says in so many words that it is stripping immunity from a sovereign entity. </w:t>
      </w:r>
      <w:r w:rsidR="00611A04" w:rsidRPr="00C05D6B">
        <w:rPr>
          <w:rFonts w:ascii="Garamond" w:hAnsi="Garamond" w:cs="Times New Roman"/>
        </w:rPr>
        <w:t xml:space="preserve">. . . </w:t>
      </w:r>
      <w:r w:rsidRPr="00C05D6B">
        <w:rPr>
          <w:rFonts w:ascii="Garamond" w:hAnsi="Garamond" w:cs="Times New Roman"/>
        </w:rPr>
        <w:t>The second is when a statute creates a cause of action and authorizes suit against a government on that claim.”; statute creating entity of government of Puerto Rico does not waive sovereign immunity by providing that litigation shall occur in federal district court under other laws that do waive the entity’s immunity such as Title VII of the Civil Rights Act</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Civil Rights Act</w:instrText>
      </w:r>
      <w:r w:rsidR="00DE0601" w:rsidRPr="00C05D6B">
        <w:rPr>
          <w:rFonts w:ascii="Garamond" w:hAnsi="Garamond"/>
        </w:rPr>
        <w:instrText xml:space="preserve">" \s "Civil Rights Act" \c 2 </w:instrText>
      </w:r>
      <w:r w:rsidR="00DE0601" w:rsidRPr="00C05D6B">
        <w:rPr>
          <w:rFonts w:ascii="Garamond" w:hAnsi="Garamond" w:cs="Times New Roman"/>
        </w:rPr>
        <w:fldChar w:fldCharType="end"/>
      </w:r>
      <w:r w:rsidRPr="00C05D6B">
        <w:rPr>
          <w:rFonts w:ascii="Garamond" w:hAnsi="Garamond" w:cs="Times New Roman"/>
        </w:rPr>
        <w:t>: “providing for a judicial forum does not make the requisite clear statement”); Lac du Flambeau Band of Lake Superior Chippewa Indians v. Coughlin</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Lac du Flambeau Band of Lake Superior Chippewa Indians v. Coughlin</w:instrText>
      </w:r>
      <w:r w:rsidR="00DE0601" w:rsidRPr="00C05D6B">
        <w:rPr>
          <w:rFonts w:ascii="Garamond" w:hAnsi="Garamond"/>
        </w:rPr>
        <w:instrText xml:space="preserve">" \s "Lac du Flambeau Band of Lake Superior Chippewa Indians v. Coughlin" \c 1 </w:instrText>
      </w:r>
      <w:r w:rsidR="00DE0601" w:rsidRPr="00C05D6B">
        <w:rPr>
          <w:rFonts w:ascii="Garamond" w:hAnsi="Garamond" w:cs="Times New Roman"/>
        </w:rPr>
        <w:fldChar w:fldCharType="end"/>
      </w:r>
      <w:r w:rsidRPr="00C05D6B">
        <w:rPr>
          <w:rFonts w:ascii="Garamond" w:hAnsi="Garamond" w:cs="Times New Roman"/>
        </w:rPr>
        <w:t xml:space="preserve"> (2023) (holding that the Bankruptcy Code, which expressly abrogates the sovereign immunity of all “governmental units,” including “a State, a Commonwealth, a District, a Territory, a municipality, or a foreign state’; or other foreign or domestic government … unambiguously abrogates the sovereign immunity of federally recognized tribes”; debtor who files </w:t>
      </w:r>
      <w:r w:rsidRPr="00C05D6B">
        <w:rPr>
          <w:rFonts w:ascii="Garamond" w:hAnsi="Garamond" w:cs="Times New Roman"/>
        </w:rPr>
        <w:lastRenderedPageBreak/>
        <w:t>for bankruptcy may seek enforcement of automatic stay of collection efforts of business owned by the Lac du Flambeau Band).</w:t>
      </w:r>
    </w:p>
    <w:p w14:paraId="0797993D" w14:textId="77777777" w:rsidR="003125BF" w:rsidRPr="00C05D6B" w:rsidRDefault="003125BF" w:rsidP="003125BF">
      <w:pPr>
        <w:rPr>
          <w:rFonts w:ascii="Garamond" w:hAnsi="Garamond" w:cs="Times New Roman"/>
        </w:rPr>
      </w:pPr>
    </w:p>
    <w:p w14:paraId="0B472325" w14:textId="1DA9BED3" w:rsidR="003125BF" w:rsidRPr="00C05D6B" w:rsidRDefault="00EA24A1" w:rsidP="003125BF">
      <w:pPr>
        <w:rPr>
          <w:rFonts w:ascii="Garamond" w:hAnsi="Garamond" w:cs="Times New Roman"/>
          <w:b/>
          <w:bCs/>
          <w:i/>
          <w:iCs/>
        </w:rPr>
      </w:pPr>
      <w:r w:rsidRPr="00C05D6B">
        <w:rPr>
          <w:rFonts w:ascii="Garamond" w:hAnsi="Garamond" w:cs="Times New Roman"/>
          <w:b/>
          <w:bCs/>
          <w:i/>
          <w:iCs/>
        </w:rPr>
        <w:t>B.</w:t>
      </w:r>
      <w:r w:rsidRPr="00C05D6B">
        <w:rPr>
          <w:rFonts w:ascii="Garamond" w:hAnsi="Garamond" w:cs="Times New Roman"/>
          <w:b/>
          <w:bCs/>
          <w:i/>
          <w:iCs/>
        </w:rPr>
        <w:tab/>
      </w:r>
      <w:r w:rsidR="003125BF" w:rsidRPr="00C05D6B">
        <w:rPr>
          <w:rFonts w:ascii="Garamond" w:hAnsi="Garamond" w:cs="Times New Roman"/>
          <w:b/>
          <w:bCs/>
          <w:i/>
          <w:iCs/>
        </w:rPr>
        <w:t>Federal Court Relief Against Local Governments and Local Government Officers</w:t>
      </w:r>
    </w:p>
    <w:p w14:paraId="6C1A5933" w14:textId="77777777" w:rsidR="00EA24A1" w:rsidRPr="00C05D6B" w:rsidRDefault="00EA24A1" w:rsidP="003125BF">
      <w:pPr>
        <w:rPr>
          <w:rFonts w:ascii="Garamond" w:hAnsi="Garamond" w:cs="Times New Roman"/>
        </w:rPr>
      </w:pPr>
    </w:p>
    <w:p w14:paraId="23A77F2E" w14:textId="50CB84A6" w:rsidR="003125BF" w:rsidRPr="00C05D6B" w:rsidRDefault="00EA24A1" w:rsidP="00EA24A1">
      <w:pPr>
        <w:ind w:firstLine="720"/>
        <w:rPr>
          <w:rFonts w:ascii="Garamond" w:hAnsi="Garamond" w:cs="Times New Roman"/>
          <w:b/>
          <w:bCs/>
        </w:rPr>
      </w:pPr>
      <w:r w:rsidRPr="00C05D6B">
        <w:rPr>
          <w:rFonts w:ascii="Garamond" w:hAnsi="Garamond" w:cs="Times New Roman"/>
          <w:b/>
          <w:bCs/>
        </w:rPr>
        <w:t>4.</w:t>
      </w:r>
      <w:r w:rsidRPr="00C05D6B">
        <w:rPr>
          <w:rFonts w:ascii="Garamond" w:hAnsi="Garamond" w:cs="Times New Roman"/>
          <w:b/>
          <w:bCs/>
        </w:rPr>
        <w:tab/>
      </w:r>
      <w:r w:rsidR="003125BF" w:rsidRPr="00C05D6B">
        <w:rPr>
          <w:rFonts w:ascii="Garamond" w:hAnsi="Garamond" w:cs="Times New Roman"/>
          <w:b/>
          <w:bCs/>
        </w:rPr>
        <w:t>Section 1983 v. Collateral Habeas Proceedings</w:t>
      </w:r>
    </w:p>
    <w:p w14:paraId="4793F239" w14:textId="6F2DEAA2" w:rsidR="003125BF" w:rsidRPr="00C05D6B" w:rsidRDefault="003125BF" w:rsidP="003125BF">
      <w:pPr>
        <w:rPr>
          <w:rFonts w:ascii="Garamond" w:hAnsi="Garamond" w:cs="Times New Roman"/>
        </w:rPr>
      </w:pPr>
    </w:p>
    <w:p w14:paraId="6E69CAA7" w14:textId="1EDC37A6" w:rsidR="00EA24A1" w:rsidRPr="00C05D6B" w:rsidRDefault="00EA24A1" w:rsidP="00EA24A1">
      <w:pPr>
        <w:rPr>
          <w:rFonts w:ascii="Garamond" w:hAnsi="Garamond" w:cs="Times New Roman"/>
          <w:b/>
          <w:bCs/>
        </w:rPr>
      </w:pPr>
      <w:r w:rsidRPr="00C05D6B">
        <w:rPr>
          <w:rFonts w:ascii="Garamond" w:hAnsi="Garamond" w:cs="Times New Roman"/>
          <w:b/>
          <w:bCs/>
        </w:rPr>
        <w:t>(CB p. 782, after the second full paragraph)</w:t>
      </w:r>
    </w:p>
    <w:p w14:paraId="36657C99" w14:textId="77777777" w:rsidR="00EA24A1" w:rsidRPr="00C05D6B" w:rsidRDefault="00EA24A1" w:rsidP="003125BF">
      <w:pPr>
        <w:rPr>
          <w:rFonts w:ascii="Garamond" w:hAnsi="Garamond" w:cs="Times New Roman"/>
        </w:rPr>
      </w:pPr>
    </w:p>
    <w:p w14:paraId="11C04B8D" w14:textId="20E6DA52" w:rsidR="003125BF" w:rsidRPr="00C05D6B" w:rsidRDefault="003125BF" w:rsidP="003125BF">
      <w:pPr>
        <w:rPr>
          <w:rFonts w:ascii="Garamond" w:hAnsi="Garamond" w:cs="Times New Roman"/>
        </w:rPr>
      </w:pPr>
      <w:r w:rsidRPr="00C05D6B">
        <w:rPr>
          <w:rFonts w:ascii="Garamond" w:hAnsi="Garamond" w:cs="Times New Roman"/>
        </w:rPr>
        <w:tab/>
      </w:r>
      <w:r w:rsidR="00EA24A1" w:rsidRPr="00C05D6B">
        <w:rPr>
          <w:rFonts w:ascii="Garamond" w:hAnsi="Garamond" w:cs="Times New Roman"/>
        </w:rPr>
        <w:t>Thus,</w:t>
      </w:r>
      <w:r w:rsidRPr="00C05D6B">
        <w:rPr>
          <w:rFonts w:ascii="Garamond" w:hAnsi="Garamond" w:cs="Times New Roman"/>
        </w:rPr>
        <w:t xml:space="preserve"> </w:t>
      </w:r>
      <w:r w:rsidR="00EA24A1" w:rsidRPr="00C05D6B">
        <w:rPr>
          <w:rFonts w:ascii="Garamond" w:hAnsi="Garamond" w:cs="Times New Roman"/>
        </w:rPr>
        <w:t>c</w:t>
      </w:r>
      <w:r w:rsidRPr="00C05D6B">
        <w:rPr>
          <w:rFonts w:ascii="Garamond" w:hAnsi="Garamond" w:cs="Times New Roman"/>
        </w:rPr>
        <w:t xml:space="preserve">ourts have grappled, for example, with which cause of action is appropriate when an inmate challenges the legality of a method of execution; a condition of probation or parole; or a scheme that criminalizes poverty. The key question is whether a plaintiff’s success would necessarily result in an earlier release. </w:t>
      </w:r>
      <w:r w:rsidRPr="00C05D6B">
        <w:rPr>
          <w:rFonts w:ascii="Garamond" w:hAnsi="Garamond" w:cs="Times New Roman"/>
          <w:i/>
          <w:iCs/>
        </w:rPr>
        <w:t>See, e.g.</w:t>
      </w:r>
      <w:r w:rsidRPr="00C05D6B">
        <w:rPr>
          <w:rFonts w:ascii="Garamond" w:hAnsi="Garamond" w:cs="Times New Roman"/>
        </w:rPr>
        <w:t xml:space="preserve">, </w:t>
      </w:r>
      <w:r w:rsidRPr="00C05D6B">
        <w:rPr>
          <w:rStyle w:val="I"/>
          <w:rFonts w:ascii="Garamond" w:hAnsi="Garamond" w:cs="Times New Roman"/>
          <w:i w:val="0"/>
          <w:iCs w:val="0"/>
        </w:rPr>
        <w:t>Wilkinson v. Dotson</w:t>
      </w:r>
      <w:r w:rsidR="00DE0601" w:rsidRPr="00C05D6B">
        <w:rPr>
          <w:rStyle w:val="I"/>
          <w:rFonts w:ascii="Garamond" w:hAnsi="Garamond" w:cs="Times New Roman"/>
          <w:i w:val="0"/>
          <w:iCs w:val="0"/>
        </w:rPr>
        <w:fldChar w:fldCharType="begin"/>
      </w:r>
      <w:r w:rsidR="00DE0601" w:rsidRPr="00C05D6B">
        <w:rPr>
          <w:rFonts w:ascii="Garamond" w:hAnsi="Garamond"/>
        </w:rPr>
        <w:instrText xml:space="preserve"> TA \l "</w:instrText>
      </w:r>
      <w:r w:rsidR="00DE0601" w:rsidRPr="00C05D6B">
        <w:rPr>
          <w:rStyle w:val="I"/>
          <w:rFonts w:ascii="Garamond" w:hAnsi="Garamond" w:cs="Times New Roman"/>
          <w:i w:val="0"/>
          <w:iCs w:val="0"/>
        </w:rPr>
        <w:instrText>Wilkinson v. Dotson</w:instrText>
      </w:r>
      <w:r w:rsidR="00DE0601" w:rsidRPr="00C05D6B">
        <w:rPr>
          <w:rFonts w:ascii="Garamond" w:hAnsi="Garamond"/>
        </w:rPr>
        <w:instrText xml:space="preserve">" \s "Wilkinson v. Dotson" \c 1 </w:instrText>
      </w:r>
      <w:r w:rsidR="00DE0601" w:rsidRPr="00C05D6B">
        <w:rPr>
          <w:rStyle w:val="I"/>
          <w:rFonts w:ascii="Garamond" w:hAnsi="Garamond" w:cs="Times New Roman"/>
          <w:i w:val="0"/>
          <w:iCs w:val="0"/>
        </w:rPr>
        <w:fldChar w:fldCharType="end"/>
      </w:r>
      <w:r w:rsidRPr="00C05D6B">
        <w:rPr>
          <w:rFonts w:ascii="Garamond" w:hAnsi="Garamond" w:cs="Times New Roman"/>
        </w:rPr>
        <w:t xml:space="preserve"> (2005) (holding that prisoners could rely on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to challenge administrative procedures governing parole eligibility); </w:t>
      </w:r>
      <w:r w:rsidRPr="00C05D6B">
        <w:rPr>
          <w:rStyle w:val="I"/>
          <w:rFonts w:ascii="Garamond" w:hAnsi="Garamond" w:cs="Times New Roman"/>
          <w:i w:val="0"/>
          <w:iCs w:val="0"/>
        </w:rPr>
        <w:t>Wolff v. McDonnell</w:t>
      </w:r>
      <w:r w:rsidR="00DE0601" w:rsidRPr="00C05D6B">
        <w:rPr>
          <w:rStyle w:val="I"/>
          <w:rFonts w:ascii="Garamond" w:hAnsi="Garamond" w:cs="Times New Roman"/>
          <w:i w:val="0"/>
          <w:iCs w:val="0"/>
        </w:rPr>
        <w:fldChar w:fldCharType="begin"/>
      </w:r>
      <w:r w:rsidR="00DE0601" w:rsidRPr="00C05D6B">
        <w:rPr>
          <w:rFonts w:ascii="Garamond" w:hAnsi="Garamond"/>
        </w:rPr>
        <w:instrText xml:space="preserve"> TA \l "</w:instrText>
      </w:r>
      <w:r w:rsidR="00DE0601" w:rsidRPr="00C05D6B">
        <w:rPr>
          <w:rStyle w:val="I"/>
          <w:rFonts w:ascii="Garamond" w:hAnsi="Garamond" w:cs="Times New Roman"/>
          <w:i w:val="0"/>
          <w:iCs w:val="0"/>
        </w:rPr>
        <w:instrText>Wolff v. McDonnell</w:instrText>
      </w:r>
      <w:r w:rsidR="00DE0601" w:rsidRPr="00C05D6B">
        <w:rPr>
          <w:rFonts w:ascii="Garamond" w:hAnsi="Garamond"/>
        </w:rPr>
        <w:instrText xml:space="preserve">" \s "Wolff v. McDonnell" \c 1 </w:instrText>
      </w:r>
      <w:r w:rsidR="00DE0601" w:rsidRPr="00C05D6B">
        <w:rPr>
          <w:rStyle w:val="I"/>
          <w:rFonts w:ascii="Garamond" w:hAnsi="Garamond" w:cs="Times New Roman"/>
          <w:i w:val="0"/>
          <w:iCs w:val="0"/>
        </w:rPr>
        <w:fldChar w:fldCharType="end"/>
      </w:r>
      <w:r w:rsidRPr="00C05D6B">
        <w:rPr>
          <w:rFonts w:ascii="Garamond" w:hAnsi="Garamond" w:cs="Times New Roman"/>
        </w:rPr>
        <w:t xml:space="preserve"> (1974) (holding that prisoners could rely on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xml:space="preserve"> to challenge the retroactivity of new procedural rules concerning prison discipline).</w:t>
      </w:r>
    </w:p>
    <w:p w14:paraId="66E88083" w14:textId="77777777" w:rsidR="00EA24A1" w:rsidRPr="00C05D6B" w:rsidRDefault="00EA24A1" w:rsidP="003125BF">
      <w:pPr>
        <w:rPr>
          <w:rFonts w:ascii="Garamond" w:hAnsi="Garamond" w:cs="Times New Roman"/>
        </w:rPr>
      </w:pPr>
    </w:p>
    <w:p w14:paraId="191F27B5" w14:textId="53523E2D" w:rsidR="003125BF" w:rsidRPr="00C05D6B" w:rsidRDefault="003125BF" w:rsidP="003125BF">
      <w:pPr>
        <w:rPr>
          <w:rFonts w:ascii="Garamond" w:hAnsi="Garamond" w:cs="Times New Roman"/>
        </w:rPr>
      </w:pPr>
      <w:r w:rsidRPr="00C05D6B">
        <w:rPr>
          <w:rFonts w:ascii="Garamond" w:hAnsi="Garamond" w:cs="Times New Roman"/>
        </w:rPr>
        <w:tab/>
        <w:t>Recently, the Court also reaffirmed that Section 1983</w:t>
      </w:r>
      <w:r w:rsidR="00756097" w:rsidRPr="00C05D6B">
        <w:rPr>
          <w:rFonts w:ascii="Garamond" w:hAnsi="Garamond" w:cs="Times New Roman"/>
        </w:rPr>
        <w:fldChar w:fldCharType="begin"/>
      </w:r>
      <w:r w:rsidR="00756097" w:rsidRPr="00C05D6B">
        <w:rPr>
          <w:rFonts w:ascii="Garamond" w:hAnsi="Garamond"/>
        </w:rPr>
        <w:instrText xml:space="preserve"> TA \l "</w:instrText>
      </w:r>
      <w:r w:rsidR="00756097" w:rsidRPr="00756097">
        <w:instrText xml:space="preserve"> </w:instrText>
      </w:r>
      <w:r w:rsidR="00756097" w:rsidRPr="00756097">
        <w:rPr>
          <w:rFonts w:ascii="Garamond" w:hAnsi="Garamond" w:cs="Times New Roman"/>
        </w:rPr>
        <w:instrText>42 U.S.C. § 1983</w:instrText>
      </w:r>
      <w:r w:rsidR="00756097" w:rsidRPr="00C05D6B">
        <w:rPr>
          <w:rFonts w:ascii="Garamond" w:hAnsi="Garamond"/>
        </w:rPr>
        <w:instrText>" \s "</w:instrText>
      </w:r>
      <w:r w:rsidR="00756097" w:rsidRPr="00756097">
        <w:instrText xml:space="preserve"> </w:instrText>
      </w:r>
      <w:r w:rsidR="00756097" w:rsidRPr="00756097">
        <w:rPr>
          <w:rFonts w:ascii="Garamond" w:hAnsi="Garamond"/>
        </w:rPr>
        <w:instrText>42 U.S.C. § 1983</w:instrText>
      </w:r>
      <w:r w:rsidR="00756097" w:rsidRPr="00C05D6B">
        <w:rPr>
          <w:rFonts w:ascii="Garamond" w:hAnsi="Garamond"/>
        </w:rPr>
        <w:instrText xml:space="preserve">" \c 2 </w:instrText>
      </w:r>
      <w:r w:rsidR="00756097" w:rsidRPr="00C05D6B">
        <w:rPr>
          <w:rFonts w:ascii="Garamond" w:hAnsi="Garamond" w:cs="Times New Roman"/>
        </w:rPr>
        <w:fldChar w:fldCharType="end"/>
      </w:r>
      <w:r w:rsidRPr="00C05D6B">
        <w:rPr>
          <w:rFonts w:ascii="Garamond" w:hAnsi="Garamond" w:cs="Times New Roman"/>
        </w:rPr>
        <w:t>, not habeas, is the appropriate cause of action when a litigant alleges that, in violation of the Fourteenth Amendment’s Due Process Clause, a state has failed to provide an adequate avenue to seek DNA testing of evidence. Reed v. Goertz</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Reed v. Goertz</w:instrText>
      </w:r>
      <w:r w:rsidR="00DE0601" w:rsidRPr="00C05D6B">
        <w:rPr>
          <w:rFonts w:ascii="Garamond" w:hAnsi="Garamond"/>
        </w:rPr>
        <w:instrText xml:space="preserve">" \s "Reed v. Goertz" \c 1 </w:instrText>
      </w:r>
      <w:r w:rsidR="00DE0601" w:rsidRPr="00C05D6B">
        <w:rPr>
          <w:rFonts w:ascii="Garamond" w:hAnsi="Garamond" w:cs="Times New Roman"/>
        </w:rPr>
        <w:fldChar w:fldCharType="end"/>
      </w:r>
      <w:r w:rsidRPr="00C05D6B">
        <w:rPr>
          <w:rFonts w:ascii="Garamond" w:hAnsi="Garamond" w:cs="Times New Roman"/>
        </w:rPr>
        <w:t xml:space="preserve"> (2023). In </w:t>
      </w:r>
      <w:r w:rsidRPr="00C05D6B">
        <w:rPr>
          <w:rFonts w:ascii="Garamond" w:hAnsi="Garamond" w:cs="Times New Roman"/>
          <w:i/>
          <w:iCs/>
        </w:rPr>
        <w:t>Reed</w:t>
      </w:r>
      <w:r w:rsidRPr="00C05D6B">
        <w:rPr>
          <w:rFonts w:ascii="Garamond" w:hAnsi="Garamond" w:cs="Times New Roman"/>
        </w:rPr>
        <w:t>, the Court clarified the reach of a rule first announced in Skinner v. Switzer (2011), which held:</w:t>
      </w:r>
    </w:p>
    <w:p w14:paraId="5B43092B" w14:textId="77777777" w:rsidR="003125BF" w:rsidRPr="00C05D6B" w:rsidRDefault="003125BF" w:rsidP="003125BF">
      <w:pPr>
        <w:rPr>
          <w:rFonts w:ascii="Garamond" w:hAnsi="Garamond" w:cs="Times New Roman"/>
        </w:rPr>
      </w:pPr>
    </w:p>
    <w:p w14:paraId="35C39C3A" w14:textId="570880A7" w:rsidR="003125BF" w:rsidRPr="00C05D6B" w:rsidRDefault="003125BF" w:rsidP="003125BF">
      <w:pPr>
        <w:ind w:left="1440" w:right="1440"/>
        <w:rPr>
          <w:rFonts w:ascii="Garamond" w:hAnsi="Garamond" w:cs="Times New Roman"/>
        </w:rPr>
      </w:pPr>
      <w:r w:rsidRPr="00C05D6B">
        <w:rPr>
          <w:rFonts w:ascii="Garamond" w:hAnsi="Garamond" w:cs="Times New Roman"/>
        </w:rPr>
        <w:t>Habeas is the exclusive remedy</w:t>
      </w:r>
      <w:r w:rsidR="00503568" w:rsidRPr="00C05D6B">
        <w:rPr>
          <w:rFonts w:ascii="Garamond" w:hAnsi="Garamond" w:cs="Times New Roman"/>
        </w:rPr>
        <w:t xml:space="preserve"> . . .</w:t>
      </w:r>
      <w:r w:rsidRPr="00C05D6B">
        <w:rPr>
          <w:rFonts w:ascii="Garamond" w:hAnsi="Garamond" w:cs="Times New Roman"/>
        </w:rPr>
        <w:t xml:space="preserve"> for the prisoner who seeks “immediate or speedier release” from confinement. Where the prisoner’s claim would not “necessarily spell speedier release,” however, suit may be brought under §1983. We hold that a postconviction claim for DNA testing is properly pursued in a §1983 action. Success in the suit gains for the prisoner only access to the DNA evidence, which may prove exculpatory, inculpatory, or inconclusive. In no event will a judgment that simply orders DNA tests “necessarily </w:t>
      </w:r>
      <w:proofErr w:type="spellStart"/>
      <w:r w:rsidRPr="00C05D6B">
        <w:rPr>
          <w:rFonts w:ascii="Garamond" w:hAnsi="Garamond" w:cs="Times New Roman"/>
        </w:rPr>
        <w:t>impl</w:t>
      </w:r>
      <w:proofErr w:type="spellEnd"/>
      <w:r w:rsidRPr="00C05D6B">
        <w:rPr>
          <w:rFonts w:ascii="Garamond" w:hAnsi="Garamond" w:cs="Times New Roman"/>
        </w:rPr>
        <w:t xml:space="preserve">[y] the unlawfulness of the State’s custody.” </w:t>
      </w:r>
    </w:p>
    <w:p w14:paraId="2C4D1C3D" w14:textId="77777777" w:rsidR="003125BF" w:rsidRPr="00C05D6B" w:rsidRDefault="003125BF" w:rsidP="003125BF">
      <w:pPr>
        <w:ind w:left="1440" w:right="1440"/>
        <w:rPr>
          <w:rFonts w:ascii="Garamond" w:hAnsi="Garamond" w:cs="Times New Roman"/>
        </w:rPr>
      </w:pPr>
    </w:p>
    <w:p w14:paraId="2541085C" w14:textId="77777777" w:rsidR="003125BF" w:rsidRPr="00C05D6B" w:rsidRDefault="003125BF" w:rsidP="003125BF">
      <w:pPr>
        <w:rPr>
          <w:rFonts w:ascii="Garamond" w:hAnsi="Garamond" w:cs="Times New Roman"/>
        </w:rPr>
      </w:pPr>
      <w:r w:rsidRPr="00C05D6B">
        <w:rPr>
          <w:rFonts w:ascii="Garamond" w:hAnsi="Garamond" w:cs="Times New Roman"/>
        </w:rPr>
        <w:t xml:space="preserve">Expounding upon that ruling, in </w:t>
      </w:r>
      <w:r w:rsidRPr="00C05D6B">
        <w:rPr>
          <w:rFonts w:ascii="Garamond" w:hAnsi="Garamond" w:cs="Times New Roman"/>
          <w:i/>
          <w:iCs/>
        </w:rPr>
        <w:t>Reed</w:t>
      </w:r>
      <w:r w:rsidRPr="00C05D6B">
        <w:rPr>
          <w:rFonts w:ascii="Garamond" w:hAnsi="Garamond" w:cs="Times New Roman"/>
        </w:rPr>
        <w:t xml:space="preserve">, the Court held that the statute of limitations begins to run at the end of the state court litigation that denies the inmate’s request for DNA testing.  </w:t>
      </w:r>
    </w:p>
    <w:p w14:paraId="3A0E6E79" w14:textId="77777777" w:rsidR="003125BF" w:rsidRPr="00C05D6B" w:rsidRDefault="003125BF" w:rsidP="003125BF">
      <w:pPr>
        <w:rPr>
          <w:rFonts w:ascii="Garamond" w:hAnsi="Garamond" w:cs="Times New Roman"/>
        </w:rPr>
      </w:pPr>
    </w:p>
    <w:p w14:paraId="7BC58A93" w14:textId="57D66E9A" w:rsidR="003125BF" w:rsidRPr="00C05D6B" w:rsidRDefault="00EA24A1" w:rsidP="003125BF">
      <w:pPr>
        <w:rPr>
          <w:rFonts w:ascii="Garamond" w:hAnsi="Garamond" w:cs="Times New Roman"/>
          <w:b/>
          <w:bCs/>
          <w:i/>
          <w:iCs/>
        </w:rPr>
      </w:pPr>
      <w:r w:rsidRPr="00C05D6B">
        <w:rPr>
          <w:rFonts w:ascii="Garamond" w:hAnsi="Garamond" w:cs="Times New Roman"/>
          <w:b/>
          <w:bCs/>
          <w:i/>
          <w:iCs/>
        </w:rPr>
        <w:t>C.</w:t>
      </w:r>
      <w:r w:rsidRPr="00C05D6B">
        <w:rPr>
          <w:rFonts w:ascii="Garamond" w:hAnsi="Garamond" w:cs="Times New Roman"/>
          <w:b/>
          <w:bCs/>
          <w:i/>
          <w:iCs/>
        </w:rPr>
        <w:tab/>
      </w:r>
      <w:r w:rsidR="003125BF" w:rsidRPr="00C05D6B">
        <w:rPr>
          <w:rFonts w:ascii="Garamond" w:hAnsi="Garamond" w:cs="Times New Roman"/>
          <w:b/>
          <w:bCs/>
          <w:i/>
          <w:iCs/>
        </w:rPr>
        <w:t>Federal Court Relief Against Tribal Governments and Tribal Government Officers</w:t>
      </w:r>
    </w:p>
    <w:p w14:paraId="25A4DFEF" w14:textId="77777777" w:rsidR="00EA24A1" w:rsidRPr="00C05D6B" w:rsidRDefault="00EA24A1" w:rsidP="003125BF">
      <w:pPr>
        <w:rPr>
          <w:rFonts w:ascii="Garamond" w:hAnsi="Garamond" w:cs="Times New Roman"/>
        </w:rPr>
      </w:pPr>
    </w:p>
    <w:p w14:paraId="6462331E" w14:textId="4EF39EEF" w:rsidR="003125BF" w:rsidRPr="00C05D6B" w:rsidRDefault="00EA24A1" w:rsidP="00EA24A1">
      <w:pPr>
        <w:ind w:firstLine="720"/>
        <w:rPr>
          <w:rFonts w:ascii="Garamond" w:hAnsi="Garamond" w:cs="Times New Roman"/>
          <w:b/>
          <w:bCs/>
        </w:rPr>
      </w:pPr>
      <w:r w:rsidRPr="00C05D6B">
        <w:rPr>
          <w:rFonts w:ascii="Garamond" w:hAnsi="Garamond" w:cs="Times New Roman"/>
          <w:b/>
          <w:bCs/>
        </w:rPr>
        <w:t>2.</w:t>
      </w:r>
      <w:r w:rsidRPr="00C05D6B">
        <w:rPr>
          <w:rFonts w:ascii="Garamond" w:hAnsi="Garamond" w:cs="Times New Roman"/>
          <w:b/>
          <w:bCs/>
        </w:rPr>
        <w:tab/>
      </w:r>
      <w:r w:rsidR="003125BF" w:rsidRPr="00C05D6B">
        <w:rPr>
          <w:rFonts w:ascii="Garamond" w:hAnsi="Garamond" w:cs="Times New Roman"/>
          <w:b/>
          <w:bCs/>
        </w:rPr>
        <w:t>Tribal Sovereign Immunity</w:t>
      </w:r>
    </w:p>
    <w:p w14:paraId="265000B5" w14:textId="77777777" w:rsidR="003125BF" w:rsidRPr="00C05D6B" w:rsidRDefault="003125BF" w:rsidP="003125BF">
      <w:pPr>
        <w:rPr>
          <w:rFonts w:ascii="Garamond" w:hAnsi="Garamond" w:cs="Times New Roman"/>
        </w:rPr>
      </w:pPr>
    </w:p>
    <w:p w14:paraId="6637EE6D" w14:textId="77777777" w:rsidR="003125BF" w:rsidRPr="00C05D6B" w:rsidRDefault="003125BF" w:rsidP="003125BF">
      <w:pPr>
        <w:rPr>
          <w:rFonts w:ascii="Garamond" w:hAnsi="Garamond" w:cs="Times New Roman"/>
          <w:b/>
          <w:bCs/>
        </w:rPr>
      </w:pPr>
      <w:r w:rsidRPr="00C05D6B">
        <w:rPr>
          <w:rFonts w:ascii="Garamond" w:hAnsi="Garamond" w:cs="Times New Roman"/>
          <w:b/>
          <w:bCs/>
        </w:rPr>
        <w:t xml:space="preserve">(CB, p. 861, at the end of the page after the </w:t>
      </w:r>
      <w:proofErr w:type="spellStart"/>
      <w:r w:rsidRPr="00C05D6B">
        <w:rPr>
          <w:rFonts w:ascii="Garamond" w:hAnsi="Garamond" w:cs="Times New Roman"/>
          <w:b/>
          <w:bCs/>
        </w:rPr>
        <w:t>dinkus</w:t>
      </w:r>
      <w:proofErr w:type="spellEnd"/>
      <w:r w:rsidRPr="00C05D6B">
        <w:rPr>
          <w:rFonts w:ascii="Garamond" w:hAnsi="Garamond" w:cs="Times New Roman"/>
          <w:b/>
          <w:bCs/>
        </w:rPr>
        <w:t>)</w:t>
      </w:r>
    </w:p>
    <w:p w14:paraId="0AC2C12A" w14:textId="77777777" w:rsidR="003125BF" w:rsidRPr="00C05D6B" w:rsidRDefault="003125BF" w:rsidP="003125BF">
      <w:pPr>
        <w:pStyle w:val="NormalWeb"/>
        <w:spacing w:before="0" w:beforeAutospacing="0" w:after="0" w:afterAutospacing="0"/>
        <w:ind w:firstLine="720"/>
        <w:rPr>
          <w:rFonts w:ascii="Garamond" w:hAnsi="Garamond"/>
        </w:rPr>
      </w:pPr>
    </w:p>
    <w:p w14:paraId="6C791B82" w14:textId="5E305808" w:rsidR="003125BF" w:rsidRPr="00C05D6B" w:rsidRDefault="003125BF" w:rsidP="003125BF">
      <w:pPr>
        <w:pStyle w:val="NormalWeb"/>
        <w:spacing w:before="0" w:beforeAutospacing="0" w:after="0" w:afterAutospacing="0"/>
        <w:ind w:firstLine="720"/>
        <w:rPr>
          <w:rFonts w:ascii="Garamond" w:hAnsi="Garamond"/>
        </w:rPr>
      </w:pPr>
      <w:r w:rsidRPr="00C05D6B">
        <w:rPr>
          <w:rFonts w:ascii="Garamond" w:hAnsi="Garamond"/>
        </w:rPr>
        <w:t>In Lac du Flambeau Band of Lake Superior Chippewa Indians v. Coughlin</w:t>
      </w:r>
      <w:r w:rsidR="00DE0601" w:rsidRPr="00C05D6B">
        <w:rPr>
          <w:rFonts w:ascii="Garamond" w:hAnsi="Garamond"/>
        </w:rPr>
        <w:fldChar w:fldCharType="begin"/>
      </w:r>
      <w:r w:rsidR="00DE0601" w:rsidRPr="00C05D6B">
        <w:rPr>
          <w:rFonts w:ascii="Garamond" w:hAnsi="Garamond"/>
        </w:rPr>
        <w:instrText xml:space="preserve"> TA \s "Lac du Flambeau Band of Lake Superior Chippewa Indians v. Coughlin" </w:instrText>
      </w:r>
      <w:r w:rsidR="00DE0601" w:rsidRPr="00C05D6B">
        <w:rPr>
          <w:rFonts w:ascii="Garamond" w:hAnsi="Garamond"/>
        </w:rPr>
        <w:fldChar w:fldCharType="end"/>
      </w:r>
      <w:r w:rsidRPr="00C05D6B">
        <w:rPr>
          <w:rFonts w:ascii="Garamond" w:hAnsi="Garamond"/>
        </w:rPr>
        <w:t xml:space="preserve"> (2023), the Court held that Congress does not need to use the words “Indian tribe” in order to unequivocally abrogate tribal sovereign immunity. The Bankruptcy Code</w:t>
      </w:r>
      <w:r w:rsidR="006B6B8F" w:rsidRPr="00C05D6B">
        <w:rPr>
          <w:rFonts w:ascii="Garamond" w:hAnsi="Garamond"/>
        </w:rPr>
        <w:fldChar w:fldCharType="begin"/>
      </w:r>
      <w:r w:rsidR="006B6B8F" w:rsidRPr="00C05D6B">
        <w:rPr>
          <w:rFonts w:ascii="Garamond" w:hAnsi="Garamond"/>
        </w:rPr>
        <w:instrText xml:space="preserve"> TA \l "Bankruptcy Code" \s "Bankruptcy Code" \c 2 </w:instrText>
      </w:r>
      <w:r w:rsidR="006B6B8F" w:rsidRPr="00C05D6B">
        <w:rPr>
          <w:rFonts w:ascii="Garamond" w:hAnsi="Garamond"/>
        </w:rPr>
        <w:fldChar w:fldCharType="end"/>
      </w:r>
      <w:r w:rsidRPr="00C05D6B">
        <w:rPr>
          <w:rFonts w:ascii="Garamond" w:hAnsi="Garamond"/>
        </w:rPr>
        <w:t xml:space="preserve"> has an unusually broadly worded provision abrogating the sovereign immunity of all “governmental unit[s],” which the Code defines to include the United States, the several States, territories, municipalities, foreign states, as well as “other foreign or domestic government[s].” In </w:t>
      </w:r>
      <w:r w:rsidRPr="00C05D6B">
        <w:rPr>
          <w:rFonts w:ascii="Garamond" w:hAnsi="Garamond"/>
          <w:i/>
          <w:iCs/>
        </w:rPr>
        <w:t>Lac du Flambeau</w:t>
      </w:r>
      <w:r w:rsidR="00DE0601" w:rsidRPr="00C05D6B">
        <w:rPr>
          <w:rFonts w:ascii="Garamond" w:hAnsi="Garamond"/>
          <w:i/>
          <w:iCs/>
        </w:rPr>
        <w:fldChar w:fldCharType="begin"/>
      </w:r>
      <w:r w:rsidR="00DE0601" w:rsidRPr="00C05D6B">
        <w:rPr>
          <w:rFonts w:ascii="Garamond" w:hAnsi="Garamond"/>
        </w:rPr>
        <w:instrText xml:space="preserve"> TA \s "Lac du Flambeau Band of Lake Superior Chippewa Indians v. Coughlin" </w:instrText>
      </w:r>
      <w:r w:rsidR="00DE0601" w:rsidRPr="00C05D6B">
        <w:rPr>
          <w:rFonts w:ascii="Garamond" w:hAnsi="Garamond"/>
          <w:i/>
          <w:iCs/>
        </w:rPr>
        <w:fldChar w:fldCharType="end"/>
      </w:r>
      <w:r w:rsidRPr="00C05D6B">
        <w:rPr>
          <w:rFonts w:ascii="Garamond" w:hAnsi="Garamond"/>
        </w:rPr>
        <w:t xml:space="preserve">, the Court concluded that this sweeping </w:t>
      </w:r>
      <w:r w:rsidRPr="00C05D6B">
        <w:rPr>
          <w:rFonts w:ascii="Garamond" w:hAnsi="Garamond"/>
        </w:rPr>
        <w:lastRenderedPageBreak/>
        <w:t xml:space="preserve">provision abrogated the sovereign immunity of a tribal nation from a customer’s suit for money damages against a tribal payday lending company. The Band argued that the Code’s abrogation provision was not unequivocal because it did not mention “Indian tribes” by name and could plausibly be read not to encompass tribes because they are domestic dependent nations, neither “foreign governments” nor “domestic governments,” but </w:t>
      </w:r>
      <w:r w:rsidR="00611A04" w:rsidRPr="00C05D6B">
        <w:rPr>
          <w:rFonts w:ascii="Garamond" w:hAnsi="Garamond"/>
        </w:rPr>
        <w:t xml:space="preserve">instead </w:t>
      </w:r>
      <w:r w:rsidRPr="00C05D6B">
        <w:rPr>
          <w:rFonts w:ascii="Garamond" w:hAnsi="Garamond"/>
        </w:rPr>
        <w:t>a sui generis sovereign entity. The Court rejected these arguments, reasoning that Congress does not need to use “magic words” to abrogate tribal sovereign immunity and that the catchall term “other foreign or domestic government[s]” unequivocally showed that Congress intended to abrogate the immunity of all types of governments. Justice Gorsuch was the lone dissenter and emphasized that the Court had never before held that a statute abrogated tribal sovereign immunity without mentioning “Indian tribes” by name. In his view, the unequivocal expression requirement, which all nine Justices accepted as governing law, was important to maintain the separation of powers in federal Indian law and ensure that Congress had deliberately decided to abrogate tribal nations’ immunity from suit.</w:t>
      </w:r>
    </w:p>
    <w:p w14:paraId="7D212D5A" w14:textId="77777777" w:rsidR="003125BF" w:rsidRPr="00C05D6B" w:rsidRDefault="003125BF" w:rsidP="003125BF">
      <w:pPr>
        <w:pStyle w:val="NormalWeb"/>
        <w:spacing w:before="0" w:beforeAutospacing="0" w:after="0" w:afterAutospacing="0"/>
        <w:ind w:firstLine="720"/>
        <w:rPr>
          <w:rFonts w:ascii="Garamond" w:hAnsi="Garamond"/>
        </w:rPr>
      </w:pPr>
    </w:p>
    <w:p w14:paraId="7CD5E1E2" w14:textId="27AA7FA6" w:rsidR="003125BF" w:rsidRPr="00C05D6B" w:rsidRDefault="003125BF" w:rsidP="003125BF">
      <w:pPr>
        <w:pStyle w:val="NormalWeb"/>
        <w:spacing w:before="0" w:beforeAutospacing="0" w:after="0" w:afterAutospacing="0"/>
        <w:ind w:firstLine="720"/>
        <w:rPr>
          <w:rFonts w:ascii="Garamond" w:hAnsi="Garamond"/>
        </w:rPr>
      </w:pPr>
      <w:r w:rsidRPr="00C05D6B">
        <w:rPr>
          <w:rFonts w:ascii="Garamond" w:hAnsi="Garamond"/>
        </w:rPr>
        <w:t xml:space="preserve">The Court has applied the unequivocal expression rule to territorial sovereign immunity as well. The First Circuit has held that the Commonwealth of Puerto Rico has sovereign immunity from suit in federal court. In litigation, the United States executive branch has taken the same position based upon Supreme Court precedent. In Financial Oversight Management Board for Puerto Rico v. Centro de </w:t>
      </w:r>
      <w:proofErr w:type="spellStart"/>
      <w:r w:rsidRPr="00C05D6B">
        <w:rPr>
          <w:rFonts w:ascii="Garamond" w:hAnsi="Garamond"/>
        </w:rPr>
        <w:t>Periodismo</w:t>
      </w:r>
      <w:proofErr w:type="spellEnd"/>
      <w:r w:rsidRPr="00C05D6B">
        <w:rPr>
          <w:rFonts w:ascii="Garamond" w:hAnsi="Garamond"/>
        </w:rPr>
        <w:t xml:space="preserve"> </w:t>
      </w:r>
      <w:proofErr w:type="spellStart"/>
      <w:r w:rsidRPr="00C05D6B">
        <w:rPr>
          <w:rFonts w:ascii="Garamond" w:hAnsi="Garamond"/>
        </w:rPr>
        <w:t>Investigativo</w:t>
      </w:r>
      <w:proofErr w:type="spellEnd"/>
      <w:r w:rsidRPr="00C05D6B">
        <w:rPr>
          <w:rFonts w:ascii="Garamond" w:hAnsi="Garamond"/>
        </w:rPr>
        <w:t>, Inc.</w:t>
      </w:r>
      <w:r w:rsidR="00DE0601" w:rsidRPr="00C05D6B">
        <w:rPr>
          <w:rFonts w:ascii="Garamond" w:hAnsi="Garamond"/>
        </w:rPr>
        <w:fldChar w:fldCharType="begin"/>
      </w:r>
      <w:r w:rsidR="00DE0601" w:rsidRPr="00C05D6B">
        <w:rPr>
          <w:rFonts w:ascii="Garamond" w:hAnsi="Garamond"/>
        </w:rPr>
        <w:instrText xml:space="preserve"> TA \s "Fin. Oversight and Mgmt. Bd. for Puerto Rico v. Centro de Periodismo Investigativo, Inc." </w:instrText>
      </w:r>
      <w:r w:rsidR="00DE0601" w:rsidRPr="00C05D6B">
        <w:rPr>
          <w:rFonts w:ascii="Garamond" w:hAnsi="Garamond"/>
        </w:rPr>
        <w:fldChar w:fldCharType="end"/>
      </w:r>
      <w:r w:rsidRPr="00C05D6B">
        <w:rPr>
          <w:rFonts w:ascii="Garamond" w:hAnsi="Garamond"/>
        </w:rPr>
        <w:t xml:space="preserve"> (2023), the Court assumed without deciding that Puerto Rico has immunity from being sued in a federal court and that this immunity extended to a government board created by Congress to approve and implement budgets for Puerto Rico in the wake of a fiscal emergency. It then held that Congress had not abrogated that sovereign immunity. It explained that the unequivocal expression requirement is satisfied </w:t>
      </w:r>
      <w:r w:rsidR="00611A04" w:rsidRPr="00C05D6B">
        <w:rPr>
          <w:rFonts w:ascii="Garamond" w:hAnsi="Garamond"/>
        </w:rPr>
        <w:t>“</w:t>
      </w:r>
      <w:r w:rsidRPr="00C05D6B">
        <w:rPr>
          <w:rFonts w:ascii="Garamond" w:hAnsi="Garamond"/>
        </w:rPr>
        <w:t>when a statute says in so many words that it is stripping immunity from a sovereign entity</w:t>
      </w:r>
      <w:r w:rsidR="00611A04" w:rsidRPr="00C05D6B">
        <w:rPr>
          <w:rFonts w:ascii="Garamond" w:hAnsi="Garamond"/>
        </w:rPr>
        <w:t>”</w:t>
      </w:r>
      <w:r w:rsidRPr="00C05D6B">
        <w:rPr>
          <w:rFonts w:ascii="Garamond" w:hAnsi="Garamond"/>
        </w:rPr>
        <w:t xml:space="preserve"> and </w:t>
      </w:r>
      <w:r w:rsidR="00611A04" w:rsidRPr="00C05D6B">
        <w:rPr>
          <w:rFonts w:ascii="Garamond" w:hAnsi="Garamond"/>
        </w:rPr>
        <w:t>“</w:t>
      </w:r>
      <w:r w:rsidRPr="00C05D6B">
        <w:rPr>
          <w:rFonts w:ascii="Garamond" w:hAnsi="Garamond"/>
        </w:rPr>
        <w:t>when a statute creates a cause of action and authorizes suit against a government on that claim.</w:t>
      </w:r>
      <w:r w:rsidR="00611A04" w:rsidRPr="00C05D6B">
        <w:rPr>
          <w:rFonts w:ascii="Garamond" w:hAnsi="Garamond"/>
        </w:rPr>
        <w:t>”</w:t>
      </w:r>
      <w:r w:rsidRPr="00C05D6B">
        <w:rPr>
          <w:rFonts w:ascii="Garamond" w:hAnsi="Garamond"/>
        </w:rPr>
        <w:t xml:space="preserve"> Because the statute at issue </w:t>
      </w:r>
      <w:r w:rsidR="00611A04" w:rsidRPr="00C05D6B">
        <w:rPr>
          <w:rFonts w:ascii="Garamond" w:hAnsi="Garamond"/>
        </w:rPr>
        <w:t>“</w:t>
      </w:r>
      <w:r w:rsidRPr="00C05D6B">
        <w:rPr>
          <w:rFonts w:ascii="Garamond" w:hAnsi="Garamond"/>
        </w:rPr>
        <w:t>fit[] neither of those two molds,</w:t>
      </w:r>
      <w:r w:rsidR="00611A04" w:rsidRPr="00C05D6B">
        <w:rPr>
          <w:rFonts w:ascii="Garamond" w:hAnsi="Garamond"/>
        </w:rPr>
        <w:t>”</w:t>
      </w:r>
      <w:r w:rsidRPr="00C05D6B">
        <w:rPr>
          <w:rFonts w:ascii="Garamond" w:hAnsi="Garamond"/>
        </w:rPr>
        <w:t xml:space="preserve"> the Court concluded that it did not abrogate Puerto Rico</w:t>
      </w:r>
      <w:r w:rsidR="00611A04" w:rsidRPr="00C05D6B">
        <w:rPr>
          <w:rFonts w:ascii="Garamond" w:hAnsi="Garamond"/>
        </w:rPr>
        <w:t>’</w:t>
      </w:r>
      <w:r w:rsidRPr="00C05D6B">
        <w:rPr>
          <w:rFonts w:ascii="Garamond" w:hAnsi="Garamond"/>
        </w:rPr>
        <w:t xml:space="preserve">s sovereign immunity. Critics of the decision argued that it </w:t>
      </w:r>
      <w:r w:rsidR="00611A04" w:rsidRPr="00C05D6B">
        <w:rPr>
          <w:rFonts w:ascii="Garamond" w:hAnsi="Garamond"/>
        </w:rPr>
        <w:t>“</w:t>
      </w:r>
      <w:r w:rsidRPr="00C05D6B">
        <w:rPr>
          <w:rFonts w:ascii="Garamond" w:hAnsi="Garamond"/>
        </w:rPr>
        <w:t>illustrates the Court's ongoing unwillingness to confront the present-day colonial relationship between the United States and Puerto Rico, perpetuated further [by Congress</w:t>
      </w:r>
      <w:r w:rsidR="00611A04" w:rsidRPr="00C05D6B">
        <w:rPr>
          <w:rFonts w:ascii="Garamond" w:hAnsi="Garamond"/>
        </w:rPr>
        <w:t>’</w:t>
      </w:r>
      <w:r w:rsidRPr="00C05D6B">
        <w:rPr>
          <w:rFonts w:ascii="Garamond" w:hAnsi="Garamond"/>
        </w:rPr>
        <w:t>s legislation] and the Board</w:t>
      </w:r>
      <w:r w:rsidR="00611A04" w:rsidRPr="00C05D6B">
        <w:rPr>
          <w:rFonts w:ascii="Garamond" w:hAnsi="Garamond"/>
        </w:rPr>
        <w:t>’</w:t>
      </w:r>
      <w:r w:rsidRPr="00C05D6B">
        <w:rPr>
          <w:rFonts w:ascii="Garamond" w:hAnsi="Garamond"/>
        </w:rPr>
        <w:t>s very existence.</w:t>
      </w:r>
      <w:r w:rsidR="00611A04" w:rsidRPr="00C05D6B">
        <w:rPr>
          <w:rFonts w:ascii="Garamond" w:hAnsi="Garamond"/>
        </w:rPr>
        <w:t>”</w:t>
      </w:r>
      <w:r w:rsidRPr="00C05D6B">
        <w:rPr>
          <w:rStyle w:val="FootnoteReference"/>
          <w:rFonts w:ascii="Garamond" w:hAnsi="Garamond"/>
        </w:rPr>
        <w:footnoteReference w:id="5"/>
      </w:r>
      <w:r w:rsidRPr="00C05D6B">
        <w:rPr>
          <w:rFonts w:ascii="Garamond" w:hAnsi="Garamond"/>
        </w:rPr>
        <w:t xml:space="preserve"> </w:t>
      </w:r>
    </w:p>
    <w:p w14:paraId="3447959C" w14:textId="77777777" w:rsidR="003125BF" w:rsidRPr="00C05D6B" w:rsidRDefault="003125BF" w:rsidP="003125BF">
      <w:pPr>
        <w:pStyle w:val="NormalWeb"/>
        <w:spacing w:before="0" w:beforeAutospacing="0" w:after="0" w:afterAutospacing="0"/>
        <w:rPr>
          <w:rFonts w:ascii="Garamond" w:hAnsi="Garamond"/>
        </w:rPr>
      </w:pPr>
    </w:p>
    <w:p w14:paraId="6803834B" w14:textId="2F8AC613" w:rsidR="003125BF" w:rsidRPr="00C05D6B" w:rsidRDefault="00EA24A1" w:rsidP="003125BF">
      <w:pPr>
        <w:rPr>
          <w:rFonts w:ascii="Garamond" w:hAnsi="Garamond" w:cs="Times New Roman"/>
          <w:b/>
          <w:bCs/>
          <w:i/>
          <w:iCs/>
        </w:rPr>
      </w:pPr>
      <w:r w:rsidRPr="00C05D6B">
        <w:rPr>
          <w:rFonts w:ascii="Garamond" w:hAnsi="Garamond" w:cs="Times New Roman"/>
          <w:b/>
          <w:bCs/>
          <w:i/>
          <w:iCs/>
        </w:rPr>
        <w:t>D.</w:t>
      </w:r>
      <w:r w:rsidRPr="00C05D6B">
        <w:rPr>
          <w:rFonts w:ascii="Garamond" w:hAnsi="Garamond" w:cs="Times New Roman"/>
          <w:b/>
          <w:bCs/>
          <w:i/>
          <w:iCs/>
        </w:rPr>
        <w:tab/>
      </w:r>
      <w:r w:rsidR="003125BF" w:rsidRPr="00C05D6B">
        <w:rPr>
          <w:rFonts w:ascii="Garamond" w:hAnsi="Garamond" w:cs="Times New Roman"/>
          <w:b/>
          <w:bCs/>
          <w:i/>
          <w:iCs/>
        </w:rPr>
        <w:t>Federal Court Relief Against Foreign Governments</w:t>
      </w:r>
    </w:p>
    <w:p w14:paraId="69D0CE9A" w14:textId="77777777" w:rsidR="003125BF" w:rsidRPr="00C05D6B" w:rsidRDefault="003125BF" w:rsidP="003125BF">
      <w:pPr>
        <w:rPr>
          <w:rFonts w:ascii="Garamond" w:hAnsi="Garamond" w:cs="Times New Roman"/>
        </w:rPr>
      </w:pPr>
    </w:p>
    <w:p w14:paraId="0A92DB8A" w14:textId="77777777" w:rsidR="003125BF" w:rsidRPr="00C05D6B" w:rsidRDefault="003125BF" w:rsidP="003125BF">
      <w:pPr>
        <w:rPr>
          <w:rFonts w:ascii="Garamond" w:hAnsi="Garamond" w:cs="Times New Roman"/>
          <w:b/>
          <w:bCs/>
        </w:rPr>
      </w:pPr>
      <w:r w:rsidRPr="00C05D6B">
        <w:rPr>
          <w:rFonts w:ascii="Garamond" w:hAnsi="Garamond" w:cs="Times New Roman"/>
          <w:b/>
          <w:bCs/>
        </w:rPr>
        <w:t>(CB, p. 863, after the first sentence of the first full paragraph that follows the block quotation of the Foreign Sovereign Immunities Act)</w:t>
      </w:r>
    </w:p>
    <w:p w14:paraId="3EFCFEB2" w14:textId="77777777" w:rsidR="003125BF" w:rsidRPr="00C05D6B" w:rsidRDefault="003125BF" w:rsidP="003125BF">
      <w:pPr>
        <w:rPr>
          <w:rFonts w:ascii="Garamond" w:hAnsi="Garamond" w:cs="Times New Roman"/>
        </w:rPr>
      </w:pPr>
    </w:p>
    <w:p w14:paraId="4000250E" w14:textId="3FFB9FFB" w:rsidR="00C26B66" w:rsidRPr="00C05D6B" w:rsidRDefault="003125BF" w:rsidP="003125BF">
      <w:pPr>
        <w:rPr>
          <w:rFonts w:ascii="Garamond" w:hAnsi="Garamond" w:cs="Times New Roman"/>
        </w:rPr>
      </w:pPr>
      <w:r w:rsidRPr="00C05D6B">
        <w:rPr>
          <w:rFonts w:ascii="Garamond" w:hAnsi="Garamond" w:cs="Times New Roman"/>
        </w:rPr>
        <w:t xml:space="preserve">The Court has, however, identified limits to foreign sovereign immunity under FSIA. </w:t>
      </w:r>
      <w:r w:rsidRPr="00C05D6B">
        <w:rPr>
          <w:rFonts w:ascii="Garamond" w:hAnsi="Garamond" w:cs="Times New Roman"/>
          <w:i/>
          <w:iCs/>
        </w:rPr>
        <w:t>See</w:t>
      </w:r>
      <w:r w:rsidRPr="00C05D6B">
        <w:rPr>
          <w:rFonts w:ascii="Garamond" w:hAnsi="Garamond" w:cs="Times New Roman"/>
        </w:rPr>
        <w:t xml:space="preserve"> </w:t>
      </w:r>
      <w:proofErr w:type="spellStart"/>
      <w:r w:rsidRPr="00C05D6B">
        <w:rPr>
          <w:rFonts w:ascii="Garamond" w:hAnsi="Garamond" w:cs="Times New Roman"/>
        </w:rPr>
        <w:t>Turkiye</w:t>
      </w:r>
      <w:proofErr w:type="spellEnd"/>
      <w:r w:rsidRPr="00C05D6B">
        <w:rPr>
          <w:rFonts w:ascii="Garamond" w:hAnsi="Garamond" w:cs="Times New Roman"/>
        </w:rPr>
        <w:t xml:space="preserve"> </w:t>
      </w:r>
      <w:proofErr w:type="spellStart"/>
      <w:r w:rsidRPr="00C05D6B">
        <w:rPr>
          <w:rFonts w:ascii="Garamond" w:hAnsi="Garamond" w:cs="Times New Roman"/>
        </w:rPr>
        <w:t>Halk</w:t>
      </w:r>
      <w:proofErr w:type="spellEnd"/>
      <w:r w:rsidRPr="00C05D6B">
        <w:rPr>
          <w:rFonts w:ascii="Garamond" w:hAnsi="Garamond" w:cs="Times New Roman"/>
        </w:rPr>
        <w:t xml:space="preserve"> </w:t>
      </w:r>
      <w:proofErr w:type="spellStart"/>
      <w:r w:rsidRPr="00C05D6B">
        <w:rPr>
          <w:rFonts w:ascii="Garamond" w:hAnsi="Garamond" w:cs="Times New Roman"/>
        </w:rPr>
        <w:t>Bankasi</w:t>
      </w:r>
      <w:proofErr w:type="spellEnd"/>
      <w:r w:rsidRPr="00C05D6B">
        <w:rPr>
          <w:rFonts w:ascii="Garamond" w:hAnsi="Garamond" w:cs="Times New Roman"/>
        </w:rPr>
        <w:t xml:space="preserve"> A.S. v. United States</w:t>
      </w:r>
      <w:r w:rsidR="00DE0601" w:rsidRPr="00C05D6B">
        <w:rPr>
          <w:rFonts w:ascii="Garamond" w:hAnsi="Garamond" w:cs="Times New Roman"/>
        </w:rPr>
        <w:fldChar w:fldCharType="begin"/>
      </w:r>
      <w:r w:rsidR="00DE0601" w:rsidRPr="00C05D6B">
        <w:rPr>
          <w:rFonts w:ascii="Garamond" w:hAnsi="Garamond"/>
        </w:rPr>
        <w:instrText xml:space="preserve"> TA \l "</w:instrText>
      </w:r>
      <w:r w:rsidR="00DE0601" w:rsidRPr="00C05D6B">
        <w:rPr>
          <w:rFonts w:ascii="Garamond" w:hAnsi="Garamond" w:cs="Times New Roman"/>
        </w:rPr>
        <w:instrText>Turkiye Halk Bankasi A.S. v. United States</w:instrText>
      </w:r>
      <w:r w:rsidR="00DE0601" w:rsidRPr="00C05D6B">
        <w:rPr>
          <w:rFonts w:ascii="Garamond" w:hAnsi="Garamond"/>
        </w:rPr>
        <w:instrText xml:space="preserve">" \s "Turkiye Halk Bankasi A.S. v. United States" \c 1 </w:instrText>
      </w:r>
      <w:r w:rsidR="00DE0601" w:rsidRPr="00C05D6B">
        <w:rPr>
          <w:rFonts w:ascii="Garamond" w:hAnsi="Garamond" w:cs="Times New Roman"/>
        </w:rPr>
        <w:fldChar w:fldCharType="end"/>
      </w:r>
      <w:r w:rsidRPr="00C05D6B">
        <w:rPr>
          <w:rFonts w:ascii="Garamond" w:hAnsi="Garamond" w:cs="Times New Roman"/>
        </w:rPr>
        <w:t xml:space="preserve"> (2023) (holding that the FSIA </w:t>
      </w:r>
      <w:r w:rsidR="00611A04" w:rsidRPr="00C05D6B">
        <w:rPr>
          <w:rFonts w:ascii="Garamond" w:hAnsi="Garamond" w:cs="Times New Roman"/>
        </w:rPr>
        <w:t>“</w:t>
      </w:r>
      <w:r w:rsidRPr="00C05D6B">
        <w:rPr>
          <w:rFonts w:ascii="Garamond" w:hAnsi="Garamond" w:cs="Times New Roman"/>
        </w:rPr>
        <w:t xml:space="preserve">does not provide foreign states and their instrumentalities with immunity from </w:t>
      </w:r>
      <w:r w:rsidRPr="00C05D6B">
        <w:rPr>
          <w:rFonts w:ascii="Garamond" w:hAnsi="Garamond" w:cs="Times New Roman"/>
          <w:i/>
          <w:iCs/>
        </w:rPr>
        <w:t xml:space="preserve">criminal </w:t>
      </w:r>
      <w:r w:rsidRPr="00C05D6B">
        <w:rPr>
          <w:rFonts w:ascii="Garamond" w:hAnsi="Garamond" w:cs="Times New Roman"/>
        </w:rPr>
        <w:t>proceedings</w:t>
      </w:r>
      <w:r w:rsidR="00611A04" w:rsidRPr="00C05D6B">
        <w:rPr>
          <w:rFonts w:ascii="Garamond" w:hAnsi="Garamond" w:cs="Times New Roman"/>
        </w:rPr>
        <w:t>”</w:t>
      </w:r>
      <w:r w:rsidRPr="00C05D6B">
        <w:rPr>
          <w:rFonts w:ascii="Garamond" w:hAnsi="Garamond" w:cs="Times New Roman"/>
        </w:rPr>
        <w:t xml:space="preserve"> and remanding for further proceedings to determine if common-law sovereign immunity bars a federal criminal prosecution of a bank owned by a foreign state).</w:t>
      </w:r>
    </w:p>
    <w:p w14:paraId="174BF3F1" w14:textId="77777777" w:rsidR="00002E08" w:rsidRPr="00C05D6B" w:rsidRDefault="00002E08">
      <w:pPr>
        <w:spacing w:after="160" w:line="278" w:lineRule="auto"/>
        <w:rPr>
          <w:rFonts w:ascii="Garamond" w:hAnsi="Garamond" w:cs="Times New Roman"/>
          <w:b/>
          <w:bCs/>
        </w:rPr>
      </w:pPr>
      <w:r w:rsidRPr="00C05D6B">
        <w:rPr>
          <w:rFonts w:ascii="Garamond" w:hAnsi="Garamond" w:cs="Times New Roman"/>
          <w:b/>
          <w:bCs/>
        </w:rPr>
        <w:br w:type="page"/>
      </w:r>
    </w:p>
    <w:p w14:paraId="64DB7615" w14:textId="18F38175" w:rsidR="00002E08" w:rsidRPr="00C05D6B" w:rsidRDefault="00002E08" w:rsidP="009F73D4">
      <w:pPr>
        <w:jc w:val="center"/>
        <w:rPr>
          <w:rFonts w:ascii="Garamond" w:hAnsi="Garamond" w:cs="Times New Roman"/>
          <w:b/>
          <w:bCs/>
        </w:rPr>
      </w:pPr>
      <w:r w:rsidRPr="00C05D6B">
        <w:rPr>
          <w:rFonts w:ascii="Garamond" w:hAnsi="Garamond" w:cs="Times New Roman"/>
          <w:b/>
          <w:bCs/>
        </w:rPr>
        <w:lastRenderedPageBreak/>
        <w:t>______________________________________________________________________________</w:t>
      </w:r>
    </w:p>
    <w:p w14:paraId="3C43DB3E" w14:textId="77777777" w:rsidR="00926DEE" w:rsidRPr="00C05D6B" w:rsidRDefault="00926DEE" w:rsidP="00926DEE">
      <w:pPr>
        <w:jc w:val="center"/>
        <w:rPr>
          <w:rFonts w:ascii="Garamond" w:hAnsi="Garamond" w:cs="Times New Roman"/>
          <w:b/>
          <w:bCs/>
        </w:rPr>
      </w:pPr>
    </w:p>
    <w:p w14:paraId="123EB756"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Chapter 7</w:t>
      </w:r>
    </w:p>
    <w:p w14:paraId="0B0C219B" w14:textId="77777777" w:rsidR="00926DEE" w:rsidRPr="00C05D6B" w:rsidRDefault="00926DEE" w:rsidP="00926DEE">
      <w:pPr>
        <w:jc w:val="center"/>
        <w:rPr>
          <w:rFonts w:ascii="Garamond" w:hAnsi="Garamond" w:cs="Times New Roman"/>
          <w:b/>
          <w:bCs/>
          <w:i/>
          <w:iCs/>
          <w:sz w:val="40"/>
          <w:szCs w:val="40"/>
        </w:rPr>
      </w:pPr>
    </w:p>
    <w:p w14:paraId="6B71F619"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Federal Court Relief Against the Federal Government and Federal Officers</w:t>
      </w:r>
    </w:p>
    <w:p w14:paraId="40119A64" w14:textId="77777777" w:rsidR="00002E08" w:rsidRPr="00C05D6B" w:rsidRDefault="00002E08" w:rsidP="00002E08">
      <w:pPr>
        <w:jc w:val="center"/>
        <w:rPr>
          <w:rFonts w:ascii="Garamond" w:hAnsi="Garamond" w:cs="Times New Roman"/>
          <w:b/>
          <w:bCs/>
        </w:rPr>
      </w:pPr>
      <w:r w:rsidRPr="00C05D6B">
        <w:rPr>
          <w:rFonts w:ascii="Garamond" w:hAnsi="Garamond" w:cs="Times New Roman"/>
          <w:b/>
          <w:bCs/>
        </w:rPr>
        <w:t>______________________________________________________________________________</w:t>
      </w:r>
    </w:p>
    <w:p w14:paraId="42F03F21" w14:textId="77777777" w:rsidR="00EA24A1" w:rsidRPr="00C05D6B" w:rsidRDefault="00EA24A1" w:rsidP="003125BF">
      <w:pPr>
        <w:rPr>
          <w:rFonts w:ascii="Garamond" w:hAnsi="Garamond" w:cs="Times New Roman"/>
          <w:b/>
          <w:bCs/>
        </w:rPr>
      </w:pPr>
    </w:p>
    <w:p w14:paraId="5619C9A7" w14:textId="79A2FC41" w:rsidR="006B3180" w:rsidRPr="00C05D6B" w:rsidRDefault="006B3180" w:rsidP="006B3180">
      <w:pPr>
        <w:rPr>
          <w:rFonts w:ascii="Garamond" w:hAnsi="Garamond" w:cs="Times New Roman"/>
          <w:b/>
          <w:bCs/>
          <w:i/>
          <w:iCs/>
        </w:rPr>
      </w:pPr>
      <w:r w:rsidRPr="00C05D6B">
        <w:rPr>
          <w:rFonts w:ascii="Garamond" w:hAnsi="Garamond" w:cs="Times New Roman"/>
          <w:b/>
          <w:bCs/>
          <w:i/>
          <w:iCs/>
        </w:rPr>
        <w:t>A.</w:t>
      </w:r>
      <w:r w:rsidRPr="00C05D6B">
        <w:rPr>
          <w:rFonts w:ascii="Garamond" w:hAnsi="Garamond" w:cs="Times New Roman"/>
          <w:b/>
          <w:bCs/>
          <w:i/>
          <w:iCs/>
        </w:rPr>
        <w:tab/>
      </w:r>
      <w:r w:rsidR="003125BF" w:rsidRPr="00C05D6B">
        <w:rPr>
          <w:rFonts w:ascii="Garamond" w:hAnsi="Garamond" w:cs="Times New Roman"/>
          <w:b/>
          <w:bCs/>
          <w:i/>
          <w:iCs/>
        </w:rPr>
        <w:t>Suits Against the Federal Government</w:t>
      </w:r>
    </w:p>
    <w:p w14:paraId="6807C274" w14:textId="77777777" w:rsidR="006B3180" w:rsidRPr="00C05D6B" w:rsidRDefault="006B3180" w:rsidP="006B3180">
      <w:pPr>
        <w:rPr>
          <w:rFonts w:ascii="Garamond" w:hAnsi="Garamond" w:cs="Times New Roman"/>
        </w:rPr>
      </w:pPr>
    </w:p>
    <w:p w14:paraId="5BFA91DF" w14:textId="2B1C6C56" w:rsidR="006B3180" w:rsidRPr="00C05D6B" w:rsidRDefault="006B3180" w:rsidP="006B3180">
      <w:pPr>
        <w:ind w:firstLine="720"/>
        <w:rPr>
          <w:rFonts w:ascii="Garamond" w:hAnsi="Garamond" w:cs="Times New Roman"/>
          <w:b/>
          <w:bCs/>
        </w:rPr>
      </w:pPr>
      <w:r w:rsidRPr="00C05D6B">
        <w:rPr>
          <w:rFonts w:ascii="Garamond" w:hAnsi="Garamond" w:cs="Times New Roman"/>
          <w:b/>
          <w:bCs/>
        </w:rPr>
        <w:t>2.</w:t>
      </w:r>
      <w:r w:rsidRPr="00C05D6B">
        <w:rPr>
          <w:rFonts w:ascii="Garamond" w:hAnsi="Garamond" w:cs="Times New Roman"/>
          <w:b/>
          <w:bCs/>
        </w:rPr>
        <w:tab/>
        <w:t>Injunctive Relief Against the United States</w:t>
      </w:r>
    </w:p>
    <w:p w14:paraId="09358FCA" w14:textId="77777777" w:rsidR="006B3180" w:rsidRPr="00C05D6B" w:rsidRDefault="006B3180" w:rsidP="006B3180">
      <w:pPr>
        <w:rPr>
          <w:rFonts w:ascii="Garamond" w:hAnsi="Garamond" w:cs="Times New Roman"/>
          <w:b/>
          <w:bCs/>
        </w:rPr>
      </w:pPr>
    </w:p>
    <w:p w14:paraId="11BA0A64" w14:textId="31B074F4" w:rsidR="006B3180" w:rsidRPr="00C05D6B" w:rsidRDefault="006B3180" w:rsidP="006B3180">
      <w:pPr>
        <w:rPr>
          <w:rFonts w:ascii="Garamond" w:hAnsi="Garamond" w:cs="Times New Roman"/>
          <w:b/>
          <w:bCs/>
        </w:rPr>
      </w:pPr>
      <w:r w:rsidRPr="00C05D6B">
        <w:rPr>
          <w:rFonts w:ascii="Garamond" w:hAnsi="Garamond" w:cs="Times New Roman"/>
          <w:b/>
          <w:bCs/>
        </w:rPr>
        <w:t>(CB, p. 875, after the second full paragraph)</w:t>
      </w:r>
    </w:p>
    <w:p w14:paraId="632DDA70" w14:textId="77777777" w:rsidR="006B3180" w:rsidRPr="00C05D6B" w:rsidRDefault="006B3180" w:rsidP="006B3180">
      <w:pPr>
        <w:rPr>
          <w:rFonts w:ascii="Garamond" w:hAnsi="Garamond" w:cs="Times New Roman"/>
          <w:b/>
          <w:bCs/>
        </w:rPr>
      </w:pPr>
    </w:p>
    <w:p w14:paraId="56907F73" w14:textId="35DE8F6A" w:rsidR="006B3180" w:rsidRPr="00C05D6B" w:rsidRDefault="006B3180" w:rsidP="006B3180">
      <w:pPr>
        <w:rPr>
          <w:rFonts w:ascii="Garamond" w:hAnsi="Garamond" w:cs="Times New Roman"/>
        </w:rPr>
      </w:pPr>
      <w:r w:rsidRPr="00C05D6B">
        <w:rPr>
          <w:rFonts w:ascii="Garamond" w:hAnsi="Garamond" w:cs="Times New Roman"/>
        </w:rPr>
        <w:tab/>
        <w:t>In Trump v. J.G.G.</w:t>
      </w:r>
      <w:r w:rsidR="0019457E" w:rsidRPr="00C05D6B">
        <w:rPr>
          <w:rFonts w:ascii="Garamond" w:hAnsi="Garamond" w:cs="Times New Roman"/>
        </w:rPr>
        <w:fldChar w:fldCharType="begin"/>
      </w:r>
      <w:r w:rsidR="0019457E" w:rsidRPr="00C05D6B">
        <w:rPr>
          <w:rFonts w:ascii="Garamond" w:hAnsi="Garamond"/>
        </w:rPr>
        <w:instrText xml:space="preserve"> TA \l "</w:instrText>
      </w:r>
      <w:r w:rsidR="0019457E" w:rsidRPr="00C05D6B">
        <w:rPr>
          <w:rFonts w:ascii="Garamond" w:hAnsi="Garamond" w:cs="Times New Roman"/>
        </w:rPr>
        <w:instrText>Trump v. J.G.G.</w:instrText>
      </w:r>
      <w:r w:rsidR="0019457E" w:rsidRPr="00C05D6B">
        <w:rPr>
          <w:rFonts w:ascii="Garamond" w:hAnsi="Garamond"/>
        </w:rPr>
        <w:instrText xml:space="preserve">" \s "Trump v. J.G.G." \c 1 </w:instrText>
      </w:r>
      <w:r w:rsidR="0019457E" w:rsidRPr="00C05D6B">
        <w:rPr>
          <w:rFonts w:ascii="Garamond" w:hAnsi="Garamond" w:cs="Times New Roman"/>
        </w:rPr>
        <w:fldChar w:fldCharType="end"/>
      </w:r>
      <w:r w:rsidRPr="00C05D6B">
        <w:rPr>
          <w:rFonts w:ascii="Garamond" w:hAnsi="Garamond" w:cs="Times New Roman"/>
        </w:rPr>
        <w:t xml:space="preserve"> (2025), discussed further in Chapter 8, the Court held that habeas was the only vehicle for raising a due process challenge to the executive branch’s detention and removal of Venezuelan nationals based upon President Trump’s proclamation invoking the </w:t>
      </w:r>
      <w:r w:rsidR="006A674F" w:rsidRPr="00C05D6B">
        <w:rPr>
          <w:rFonts w:ascii="Garamond" w:hAnsi="Garamond" w:cs="Times New Roman"/>
        </w:rPr>
        <w:fldChar w:fldCharType="begin"/>
      </w:r>
      <w:r w:rsidR="006A674F" w:rsidRPr="00C05D6B">
        <w:rPr>
          <w:rFonts w:ascii="Garamond" w:hAnsi="Garamond"/>
        </w:rPr>
        <w:instrText xml:space="preserve"> TA \l "</w:instrText>
      </w:r>
      <w:r w:rsidR="006A674F" w:rsidRPr="00C05D6B">
        <w:rPr>
          <w:rFonts w:ascii="Garamond" w:hAnsi="Garamond" w:cs="Times New Roman"/>
        </w:rPr>
        <w:instrText>Enemy Aliens Act</w:instrText>
      </w:r>
      <w:r w:rsidR="006A674F" w:rsidRPr="00C05D6B">
        <w:rPr>
          <w:rFonts w:ascii="Garamond" w:hAnsi="Garamond"/>
        </w:rPr>
        <w:instrText xml:space="preserve">" \s "Enemy Aliens Act" \c 2 </w:instrText>
      </w:r>
      <w:r w:rsidR="006A674F" w:rsidRPr="00C05D6B">
        <w:rPr>
          <w:rFonts w:ascii="Garamond" w:hAnsi="Garamond" w:cs="Times New Roman"/>
        </w:rPr>
        <w:fldChar w:fldCharType="end"/>
      </w:r>
      <w:r w:rsidRPr="00C05D6B">
        <w:rPr>
          <w:rFonts w:ascii="Garamond" w:hAnsi="Garamond" w:cs="Times New Roman"/>
        </w:rPr>
        <w:t>Alien</w:t>
      </w:r>
      <w:r w:rsidR="00C51175" w:rsidRPr="00C05D6B">
        <w:rPr>
          <w:rFonts w:ascii="Garamond" w:hAnsi="Garamond" w:cs="Times New Roman"/>
        </w:rPr>
        <w:t xml:space="preserve"> Enemies</w:t>
      </w:r>
      <w:r w:rsidRPr="00C05D6B">
        <w:rPr>
          <w:rFonts w:ascii="Garamond" w:hAnsi="Garamond" w:cs="Times New Roman"/>
        </w:rPr>
        <w:t xml:space="preserve"> Act, a very rarely used federal law. While all nine justices agreed that due process requires notice and an opportunity to be heard, a majority of the Court held that a suit seeking injunctive relief in the District of Columbia could not proceed. </w:t>
      </w:r>
    </w:p>
    <w:p w14:paraId="626C1004" w14:textId="77777777" w:rsidR="00EA24A1" w:rsidRPr="00C05D6B" w:rsidRDefault="00EA24A1" w:rsidP="003125BF">
      <w:pPr>
        <w:rPr>
          <w:rFonts w:ascii="Garamond" w:hAnsi="Garamond" w:cs="Times New Roman"/>
        </w:rPr>
      </w:pPr>
    </w:p>
    <w:p w14:paraId="6690D373" w14:textId="7FA466ED" w:rsidR="003125BF" w:rsidRPr="00C05D6B" w:rsidRDefault="00EA24A1" w:rsidP="00EA24A1">
      <w:pPr>
        <w:ind w:firstLine="720"/>
        <w:rPr>
          <w:rFonts w:ascii="Garamond" w:hAnsi="Garamond" w:cs="Times New Roman"/>
          <w:b/>
          <w:bCs/>
        </w:rPr>
      </w:pPr>
      <w:r w:rsidRPr="00C05D6B">
        <w:rPr>
          <w:rFonts w:ascii="Garamond" w:hAnsi="Garamond" w:cs="Times New Roman"/>
          <w:b/>
          <w:bCs/>
        </w:rPr>
        <w:t>3.</w:t>
      </w:r>
      <w:r w:rsidRPr="00C05D6B">
        <w:rPr>
          <w:rFonts w:ascii="Garamond" w:hAnsi="Garamond" w:cs="Times New Roman"/>
          <w:b/>
          <w:bCs/>
        </w:rPr>
        <w:tab/>
      </w:r>
      <w:r w:rsidR="003125BF" w:rsidRPr="00C05D6B">
        <w:rPr>
          <w:rFonts w:ascii="Garamond" w:hAnsi="Garamond" w:cs="Times New Roman"/>
          <w:b/>
          <w:bCs/>
        </w:rPr>
        <w:t>Other Congressional Waivers of Sovereign Immunity</w:t>
      </w:r>
    </w:p>
    <w:p w14:paraId="5F91FCE1" w14:textId="77777777" w:rsidR="003B30E9" w:rsidRPr="00C05D6B" w:rsidRDefault="003B30E9" w:rsidP="00EA24A1">
      <w:pPr>
        <w:ind w:firstLine="720"/>
        <w:rPr>
          <w:rFonts w:ascii="Garamond" w:hAnsi="Garamond" w:cs="Times New Roman"/>
          <w:b/>
          <w:bCs/>
        </w:rPr>
      </w:pPr>
    </w:p>
    <w:p w14:paraId="2B07B825" w14:textId="71760F72" w:rsidR="0012090B" w:rsidRPr="00C05D6B" w:rsidRDefault="003B30E9" w:rsidP="00EA24A1">
      <w:pPr>
        <w:ind w:firstLine="720"/>
        <w:rPr>
          <w:rFonts w:ascii="Garamond" w:hAnsi="Garamond" w:cs="Times New Roman"/>
          <w:b/>
          <w:bCs/>
        </w:rPr>
      </w:pPr>
      <w:r w:rsidRPr="00C05D6B">
        <w:rPr>
          <w:rFonts w:ascii="Garamond" w:hAnsi="Garamond" w:cs="Times New Roman"/>
          <w:b/>
          <w:bCs/>
        </w:rPr>
        <w:tab/>
      </w:r>
      <w:r w:rsidR="0012090B" w:rsidRPr="00C05D6B">
        <w:rPr>
          <w:rFonts w:ascii="Garamond" w:hAnsi="Garamond" w:cs="Times New Roman"/>
          <w:b/>
          <w:bCs/>
        </w:rPr>
        <w:t>a.</w:t>
      </w:r>
      <w:r w:rsidR="0012090B" w:rsidRPr="00C05D6B">
        <w:rPr>
          <w:rFonts w:ascii="Garamond" w:hAnsi="Garamond" w:cs="Times New Roman"/>
          <w:b/>
          <w:bCs/>
        </w:rPr>
        <w:tab/>
        <w:t>The Federal Tort Claims Act</w:t>
      </w:r>
    </w:p>
    <w:p w14:paraId="7C5E25EE" w14:textId="77777777" w:rsidR="0012090B" w:rsidRPr="00C05D6B" w:rsidRDefault="0012090B" w:rsidP="0012090B">
      <w:pPr>
        <w:rPr>
          <w:rFonts w:ascii="Garamond" w:hAnsi="Garamond" w:cs="Times New Roman"/>
          <w:b/>
          <w:bCs/>
        </w:rPr>
      </w:pPr>
    </w:p>
    <w:p w14:paraId="707C4E2A" w14:textId="6CACA58C" w:rsidR="0012090B" w:rsidRPr="00C05D6B" w:rsidRDefault="0012090B" w:rsidP="0012090B">
      <w:pPr>
        <w:rPr>
          <w:rFonts w:ascii="Garamond" w:hAnsi="Garamond" w:cs="Times New Roman"/>
          <w:b/>
          <w:bCs/>
        </w:rPr>
      </w:pPr>
      <w:r w:rsidRPr="00C05D6B">
        <w:rPr>
          <w:rFonts w:ascii="Garamond" w:hAnsi="Garamond" w:cs="Times New Roman"/>
          <w:b/>
          <w:bCs/>
        </w:rPr>
        <w:t>(CB, p. 878, after the second paragraph)</w:t>
      </w:r>
    </w:p>
    <w:p w14:paraId="5B4952C9" w14:textId="77777777" w:rsidR="0012090B" w:rsidRPr="00C05D6B" w:rsidRDefault="0012090B" w:rsidP="0012090B">
      <w:pPr>
        <w:rPr>
          <w:rFonts w:ascii="Garamond" w:hAnsi="Garamond" w:cs="Times New Roman"/>
          <w:b/>
          <w:bCs/>
        </w:rPr>
      </w:pPr>
    </w:p>
    <w:p w14:paraId="2FDF86FF" w14:textId="7898F29D" w:rsidR="0012090B" w:rsidRPr="00C05D6B" w:rsidRDefault="0012090B" w:rsidP="0012090B">
      <w:pPr>
        <w:ind w:firstLine="720"/>
        <w:rPr>
          <w:rFonts w:ascii="Garamond" w:hAnsi="Garamond" w:cs="Times New Roman"/>
        </w:rPr>
      </w:pPr>
      <w:r w:rsidRPr="00C05D6B">
        <w:rPr>
          <w:rFonts w:ascii="Garamond" w:hAnsi="Garamond" w:cs="Times New Roman"/>
        </w:rPr>
        <w:t xml:space="preserve">In </w:t>
      </w:r>
      <w:proofErr w:type="spellStart"/>
      <w:r w:rsidRPr="00C05D6B">
        <w:rPr>
          <w:rFonts w:ascii="Garamond" w:hAnsi="Garamond" w:cs="Times New Roman"/>
        </w:rPr>
        <w:t>Hencely</w:t>
      </w:r>
      <w:proofErr w:type="spellEnd"/>
      <w:r w:rsidRPr="00C05D6B">
        <w:rPr>
          <w:rFonts w:ascii="Garamond" w:hAnsi="Garamond" w:cs="Times New Roman"/>
        </w:rPr>
        <w:t xml:space="preserve"> v. Fluor Corp.</w:t>
      </w:r>
      <w:r w:rsidR="00604797" w:rsidRPr="00C05D6B">
        <w:rPr>
          <w:rFonts w:ascii="Garamond" w:hAnsi="Garamond" w:cs="Times New Roman"/>
        </w:rPr>
        <w:fldChar w:fldCharType="begin"/>
      </w:r>
      <w:r w:rsidR="00604797" w:rsidRPr="00C05D6B">
        <w:rPr>
          <w:rFonts w:ascii="Garamond" w:hAnsi="Garamond"/>
        </w:rPr>
        <w:instrText xml:space="preserve"> TA \l "</w:instrText>
      </w:r>
      <w:r w:rsidR="00604797" w:rsidRPr="00C05D6B">
        <w:rPr>
          <w:rFonts w:ascii="Garamond" w:hAnsi="Garamond" w:cs="Times New Roman"/>
        </w:rPr>
        <w:instrText>Hencely v. Fluor Corp.</w:instrText>
      </w:r>
      <w:r w:rsidR="00604797" w:rsidRPr="00C05D6B">
        <w:rPr>
          <w:rFonts w:ascii="Garamond" w:hAnsi="Garamond"/>
        </w:rPr>
        <w:instrText xml:space="preserve">" \s "Hencely v. Fluor Corp." \c 1 </w:instrText>
      </w:r>
      <w:r w:rsidR="00604797" w:rsidRPr="00C05D6B">
        <w:rPr>
          <w:rFonts w:ascii="Garamond" w:hAnsi="Garamond" w:cs="Times New Roman"/>
        </w:rPr>
        <w:fldChar w:fldCharType="end"/>
      </w:r>
      <w:r w:rsidRPr="00C05D6B">
        <w:rPr>
          <w:rFonts w:ascii="Garamond" w:hAnsi="Garamond" w:cs="Times New Roman"/>
        </w:rPr>
        <w:t xml:space="preserve"> (U.S. 2026), the Supreme Court rejected a general “battlefield preemption” doctrine for claims against military contractors for conduct connected to combatant activities of the military during wartime. The case involved a military contractor’s immunity from a state tort law claim arising from an attack on a military base overseas. The plaintiff was injured when a “local national” employee hired by a private contractor to work at Bagram Airfield, the U.S.’s. largest base in Afghanistan, </w:t>
      </w:r>
      <w:r w:rsidR="002043BA" w:rsidRPr="00C05D6B">
        <w:rPr>
          <w:rFonts w:ascii="Garamond" w:hAnsi="Garamond" w:cs="Times New Roman"/>
        </w:rPr>
        <w:t>detonated</w:t>
      </w:r>
      <w:r w:rsidRPr="00C05D6B">
        <w:rPr>
          <w:rFonts w:ascii="Garamond" w:hAnsi="Garamond" w:cs="Times New Roman"/>
        </w:rPr>
        <w:t xml:space="preserve"> a suicide-bomb vest. Bringing state law negligence claims against the military’s contractor, the plaintiff argued that the contractor was not immune from suit because there was no conflict between state and federal law. Justice Thomas wrote the Court’s opinion, which held that</w:t>
      </w:r>
      <w:r w:rsidR="008128BD" w:rsidRPr="00C05D6B">
        <w:rPr>
          <w:rFonts w:ascii="Garamond" w:hAnsi="Garamond" w:cs="Times New Roman"/>
        </w:rPr>
        <w:t xml:space="preserve"> the</w:t>
      </w:r>
      <w:r w:rsidRPr="00C05D6B">
        <w:rPr>
          <w:rFonts w:ascii="Garamond" w:hAnsi="Garamond" w:cs="Times New Roman"/>
        </w:rPr>
        <w:t xml:space="preserve"> contractor was not immune because there was no significant conflict with a uniquely federal interest, as the contractor had not followed the military’s instructions regarding the hiring and supervision of “local national” employees. The FTCA’s combatant-activities exception did not apply to suits against federal contractors. And the contractor did not have federal common law immunity under the federal common law rule of Boyle v. United Technologies Corp.</w:t>
      </w:r>
      <w:r w:rsidR="00604797" w:rsidRPr="00C05D6B">
        <w:rPr>
          <w:rFonts w:ascii="Garamond" w:hAnsi="Garamond" w:cs="Times New Roman"/>
        </w:rPr>
        <w:fldChar w:fldCharType="begin"/>
      </w:r>
      <w:r w:rsidR="00604797" w:rsidRPr="00C05D6B">
        <w:rPr>
          <w:rFonts w:ascii="Garamond" w:hAnsi="Garamond"/>
        </w:rPr>
        <w:instrText xml:space="preserve"> TA \l "</w:instrText>
      </w:r>
      <w:r w:rsidR="00604797" w:rsidRPr="00C05D6B">
        <w:rPr>
          <w:rFonts w:ascii="Garamond" w:hAnsi="Garamond" w:cs="Times New Roman"/>
        </w:rPr>
        <w:instrText>Boyle v. United Technologies Corp.</w:instrText>
      </w:r>
      <w:r w:rsidR="00604797" w:rsidRPr="00C05D6B">
        <w:rPr>
          <w:rFonts w:ascii="Garamond" w:hAnsi="Garamond"/>
        </w:rPr>
        <w:instrText xml:space="preserve">" \s "Boyle v. United Technologies Corp." \c 1 </w:instrText>
      </w:r>
      <w:r w:rsidR="00604797" w:rsidRPr="00C05D6B">
        <w:rPr>
          <w:rFonts w:ascii="Garamond" w:hAnsi="Garamond" w:cs="Times New Roman"/>
        </w:rPr>
        <w:fldChar w:fldCharType="end"/>
      </w:r>
      <w:r w:rsidRPr="00C05D6B">
        <w:rPr>
          <w:rFonts w:ascii="Garamond" w:hAnsi="Garamond" w:cs="Times New Roman"/>
        </w:rPr>
        <w:t xml:space="preserve"> (U.S. 1988), which created “a defense for contractors only insofar as the suit challenged a decision of the Government that the contractor merely carried out.” Justice Alito, joined by Chief Justice Roberts and Justice Kavanaugh, dissented and argued for a categorical constitutional rule that “no state law . . . may intrude on the Federal Government’s authority over combat-related operations.”</w:t>
      </w:r>
    </w:p>
    <w:p w14:paraId="4098CAF9" w14:textId="77777777" w:rsidR="0012090B" w:rsidRPr="00C05D6B" w:rsidRDefault="0012090B" w:rsidP="0012090B">
      <w:pPr>
        <w:ind w:firstLine="720"/>
        <w:rPr>
          <w:rFonts w:ascii="Garamond" w:hAnsi="Garamond" w:cs="Times New Roman"/>
        </w:rPr>
      </w:pPr>
    </w:p>
    <w:p w14:paraId="21A4B2E0" w14:textId="77777777" w:rsidR="0012090B" w:rsidRPr="00C05D6B" w:rsidRDefault="0012090B" w:rsidP="0012090B">
      <w:pPr>
        <w:ind w:firstLine="720"/>
        <w:rPr>
          <w:rFonts w:ascii="Garamond" w:hAnsi="Garamond" w:cs="Times New Roman"/>
        </w:rPr>
      </w:pPr>
    </w:p>
    <w:p w14:paraId="466F0E65" w14:textId="23EC6568" w:rsidR="0012090B" w:rsidRPr="00C05D6B" w:rsidRDefault="0012090B" w:rsidP="0012090B">
      <w:pPr>
        <w:ind w:firstLine="720"/>
        <w:rPr>
          <w:rFonts w:ascii="Garamond" w:hAnsi="Garamond" w:cs="Times New Roman"/>
        </w:rPr>
      </w:pPr>
      <w:r w:rsidRPr="00C05D6B">
        <w:rPr>
          <w:rFonts w:ascii="Garamond" w:hAnsi="Garamond" w:cs="Times New Roman"/>
        </w:rPr>
        <w:t>A recent decision of the Court illustrates the scope of the FTCA and the debate about how to interpret its exceptions.  In United States Postal Service v. Konan</w:t>
      </w:r>
      <w:r w:rsidR="00604797" w:rsidRPr="00C05D6B">
        <w:rPr>
          <w:rFonts w:ascii="Garamond" w:hAnsi="Garamond" w:cs="Times New Roman"/>
        </w:rPr>
        <w:fldChar w:fldCharType="begin"/>
      </w:r>
      <w:r w:rsidR="00604797" w:rsidRPr="00C05D6B">
        <w:rPr>
          <w:rFonts w:ascii="Garamond" w:hAnsi="Garamond"/>
        </w:rPr>
        <w:instrText xml:space="preserve"> TA \l "</w:instrText>
      </w:r>
      <w:r w:rsidR="00604797" w:rsidRPr="00C05D6B">
        <w:rPr>
          <w:rFonts w:ascii="Garamond" w:hAnsi="Garamond" w:cs="Times New Roman"/>
        </w:rPr>
        <w:instrText>United States Postal Service v. Konan</w:instrText>
      </w:r>
      <w:r w:rsidR="00604797" w:rsidRPr="00C05D6B">
        <w:rPr>
          <w:rFonts w:ascii="Garamond" w:hAnsi="Garamond"/>
        </w:rPr>
        <w:instrText xml:space="preserve">" \s "United States Postal Service v. Konan" \c 1 </w:instrText>
      </w:r>
      <w:r w:rsidR="00604797" w:rsidRPr="00C05D6B">
        <w:rPr>
          <w:rFonts w:ascii="Garamond" w:hAnsi="Garamond" w:cs="Times New Roman"/>
        </w:rPr>
        <w:fldChar w:fldCharType="end"/>
      </w:r>
      <w:r w:rsidRPr="00C05D6B">
        <w:rPr>
          <w:rFonts w:ascii="Garamond" w:hAnsi="Garamond" w:cs="Times New Roman"/>
        </w:rPr>
        <w:t xml:space="preserve"> (2026), the Supreme Court held that the FTCA does not allow claims against the United States for the United States Postal Service’s intentional failure to deliver a person’s mail. The case turned on the FTCA’s postal exception, which preserves federal sovereign immunity for all claims “arising out of the loss, miscarriage, or negligent transmission of letters or postal matter.</w:t>
      </w:r>
      <w:r w:rsidR="00B81A40" w:rsidRPr="00C05D6B">
        <w:rPr>
          <w:rFonts w:ascii="Garamond" w:hAnsi="Garamond" w:cs="Times New Roman"/>
        </w:rPr>
        <w:t>”</w:t>
      </w:r>
      <w:r w:rsidRPr="00C05D6B">
        <w:rPr>
          <w:rFonts w:ascii="Garamond" w:hAnsi="Garamond" w:cs="Times New Roman"/>
        </w:rPr>
        <w:t xml:space="preserve"> 28 U.S.C. § 2680(b)</w:t>
      </w:r>
      <w:r w:rsidR="00604797" w:rsidRPr="00C05D6B">
        <w:rPr>
          <w:rFonts w:ascii="Garamond" w:hAnsi="Garamond" w:cs="Times New Roman"/>
        </w:rPr>
        <w:fldChar w:fldCharType="begin"/>
      </w:r>
      <w:r w:rsidR="00604797" w:rsidRPr="00C05D6B">
        <w:rPr>
          <w:rFonts w:ascii="Garamond" w:hAnsi="Garamond"/>
        </w:rPr>
        <w:instrText xml:space="preserve"> TA \l "</w:instrText>
      </w:r>
      <w:r w:rsidR="00604797" w:rsidRPr="00C05D6B">
        <w:rPr>
          <w:rFonts w:ascii="Garamond" w:hAnsi="Garamond" w:cs="Times New Roman"/>
        </w:rPr>
        <w:instrText>28 U.S.C. § 2680(b)</w:instrText>
      </w:r>
      <w:r w:rsidR="00604797" w:rsidRPr="00C05D6B">
        <w:rPr>
          <w:rFonts w:ascii="Garamond" w:hAnsi="Garamond"/>
        </w:rPr>
        <w:instrText xml:space="preserve">" \s "28 U.S.C. § 2680(b)" \c 2 </w:instrText>
      </w:r>
      <w:r w:rsidR="00604797" w:rsidRPr="00C05D6B">
        <w:rPr>
          <w:rFonts w:ascii="Garamond" w:hAnsi="Garamond" w:cs="Times New Roman"/>
        </w:rPr>
        <w:fldChar w:fldCharType="end"/>
      </w:r>
      <w:r w:rsidRPr="00C05D6B">
        <w:rPr>
          <w:rFonts w:ascii="Garamond" w:hAnsi="Garamond" w:cs="Times New Roman"/>
        </w:rPr>
        <w:t xml:space="preserve">. The case is instructive on the different methodologies for interpreting the FTCA and the policies implicated by the Act. Writing for the Court, Justice Thomas focused upon dictionary definitions of the terms in § 2680(b) and the costs to the government of having to defend against tort claims. For Justice Thomas, the fact that postal workers frequently interact with citizens, thus exposing them to potential harms, was a reason not to interpret the FTCA to permit claims for intentional wrongdoing. By contrast, Justice Sotomayor thought the case was precisely the sort of tortious wrong that the FTCA should permit. Her dissent, which was joined by Justice Kagan, Justice Gorsuch, and Justice Jackson, emphasized that </w:t>
      </w:r>
      <w:proofErr w:type="spellStart"/>
      <w:r w:rsidRPr="00C05D6B">
        <w:rPr>
          <w:rFonts w:ascii="Garamond" w:hAnsi="Garamond" w:cs="Times New Roman"/>
        </w:rPr>
        <w:t>Lebene</w:t>
      </w:r>
      <w:proofErr w:type="spellEnd"/>
      <w:r w:rsidRPr="00C05D6B">
        <w:rPr>
          <w:rFonts w:ascii="Garamond" w:hAnsi="Garamond" w:cs="Times New Roman"/>
        </w:rPr>
        <w:t xml:space="preserve"> Konan’s claim alleged racial discrimination by postal employees. </w:t>
      </w:r>
    </w:p>
    <w:p w14:paraId="7D0F67CA" w14:textId="77777777" w:rsidR="0012090B" w:rsidRPr="00C05D6B" w:rsidRDefault="0012090B" w:rsidP="0012090B">
      <w:pPr>
        <w:rPr>
          <w:rFonts w:ascii="Garamond" w:hAnsi="Garamond" w:cs="Times New Roman"/>
        </w:rPr>
      </w:pPr>
    </w:p>
    <w:p w14:paraId="698D31C8" w14:textId="6B0752C5" w:rsidR="0012090B" w:rsidRPr="00C05D6B" w:rsidRDefault="0012090B" w:rsidP="0012090B">
      <w:pPr>
        <w:rPr>
          <w:rFonts w:ascii="Garamond" w:eastAsia="Times New Roman" w:hAnsi="Garamond" w:cs="Times New Roman"/>
          <w:b/>
          <w:bCs/>
          <w:smallCaps/>
        </w:rPr>
      </w:pPr>
      <w:r w:rsidRPr="00C05D6B">
        <w:rPr>
          <w:rFonts w:ascii="Garamond" w:eastAsia="Times New Roman" w:hAnsi="Garamond" w:cs="Times New Roman"/>
          <w:b/>
          <w:bCs/>
          <w:smallCaps/>
        </w:rPr>
        <w:t>United States Postal Service v. Konan</w:t>
      </w:r>
      <w:r w:rsidR="00604797" w:rsidRPr="00C05D6B">
        <w:rPr>
          <w:rFonts w:ascii="Garamond" w:eastAsia="Times New Roman" w:hAnsi="Garamond" w:cs="Times New Roman"/>
          <w:b/>
          <w:bCs/>
          <w:smallCaps/>
        </w:rPr>
        <w:fldChar w:fldCharType="begin"/>
      </w:r>
      <w:r w:rsidR="00604797" w:rsidRPr="00C05D6B">
        <w:rPr>
          <w:rFonts w:ascii="Garamond" w:hAnsi="Garamond"/>
        </w:rPr>
        <w:instrText xml:space="preserve"> TA \s "United States Postal Service v. Konan" </w:instrText>
      </w:r>
      <w:r w:rsidR="00604797" w:rsidRPr="00C05D6B">
        <w:rPr>
          <w:rFonts w:ascii="Garamond" w:eastAsia="Times New Roman" w:hAnsi="Garamond" w:cs="Times New Roman"/>
          <w:b/>
          <w:bCs/>
          <w:smallCaps/>
        </w:rPr>
        <w:fldChar w:fldCharType="end"/>
      </w:r>
    </w:p>
    <w:p w14:paraId="68BBBA18" w14:textId="11A70823" w:rsidR="0012090B" w:rsidRPr="00C05D6B" w:rsidRDefault="0012090B" w:rsidP="0012090B">
      <w:pPr>
        <w:rPr>
          <w:rFonts w:ascii="Garamond" w:eastAsia="Times New Roman" w:hAnsi="Garamond" w:cs="Times New Roman"/>
        </w:rPr>
      </w:pPr>
      <w:r w:rsidRPr="00C05D6B">
        <w:rPr>
          <w:rFonts w:ascii="Garamond" w:eastAsia="Times New Roman" w:hAnsi="Garamond" w:cs="Times New Roman"/>
        </w:rPr>
        <w:t>146 S. Ct. 736 (2026)</w:t>
      </w:r>
    </w:p>
    <w:p w14:paraId="17512ACB" w14:textId="77777777" w:rsidR="0012090B" w:rsidRPr="00C05D6B" w:rsidRDefault="0012090B" w:rsidP="0012090B">
      <w:pPr>
        <w:rPr>
          <w:rFonts w:ascii="Garamond" w:hAnsi="Garamond" w:cs="Times New Roman"/>
        </w:rPr>
      </w:pPr>
    </w:p>
    <w:p w14:paraId="43ED7CE2" w14:textId="7C8F0C46" w:rsidR="0012090B" w:rsidRPr="00C05D6B" w:rsidRDefault="0012090B" w:rsidP="0012090B">
      <w:pPr>
        <w:rPr>
          <w:rFonts w:ascii="Garamond" w:hAnsi="Garamond" w:cs="Times New Roman"/>
        </w:rPr>
      </w:pPr>
      <w:r w:rsidRPr="00C05D6B">
        <w:rPr>
          <w:rFonts w:ascii="Garamond" w:hAnsi="Garamond" w:cs="Times New Roman"/>
        </w:rPr>
        <w:t>Justice Thomas delivered the opinion of the Court.</w:t>
      </w:r>
    </w:p>
    <w:p w14:paraId="2516D287" w14:textId="77777777" w:rsidR="0012090B" w:rsidRPr="00C05D6B" w:rsidRDefault="0012090B" w:rsidP="0012090B">
      <w:pPr>
        <w:ind w:firstLine="720"/>
        <w:rPr>
          <w:rFonts w:ascii="Garamond" w:hAnsi="Garamond" w:cs="Times New Roman"/>
        </w:rPr>
      </w:pPr>
    </w:p>
    <w:p w14:paraId="61C13305" w14:textId="68050ED4" w:rsidR="0012090B" w:rsidRPr="00C05D6B" w:rsidRDefault="0012090B" w:rsidP="0012090B">
      <w:pPr>
        <w:ind w:firstLine="720"/>
        <w:rPr>
          <w:rFonts w:ascii="Garamond" w:hAnsi="Garamond" w:cs="Times New Roman"/>
        </w:rPr>
      </w:pPr>
      <w:r w:rsidRPr="00C05D6B">
        <w:rPr>
          <w:rFonts w:ascii="Garamond" w:hAnsi="Garamond" w:cs="Times New Roman"/>
        </w:rPr>
        <w:t>The United States enjoys sovereign immunity and cannot be sued without its consent. By means of the Federal Tort Claims Act, Congress waived that sovereign immunity for certain tort suits based on the conduct of Government employees. But, in the provision at issue in this case, Congress retained sovereign immunity for a wide range of claims about mail. Specifically, the FTCA’s postal exception retains sovereign immunity for all claims “arising out of the loss, miscarriage, or negligent transmission of letters or postal matter.” [28 U.S.C.] § 2680(b). This case concerns whether this exception applies when postal workers intentionally fail to deliver the mail. We hold that it does.</w:t>
      </w:r>
    </w:p>
    <w:p w14:paraId="7A9401BD" w14:textId="77777777" w:rsidR="0012090B" w:rsidRPr="00C05D6B" w:rsidRDefault="0012090B" w:rsidP="0012090B">
      <w:pPr>
        <w:rPr>
          <w:rFonts w:ascii="Garamond" w:hAnsi="Garamond" w:cs="Times New Roman"/>
        </w:rPr>
      </w:pPr>
    </w:p>
    <w:p w14:paraId="4BCF3470" w14:textId="1D7A5ED0" w:rsidR="0012090B" w:rsidRPr="00C05D6B" w:rsidRDefault="0012090B" w:rsidP="000B38A4">
      <w:pPr>
        <w:rPr>
          <w:rFonts w:ascii="Garamond" w:hAnsi="Garamond" w:cs="Times New Roman"/>
        </w:rPr>
      </w:pPr>
      <w:r w:rsidRPr="00C05D6B">
        <w:rPr>
          <w:rFonts w:ascii="Garamond" w:hAnsi="Garamond" w:cs="Times New Roman"/>
        </w:rPr>
        <w:t>I</w:t>
      </w:r>
    </w:p>
    <w:p w14:paraId="619CD4D4" w14:textId="77777777" w:rsidR="0012090B" w:rsidRPr="00C05D6B" w:rsidRDefault="0012090B" w:rsidP="0012090B">
      <w:pPr>
        <w:rPr>
          <w:rFonts w:ascii="Garamond" w:hAnsi="Garamond" w:cs="Times New Roman"/>
        </w:rPr>
      </w:pPr>
    </w:p>
    <w:p w14:paraId="671B7C8F" w14:textId="299C05F2" w:rsidR="0012090B" w:rsidRPr="00C05D6B" w:rsidRDefault="0012090B" w:rsidP="000B38A4">
      <w:pPr>
        <w:rPr>
          <w:rFonts w:ascii="Garamond" w:hAnsi="Garamond" w:cs="Times New Roman"/>
        </w:rPr>
      </w:pPr>
      <w:r w:rsidRPr="00C05D6B">
        <w:rPr>
          <w:rFonts w:ascii="Garamond" w:hAnsi="Garamond" w:cs="Times New Roman"/>
        </w:rPr>
        <w:t>A</w:t>
      </w:r>
    </w:p>
    <w:p w14:paraId="7B47608B" w14:textId="77777777" w:rsidR="0012090B" w:rsidRPr="00C05D6B" w:rsidRDefault="0012090B" w:rsidP="0012090B">
      <w:pPr>
        <w:ind w:firstLine="720"/>
        <w:rPr>
          <w:rFonts w:ascii="Garamond" w:hAnsi="Garamond" w:cs="Times New Roman"/>
        </w:rPr>
      </w:pPr>
    </w:p>
    <w:p w14:paraId="24866BEB" w14:textId="36B93C34" w:rsidR="0012090B" w:rsidRPr="00C05D6B" w:rsidRDefault="0012090B" w:rsidP="0012090B">
      <w:pPr>
        <w:ind w:firstLine="720"/>
        <w:rPr>
          <w:rFonts w:ascii="Garamond" w:hAnsi="Garamond" w:cs="Times New Roman"/>
        </w:rPr>
      </w:pPr>
      <w:r w:rsidRPr="00C05D6B">
        <w:rPr>
          <w:rFonts w:ascii="Garamond" w:hAnsi="Garamond" w:cs="Times New Roman"/>
        </w:rPr>
        <w:t xml:space="preserve">The United States Postal Service is a frequent point of contact between citizens and the Federal Government. In 2024, the Postal Service’s more than 600,000 employees delivered more than 112 billion pieces of mail—over 300 million a day—to more than 165 million delivery points. Unsurprisingly, given this volume, not all mail arrives properly and on time. The Postal Service reports receiving approximately 335,000 customer complaints per year. </w:t>
      </w:r>
    </w:p>
    <w:p w14:paraId="5D859A78" w14:textId="77777777" w:rsidR="0012090B" w:rsidRPr="00C05D6B" w:rsidRDefault="0012090B" w:rsidP="0012090B">
      <w:pPr>
        <w:ind w:firstLine="720"/>
        <w:rPr>
          <w:rFonts w:ascii="Garamond" w:hAnsi="Garamond" w:cs="Times New Roman"/>
        </w:rPr>
      </w:pPr>
    </w:p>
    <w:p w14:paraId="53E6D469"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Because it is a Government agency, recourse against the Postal Service in the form of lawsuits for money damages is limited. As part of “the executive branch of the Government of the United States,” 39 U.S.C. § 201, “the Postal Service enjoys federal sovereign immunity absent a waiver,” Dolan v. Postal Service (U.S. 2006). Before 1946, that sovereign immunity generally prevented those injured by Government employees from receiving compensation through lawsuits. That year, Congress enacted a “limited waiver” of immunity through the FTCA. Subject to enumerated exceptions, the FTCA allows a plaintiff to sue the Government for injuries or loss of </w:t>
      </w:r>
      <w:r w:rsidRPr="00C05D6B">
        <w:rPr>
          <w:rFonts w:ascii="Garamond" w:hAnsi="Garamond" w:cs="Times New Roman"/>
        </w:rPr>
        <w:lastRenderedPageBreak/>
        <w:t>property “caused by the negligent or wrongful act or omission of ” a federal employee “acting within the scope of his office or employment.” 28 U.S.C. § 1346(b)(1).</w:t>
      </w:r>
    </w:p>
    <w:p w14:paraId="05AAC785" w14:textId="77777777" w:rsidR="0012090B" w:rsidRPr="00C05D6B" w:rsidRDefault="0012090B" w:rsidP="0012090B">
      <w:pPr>
        <w:ind w:firstLine="720"/>
        <w:rPr>
          <w:rFonts w:ascii="Garamond" w:hAnsi="Garamond" w:cs="Times New Roman"/>
        </w:rPr>
      </w:pPr>
    </w:p>
    <w:p w14:paraId="596FA945" w14:textId="77777777" w:rsidR="0012090B" w:rsidRPr="00C05D6B" w:rsidRDefault="0012090B" w:rsidP="0012090B">
      <w:pPr>
        <w:ind w:firstLine="720"/>
        <w:rPr>
          <w:rFonts w:ascii="Garamond" w:hAnsi="Garamond" w:cs="Times New Roman"/>
        </w:rPr>
      </w:pPr>
      <w:r w:rsidRPr="00C05D6B">
        <w:rPr>
          <w:rFonts w:ascii="Garamond" w:hAnsi="Garamond" w:cs="Times New Roman"/>
        </w:rPr>
        <w:t>The FTCA’s postal exception retains the Government’s sovereign immunity for lawsuits about failing to properly carry or deliver mail. It forecloses “[a]</w:t>
      </w:r>
      <w:proofErr w:type="spellStart"/>
      <w:r w:rsidRPr="00C05D6B">
        <w:rPr>
          <w:rFonts w:ascii="Garamond" w:hAnsi="Garamond" w:cs="Times New Roman"/>
        </w:rPr>
        <w:t>ny</w:t>
      </w:r>
      <w:proofErr w:type="spellEnd"/>
      <w:r w:rsidRPr="00C05D6B">
        <w:rPr>
          <w:rFonts w:ascii="Garamond" w:hAnsi="Garamond" w:cs="Times New Roman"/>
        </w:rPr>
        <w:t xml:space="preserve"> claim arising out of the loss, miscarriage, or negligent transmission of letters or postal matter.” § 2680(b). This Court has interpreted the postal exception to apply when the plaintiff is harmed “because mail either fails to arrive at all or arrives late, in damaged condition, or at the wrong address.” </w:t>
      </w:r>
      <w:r w:rsidRPr="00C05D6B">
        <w:rPr>
          <w:rFonts w:ascii="Garamond" w:hAnsi="Garamond" w:cs="Times New Roman"/>
          <w:i/>
          <w:iCs/>
        </w:rPr>
        <w:t>Dolan</w:t>
      </w:r>
      <w:r w:rsidRPr="00C05D6B">
        <w:rPr>
          <w:rFonts w:ascii="Garamond" w:hAnsi="Garamond" w:cs="Times New Roman"/>
        </w:rPr>
        <w:t>.</w:t>
      </w:r>
    </w:p>
    <w:p w14:paraId="4B74871B" w14:textId="77777777" w:rsidR="0012090B" w:rsidRPr="00C05D6B" w:rsidRDefault="0012090B" w:rsidP="0012090B">
      <w:pPr>
        <w:rPr>
          <w:rFonts w:ascii="Garamond" w:hAnsi="Garamond" w:cs="Times New Roman"/>
        </w:rPr>
      </w:pPr>
    </w:p>
    <w:p w14:paraId="2BBD8FD6" w14:textId="3EFB583A" w:rsidR="0012090B" w:rsidRPr="00C05D6B" w:rsidRDefault="0012090B" w:rsidP="000B38A4">
      <w:pPr>
        <w:rPr>
          <w:rFonts w:ascii="Garamond" w:hAnsi="Garamond" w:cs="Times New Roman"/>
        </w:rPr>
      </w:pPr>
      <w:r w:rsidRPr="00C05D6B">
        <w:rPr>
          <w:rFonts w:ascii="Garamond" w:hAnsi="Garamond" w:cs="Times New Roman"/>
        </w:rPr>
        <w:t>B</w:t>
      </w:r>
    </w:p>
    <w:p w14:paraId="0D7B3665" w14:textId="77777777" w:rsidR="0012090B" w:rsidRPr="00C05D6B" w:rsidRDefault="0012090B" w:rsidP="0012090B">
      <w:pPr>
        <w:ind w:firstLine="720"/>
        <w:rPr>
          <w:rFonts w:ascii="Garamond" w:hAnsi="Garamond" w:cs="Times New Roman"/>
        </w:rPr>
      </w:pPr>
    </w:p>
    <w:p w14:paraId="2243E16E" w14:textId="29E33BD5" w:rsidR="0012090B" w:rsidRPr="00C05D6B" w:rsidRDefault="0012090B" w:rsidP="0012090B">
      <w:pPr>
        <w:ind w:firstLine="720"/>
        <w:rPr>
          <w:rFonts w:ascii="Garamond" w:hAnsi="Garamond" w:cs="Times New Roman"/>
        </w:rPr>
      </w:pPr>
      <w:r w:rsidRPr="00C05D6B">
        <w:rPr>
          <w:rFonts w:ascii="Garamond" w:hAnsi="Garamond" w:cs="Times New Roman"/>
        </w:rPr>
        <w:t xml:space="preserve">This case arises from the dismissal of a complaint, so we accept the complaint’s allegations as true, although the Government disputes them. Respondent </w:t>
      </w:r>
      <w:proofErr w:type="spellStart"/>
      <w:r w:rsidRPr="00C05D6B">
        <w:rPr>
          <w:rFonts w:ascii="Garamond" w:hAnsi="Garamond" w:cs="Times New Roman"/>
        </w:rPr>
        <w:t>Lebene</w:t>
      </w:r>
      <w:proofErr w:type="spellEnd"/>
      <w:r w:rsidRPr="00C05D6B">
        <w:rPr>
          <w:rFonts w:ascii="Garamond" w:hAnsi="Garamond" w:cs="Times New Roman"/>
        </w:rPr>
        <w:t xml:space="preserve"> Konan owns two houses a block apart in Euless, Texas—one on Saratoga Drive and the other on Trenton Lane. Konan leases rooms to tenants in both houses and occasionally stays at them herself. The Postal Service delivers mail for all the houses in the neighborhood to a central structure with a box for each house. The Postal Service distributes keys to the owners of the houses so that they can retrieve their mail. As the homeowner, Konan received the keys to the boxes for both houses. Konan kept the keys and distributed the mail to her tenants daily, and she also received some of her own mail at the Saratoga address.</w:t>
      </w:r>
    </w:p>
    <w:p w14:paraId="7175B687" w14:textId="77777777" w:rsidR="0012090B" w:rsidRPr="00C05D6B" w:rsidRDefault="0012090B" w:rsidP="0012090B">
      <w:pPr>
        <w:ind w:firstLine="720"/>
        <w:rPr>
          <w:rFonts w:ascii="Garamond" w:hAnsi="Garamond" w:cs="Times New Roman"/>
        </w:rPr>
      </w:pPr>
    </w:p>
    <w:p w14:paraId="212C06E3" w14:textId="77777777" w:rsidR="0012090B" w:rsidRPr="00C05D6B" w:rsidRDefault="0012090B" w:rsidP="0012090B">
      <w:pPr>
        <w:ind w:firstLine="720"/>
        <w:rPr>
          <w:rFonts w:ascii="Garamond" w:hAnsi="Garamond" w:cs="Times New Roman"/>
        </w:rPr>
      </w:pPr>
      <w:r w:rsidRPr="00C05D6B">
        <w:rPr>
          <w:rFonts w:ascii="Garamond" w:hAnsi="Garamond" w:cs="Times New Roman"/>
        </w:rPr>
        <w:t>Konan’s grievances with her mail service began in May 2020. After Konan noticed that no mail had arrived at her Saratoga house in several days, she learned that the assigned carrier had changed the listed owner from Konan’s name to a tenant’s name. The same carrier then authorized a change of the lock to allow the tenant to have his own mail key without Konan’s consent. Konan confronted the employees at the local post office about these changes. A supervisor at the local post office explained to Konan that the Postal Service would stop delivering mail to her Saratoga address until the Postal Service Inspector General’s office investigated and determined the proper owner. Konan then received no mail to the Saratoga address for a couple of months before service resumed.</w:t>
      </w:r>
    </w:p>
    <w:p w14:paraId="4975D339" w14:textId="77777777" w:rsidR="0012090B" w:rsidRPr="00C05D6B" w:rsidRDefault="0012090B" w:rsidP="0012090B">
      <w:pPr>
        <w:ind w:firstLine="720"/>
        <w:rPr>
          <w:rFonts w:ascii="Garamond" w:hAnsi="Garamond" w:cs="Times New Roman"/>
        </w:rPr>
      </w:pPr>
    </w:p>
    <w:p w14:paraId="311108B5" w14:textId="77777777" w:rsidR="0012090B" w:rsidRPr="00C05D6B" w:rsidRDefault="0012090B" w:rsidP="0012090B">
      <w:pPr>
        <w:ind w:firstLine="720"/>
        <w:rPr>
          <w:rFonts w:ascii="Garamond" w:hAnsi="Garamond" w:cs="Times New Roman"/>
        </w:rPr>
      </w:pPr>
      <w:r w:rsidRPr="00C05D6B">
        <w:rPr>
          <w:rFonts w:ascii="Garamond" w:hAnsi="Garamond" w:cs="Times New Roman"/>
        </w:rPr>
        <w:t>Konan then learned that the same carrier had mail addressed to her and her tenants returned to senders as “undeliverable.” As a result, Konan and her tenants did not receive important mail. Konan resorted to private carriers. The disruptions in mail service resulted in the loss of tenants and made it more difficult for Konan to attract new tenants. The carrier also taped a red notice inside the mailbox stating that mail addressed to some, but not all, of the Saratoga residents could be delivered to the box. In 2021, postal workers also allegedly stopped delivering mail to the Trenton house after discovering that Konan owned it as well.</w:t>
      </w:r>
    </w:p>
    <w:p w14:paraId="3C98D2BC" w14:textId="77777777" w:rsidR="0012090B" w:rsidRPr="00C05D6B" w:rsidRDefault="0012090B" w:rsidP="0012090B">
      <w:pPr>
        <w:ind w:firstLine="720"/>
        <w:rPr>
          <w:rFonts w:ascii="Garamond" w:hAnsi="Garamond" w:cs="Times New Roman"/>
        </w:rPr>
      </w:pPr>
    </w:p>
    <w:p w14:paraId="7587E436" w14:textId="77777777" w:rsidR="0012090B" w:rsidRPr="00C05D6B" w:rsidRDefault="0012090B" w:rsidP="0012090B">
      <w:pPr>
        <w:ind w:firstLine="720"/>
        <w:rPr>
          <w:rFonts w:ascii="Garamond" w:hAnsi="Garamond" w:cs="Times New Roman"/>
        </w:rPr>
      </w:pPr>
      <w:r w:rsidRPr="00C05D6B">
        <w:rPr>
          <w:rFonts w:ascii="Garamond" w:hAnsi="Garamond" w:cs="Times New Roman"/>
        </w:rPr>
        <w:t>In response, Konan signed up for the Postal Service’s “Informed Delivery” service, which allows customers to view scans of incoming mail. When she discovered that mail on its way to her addresses was not being delivered, she requested that the mail for the Saratoga residence be held at the post office so that she could retrieve it in person. But the postal employees did not give her the mail because Konan failed to provide identification for the addressees. In addition to these efforts, Konan also filed administrative complaints, but without success.</w:t>
      </w:r>
    </w:p>
    <w:p w14:paraId="649B3B02" w14:textId="77777777" w:rsidR="0012090B" w:rsidRPr="00C05D6B" w:rsidRDefault="0012090B" w:rsidP="0012090B">
      <w:pPr>
        <w:ind w:firstLine="720"/>
        <w:rPr>
          <w:rFonts w:ascii="Garamond" w:hAnsi="Garamond" w:cs="Times New Roman"/>
        </w:rPr>
      </w:pPr>
    </w:p>
    <w:p w14:paraId="794AF15C" w14:textId="77777777" w:rsidR="0012090B" w:rsidRPr="00C05D6B" w:rsidRDefault="0012090B" w:rsidP="000B38A4">
      <w:pPr>
        <w:rPr>
          <w:rFonts w:ascii="Garamond" w:hAnsi="Garamond" w:cs="Times New Roman"/>
        </w:rPr>
      </w:pPr>
      <w:r w:rsidRPr="00C05D6B">
        <w:rPr>
          <w:rFonts w:ascii="Garamond" w:hAnsi="Garamond" w:cs="Times New Roman"/>
        </w:rPr>
        <w:t>C</w:t>
      </w:r>
    </w:p>
    <w:p w14:paraId="7570FE88" w14:textId="77777777" w:rsidR="0012090B" w:rsidRPr="00C05D6B" w:rsidRDefault="0012090B" w:rsidP="0012090B">
      <w:pPr>
        <w:ind w:firstLine="720"/>
        <w:rPr>
          <w:rFonts w:ascii="Garamond" w:hAnsi="Garamond" w:cs="Times New Roman"/>
        </w:rPr>
      </w:pPr>
    </w:p>
    <w:p w14:paraId="4B1A5F77" w14:textId="7BE5D680" w:rsidR="0012090B" w:rsidRPr="00C05D6B" w:rsidRDefault="0012090B" w:rsidP="0012090B">
      <w:pPr>
        <w:ind w:firstLine="720"/>
        <w:rPr>
          <w:rFonts w:ascii="Garamond" w:hAnsi="Garamond" w:cs="Times New Roman"/>
        </w:rPr>
      </w:pPr>
      <w:r w:rsidRPr="00C05D6B">
        <w:rPr>
          <w:rFonts w:ascii="Garamond" w:hAnsi="Garamond" w:cs="Times New Roman"/>
        </w:rPr>
        <w:lastRenderedPageBreak/>
        <w:t xml:space="preserve">In January 2022, Konan sued the United States in federal court. Konan alleged that the Postal Service intentionally and wrongfully withheld her mail. As relevant here, Konan brought claims under state law for nuisance, tortious interference with prospective business relations, conversion, and intentional infliction of emotional distress. </w:t>
      </w:r>
    </w:p>
    <w:p w14:paraId="7D85B5F5" w14:textId="77777777" w:rsidR="0012090B" w:rsidRPr="00C05D6B" w:rsidRDefault="0012090B" w:rsidP="0012090B">
      <w:pPr>
        <w:ind w:firstLine="720"/>
        <w:rPr>
          <w:rFonts w:ascii="Garamond" w:hAnsi="Garamond" w:cs="Times New Roman"/>
        </w:rPr>
      </w:pPr>
    </w:p>
    <w:p w14:paraId="4DCD3A9C" w14:textId="77777777" w:rsidR="0012090B" w:rsidRPr="00C05D6B" w:rsidRDefault="0012090B" w:rsidP="000B38A4">
      <w:pPr>
        <w:rPr>
          <w:rFonts w:ascii="Garamond" w:hAnsi="Garamond" w:cs="Times New Roman"/>
        </w:rPr>
      </w:pPr>
      <w:r w:rsidRPr="00C05D6B">
        <w:rPr>
          <w:rFonts w:ascii="Garamond" w:hAnsi="Garamond" w:cs="Times New Roman"/>
        </w:rPr>
        <w:t>II</w:t>
      </w:r>
    </w:p>
    <w:p w14:paraId="7C154774" w14:textId="77777777" w:rsidR="0012090B" w:rsidRPr="00C05D6B" w:rsidRDefault="0012090B" w:rsidP="0012090B">
      <w:pPr>
        <w:ind w:firstLine="720"/>
        <w:rPr>
          <w:rFonts w:ascii="Garamond" w:hAnsi="Garamond" w:cs="Times New Roman"/>
        </w:rPr>
      </w:pPr>
    </w:p>
    <w:p w14:paraId="554E5F77" w14:textId="2EB1F51E" w:rsidR="0012090B" w:rsidRPr="00C05D6B" w:rsidRDefault="0012090B" w:rsidP="0012090B">
      <w:pPr>
        <w:ind w:firstLine="720"/>
        <w:rPr>
          <w:rFonts w:ascii="Garamond" w:hAnsi="Garamond" w:cs="Times New Roman"/>
        </w:rPr>
      </w:pPr>
      <w:r w:rsidRPr="00C05D6B">
        <w:rPr>
          <w:rFonts w:ascii="Garamond" w:hAnsi="Garamond" w:cs="Times New Roman"/>
        </w:rPr>
        <w:t>The postal exception retains the Federal Government’s sovereign immunity for “[a]</w:t>
      </w:r>
      <w:proofErr w:type="spellStart"/>
      <w:r w:rsidRPr="00C05D6B">
        <w:rPr>
          <w:rFonts w:ascii="Garamond" w:hAnsi="Garamond" w:cs="Times New Roman"/>
        </w:rPr>
        <w:t>ny</w:t>
      </w:r>
      <w:proofErr w:type="spellEnd"/>
      <w:r w:rsidRPr="00C05D6B">
        <w:rPr>
          <w:rFonts w:ascii="Garamond" w:hAnsi="Garamond" w:cs="Times New Roman"/>
        </w:rPr>
        <w:t xml:space="preserve"> claim arising out of the loss, miscarriage, or negligent transmission of letters or postal matter.” 28 U.S.C. § 2680(b). The postal exception reflects Congress’s judgment that redress for “harms” of “the sort primarily identified with the Postal Service’s function of transporting mail throughout the United States” should not come from tort suits. </w:t>
      </w:r>
      <w:r w:rsidRPr="00C05D6B">
        <w:rPr>
          <w:rFonts w:ascii="Garamond" w:hAnsi="Garamond" w:cs="Times New Roman"/>
          <w:i/>
          <w:iCs/>
        </w:rPr>
        <w:t>Dolan</w:t>
      </w:r>
      <w:r w:rsidRPr="00C05D6B">
        <w:rPr>
          <w:rFonts w:ascii="Garamond" w:hAnsi="Garamond" w:cs="Times New Roman"/>
        </w:rPr>
        <w:t xml:space="preserve">. Given the frequency of postal workers’ interactions with citizens, those suits would arise so often that they would create a significant burden for the Government and the courts. And their cost to taxpayers would depend on the value and importance of the mail’s contents, over which the Government typically has no control. </w:t>
      </w:r>
    </w:p>
    <w:p w14:paraId="191CE730" w14:textId="77777777" w:rsidR="0012090B" w:rsidRPr="00C05D6B" w:rsidRDefault="0012090B" w:rsidP="0012090B">
      <w:pPr>
        <w:ind w:firstLine="720"/>
        <w:rPr>
          <w:rFonts w:ascii="Garamond" w:hAnsi="Garamond" w:cs="Times New Roman"/>
        </w:rPr>
      </w:pPr>
    </w:p>
    <w:p w14:paraId="3AB14E8B" w14:textId="77777777" w:rsidR="0012090B" w:rsidRPr="00C05D6B" w:rsidRDefault="0012090B" w:rsidP="0012090B">
      <w:pPr>
        <w:ind w:firstLine="720"/>
        <w:rPr>
          <w:rFonts w:ascii="Garamond" w:hAnsi="Garamond" w:cs="Times New Roman"/>
        </w:rPr>
      </w:pPr>
      <w:r w:rsidRPr="00C05D6B">
        <w:rPr>
          <w:rFonts w:ascii="Garamond" w:hAnsi="Garamond" w:cs="Times New Roman"/>
        </w:rPr>
        <w:t>According to Konan and the dissent, the postal exception does not apply to Konan’s claims because she alleges that postal workers intentionally refused to deliver her mail. We disagree. Both “miscarriage” and “loss” of mail under the postal exception can occur as a result of the Postal Service's intentional failure to deliver the mail.</w:t>
      </w:r>
    </w:p>
    <w:p w14:paraId="7CC6DAFF" w14:textId="77777777" w:rsidR="0012090B" w:rsidRPr="00C05D6B" w:rsidRDefault="0012090B" w:rsidP="0012090B">
      <w:pPr>
        <w:rPr>
          <w:rFonts w:ascii="Garamond" w:hAnsi="Garamond" w:cs="Times New Roman"/>
        </w:rPr>
      </w:pPr>
    </w:p>
    <w:p w14:paraId="3F1EFD11" w14:textId="4B22453C" w:rsidR="0012090B" w:rsidRPr="00C05D6B" w:rsidRDefault="0012090B" w:rsidP="000B38A4">
      <w:pPr>
        <w:rPr>
          <w:rFonts w:ascii="Garamond" w:hAnsi="Garamond" w:cs="Times New Roman"/>
        </w:rPr>
      </w:pPr>
      <w:r w:rsidRPr="00C05D6B">
        <w:rPr>
          <w:rFonts w:ascii="Garamond" w:hAnsi="Garamond" w:cs="Times New Roman"/>
        </w:rPr>
        <w:t>A</w:t>
      </w:r>
    </w:p>
    <w:p w14:paraId="5AB9CB26" w14:textId="77777777" w:rsidR="0012090B" w:rsidRPr="00C05D6B" w:rsidRDefault="0012090B" w:rsidP="0012090B">
      <w:pPr>
        <w:ind w:firstLine="720"/>
        <w:rPr>
          <w:rFonts w:ascii="Garamond" w:hAnsi="Garamond" w:cs="Times New Roman"/>
        </w:rPr>
      </w:pPr>
    </w:p>
    <w:p w14:paraId="22DF5576" w14:textId="3ABF5F5A" w:rsidR="0012090B" w:rsidRPr="00C05D6B" w:rsidRDefault="0012090B" w:rsidP="0012090B">
      <w:pPr>
        <w:ind w:firstLine="720"/>
        <w:rPr>
          <w:rFonts w:ascii="Garamond" w:hAnsi="Garamond" w:cs="Times New Roman"/>
        </w:rPr>
      </w:pPr>
      <w:r w:rsidRPr="00C05D6B">
        <w:rPr>
          <w:rFonts w:ascii="Garamond" w:hAnsi="Garamond" w:cs="Times New Roman"/>
        </w:rPr>
        <w:t>Absent a reason to think otherwise, we interpret statutory terms according to the ordinary meanings they had when they were enacted. When Congress enacted the FTCA in 1946, the “miscarriage” of mail ordinarily included any failure of mail to properly arrive at its intended destination. Konan would limit “miscarriage” to unintentional failures or failures where the mail went to the wrong address. Neither limitation is well founded.</w:t>
      </w:r>
    </w:p>
    <w:p w14:paraId="68232CD1" w14:textId="77777777" w:rsidR="0012090B" w:rsidRPr="00C05D6B" w:rsidRDefault="0012090B" w:rsidP="0012090B">
      <w:pPr>
        <w:ind w:firstLine="720"/>
        <w:rPr>
          <w:rFonts w:ascii="Garamond" w:hAnsi="Garamond" w:cs="Times New Roman"/>
        </w:rPr>
      </w:pPr>
    </w:p>
    <w:p w14:paraId="6CDE5300" w14:textId="360BF3AD" w:rsidR="0012090B" w:rsidRPr="00C05D6B" w:rsidRDefault="0012090B" w:rsidP="0012090B">
      <w:pPr>
        <w:ind w:firstLine="720"/>
        <w:rPr>
          <w:rFonts w:ascii="Garamond" w:hAnsi="Garamond" w:cs="Times New Roman"/>
        </w:rPr>
      </w:pPr>
      <w:r w:rsidRPr="00C05D6B">
        <w:rPr>
          <w:rFonts w:ascii="Garamond" w:hAnsi="Garamond" w:cs="Times New Roman"/>
        </w:rPr>
        <w:t>Dictionaries published around the time Congress enacted the FTCA confirm that a “miscarriage” of mail happened when mail failed to arrive properly. Because a “miscarriage” includes any failure of mail to arrive properly, a person experiences a miscarriage of mail when his mail is delivered to his neighbor, held at the post office, or returned to the sender—regardless of why it happened. Konan’s claims about the Postal Service’s willful failure to deliver her mail therefore result from the miscarriage of her mail.</w:t>
      </w:r>
    </w:p>
    <w:p w14:paraId="1D080CCC" w14:textId="77777777" w:rsidR="0012090B" w:rsidRPr="00C05D6B" w:rsidRDefault="0012090B" w:rsidP="0012090B">
      <w:pPr>
        <w:ind w:firstLine="720"/>
        <w:rPr>
          <w:rFonts w:ascii="Garamond" w:hAnsi="Garamond" w:cs="Times New Roman"/>
        </w:rPr>
      </w:pPr>
    </w:p>
    <w:p w14:paraId="28231D9D"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We disagree with Konan’s attempt to limit “miscarriage” to negligent failures of mail to arrive properly. Neither Konan nor the dissent cites any dictionaries imposing this limitation. </w:t>
      </w:r>
    </w:p>
    <w:p w14:paraId="4C2C6A5D" w14:textId="77777777" w:rsidR="0012090B" w:rsidRPr="00C05D6B" w:rsidRDefault="0012090B" w:rsidP="0012090B">
      <w:pPr>
        <w:ind w:firstLine="720"/>
        <w:rPr>
          <w:rFonts w:ascii="Garamond" w:hAnsi="Garamond" w:cs="Times New Roman"/>
        </w:rPr>
      </w:pPr>
    </w:p>
    <w:p w14:paraId="6633D830"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Konan separately contends that a “miscarriage” of mail happens only when the mail goes to the “wrong address,” not when it is (like her mail) held at the post office or returned to the sender. We again decline to impose a limitation that has no basis in the dictionaries or ordinary usage. </w:t>
      </w:r>
    </w:p>
    <w:p w14:paraId="1A17CC97" w14:textId="77777777" w:rsidR="0012090B" w:rsidRPr="00C05D6B" w:rsidRDefault="0012090B" w:rsidP="0012090B">
      <w:pPr>
        <w:ind w:firstLine="720"/>
        <w:rPr>
          <w:rFonts w:ascii="Garamond" w:hAnsi="Garamond" w:cs="Times New Roman"/>
        </w:rPr>
      </w:pPr>
    </w:p>
    <w:p w14:paraId="6DF9A691" w14:textId="77777777" w:rsidR="0012090B" w:rsidRPr="00C05D6B" w:rsidRDefault="0012090B" w:rsidP="000B38A4">
      <w:pPr>
        <w:rPr>
          <w:rFonts w:ascii="Garamond" w:hAnsi="Garamond" w:cs="Times New Roman"/>
        </w:rPr>
      </w:pPr>
      <w:r w:rsidRPr="00C05D6B">
        <w:rPr>
          <w:rFonts w:ascii="Garamond" w:hAnsi="Garamond" w:cs="Times New Roman"/>
        </w:rPr>
        <w:t>B</w:t>
      </w:r>
    </w:p>
    <w:p w14:paraId="01324249" w14:textId="77777777" w:rsidR="0012090B" w:rsidRPr="00C05D6B" w:rsidRDefault="0012090B" w:rsidP="0012090B">
      <w:pPr>
        <w:ind w:firstLine="720"/>
        <w:rPr>
          <w:rFonts w:ascii="Garamond" w:hAnsi="Garamond" w:cs="Times New Roman"/>
        </w:rPr>
      </w:pPr>
    </w:p>
    <w:p w14:paraId="1D77EF8E" w14:textId="09043357" w:rsidR="0012090B" w:rsidRPr="00C05D6B" w:rsidRDefault="0012090B" w:rsidP="0012090B">
      <w:pPr>
        <w:ind w:firstLine="720"/>
        <w:rPr>
          <w:rFonts w:ascii="Garamond" w:hAnsi="Garamond" w:cs="Times New Roman"/>
        </w:rPr>
      </w:pPr>
      <w:r w:rsidRPr="00C05D6B">
        <w:rPr>
          <w:rFonts w:ascii="Garamond" w:hAnsi="Garamond" w:cs="Times New Roman"/>
        </w:rPr>
        <w:t xml:space="preserve">Konan’s withholding claims also arise out of the “loss” of mail and are therefore within the postal exception. 28 U.S.C. § 2680(b). When Congress enacted the FTCA, the “loss” of mail </w:t>
      </w:r>
      <w:r w:rsidRPr="00C05D6B">
        <w:rPr>
          <w:rFonts w:ascii="Garamond" w:hAnsi="Garamond" w:cs="Times New Roman"/>
        </w:rPr>
        <w:lastRenderedPageBreak/>
        <w:t>ordinarily meant a deprivation of mail, regardless of how the deprivation was brought about. So, like “miscarriage,” intentional refusal to deliver mail could cause the “loss” of mail.</w:t>
      </w:r>
    </w:p>
    <w:p w14:paraId="0838DF0A" w14:textId="77777777" w:rsidR="0012090B" w:rsidRPr="00C05D6B" w:rsidRDefault="0012090B" w:rsidP="0012090B">
      <w:pPr>
        <w:ind w:firstLine="720"/>
        <w:rPr>
          <w:rFonts w:ascii="Garamond" w:hAnsi="Garamond" w:cs="Times New Roman"/>
        </w:rPr>
      </w:pPr>
    </w:p>
    <w:p w14:paraId="1D2DDD33" w14:textId="31C150DF" w:rsidR="0012090B" w:rsidRPr="00C05D6B" w:rsidRDefault="0012090B" w:rsidP="0012090B">
      <w:pPr>
        <w:ind w:firstLine="720"/>
        <w:rPr>
          <w:rFonts w:ascii="Garamond" w:hAnsi="Garamond" w:cs="Times New Roman"/>
        </w:rPr>
      </w:pPr>
      <w:r w:rsidRPr="00C05D6B">
        <w:rPr>
          <w:rFonts w:ascii="Garamond" w:hAnsi="Garamond" w:cs="Times New Roman"/>
        </w:rPr>
        <w:t xml:space="preserve">A “loss” of mail is a deprivation of mail. “Loss is a generic and relative term; it is not a word of limited, hard and fast meaning.” Black’s Law Dictionary 1094 (4th ed. 1968). But it is commonly used to refer to any “deprivation” or “that which is withheld,” such as when someone suffers the loss of property in a fire or the loss of income from being laid off. </w:t>
      </w:r>
    </w:p>
    <w:p w14:paraId="50432BB6" w14:textId="77777777" w:rsidR="0012090B" w:rsidRPr="00C05D6B" w:rsidRDefault="0012090B" w:rsidP="0012090B">
      <w:pPr>
        <w:ind w:firstLine="720"/>
        <w:rPr>
          <w:rFonts w:ascii="Garamond" w:hAnsi="Garamond" w:cs="Times New Roman"/>
        </w:rPr>
      </w:pPr>
    </w:p>
    <w:p w14:paraId="038BB35D" w14:textId="77777777" w:rsidR="0012090B" w:rsidRPr="00C05D6B" w:rsidRDefault="0012090B" w:rsidP="0012090B">
      <w:pPr>
        <w:ind w:firstLine="720"/>
        <w:rPr>
          <w:rFonts w:ascii="Garamond" w:hAnsi="Garamond" w:cs="Times New Roman"/>
        </w:rPr>
      </w:pPr>
      <w:r w:rsidRPr="00C05D6B">
        <w:rPr>
          <w:rFonts w:ascii="Garamond" w:hAnsi="Garamond" w:cs="Times New Roman"/>
        </w:rPr>
        <w:t>As with “miscarriage,” we disagree with Konan’s attempt to limit “loss” to only inadvertent losses. A loss can be the result of another person’s intentional misconduct. And, in the mail context, ordinary speakers commonly described a “loss” of mail from theft, including theft by the carrier. Just a year before Congress enacted the FTCA, the Army explained that “[v]</w:t>
      </w:r>
      <w:proofErr w:type="spellStart"/>
      <w:r w:rsidRPr="00C05D6B">
        <w:rPr>
          <w:rFonts w:ascii="Garamond" w:hAnsi="Garamond" w:cs="Times New Roman"/>
        </w:rPr>
        <w:t>irtually</w:t>
      </w:r>
      <w:proofErr w:type="spellEnd"/>
      <w:r w:rsidRPr="00C05D6B">
        <w:rPr>
          <w:rFonts w:ascii="Garamond" w:hAnsi="Garamond" w:cs="Times New Roman"/>
        </w:rPr>
        <w:t xml:space="preserve"> all loss of mail through theft occurs at terminal transfer points outside this country.” Pittsfield, Mass., Berkshire Evening Eagle, Feb. 9, 1945, p. 3 (emphasis added). </w:t>
      </w:r>
    </w:p>
    <w:p w14:paraId="64AC02E0" w14:textId="77777777" w:rsidR="0012090B" w:rsidRPr="00C05D6B" w:rsidRDefault="0012090B" w:rsidP="0012090B">
      <w:pPr>
        <w:ind w:firstLine="720"/>
        <w:rPr>
          <w:rFonts w:ascii="Garamond" w:hAnsi="Garamond" w:cs="Times New Roman"/>
        </w:rPr>
      </w:pPr>
    </w:p>
    <w:p w14:paraId="216CB55A"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We also disagree with Konan’s, and the dissent’s, rejoinder that the postal exception applies only when the Postal Service lost the mail. Congress could have written the postal exception to apply only when “the Postal Service lost, miscarried, or negligently transmitted” mail. But Congress applied the postal exception to all “claim[s] arising out of the loss, miscarriage, or negligent transmission” of mail. It described kinds of harms, not kinds of actions by the postal workers. We decline to rescue Konan’s claims by inserting the Postal Service as the sentence’s subject and then converting the three nouns into three verbs. </w:t>
      </w:r>
    </w:p>
    <w:p w14:paraId="5A88CEE0" w14:textId="77777777" w:rsidR="0012090B" w:rsidRPr="00C05D6B" w:rsidRDefault="0012090B" w:rsidP="0012090B">
      <w:pPr>
        <w:ind w:firstLine="720"/>
        <w:rPr>
          <w:rFonts w:ascii="Garamond" w:hAnsi="Garamond" w:cs="Times New Roman"/>
        </w:rPr>
      </w:pPr>
    </w:p>
    <w:p w14:paraId="62760ADF"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Last, Konan proposes limiting “loss” to only “destruction.” She contends that the “primary” meaning of “loss” in 1946 was “destruction,” not any other kind of deprivation. But, as we have explained, ordinary speakers referred to “losses” of mail, even when the mail was not destroyed. Judge Cardozo wrote that when an envelope fell behind a radiator in the post office, it caused the “loss” of the checks inside even though they were later recovered. And, contemporaneous regulations treated “loss” and “destruction” separately, not, as Konan suggests, synonymously. See, e.g., Postal Laws and Regulations § 159 (1940 ed.) (delaying certain procedures until officials have “determined that such loss, destruction, or damage resulted from no fault or negligence on the part of” a postmaster). </w:t>
      </w:r>
    </w:p>
    <w:p w14:paraId="544BE545" w14:textId="77777777" w:rsidR="0012090B" w:rsidRPr="00C05D6B" w:rsidRDefault="0012090B" w:rsidP="0012090B">
      <w:pPr>
        <w:ind w:firstLine="720"/>
        <w:rPr>
          <w:rFonts w:ascii="Garamond" w:hAnsi="Garamond" w:cs="Times New Roman"/>
        </w:rPr>
      </w:pPr>
    </w:p>
    <w:p w14:paraId="658BEA4C" w14:textId="77777777" w:rsidR="0012090B" w:rsidRPr="00C05D6B" w:rsidRDefault="0012090B" w:rsidP="000B38A4">
      <w:pPr>
        <w:rPr>
          <w:rFonts w:ascii="Garamond" w:hAnsi="Garamond" w:cs="Times New Roman"/>
        </w:rPr>
      </w:pPr>
      <w:r w:rsidRPr="00C05D6B">
        <w:rPr>
          <w:rFonts w:ascii="Garamond" w:hAnsi="Garamond" w:cs="Times New Roman"/>
        </w:rPr>
        <w:t>III</w:t>
      </w:r>
    </w:p>
    <w:p w14:paraId="7F5B706D" w14:textId="77777777" w:rsidR="0012090B" w:rsidRPr="00C05D6B" w:rsidRDefault="0012090B" w:rsidP="0012090B">
      <w:pPr>
        <w:ind w:firstLine="720"/>
        <w:rPr>
          <w:rFonts w:ascii="Garamond" w:hAnsi="Garamond" w:cs="Times New Roman"/>
        </w:rPr>
      </w:pPr>
    </w:p>
    <w:p w14:paraId="43A844EB" w14:textId="6BB7A5AB" w:rsidR="0012090B" w:rsidRPr="00C05D6B" w:rsidRDefault="0012090B" w:rsidP="0012090B">
      <w:pPr>
        <w:ind w:firstLine="720"/>
        <w:rPr>
          <w:rFonts w:ascii="Garamond" w:hAnsi="Garamond" w:cs="Times New Roman"/>
        </w:rPr>
      </w:pPr>
      <w:r w:rsidRPr="00C05D6B">
        <w:rPr>
          <w:rFonts w:ascii="Garamond" w:hAnsi="Garamond" w:cs="Times New Roman"/>
        </w:rPr>
        <w:t>Konan proffers two remaining arguments that her claims must not be barred by the postal exception. We address them in turn.</w:t>
      </w:r>
    </w:p>
    <w:p w14:paraId="17545FEF" w14:textId="77777777" w:rsidR="0012090B" w:rsidRPr="00C05D6B" w:rsidRDefault="0012090B" w:rsidP="0012090B">
      <w:pPr>
        <w:ind w:firstLine="720"/>
        <w:rPr>
          <w:rFonts w:ascii="Garamond" w:hAnsi="Garamond" w:cs="Times New Roman"/>
        </w:rPr>
      </w:pPr>
    </w:p>
    <w:p w14:paraId="2968C703"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First, Konan argues that the postal exception’s “negligent transmission” category narrows the meaning of “miscarriage” and “loss.” She argues that the qualifier “negligent” in the term “negligent transmission” implicitly qualifies the other two terms. But Congress intentionally limited the “negligent” qualifier to “transmission” and did not use it to qualify “loss” or “miscarriage.” Konan’s “argument seems to assume that pairing a broad statutory term with a narrow one shrinks the broad one, but there is no such general usage.” S. D. Warren Co. v. Maine Bd. of Environmental Protection (U.S. 2006). </w:t>
      </w:r>
    </w:p>
    <w:p w14:paraId="33A77730"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 </w:t>
      </w:r>
    </w:p>
    <w:p w14:paraId="3A942FA6"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Second, Konan argues that our interpretations of “miscarriage” and “loss” run afoul of the presumption against surplusage. Konan’s proposal is inconsistent with ordinary meaning, which </w:t>
      </w:r>
      <w:r w:rsidRPr="00C05D6B">
        <w:rPr>
          <w:rFonts w:ascii="Garamond" w:hAnsi="Garamond" w:cs="Times New Roman"/>
        </w:rPr>
        <w:lastRenderedPageBreak/>
        <w:t>shows that these terms were often used in an overlapping manner. And, in Dolan, the Court interpreted the terms in the postal exception to substantially overlap. The canon against surplusage is subordinate to the “cardinal canon” that “a legislature says in a statute what it means and means in a statute what it says there.” Connecticut Nat. Bank v. Germain (U.S. 1992). We think that Congress likely used broad, overlapping terms to better keep complaints about mail delivery out of court.</w:t>
      </w:r>
    </w:p>
    <w:p w14:paraId="385896AC" w14:textId="77777777" w:rsidR="0012090B" w:rsidRPr="00C05D6B" w:rsidRDefault="0012090B" w:rsidP="000B38A4">
      <w:pPr>
        <w:rPr>
          <w:rFonts w:ascii="Garamond" w:hAnsi="Garamond" w:cs="Times New Roman"/>
        </w:rPr>
      </w:pPr>
    </w:p>
    <w:p w14:paraId="61F4CA85" w14:textId="77777777" w:rsidR="0012090B" w:rsidRPr="00C05D6B" w:rsidRDefault="0012090B" w:rsidP="000B38A4">
      <w:pPr>
        <w:rPr>
          <w:rFonts w:ascii="Garamond" w:hAnsi="Garamond" w:cs="Times New Roman"/>
        </w:rPr>
      </w:pPr>
      <w:r w:rsidRPr="00C05D6B">
        <w:rPr>
          <w:rFonts w:ascii="Garamond" w:hAnsi="Garamond" w:cs="Times New Roman"/>
        </w:rPr>
        <w:t>Justice Sotomayor, with whom Justice Kagan, Justice Gorsuch, and Justice Jackson join, dissenting.</w:t>
      </w:r>
    </w:p>
    <w:p w14:paraId="2059FD15" w14:textId="77777777" w:rsidR="0012090B" w:rsidRPr="00C05D6B" w:rsidRDefault="0012090B" w:rsidP="0012090B">
      <w:pPr>
        <w:ind w:firstLine="720"/>
        <w:rPr>
          <w:rFonts w:ascii="Garamond" w:hAnsi="Garamond" w:cs="Times New Roman"/>
        </w:rPr>
      </w:pPr>
    </w:p>
    <w:p w14:paraId="070A3AA5" w14:textId="31157C9A" w:rsidR="0012090B" w:rsidRPr="00C05D6B" w:rsidRDefault="0012090B" w:rsidP="0012090B">
      <w:pPr>
        <w:ind w:firstLine="720"/>
        <w:rPr>
          <w:rFonts w:ascii="Garamond" w:hAnsi="Garamond" w:cs="Times New Roman"/>
        </w:rPr>
      </w:pPr>
      <w:r w:rsidRPr="00C05D6B">
        <w:rPr>
          <w:rFonts w:ascii="Garamond" w:hAnsi="Garamond" w:cs="Times New Roman"/>
        </w:rPr>
        <w:t xml:space="preserve">For two years, respondent </w:t>
      </w:r>
      <w:proofErr w:type="spellStart"/>
      <w:r w:rsidRPr="00C05D6B">
        <w:rPr>
          <w:rFonts w:ascii="Garamond" w:hAnsi="Garamond" w:cs="Times New Roman"/>
        </w:rPr>
        <w:t>Lebene</w:t>
      </w:r>
      <w:proofErr w:type="spellEnd"/>
      <w:r w:rsidRPr="00C05D6B">
        <w:rPr>
          <w:rFonts w:ascii="Garamond" w:hAnsi="Garamond" w:cs="Times New Roman"/>
        </w:rPr>
        <w:t xml:space="preserve"> Konan and her tenants did not receive mail addressed to the rental properties that Konan owned. According to Konan, negligence was not to blame. Quite the opposite: She alleges that United States Postal Service employees intentionally withheld delivery because they did not like “‘that a black person own[ed]’” the properties and “‘lease[d] rooms . . . to white people.’” </w:t>
      </w:r>
    </w:p>
    <w:p w14:paraId="5B76ACA7" w14:textId="77777777" w:rsidR="0012090B" w:rsidRPr="00C05D6B" w:rsidRDefault="0012090B" w:rsidP="0012090B">
      <w:pPr>
        <w:ind w:firstLine="720"/>
        <w:rPr>
          <w:rFonts w:ascii="Garamond" w:hAnsi="Garamond" w:cs="Times New Roman"/>
        </w:rPr>
      </w:pPr>
    </w:p>
    <w:p w14:paraId="2E7875C1" w14:textId="43756071" w:rsidR="0012090B" w:rsidRPr="00C05D6B" w:rsidRDefault="0012090B" w:rsidP="0012090B">
      <w:pPr>
        <w:ind w:firstLine="720"/>
        <w:rPr>
          <w:rFonts w:ascii="Garamond" w:hAnsi="Garamond" w:cs="Times New Roman"/>
        </w:rPr>
      </w:pPr>
      <w:r w:rsidRPr="00C05D6B">
        <w:rPr>
          <w:rFonts w:ascii="Garamond" w:hAnsi="Garamond" w:cs="Times New Roman"/>
        </w:rPr>
        <w:t>Konan brought this action under the Federal Tort Claims Act (FTCA) against the United States to recover damages she sustained as a result of this alleged years-long harassment campaign. The United States is generally protected by sovereign immunity, but Congress, through the FTCA, has enacted a capacious waiver of that immunity for tort suits when an individual is harmed by a federal employee acting within the scope of her employment. That waiver, however, is subject to several exceptions. Today, the Court holds that one exception—the postal exception—prevents individuals from recovering for injuries based on a postal employee’s intentional misconduct, including when an employee maliciously withholds their mail. Because this reading of the postal exception transforms, rather than honors, the exception Congress enacted, I respectfully dissent.</w:t>
      </w:r>
    </w:p>
    <w:p w14:paraId="1E72BFE6" w14:textId="77777777" w:rsidR="0012090B" w:rsidRPr="00C05D6B" w:rsidRDefault="0012090B" w:rsidP="0012090B">
      <w:pPr>
        <w:ind w:firstLine="720"/>
        <w:rPr>
          <w:rFonts w:ascii="Garamond" w:hAnsi="Garamond" w:cs="Times New Roman"/>
        </w:rPr>
      </w:pPr>
    </w:p>
    <w:p w14:paraId="5E4A2E39" w14:textId="77777777" w:rsidR="0012090B" w:rsidRPr="00C05D6B" w:rsidRDefault="0012090B" w:rsidP="0012090B">
      <w:pPr>
        <w:rPr>
          <w:rFonts w:ascii="Garamond" w:hAnsi="Garamond" w:cs="Times New Roman"/>
        </w:rPr>
      </w:pPr>
      <w:r w:rsidRPr="00C05D6B">
        <w:rPr>
          <w:rFonts w:ascii="Garamond" w:hAnsi="Garamond" w:cs="Times New Roman"/>
        </w:rPr>
        <w:t>I</w:t>
      </w:r>
    </w:p>
    <w:p w14:paraId="47E21560" w14:textId="77777777" w:rsidR="0012090B" w:rsidRPr="00C05D6B" w:rsidRDefault="0012090B" w:rsidP="000B38A4">
      <w:pPr>
        <w:rPr>
          <w:rFonts w:ascii="Garamond" w:hAnsi="Garamond" w:cs="Times New Roman"/>
        </w:rPr>
      </w:pPr>
    </w:p>
    <w:p w14:paraId="5EDC3AFD" w14:textId="09E206CC" w:rsidR="0012090B" w:rsidRPr="00C05D6B" w:rsidRDefault="0012090B" w:rsidP="0012090B">
      <w:pPr>
        <w:ind w:firstLine="720"/>
        <w:rPr>
          <w:rFonts w:ascii="Garamond" w:hAnsi="Garamond" w:cs="Times New Roman"/>
        </w:rPr>
      </w:pPr>
      <w:r w:rsidRPr="00C05D6B">
        <w:rPr>
          <w:rFonts w:ascii="Garamond" w:hAnsi="Garamond" w:cs="Times New Roman"/>
        </w:rPr>
        <w:t>[C]</w:t>
      </w:r>
      <w:proofErr w:type="spellStart"/>
      <w:r w:rsidRPr="00C05D6B">
        <w:rPr>
          <w:rFonts w:ascii="Garamond" w:hAnsi="Garamond" w:cs="Times New Roman"/>
        </w:rPr>
        <w:t>ourts</w:t>
      </w:r>
      <w:proofErr w:type="spellEnd"/>
      <w:r w:rsidRPr="00C05D6B">
        <w:rPr>
          <w:rFonts w:ascii="Garamond" w:hAnsi="Garamond" w:cs="Times New Roman"/>
        </w:rPr>
        <w:t xml:space="preserve"> must be careful not to interpret [the] exceptions to [the FTCA’s waiver of sovereign immunity] too broadly. “‘[U]</w:t>
      </w:r>
      <w:proofErr w:type="spellStart"/>
      <w:r w:rsidRPr="00C05D6B">
        <w:rPr>
          <w:rFonts w:ascii="Garamond" w:hAnsi="Garamond" w:cs="Times New Roman"/>
        </w:rPr>
        <w:t>nduly</w:t>
      </w:r>
      <w:proofErr w:type="spellEnd"/>
      <w:r w:rsidRPr="00C05D6B">
        <w:rPr>
          <w:rFonts w:ascii="Garamond" w:hAnsi="Garamond" w:cs="Times New Roman"/>
        </w:rPr>
        <w:t xml:space="preserve"> generous interpretations,’” this Court has warned, “‘run the risk of defeating the central purpose of the statute’”—to “‘</w:t>
      </w:r>
      <w:proofErr w:type="spellStart"/>
      <w:r w:rsidRPr="00C05D6B">
        <w:rPr>
          <w:rFonts w:ascii="Garamond" w:hAnsi="Garamond" w:cs="Times New Roman"/>
        </w:rPr>
        <w:t>waiv</w:t>
      </w:r>
      <w:proofErr w:type="spellEnd"/>
      <w:r w:rsidRPr="00C05D6B">
        <w:rPr>
          <w:rFonts w:ascii="Garamond" w:hAnsi="Garamond" w:cs="Times New Roman"/>
        </w:rPr>
        <w:t xml:space="preserve">[e] the Government’s immunity from suit in sweeping language.’” Dolan v. Postal Service (U.S. 2006). To harmonize these considerations, “‘the proper objective of a court attempting to construe one of the’” exceptions “‘is to identify those circumstances which are within the words and reason of the exception—no less and no more.’” </w:t>
      </w:r>
    </w:p>
    <w:p w14:paraId="7DF71C49" w14:textId="77777777" w:rsidR="0012090B" w:rsidRPr="00C05D6B" w:rsidRDefault="0012090B" w:rsidP="0012090B">
      <w:pPr>
        <w:ind w:firstLine="720"/>
        <w:rPr>
          <w:rFonts w:ascii="Garamond" w:hAnsi="Garamond" w:cs="Times New Roman"/>
        </w:rPr>
      </w:pPr>
    </w:p>
    <w:p w14:paraId="7451F203" w14:textId="44C7FF10" w:rsidR="0012090B" w:rsidRPr="00C05D6B" w:rsidRDefault="0012090B" w:rsidP="0012090B">
      <w:pPr>
        <w:ind w:firstLine="720"/>
        <w:rPr>
          <w:rFonts w:ascii="Garamond" w:hAnsi="Garamond" w:cs="Times New Roman"/>
        </w:rPr>
      </w:pPr>
      <w:r w:rsidRPr="00C05D6B">
        <w:rPr>
          <w:rFonts w:ascii="Garamond" w:hAnsi="Garamond" w:cs="Times New Roman"/>
        </w:rPr>
        <w:t xml:space="preserve">Like it had for [various] other agencies and activities, Congress could have granted immunity for all “claims arising from the mail activities of the Postal Service.” Instead, Congress identified certain “misconduct for which the Government was not assuming financial responsibility—namely, ‘the loss, miscarriage, or negligent transmission of letters or postal matter.’” </w:t>
      </w:r>
      <w:proofErr w:type="spellStart"/>
      <w:r w:rsidRPr="00C05D6B">
        <w:rPr>
          <w:rFonts w:ascii="Garamond" w:hAnsi="Garamond" w:cs="Times New Roman"/>
        </w:rPr>
        <w:t>Kosak</w:t>
      </w:r>
      <w:proofErr w:type="spellEnd"/>
      <w:r w:rsidRPr="00C05D6B">
        <w:rPr>
          <w:rFonts w:ascii="Garamond" w:hAnsi="Garamond" w:cs="Times New Roman"/>
        </w:rPr>
        <w:t xml:space="preserve"> v. United States (U.S. 1984). By using “specificity” over “generality,” it follows that Congress intended for this exception “to be less encompassing” than the coverage provided by the broader exceptions, and for the Government to “</w:t>
      </w:r>
      <w:proofErr w:type="spellStart"/>
      <w:r w:rsidRPr="00C05D6B">
        <w:rPr>
          <w:rFonts w:ascii="Garamond" w:hAnsi="Garamond" w:cs="Times New Roman"/>
        </w:rPr>
        <w:t>assum</w:t>
      </w:r>
      <w:proofErr w:type="spellEnd"/>
      <w:r w:rsidRPr="00C05D6B">
        <w:rPr>
          <w:rFonts w:ascii="Garamond" w:hAnsi="Garamond" w:cs="Times New Roman"/>
        </w:rPr>
        <w:t xml:space="preserve">[e] financial responsibility” for certain classes of “misconduct” related to postal activities. </w:t>
      </w:r>
    </w:p>
    <w:p w14:paraId="0AE4168F" w14:textId="77777777" w:rsidR="0012090B" w:rsidRPr="00C05D6B" w:rsidRDefault="0012090B" w:rsidP="0012090B">
      <w:pPr>
        <w:ind w:firstLine="720"/>
        <w:rPr>
          <w:rFonts w:ascii="Garamond" w:hAnsi="Garamond" w:cs="Times New Roman"/>
        </w:rPr>
      </w:pPr>
    </w:p>
    <w:p w14:paraId="5FCBDB74"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This Court has already identified some of those classes. In </w:t>
      </w:r>
      <w:proofErr w:type="spellStart"/>
      <w:r w:rsidRPr="00C05D6B">
        <w:rPr>
          <w:rFonts w:ascii="Garamond" w:hAnsi="Garamond" w:cs="Times New Roman"/>
        </w:rPr>
        <w:t>Kosak</w:t>
      </w:r>
      <w:proofErr w:type="spellEnd"/>
      <w:r w:rsidRPr="00C05D6B">
        <w:rPr>
          <w:rFonts w:ascii="Garamond" w:hAnsi="Garamond" w:cs="Times New Roman"/>
        </w:rPr>
        <w:t xml:space="preserve">, the Court explained that claims arising from car accidents caused by postal employees delivering mail fall outside the exception. In Dolan, the Court recognized a second class of claims for slip and falls caused by an employee negligently placing a package on a porch step. </w:t>
      </w:r>
    </w:p>
    <w:p w14:paraId="2AAEC822"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 </w:t>
      </w:r>
    </w:p>
    <w:p w14:paraId="0E4095C6" w14:textId="77777777" w:rsidR="0012090B" w:rsidRPr="00C05D6B" w:rsidRDefault="0012090B" w:rsidP="0012090B">
      <w:pPr>
        <w:rPr>
          <w:rFonts w:ascii="Garamond" w:hAnsi="Garamond" w:cs="Times New Roman"/>
        </w:rPr>
      </w:pPr>
      <w:r w:rsidRPr="00C05D6B">
        <w:rPr>
          <w:rFonts w:ascii="Garamond" w:hAnsi="Garamond" w:cs="Times New Roman"/>
        </w:rPr>
        <w:t>II</w:t>
      </w:r>
    </w:p>
    <w:p w14:paraId="32D7A2B9" w14:textId="77777777" w:rsidR="0012090B" w:rsidRPr="00C05D6B" w:rsidRDefault="0012090B" w:rsidP="000B38A4">
      <w:pPr>
        <w:rPr>
          <w:rFonts w:ascii="Garamond" w:hAnsi="Garamond" w:cs="Times New Roman"/>
        </w:rPr>
      </w:pPr>
    </w:p>
    <w:p w14:paraId="5EBE831A" w14:textId="77777777" w:rsidR="0012090B" w:rsidRPr="00C05D6B" w:rsidRDefault="0012090B" w:rsidP="0012090B">
      <w:pPr>
        <w:ind w:firstLine="720"/>
        <w:rPr>
          <w:rFonts w:ascii="Garamond" w:hAnsi="Garamond" w:cs="Times New Roman"/>
        </w:rPr>
      </w:pPr>
      <w:r w:rsidRPr="00C05D6B">
        <w:rPr>
          <w:rFonts w:ascii="Garamond" w:hAnsi="Garamond" w:cs="Times New Roman"/>
        </w:rPr>
        <w:t>A</w:t>
      </w:r>
    </w:p>
    <w:p w14:paraId="26F0AE2D" w14:textId="77777777" w:rsidR="0012090B" w:rsidRPr="00C05D6B" w:rsidRDefault="0012090B" w:rsidP="0012090B">
      <w:pPr>
        <w:ind w:firstLine="720"/>
        <w:rPr>
          <w:rFonts w:ascii="Garamond" w:hAnsi="Garamond" w:cs="Times New Roman"/>
        </w:rPr>
      </w:pPr>
    </w:p>
    <w:p w14:paraId="4DB862CC" w14:textId="77777777" w:rsidR="0012090B" w:rsidRPr="00C05D6B" w:rsidRDefault="0012090B" w:rsidP="0012090B">
      <w:pPr>
        <w:ind w:firstLine="720"/>
        <w:rPr>
          <w:rFonts w:ascii="Garamond" w:hAnsi="Garamond" w:cs="Times New Roman"/>
        </w:rPr>
      </w:pPr>
      <w:r w:rsidRPr="00C05D6B">
        <w:rPr>
          <w:rFonts w:ascii="Garamond" w:hAnsi="Garamond" w:cs="Times New Roman"/>
        </w:rPr>
        <w:t>The postal exception’s text shows that Congress did not intend to immunize intentional misconduct. Recall that the exception covers the “loss,” “miscarriage,” and “negligent transmission” of mail. § 2680(b). The majority . . . contends that these terms focus on “harms” rather than Government wrongdoing.</w:t>
      </w:r>
    </w:p>
    <w:p w14:paraId="1C03A32A" w14:textId="77777777" w:rsidR="0012090B" w:rsidRPr="00C05D6B" w:rsidRDefault="0012090B" w:rsidP="0012090B">
      <w:pPr>
        <w:ind w:firstLine="720"/>
        <w:rPr>
          <w:rFonts w:ascii="Garamond" w:hAnsi="Garamond" w:cs="Times New Roman"/>
        </w:rPr>
      </w:pPr>
    </w:p>
    <w:p w14:paraId="35B30A98" w14:textId="77777777" w:rsidR="0012090B" w:rsidRPr="00C05D6B" w:rsidRDefault="0012090B" w:rsidP="0012090B">
      <w:pPr>
        <w:ind w:firstLine="720"/>
        <w:rPr>
          <w:rFonts w:ascii="Garamond" w:hAnsi="Garamond" w:cs="Times New Roman"/>
        </w:rPr>
      </w:pPr>
      <w:r w:rsidRPr="00C05D6B">
        <w:rPr>
          <w:rFonts w:ascii="Garamond" w:hAnsi="Garamond" w:cs="Times New Roman"/>
        </w:rPr>
        <w:t>A focus on misconduct is consistent with most other FTCA exceptions, which generally are triggered by certain types of Government conduct, rather than the type of harm the plaintiff experiences. For instance, some exceptions directly cover different “act[s] or omission[s]” of Government employees, §§ 2680(a) (discretionary acts), (e) (administering §§ 1–31 of Title 50). Another addresses intentional actions by employees, capturing, for example, assault, battery, false imprisonment, and other intentional torts like them. § 2680(h). A different group immunizes the “activities” of a given Government instrumentality. §§ 2680(j), (l), (m), (n). Yet a different subset describes a specific type of Government action, such as the “assessment or collection of any tax or customs duty,” § 2680(c), the “imposition or establishment of a quarantine,” § 2680(f), and the “fiscal operations of the Treasury,” § 2680(</w:t>
      </w:r>
      <w:proofErr w:type="spellStart"/>
      <w:r w:rsidRPr="00C05D6B">
        <w:rPr>
          <w:rFonts w:ascii="Garamond" w:hAnsi="Garamond" w:cs="Times New Roman"/>
        </w:rPr>
        <w:t>i</w:t>
      </w:r>
      <w:proofErr w:type="spellEnd"/>
      <w:r w:rsidRPr="00C05D6B">
        <w:rPr>
          <w:rFonts w:ascii="Garamond" w:hAnsi="Garamond" w:cs="Times New Roman"/>
        </w:rPr>
        <w:t>). The focus of each is on the Government conduct. The same is necessarily true of the postal exception.</w:t>
      </w:r>
    </w:p>
    <w:p w14:paraId="01832B04" w14:textId="77777777" w:rsidR="0012090B" w:rsidRPr="00C05D6B" w:rsidRDefault="0012090B" w:rsidP="0012090B">
      <w:pPr>
        <w:ind w:firstLine="720"/>
        <w:rPr>
          <w:rFonts w:ascii="Garamond" w:hAnsi="Garamond" w:cs="Times New Roman"/>
        </w:rPr>
      </w:pPr>
    </w:p>
    <w:p w14:paraId="30AA44EF" w14:textId="77777777" w:rsidR="0012090B" w:rsidRPr="00C05D6B" w:rsidRDefault="0012090B" w:rsidP="0012090B">
      <w:pPr>
        <w:ind w:firstLine="720"/>
        <w:rPr>
          <w:rFonts w:ascii="Garamond" w:hAnsi="Garamond" w:cs="Times New Roman"/>
        </w:rPr>
      </w:pPr>
      <w:r w:rsidRPr="00C05D6B">
        <w:rPr>
          <w:rFonts w:ascii="Garamond" w:hAnsi="Garamond" w:cs="Times New Roman"/>
        </w:rPr>
        <w:t>The key question is thus as follows: What kind of misconduct falls within the “‘words and reason’” of the postal exception? All signs point to Congress leaving intentional misconduct outside of the exception’s scope.</w:t>
      </w:r>
    </w:p>
    <w:p w14:paraId="63B168DC" w14:textId="77777777" w:rsidR="0012090B" w:rsidRPr="00C05D6B" w:rsidRDefault="0012090B" w:rsidP="0012090B">
      <w:pPr>
        <w:rPr>
          <w:rFonts w:ascii="Garamond" w:hAnsi="Garamond" w:cs="Times New Roman"/>
        </w:rPr>
      </w:pPr>
    </w:p>
    <w:p w14:paraId="0F2344E4" w14:textId="10067B35" w:rsidR="0012090B" w:rsidRPr="00C05D6B" w:rsidRDefault="0012090B" w:rsidP="0012090B">
      <w:pPr>
        <w:rPr>
          <w:rFonts w:ascii="Garamond" w:hAnsi="Garamond" w:cs="Times New Roman"/>
        </w:rPr>
      </w:pPr>
      <w:r w:rsidRPr="00C05D6B">
        <w:rPr>
          <w:rFonts w:ascii="Garamond" w:hAnsi="Garamond" w:cs="Times New Roman"/>
        </w:rPr>
        <w:t>1</w:t>
      </w:r>
    </w:p>
    <w:p w14:paraId="41EAC264" w14:textId="77777777" w:rsidR="0012090B" w:rsidRPr="00C05D6B" w:rsidRDefault="0012090B" w:rsidP="000B38A4">
      <w:pPr>
        <w:rPr>
          <w:rFonts w:ascii="Garamond" w:hAnsi="Garamond" w:cs="Times New Roman"/>
        </w:rPr>
      </w:pPr>
    </w:p>
    <w:p w14:paraId="57169DEB"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Begin with “negligent transmission.” This term covers “negligence causing mail to be lost or to arrive late, in damaged condition, or at the wrong address.” </w:t>
      </w:r>
      <w:r w:rsidRPr="00C05D6B">
        <w:rPr>
          <w:rFonts w:ascii="Garamond" w:hAnsi="Garamond" w:cs="Times New Roman"/>
          <w:i/>
          <w:iCs/>
        </w:rPr>
        <w:t>Dolan</w:t>
      </w:r>
      <w:r w:rsidRPr="00C05D6B">
        <w:rPr>
          <w:rFonts w:ascii="Garamond" w:hAnsi="Garamond" w:cs="Times New Roman"/>
        </w:rPr>
        <w:t>. It goes without saying that this term therefore does not immunize intentional misconduct.</w:t>
      </w:r>
    </w:p>
    <w:p w14:paraId="6E5225BD" w14:textId="77777777" w:rsidR="0012090B" w:rsidRPr="00C05D6B" w:rsidRDefault="0012090B" w:rsidP="0012090B">
      <w:pPr>
        <w:ind w:firstLine="720"/>
        <w:rPr>
          <w:rFonts w:ascii="Garamond" w:hAnsi="Garamond" w:cs="Times New Roman"/>
        </w:rPr>
      </w:pPr>
    </w:p>
    <w:p w14:paraId="19B517F7" w14:textId="77777777" w:rsidR="0012090B" w:rsidRPr="00C05D6B" w:rsidRDefault="0012090B" w:rsidP="0012090B">
      <w:pPr>
        <w:ind w:firstLine="720"/>
        <w:rPr>
          <w:rFonts w:ascii="Garamond" w:hAnsi="Garamond" w:cs="Times New Roman"/>
        </w:rPr>
      </w:pPr>
      <w:r w:rsidRPr="00C05D6B">
        <w:rPr>
          <w:rFonts w:ascii="Garamond" w:hAnsi="Garamond" w:cs="Times New Roman"/>
        </w:rPr>
        <w:t>Beyond that basic insight, however, Congress's express inclusion of “negligent transmission” provides other important clues for deciphering statutory meaning about the scope of the postal exception. As the majority recognizes, if Congress had included all claims arising out of the “transmission” of mail in the postal exception, the term “would have encompassed claims that involved mail even though nothing went wrong with its transport or delivery.” To avoid that outcome, Congress needed to add a narrowing modifier to focus on when things go wrong.</w:t>
      </w:r>
    </w:p>
    <w:p w14:paraId="5B4D9AD0" w14:textId="77777777" w:rsidR="0012090B" w:rsidRPr="00C05D6B" w:rsidRDefault="0012090B" w:rsidP="0012090B">
      <w:pPr>
        <w:ind w:firstLine="720"/>
        <w:rPr>
          <w:rFonts w:ascii="Garamond" w:hAnsi="Garamond" w:cs="Times New Roman"/>
        </w:rPr>
      </w:pPr>
    </w:p>
    <w:p w14:paraId="53651F2B" w14:textId="77777777" w:rsidR="0012090B" w:rsidRPr="00C05D6B" w:rsidRDefault="0012090B" w:rsidP="0012090B">
      <w:pPr>
        <w:ind w:firstLine="720"/>
        <w:rPr>
          <w:rFonts w:ascii="Garamond" w:hAnsi="Garamond" w:cs="Times New Roman"/>
        </w:rPr>
      </w:pPr>
      <w:r w:rsidRPr="00C05D6B">
        <w:rPr>
          <w:rFonts w:ascii="Garamond" w:hAnsi="Garamond" w:cs="Times New Roman"/>
        </w:rPr>
        <w:t>Critically, Congress did not have to choose “negligent” as that modifier (or the only modifier). Congress could have, for example, modified “transmission” with both “negligent” and “wrongful.” Doing so would have avoided the problem the majority identifies while also clarifying that both classes of conduct fall within the exception’s scope. Yet Congress elected to immunize negligent conduct alone. Its choice to do so carries significance. It raises the natural inference that Congress intended for at least some intentional wrongdoing related to transmitting mail to fall outside the scope of the exception.</w:t>
      </w:r>
    </w:p>
    <w:p w14:paraId="6969968D"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 </w:t>
      </w:r>
    </w:p>
    <w:p w14:paraId="12C18893" w14:textId="77777777" w:rsidR="0012090B" w:rsidRPr="00C05D6B" w:rsidRDefault="0012090B" w:rsidP="0012090B">
      <w:pPr>
        <w:rPr>
          <w:rFonts w:ascii="Garamond" w:hAnsi="Garamond" w:cs="Times New Roman"/>
        </w:rPr>
      </w:pPr>
      <w:r w:rsidRPr="00C05D6B">
        <w:rPr>
          <w:rFonts w:ascii="Garamond" w:hAnsi="Garamond" w:cs="Times New Roman"/>
        </w:rPr>
        <w:t>2</w:t>
      </w:r>
    </w:p>
    <w:p w14:paraId="23E8F110" w14:textId="77777777" w:rsidR="0012090B" w:rsidRPr="00C05D6B" w:rsidRDefault="0012090B" w:rsidP="000B38A4">
      <w:pPr>
        <w:rPr>
          <w:rFonts w:ascii="Garamond" w:hAnsi="Garamond" w:cs="Times New Roman"/>
        </w:rPr>
      </w:pPr>
    </w:p>
    <w:p w14:paraId="25A131B7" w14:textId="77777777" w:rsidR="0012090B" w:rsidRPr="00C05D6B" w:rsidRDefault="0012090B" w:rsidP="0012090B">
      <w:pPr>
        <w:ind w:firstLine="720"/>
        <w:rPr>
          <w:rFonts w:ascii="Garamond" w:hAnsi="Garamond" w:cs="Times New Roman"/>
        </w:rPr>
      </w:pPr>
      <w:r w:rsidRPr="00C05D6B">
        <w:rPr>
          <w:rFonts w:ascii="Garamond" w:hAnsi="Garamond" w:cs="Times New Roman"/>
        </w:rPr>
        <w:lastRenderedPageBreak/>
        <w:t>Turn, then, to “loss.” As the Government acknowledged in its petition for certiorari, “loss” is ordinarily understood to capture unintentional conduct. For good reason: As the Fifth Circuit observed below, “no one intentionally loses something.” People lose their keys when they misplace them, not when they give them to their children. People lose their mail when it gets stuck behind a drawer, not when they intentionally throw it away. If someone said that they “lost” their car, no one would think it was stolen, only that the person forgot where they had parked it. The same is true when the Postal Service loses someone’s mail. The reason is an error, not deliberate wrongdoing.</w:t>
      </w:r>
    </w:p>
    <w:p w14:paraId="5C29A322" w14:textId="77777777" w:rsidR="0012090B" w:rsidRPr="00C05D6B" w:rsidRDefault="0012090B" w:rsidP="0012090B">
      <w:pPr>
        <w:ind w:firstLine="720"/>
        <w:rPr>
          <w:rFonts w:ascii="Garamond" w:hAnsi="Garamond" w:cs="Times New Roman"/>
        </w:rPr>
      </w:pPr>
    </w:p>
    <w:p w14:paraId="33FD09CE" w14:textId="77777777" w:rsidR="0012090B" w:rsidRPr="00C05D6B" w:rsidRDefault="0012090B" w:rsidP="0012090B">
      <w:pPr>
        <w:ind w:firstLine="720"/>
        <w:rPr>
          <w:rFonts w:ascii="Garamond" w:hAnsi="Garamond" w:cs="Times New Roman"/>
        </w:rPr>
      </w:pPr>
      <w:r w:rsidRPr="00C05D6B">
        <w:rPr>
          <w:rFonts w:ascii="Garamond" w:hAnsi="Garamond" w:cs="Times New Roman"/>
        </w:rPr>
        <w:t>To reach its contrary result, the majority defines “loss” as any “deprivation of mail,” which it concludes captures all situations where the individual does not receive mail, no matter the cause. To do so, however, the majority must shift away from a focus on harms that befall the mail to harms that befall Konan. The majority says that the postal exception encompasses three “kinds of harms, not kinds of actions by the postal workers.” The majority defines the first two terms, “miscarriage” and “negligent transmission,” to encompass “harms” to the mail. Yet, under the majority's interpretation, “loss” is an entirely distinct kind of “harm.” That is because the mail does not “suffer a deprivation” in the same way that mail fails to arrive (miscarriage) or mail is damaged due to negligence (negligent transmission). The only way “loss” could mean a “deprivation” is if it were a harm experienced by Konan, not by the mail. No such inconsistency, however, arises if (as explained above) all three terms are read to refer to the Government’s misconduct: the Postal Service’s loss, miscarriage, or negligent transmission of mail. When used in this sense, “loss” plainly and sensibly  denotes unintentional conduct, consistent with its ordinary meaning.</w:t>
      </w:r>
    </w:p>
    <w:p w14:paraId="69F98387" w14:textId="77777777" w:rsidR="0012090B" w:rsidRPr="00C05D6B" w:rsidRDefault="0012090B" w:rsidP="0012090B">
      <w:pPr>
        <w:ind w:firstLine="720"/>
        <w:rPr>
          <w:rFonts w:ascii="Garamond" w:hAnsi="Garamond" w:cs="Times New Roman"/>
        </w:rPr>
      </w:pPr>
    </w:p>
    <w:p w14:paraId="0D6DF2E4" w14:textId="77777777" w:rsidR="0012090B" w:rsidRPr="00C05D6B" w:rsidRDefault="0012090B" w:rsidP="0012090B">
      <w:pPr>
        <w:rPr>
          <w:rFonts w:ascii="Garamond" w:hAnsi="Garamond" w:cs="Times New Roman"/>
        </w:rPr>
      </w:pPr>
      <w:r w:rsidRPr="00C05D6B">
        <w:rPr>
          <w:rFonts w:ascii="Garamond" w:hAnsi="Garamond" w:cs="Times New Roman"/>
        </w:rPr>
        <w:t>3</w:t>
      </w:r>
    </w:p>
    <w:p w14:paraId="3B08AD25" w14:textId="77777777" w:rsidR="0012090B" w:rsidRPr="00C05D6B" w:rsidRDefault="0012090B" w:rsidP="000B38A4">
      <w:pPr>
        <w:rPr>
          <w:rFonts w:ascii="Garamond" w:hAnsi="Garamond" w:cs="Times New Roman"/>
        </w:rPr>
      </w:pPr>
    </w:p>
    <w:p w14:paraId="4E0BBA24" w14:textId="77777777" w:rsidR="0012090B" w:rsidRPr="00C05D6B" w:rsidRDefault="0012090B" w:rsidP="0012090B">
      <w:pPr>
        <w:ind w:firstLine="720"/>
        <w:rPr>
          <w:rFonts w:ascii="Garamond" w:hAnsi="Garamond" w:cs="Times New Roman"/>
        </w:rPr>
      </w:pPr>
      <w:r w:rsidRPr="00C05D6B">
        <w:rPr>
          <w:rFonts w:ascii="Garamond" w:hAnsi="Garamond" w:cs="Times New Roman"/>
        </w:rPr>
        <w:t>That brings us to “miscarriage.” The majority is correct that “miscarriage” covers misconduct by the Postal Service that causes mail to “</w:t>
      </w:r>
      <w:proofErr w:type="spellStart"/>
      <w:r w:rsidRPr="00C05D6B">
        <w:rPr>
          <w:rFonts w:ascii="Garamond" w:hAnsi="Garamond" w:cs="Times New Roman"/>
        </w:rPr>
        <w:t>fai</w:t>
      </w:r>
      <w:proofErr w:type="spellEnd"/>
      <w:r w:rsidRPr="00C05D6B">
        <w:rPr>
          <w:rFonts w:ascii="Garamond" w:hAnsi="Garamond" w:cs="Times New Roman"/>
        </w:rPr>
        <w:t>[l] to arrive properly,” but the majority is wrong to extend this meaning to cover situations that involve intentional misconduct.</w:t>
      </w:r>
    </w:p>
    <w:p w14:paraId="61D1D80E" w14:textId="77777777" w:rsidR="0012090B" w:rsidRPr="00C05D6B" w:rsidRDefault="0012090B" w:rsidP="0012090B">
      <w:pPr>
        <w:ind w:firstLine="720"/>
        <w:rPr>
          <w:rFonts w:ascii="Garamond" w:hAnsi="Garamond" w:cs="Times New Roman"/>
        </w:rPr>
      </w:pPr>
    </w:p>
    <w:p w14:paraId="32F0E274" w14:textId="77777777" w:rsidR="0012090B" w:rsidRPr="00C05D6B" w:rsidRDefault="0012090B" w:rsidP="0012090B">
      <w:pPr>
        <w:ind w:firstLine="720"/>
        <w:rPr>
          <w:rFonts w:ascii="Garamond" w:hAnsi="Garamond" w:cs="Times New Roman"/>
        </w:rPr>
      </w:pPr>
      <w:r w:rsidRPr="00C05D6B">
        <w:rPr>
          <w:rFonts w:ascii="Garamond" w:hAnsi="Garamond" w:cs="Times New Roman"/>
        </w:rPr>
        <w:t>As the majority recognizes, “miscarriage” commonly covers negligence or inadvertence. Indeed, there are many examples of “miscarriage” being used when mail “fails to arrive” due to negligence, including as illustrated by the Government's own cases. From here, as the majority sees it, mail that is intentionally not delivered, even for malicious reasons, also “failed to arrive properly,” so Congress must have intended to include intentional misconduct within the exception by using “miscarriage.” The majority, however, offers no persuasive evidence suggesting that “miscarriage” is commonly used in this way.</w:t>
      </w:r>
    </w:p>
    <w:p w14:paraId="712E7DE9" w14:textId="77777777" w:rsidR="0012090B" w:rsidRPr="00C05D6B" w:rsidRDefault="0012090B" w:rsidP="0012090B">
      <w:pPr>
        <w:ind w:firstLine="720"/>
        <w:rPr>
          <w:rFonts w:ascii="Garamond" w:hAnsi="Garamond" w:cs="Times New Roman"/>
        </w:rPr>
      </w:pPr>
    </w:p>
    <w:p w14:paraId="5E2C3AC7"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The contemporaneous Postal Laws and Regulations from before the FTCA was enacted—the “backdrop” against which “Congress enacted the postal exception”—further undermine the majority’s interpretation. For example, those regulations directed the Division of Stamps to make adjustments in “cases of loss, miscarriage, or detention of stamped supplies in transit.” Post Office Dept., Postal Law &amp; Regs. § 13.6 (1940 ed.). This suggests that when the stamped supplies were intentionally held back and not delivered (i.e., failed to arrive), “detention” was used instead of “miscarriage,” even though, on the majority's reading, “miscarriage” would have sufficed. The regulations also directed postal employees to “hold” packages dropped off for “forwarding” if they contained “destructive mail matter,” to “notify the sender” of the “detention of the package,” and to let them know it cannot be “transported by mail.” § 728. This is another use of “detention” in the context where, under the majority's view, “miscarriage” would have been appropriate because the </w:t>
      </w:r>
      <w:r w:rsidRPr="00C05D6B">
        <w:rPr>
          <w:rFonts w:ascii="Garamond" w:hAnsi="Garamond" w:cs="Times New Roman"/>
        </w:rPr>
        <w:lastRenderedPageBreak/>
        <w:t>mail “failed to arrive” at its destination. Yet, in each, the cause of the non-delivery was known, it was not inadvertence, and a different term was used.</w:t>
      </w:r>
    </w:p>
    <w:p w14:paraId="661B9829" w14:textId="77777777" w:rsidR="0012090B" w:rsidRPr="00C05D6B" w:rsidRDefault="0012090B" w:rsidP="0012090B">
      <w:pPr>
        <w:ind w:firstLine="720"/>
        <w:rPr>
          <w:rFonts w:ascii="Garamond" w:hAnsi="Garamond" w:cs="Times New Roman"/>
        </w:rPr>
      </w:pPr>
    </w:p>
    <w:p w14:paraId="61D7DECD" w14:textId="77777777" w:rsidR="0012090B" w:rsidRPr="00C05D6B" w:rsidRDefault="0012090B" w:rsidP="0012090B">
      <w:pPr>
        <w:ind w:firstLine="720"/>
        <w:rPr>
          <w:rFonts w:ascii="Garamond" w:hAnsi="Garamond" w:cs="Times New Roman"/>
        </w:rPr>
      </w:pPr>
      <w:r w:rsidRPr="00C05D6B">
        <w:rPr>
          <w:rFonts w:ascii="Garamond" w:hAnsi="Garamond" w:cs="Times New Roman"/>
        </w:rPr>
        <w:t>At most, the majority shows that certain dictionary definitions of “miscarriage” could conceivably capture intentionally withholding mail, or tearing up a letter into pieces, or lighting a package on fire—in all those situations, the mail “failed to arrive properly.” “That a definition is broad enough to encompass one sense of a word,” however, “does not establish that the word is ordinarily understood in that sense.” Taniguchi v. Kan Pacific Saipan, Ltd. (U.S. 2012). Here, neither the majority nor the Government has offered any meaningful evidence supporting the view that “miscarriage” was commonly used in situations when the mail failed to arrive properly due to intentional wrongdoing, and that, by including “miscarriage” within the postal exception, Congress intended to capture such wrongdoing.</w:t>
      </w:r>
    </w:p>
    <w:p w14:paraId="292DB234" w14:textId="77777777" w:rsidR="0012090B" w:rsidRPr="00C05D6B" w:rsidRDefault="0012090B" w:rsidP="0012090B">
      <w:pPr>
        <w:ind w:firstLine="720"/>
        <w:rPr>
          <w:rFonts w:ascii="Garamond" w:hAnsi="Garamond" w:cs="Times New Roman"/>
        </w:rPr>
      </w:pPr>
    </w:p>
    <w:p w14:paraId="318B37A3" w14:textId="77777777" w:rsidR="0012090B" w:rsidRPr="00C05D6B" w:rsidRDefault="0012090B" w:rsidP="0012090B">
      <w:pPr>
        <w:rPr>
          <w:rFonts w:ascii="Garamond" w:hAnsi="Garamond" w:cs="Times New Roman"/>
        </w:rPr>
      </w:pPr>
      <w:r w:rsidRPr="00C05D6B">
        <w:rPr>
          <w:rFonts w:ascii="Garamond" w:hAnsi="Garamond" w:cs="Times New Roman"/>
        </w:rPr>
        <w:t>B</w:t>
      </w:r>
    </w:p>
    <w:p w14:paraId="0928419E" w14:textId="77777777" w:rsidR="0012090B" w:rsidRPr="00C05D6B" w:rsidRDefault="0012090B" w:rsidP="000B38A4">
      <w:pPr>
        <w:rPr>
          <w:rFonts w:ascii="Garamond" w:hAnsi="Garamond" w:cs="Times New Roman"/>
        </w:rPr>
      </w:pPr>
    </w:p>
    <w:p w14:paraId="44E247E6"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Undeterred by this evidence, the majority gives the Postal Service the blanket exception Congress withheld. In its view, the exception immunizes the agency for all intentional and nonintentional actions in the delivery of mail (apart from auto accidents and slip and falls, as Dolan and </w:t>
      </w:r>
      <w:proofErr w:type="spellStart"/>
      <w:r w:rsidRPr="00C05D6B">
        <w:rPr>
          <w:rFonts w:ascii="Garamond" w:hAnsi="Garamond" w:cs="Times New Roman"/>
        </w:rPr>
        <w:t>Kosak</w:t>
      </w:r>
      <w:proofErr w:type="spellEnd"/>
      <w:r w:rsidRPr="00C05D6B">
        <w:rPr>
          <w:rFonts w:ascii="Garamond" w:hAnsi="Garamond" w:cs="Times New Roman"/>
        </w:rPr>
        <w:t xml:space="preserve"> require). Relying on “loss, miscarriage, or negligent transmission” is an odd way to cover this waterfront. If Congress had intended this outcome, why not follow the same approach that it used for other broad exceptions in the FTCA? The answer is that Congress intended no such thing. By expanding the “words and reason” of the postal exception beyond their “</w:t>
      </w:r>
      <w:proofErr w:type="spellStart"/>
      <w:r w:rsidRPr="00C05D6B">
        <w:rPr>
          <w:rFonts w:ascii="Garamond" w:hAnsi="Garamond" w:cs="Times New Roman"/>
        </w:rPr>
        <w:t>specifi</w:t>
      </w:r>
      <w:proofErr w:type="spellEnd"/>
      <w:r w:rsidRPr="00C05D6B">
        <w:rPr>
          <w:rFonts w:ascii="Garamond" w:hAnsi="Garamond" w:cs="Times New Roman"/>
        </w:rPr>
        <w:t xml:space="preserve">[c]” scope, </w:t>
      </w:r>
      <w:proofErr w:type="spellStart"/>
      <w:r w:rsidRPr="00C05D6B">
        <w:rPr>
          <w:rFonts w:ascii="Garamond" w:hAnsi="Garamond" w:cs="Times New Roman"/>
          <w:i/>
          <w:iCs/>
        </w:rPr>
        <w:t>Kosak</w:t>
      </w:r>
      <w:proofErr w:type="spellEnd"/>
      <w:r w:rsidRPr="00C05D6B">
        <w:rPr>
          <w:rFonts w:ascii="Garamond" w:hAnsi="Garamond" w:cs="Times New Roman"/>
        </w:rPr>
        <w:t xml:space="preserve">, the majority undermines the “‘sweeping’” waiver of immunity Congress adopted, </w:t>
      </w:r>
      <w:r w:rsidRPr="00C05D6B">
        <w:rPr>
          <w:rFonts w:ascii="Garamond" w:hAnsi="Garamond" w:cs="Times New Roman"/>
          <w:i/>
          <w:iCs/>
        </w:rPr>
        <w:t>Dolan</w:t>
      </w:r>
      <w:r w:rsidRPr="00C05D6B">
        <w:rPr>
          <w:rFonts w:ascii="Garamond" w:hAnsi="Garamond" w:cs="Times New Roman"/>
        </w:rPr>
        <w:t>.</w:t>
      </w:r>
    </w:p>
    <w:p w14:paraId="087F8AAB" w14:textId="77777777" w:rsidR="0012090B" w:rsidRPr="00C05D6B" w:rsidRDefault="0012090B" w:rsidP="0012090B">
      <w:pPr>
        <w:ind w:firstLine="720"/>
        <w:rPr>
          <w:rFonts w:ascii="Garamond" w:hAnsi="Garamond" w:cs="Times New Roman"/>
        </w:rPr>
      </w:pPr>
    </w:p>
    <w:p w14:paraId="37ED1AAC"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Contrary to the majority’s suggestion otherwise, adhering to the text Congress enacted would not flood the Government or courts with frivolous lawsuits. That is because the FTCA has additional safeguards that bar many claims premised on intentional misconduct. Liability for the United States will arise only in the rare situation in which the employee’s intentional conduct is tortious, falls within the scope of her employment, and falls outside of the due-care and discretionary-function exceptions. </w:t>
      </w:r>
      <w:r w:rsidRPr="00C05D6B">
        <w:rPr>
          <w:rFonts w:ascii="Garamond" w:hAnsi="Garamond" w:cs="Times New Roman"/>
          <w:i/>
          <w:iCs/>
        </w:rPr>
        <w:t>See</w:t>
      </w:r>
      <w:r w:rsidRPr="00C05D6B">
        <w:rPr>
          <w:rFonts w:ascii="Garamond" w:hAnsi="Garamond" w:cs="Times New Roman"/>
        </w:rPr>
        <w:t xml:space="preserve"> 28 U.S.C. § 2680(a). </w:t>
      </w:r>
    </w:p>
    <w:p w14:paraId="3140EC46" w14:textId="77777777" w:rsidR="0012090B" w:rsidRPr="00C05D6B" w:rsidRDefault="0012090B" w:rsidP="0012090B">
      <w:pPr>
        <w:ind w:firstLine="720"/>
        <w:rPr>
          <w:rFonts w:ascii="Garamond" w:hAnsi="Garamond" w:cs="Times New Roman"/>
        </w:rPr>
      </w:pPr>
    </w:p>
    <w:p w14:paraId="1E250357" w14:textId="01DE1C60" w:rsidR="0012090B" w:rsidRPr="00C05D6B" w:rsidRDefault="0012090B" w:rsidP="0012090B">
      <w:pPr>
        <w:ind w:firstLine="720"/>
        <w:rPr>
          <w:rFonts w:ascii="Garamond" w:hAnsi="Garamond" w:cs="Times New Roman"/>
        </w:rPr>
      </w:pPr>
      <w:r w:rsidRPr="00C05D6B">
        <w:rPr>
          <w:rFonts w:ascii="Garamond" w:hAnsi="Garamond" w:cs="Times New Roman"/>
        </w:rPr>
        <w:t>In addition, there are ordinary litigation tools to prevent any threat of abuses, from Rule 11 of the Federal Rules of Civil Procedure to the plausibility standards in Bell Atlantic Corp. v. Twombly (U.S. 200</w:t>
      </w:r>
      <w:r w:rsidR="00C13A58" w:rsidRPr="00C05D6B">
        <w:rPr>
          <w:rFonts w:ascii="Garamond" w:hAnsi="Garamond" w:cs="Times New Roman"/>
        </w:rPr>
        <w:t>7</w:t>
      </w:r>
      <w:r w:rsidRPr="00C05D6B">
        <w:rPr>
          <w:rFonts w:ascii="Garamond" w:hAnsi="Garamond" w:cs="Times New Roman"/>
        </w:rPr>
        <w:t xml:space="preserve">). These tools suffice in many other circumstances where the threats of disruption posed by large volumes of litigation are also high. Other exceptions, like the intentional-tort exception, § 2680(h), and the due-care exception, § 2680(a), turn on Government officials’ </w:t>
      </w:r>
      <w:proofErr w:type="spellStart"/>
      <w:r w:rsidRPr="00C05D6B">
        <w:rPr>
          <w:rFonts w:ascii="Garamond" w:hAnsi="Garamond" w:cs="Times New Roman"/>
        </w:rPr>
        <w:t>mens</w:t>
      </w:r>
      <w:proofErr w:type="spellEnd"/>
      <w:r w:rsidRPr="00C05D6B">
        <w:rPr>
          <w:rFonts w:ascii="Garamond" w:hAnsi="Garamond" w:cs="Times New Roman"/>
        </w:rPr>
        <w:t xml:space="preserve"> rea, and courts are well equipped to assess the plausibility of any given case based on the facts before them.</w:t>
      </w:r>
    </w:p>
    <w:p w14:paraId="43F9C421" w14:textId="77777777" w:rsidR="0012090B" w:rsidRPr="00C05D6B" w:rsidRDefault="0012090B" w:rsidP="0012090B">
      <w:pPr>
        <w:ind w:firstLine="720"/>
        <w:rPr>
          <w:rFonts w:ascii="Garamond" w:hAnsi="Garamond" w:cs="Times New Roman"/>
        </w:rPr>
      </w:pPr>
    </w:p>
    <w:p w14:paraId="0CFDE5B1" w14:textId="77777777" w:rsidR="0012090B" w:rsidRPr="00C05D6B" w:rsidRDefault="0012090B" w:rsidP="0012090B">
      <w:pPr>
        <w:ind w:firstLine="720"/>
        <w:rPr>
          <w:rFonts w:ascii="Garamond" w:hAnsi="Garamond" w:cs="Times New Roman"/>
        </w:rPr>
      </w:pPr>
      <w:r w:rsidRPr="00C05D6B">
        <w:rPr>
          <w:rFonts w:ascii="Garamond" w:hAnsi="Garamond" w:cs="Times New Roman"/>
        </w:rPr>
        <w:t>Finally, even if ruling for Konan today would mean more suits against the Government for mail-related intentional torts tomorrow, that would not provide this Court with authority to change the text Congress enacted. Ultimately, this regime is the consequence of Congress’s choice to have the exception turn on certain types of misconduct, rather than providing the Postal Service with a blanket exception. It is not the role of the Judiciary to supplant the choice Congress made because it would have chosen differently.</w:t>
      </w:r>
    </w:p>
    <w:p w14:paraId="03617CEA" w14:textId="77777777" w:rsidR="0012090B" w:rsidRPr="00C05D6B" w:rsidRDefault="0012090B" w:rsidP="0012090B">
      <w:pPr>
        <w:ind w:firstLine="720"/>
        <w:rPr>
          <w:rFonts w:ascii="Garamond" w:hAnsi="Garamond" w:cs="Times New Roman"/>
        </w:rPr>
      </w:pPr>
      <w:r w:rsidRPr="00C05D6B">
        <w:rPr>
          <w:rFonts w:ascii="Garamond" w:hAnsi="Garamond" w:cs="Times New Roman"/>
        </w:rPr>
        <w:t xml:space="preserve"> </w:t>
      </w:r>
    </w:p>
    <w:p w14:paraId="62DD28AF" w14:textId="77777777" w:rsidR="0012090B" w:rsidRPr="00C05D6B" w:rsidRDefault="0012090B" w:rsidP="000B38A4">
      <w:pPr>
        <w:ind w:firstLine="720"/>
        <w:rPr>
          <w:rFonts w:ascii="Garamond" w:hAnsi="Garamond" w:cs="Times New Roman"/>
        </w:rPr>
      </w:pPr>
    </w:p>
    <w:p w14:paraId="15936A58" w14:textId="77777777" w:rsidR="0012090B" w:rsidRPr="00C05D6B" w:rsidRDefault="0012090B" w:rsidP="000B38A4">
      <w:pPr>
        <w:rPr>
          <w:rFonts w:ascii="Garamond" w:hAnsi="Garamond" w:cs="Times New Roman"/>
        </w:rPr>
      </w:pPr>
    </w:p>
    <w:p w14:paraId="5B6D9EE0" w14:textId="3508BB57" w:rsidR="003B30E9" w:rsidRPr="00C05D6B" w:rsidRDefault="003B30E9" w:rsidP="000B38A4">
      <w:pPr>
        <w:ind w:left="720" w:firstLine="720"/>
        <w:rPr>
          <w:rFonts w:ascii="Garamond" w:hAnsi="Garamond" w:cs="Times New Roman"/>
          <w:b/>
          <w:bCs/>
        </w:rPr>
      </w:pPr>
      <w:r w:rsidRPr="00C05D6B">
        <w:rPr>
          <w:rFonts w:ascii="Garamond" w:hAnsi="Garamond" w:cs="Times New Roman"/>
          <w:b/>
          <w:bCs/>
        </w:rPr>
        <w:lastRenderedPageBreak/>
        <w:t>b.</w:t>
      </w:r>
      <w:r w:rsidRPr="00C05D6B">
        <w:rPr>
          <w:rFonts w:ascii="Garamond" w:hAnsi="Garamond" w:cs="Times New Roman"/>
          <w:b/>
          <w:bCs/>
        </w:rPr>
        <w:tab/>
        <w:t>The Tucker Act</w:t>
      </w:r>
    </w:p>
    <w:p w14:paraId="5D0CD6EA" w14:textId="77777777" w:rsidR="003125BF" w:rsidRPr="00C05D6B" w:rsidRDefault="003125BF" w:rsidP="007A34B9">
      <w:pPr>
        <w:rPr>
          <w:rFonts w:ascii="Garamond" w:hAnsi="Garamond" w:cs="Times New Roman"/>
        </w:rPr>
      </w:pPr>
    </w:p>
    <w:p w14:paraId="7205D26A" w14:textId="5EFF106C" w:rsidR="007A34B9" w:rsidRPr="00C05D6B" w:rsidRDefault="007A34B9" w:rsidP="007A34B9">
      <w:pPr>
        <w:rPr>
          <w:rFonts w:ascii="Garamond" w:hAnsi="Garamond" w:cs="Times New Roman"/>
          <w:b/>
          <w:bCs/>
        </w:rPr>
      </w:pPr>
      <w:r w:rsidRPr="00C05D6B">
        <w:rPr>
          <w:rFonts w:ascii="Garamond" w:hAnsi="Garamond" w:cs="Times New Roman"/>
          <w:b/>
          <w:bCs/>
        </w:rPr>
        <w:t xml:space="preserve">(CB, p. 882, after the </w:t>
      </w:r>
      <w:proofErr w:type="spellStart"/>
      <w:r w:rsidRPr="00C05D6B">
        <w:rPr>
          <w:rFonts w:ascii="Garamond" w:hAnsi="Garamond" w:cs="Times New Roman"/>
          <w:b/>
          <w:bCs/>
        </w:rPr>
        <w:t>dinkus</w:t>
      </w:r>
      <w:proofErr w:type="spellEnd"/>
      <w:r w:rsidRPr="00C05D6B">
        <w:rPr>
          <w:rFonts w:ascii="Garamond" w:hAnsi="Garamond" w:cs="Times New Roman"/>
          <w:b/>
          <w:bCs/>
        </w:rPr>
        <w:t>)</w:t>
      </w:r>
    </w:p>
    <w:p w14:paraId="501F25B1" w14:textId="77777777" w:rsidR="007A34B9" w:rsidRPr="00C05D6B" w:rsidRDefault="007A34B9" w:rsidP="007A34B9">
      <w:pPr>
        <w:rPr>
          <w:rFonts w:ascii="Garamond" w:hAnsi="Garamond" w:cs="Times New Roman"/>
        </w:rPr>
      </w:pPr>
    </w:p>
    <w:p w14:paraId="509DBDAD" w14:textId="4D905C07" w:rsidR="003125BF" w:rsidRPr="00C05D6B" w:rsidRDefault="003125BF" w:rsidP="003125BF">
      <w:pPr>
        <w:rPr>
          <w:rFonts w:ascii="Garamond" w:hAnsi="Garamond" w:cs="Times New Roman"/>
        </w:rPr>
      </w:pPr>
      <w:r w:rsidRPr="00C05D6B">
        <w:rPr>
          <w:rFonts w:ascii="Garamond" w:hAnsi="Garamond" w:cs="Times New Roman"/>
        </w:rPr>
        <w:tab/>
        <w:t>The Little Tucker Act</w:t>
      </w:r>
      <w:r w:rsidR="0019457E" w:rsidRPr="00C05D6B">
        <w:rPr>
          <w:rFonts w:ascii="Garamond" w:hAnsi="Garamond" w:cs="Times New Roman"/>
        </w:rPr>
        <w:fldChar w:fldCharType="begin"/>
      </w:r>
      <w:r w:rsidR="0019457E" w:rsidRPr="00C05D6B">
        <w:rPr>
          <w:rFonts w:ascii="Garamond" w:hAnsi="Garamond"/>
        </w:rPr>
        <w:instrText xml:space="preserve"> TA \l "</w:instrText>
      </w:r>
      <w:r w:rsidR="0019457E" w:rsidRPr="00C05D6B">
        <w:rPr>
          <w:rFonts w:ascii="Garamond" w:hAnsi="Garamond" w:cs="Times New Roman"/>
        </w:rPr>
        <w:instrText>Little Tucker Act</w:instrText>
      </w:r>
      <w:r w:rsidR="0019457E" w:rsidRPr="00C05D6B">
        <w:rPr>
          <w:rFonts w:ascii="Garamond" w:hAnsi="Garamond"/>
        </w:rPr>
        <w:instrText xml:space="preserve">" \s "Little Tucker Act" \c 2 </w:instrText>
      </w:r>
      <w:r w:rsidR="0019457E" w:rsidRPr="00C05D6B">
        <w:rPr>
          <w:rFonts w:ascii="Garamond" w:hAnsi="Garamond" w:cs="Times New Roman"/>
        </w:rPr>
        <w:fldChar w:fldCharType="end"/>
      </w:r>
      <w:r w:rsidRPr="00C05D6B">
        <w:rPr>
          <w:rFonts w:ascii="Garamond" w:hAnsi="Garamond" w:cs="Times New Roman"/>
        </w:rPr>
        <w:t xml:space="preserve"> waives the federal government’s sovereign immunity. In United States v. </w:t>
      </w:r>
      <w:proofErr w:type="spellStart"/>
      <w:r w:rsidRPr="00C05D6B">
        <w:rPr>
          <w:rFonts w:ascii="Garamond" w:hAnsi="Garamond" w:cs="Times New Roman"/>
        </w:rPr>
        <w:t>Bormes</w:t>
      </w:r>
      <w:proofErr w:type="spellEnd"/>
      <w:r w:rsidR="0019457E" w:rsidRPr="00C05D6B">
        <w:rPr>
          <w:rFonts w:ascii="Garamond" w:hAnsi="Garamond" w:cs="Times New Roman"/>
        </w:rPr>
        <w:fldChar w:fldCharType="begin"/>
      </w:r>
      <w:r w:rsidR="0019457E" w:rsidRPr="00C05D6B">
        <w:rPr>
          <w:rFonts w:ascii="Garamond" w:hAnsi="Garamond"/>
        </w:rPr>
        <w:instrText xml:space="preserve"> TA \l "</w:instrText>
      </w:r>
      <w:r w:rsidR="0019457E" w:rsidRPr="00C05D6B">
        <w:rPr>
          <w:rFonts w:ascii="Garamond" w:hAnsi="Garamond" w:cs="Times New Roman"/>
        </w:rPr>
        <w:instrText>United States v. Bormes</w:instrText>
      </w:r>
      <w:r w:rsidR="0019457E" w:rsidRPr="00C05D6B">
        <w:rPr>
          <w:rFonts w:ascii="Garamond" w:hAnsi="Garamond"/>
        </w:rPr>
        <w:instrText xml:space="preserve">" \s "United States v. Bormes" \c 1 </w:instrText>
      </w:r>
      <w:r w:rsidR="0019457E" w:rsidRPr="00C05D6B">
        <w:rPr>
          <w:rFonts w:ascii="Garamond" w:hAnsi="Garamond" w:cs="Times New Roman"/>
        </w:rPr>
        <w:fldChar w:fldCharType="end"/>
      </w:r>
      <w:r w:rsidRPr="00C05D6B">
        <w:rPr>
          <w:rFonts w:ascii="Garamond" w:hAnsi="Garamond" w:cs="Times New Roman"/>
        </w:rPr>
        <w:t xml:space="preserve"> (2012) plaintiffs attempted to rely on the Little Tucker Act in order to vindicate their rights under the Fair Credit Reporting Act</w:t>
      </w:r>
      <w:r w:rsidR="0019457E" w:rsidRPr="00C05D6B">
        <w:rPr>
          <w:rFonts w:ascii="Garamond" w:hAnsi="Garamond" w:cs="Times New Roman"/>
        </w:rPr>
        <w:fldChar w:fldCharType="begin"/>
      </w:r>
      <w:r w:rsidR="0019457E" w:rsidRPr="00C05D6B">
        <w:rPr>
          <w:rFonts w:ascii="Garamond" w:hAnsi="Garamond"/>
        </w:rPr>
        <w:instrText xml:space="preserve"> TA \l "</w:instrText>
      </w:r>
      <w:r w:rsidR="0019457E" w:rsidRPr="00C05D6B">
        <w:rPr>
          <w:rFonts w:ascii="Garamond" w:hAnsi="Garamond" w:cs="Times New Roman"/>
        </w:rPr>
        <w:instrText>Fair Credit Reporting Act</w:instrText>
      </w:r>
      <w:r w:rsidR="0019457E" w:rsidRPr="00C05D6B">
        <w:rPr>
          <w:rFonts w:ascii="Garamond" w:hAnsi="Garamond"/>
        </w:rPr>
        <w:instrText xml:space="preserve">" \s "Fair Credit Reporting Act" \c 2 </w:instrText>
      </w:r>
      <w:r w:rsidR="0019457E" w:rsidRPr="00C05D6B">
        <w:rPr>
          <w:rFonts w:ascii="Garamond" w:hAnsi="Garamond" w:cs="Times New Roman"/>
        </w:rPr>
        <w:fldChar w:fldCharType="end"/>
      </w:r>
      <w:r w:rsidRPr="00C05D6B">
        <w:rPr>
          <w:rFonts w:ascii="Garamond" w:hAnsi="Garamond" w:cs="Times New Roman"/>
        </w:rPr>
        <w:t xml:space="preserve">. The Court found that in light of the FCRA’s detailed remedial scheme, aggrieved litigants could not rely on the Little Tucker Act’s cause of action to vindicate the federal government’s violations of that law.  The practical impact of this holding was recently tempered, however, in Department of Agriculture v. </w:t>
      </w:r>
      <w:proofErr w:type="spellStart"/>
      <w:r w:rsidRPr="00C05D6B">
        <w:rPr>
          <w:rFonts w:ascii="Garamond" w:hAnsi="Garamond" w:cs="Times New Roman"/>
        </w:rPr>
        <w:t>Kirtz</w:t>
      </w:r>
      <w:proofErr w:type="spellEnd"/>
      <w:r w:rsidR="0019457E" w:rsidRPr="00C05D6B">
        <w:rPr>
          <w:rFonts w:ascii="Garamond" w:hAnsi="Garamond" w:cs="Times New Roman"/>
        </w:rPr>
        <w:fldChar w:fldCharType="begin"/>
      </w:r>
      <w:r w:rsidR="0019457E" w:rsidRPr="00C05D6B">
        <w:rPr>
          <w:rFonts w:ascii="Garamond" w:hAnsi="Garamond"/>
        </w:rPr>
        <w:instrText xml:space="preserve"> TA \l "</w:instrText>
      </w:r>
      <w:r w:rsidR="0019457E" w:rsidRPr="00C05D6B">
        <w:rPr>
          <w:rFonts w:ascii="Garamond" w:hAnsi="Garamond" w:cs="Times New Roman"/>
        </w:rPr>
        <w:instrText>Department of Agriculture v. Kirtz</w:instrText>
      </w:r>
      <w:r w:rsidR="0019457E" w:rsidRPr="00C05D6B">
        <w:rPr>
          <w:rFonts w:ascii="Garamond" w:hAnsi="Garamond"/>
        </w:rPr>
        <w:instrText xml:space="preserve">" \s "Department of Agriculture v. Kirtz" \c 1 </w:instrText>
      </w:r>
      <w:r w:rsidR="0019457E" w:rsidRPr="00C05D6B">
        <w:rPr>
          <w:rFonts w:ascii="Garamond" w:hAnsi="Garamond" w:cs="Times New Roman"/>
        </w:rPr>
        <w:fldChar w:fldCharType="end"/>
      </w:r>
      <w:r w:rsidRPr="00C05D6B">
        <w:rPr>
          <w:rFonts w:ascii="Garamond" w:hAnsi="Garamond" w:cs="Times New Roman"/>
        </w:rPr>
        <w:t xml:space="preserve"> (202</w:t>
      </w:r>
      <w:r w:rsidR="00581050" w:rsidRPr="00C05D6B">
        <w:rPr>
          <w:rFonts w:ascii="Garamond" w:hAnsi="Garamond" w:cs="Times New Roman"/>
        </w:rPr>
        <w:t>4</w:t>
      </w:r>
      <w:r w:rsidRPr="00C05D6B">
        <w:rPr>
          <w:rFonts w:ascii="Garamond" w:hAnsi="Garamond" w:cs="Times New Roman"/>
        </w:rPr>
        <w:t xml:space="preserve">). There, the Court held that the FCRA’s remedial scheme waives sovereign immunity, thereby allowing suits against the federal government.  </w:t>
      </w:r>
    </w:p>
    <w:p w14:paraId="1C0D9CA9" w14:textId="77777777" w:rsidR="007A34B9" w:rsidRPr="00C05D6B" w:rsidRDefault="007A34B9" w:rsidP="003125BF">
      <w:pPr>
        <w:rPr>
          <w:rFonts w:ascii="Garamond" w:hAnsi="Garamond" w:cs="Times New Roman"/>
        </w:rPr>
      </w:pPr>
    </w:p>
    <w:p w14:paraId="4E827A8D" w14:textId="36274F29" w:rsidR="003125BF" w:rsidRPr="00C05D6B" w:rsidRDefault="003125BF" w:rsidP="003125BF">
      <w:pPr>
        <w:rPr>
          <w:rFonts w:ascii="Garamond" w:eastAsia="Times New Roman" w:hAnsi="Garamond" w:cs="Times New Roman"/>
        </w:rPr>
      </w:pPr>
      <w:r w:rsidRPr="00C05D6B">
        <w:rPr>
          <w:rFonts w:ascii="Garamond" w:hAnsi="Garamond" w:cs="Times New Roman"/>
        </w:rPr>
        <w:tab/>
        <w:t xml:space="preserve">In </w:t>
      </w:r>
      <w:proofErr w:type="spellStart"/>
      <w:r w:rsidRPr="00C05D6B">
        <w:rPr>
          <w:rFonts w:ascii="Garamond" w:hAnsi="Garamond" w:cs="Times New Roman"/>
          <w:i/>
          <w:iCs/>
        </w:rPr>
        <w:t>Kirtz</w:t>
      </w:r>
      <w:proofErr w:type="spellEnd"/>
      <w:r w:rsidRPr="00C05D6B">
        <w:rPr>
          <w:rFonts w:ascii="Garamond" w:hAnsi="Garamond" w:cs="Times New Roman"/>
        </w:rPr>
        <w:t xml:space="preserve">, the Court articulated </w:t>
      </w:r>
      <w:r w:rsidRPr="00C05D6B">
        <w:rPr>
          <w:rFonts w:ascii="Garamond" w:eastAsia="Times New Roman" w:hAnsi="Garamond" w:cs="Times New Roman"/>
        </w:rPr>
        <w:t xml:space="preserve">“only two situations” in which a statute constitutes a clear waiver of federal sovereign immunity. “The first is when a statute says . . . that it is stripping immunity from a sovereign entity. The second ‘is when a statute creates a cause of action’ and explicitly ‘authorizes suit against a government on that claim.’” While laws “in the second category may not directly address sovereign immunity,” to dismiss such a claim “would negate a claim specifically authorized by Congress.” The </w:t>
      </w:r>
      <w:r w:rsidR="00DF27ED" w:rsidRPr="00C05D6B">
        <w:rPr>
          <w:rFonts w:ascii="Garamond" w:eastAsia="Times New Roman" w:hAnsi="Garamond" w:cs="Times New Roman"/>
        </w:rPr>
        <w:t xml:space="preserve">FCRA </w:t>
      </w:r>
      <w:r w:rsidRPr="00C05D6B">
        <w:rPr>
          <w:rFonts w:ascii="Garamond" w:eastAsia="Times New Roman" w:hAnsi="Garamond" w:cs="Times New Roman"/>
        </w:rPr>
        <w:t>falls into the second category by creating a cause of action against “[a]</w:t>
      </w:r>
      <w:proofErr w:type="spellStart"/>
      <w:r w:rsidRPr="00C05D6B">
        <w:rPr>
          <w:rFonts w:ascii="Garamond" w:eastAsia="Times New Roman" w:hAnsi="Garamond" w:cs="Times New Roman"/>
        </w:rPr>
        <w:t>ny</w:t>
      </w:r>
      <w:proofErr w:type="spellEnd"/>
      <w:r w:rsidRPr="00C05D6B">
        <w:rPr>
          <w:rFonts w:ascii="Garamond" w:eastAsia="Times New Roman" w:hAnsi="Garamond" w:cs="Times New Roman"/>
        </w:rPr>
        <w:t xml:space="preserve"> person” who violates the law, and by defining “person” to include “any . . . government . . .</w:t>
      </w:r>
      <w:r w:rsidR="00611A04" w:rsidRPr="00C05D6B">
        <w:rPr>
          <w:rFonts w:ascii="Garamond" w:eastAsia="Times New Roman" w:hAnsi="Garamond" w:cs="Times New Roman"/>
        </w:rPr>
        <w:t xml:space="preserve"> </w:t>
      </w:r>
      <w:r w:rsidRPr="00C05D6B">
        <w:rPr>
          <w:rFonts w:ascii="Garamond" w:eastAsia="Times New Roman" w:hAnsi="Garamond" w:cs="Times New Roman"/>
        </w:rPr>
        <w:t>agency.” 15 U.S.C. §</w:t>
      </w:r>
      <w:r w:rsidR="00503568" w:rsidRPr="00C05D6B">
        <w:rPr>
          <w:rFonts w:ascii="Garamond" w:eastAsia="Times New Roman" w:hAnsi="Garamond" w:cs="Times New Roman"/>
        </w:rPr>
        <w:t xml:space="preserve"> </w:t>
      </w:r>
      <w:r w:rsidRPr="00C05D6B">
        <w:rPr>
          <w:rFonts w:ascii="Garamond" w:eastAsia="Times New Roman" w:hAnsi="Garamond" w:cs="Times New Roman"/>
        </w:rPr>
        <w:t>1681a(b).</w:t>
      </w:r>
      <w:r w:rsidR="00CA35FE" w:rsidRPr="00C05D6B">
        <w:rPr>
          <w:rFonts w:ascii="Garamond" w:eastAsia="Times New Roman" w:hAnsi="Garamond" w:cs="Times New Roman"/>
        </w:rPr>
        <w:fldChar w:fldCharType="begin"/>
      </w:r>
      <w:r w:rsidR="00CA35FE" w:rsidRPr="00C05D6B">
        <w:rPr>
          <w:rFonts w:ascii="Garamond" w:hAnsi="Garamond"/>
        </w:rPr>
        <w:instrText xml:space="preserve"> TA \l "</w:instrText>
      </w:r>
      <w:r w:rsidR="00CA35FE" w:rsidRPr="00C05D6B">
        <w:rPr>
          <w:rFonts w:ascii="Garamond" w:eastAsia="Times New Roman" w:hAnsi="Garamond" w:cs="Times New Roman"/>
        </w:rPr>
        <w:instrText>15 U.S.C. §1681a(b).</w:instrText>
      </w:r>
      <w:r w:rsidR="00CA35FE" w:rsidRPr="00C05D6B">
        <w:rPr>
          <w:rFonts w:ascii="Garamond" w:hAnsi="Garamond"/>
        </w:rPr>
        <w:instrText xml:space="preserve">" \s "15 U.S.C. §1681a(b)." \c 2 </w:instrText>
      </w:r>
      <w:r w:rsidR="00CA35FE" w:rsidRPr="00C05D6B">
        <w:rPr>
          <w:rFonts w:ascii="Garamond" w:eastAsia="Times New Roman" w:hAnsi="Garamond" w:cs="Times New Roman"/>
        </w:rPr>
        <w:fldChar w:fldCharType="end"/>
      </w:r>
    </w:p>
    <w:p w14:paraId="6C4D00C5" w14:textId="77777777" w:rsidR="003B30E9" w:rsidRPr="00C05D6B" w:rsidRDefault="003B30E9" w:rsidP="003125BF">
      <w:pPr>
        <w:rPr>
          <w:rFonts w:ascii="Garamond" w:eastAsia="Times New Roman" w:hAnsi="Garamond" w:cs="Times New Roman"/>
        </w:rPr>
      </w:pPr>
    </w:p>
    <w:p w14:paraId="67CBD36D" w14:textId="46AF3B27" w:rsidR="003B30E9" w:rsidRPr="00C05D6B" w:rsidRDefault="003B30E9" w:rsidP="003125BF">
      <w:pPr>
        <w:rPr>
          <w:rFonts w:ascii="Garamond" w:eastAsia="Times New Roman" w:hAnsi="Garamond" w:cs="Times New Roman"/>
        </w:rPr>
      </w:pPr>
      <w:r w:rsidRPr="00C05D6B">
        <w:rPr>
          <w:rFonts w:ascii="Garamond" w:eastAsia="Times New Roman" w:hAnsi="Garamond" w:cs="Times New Roman"/>
        </w:rPr>
        <w:tab/>
      </w:r>
      <w:r w:rsidRPr="00C05D6B">
        <w:rPr>
          <w:rFonts w:ascii="Garamond" w:eastAsia="Times New Roman" w:hAnsi="Garamond" w:cs="Times New Roman"/>
        </w:rPr>
        <w:tab/>
      </w:r>
      <w:r w:rsidRPr="00C05D6B">
        <w:rPr>
          <w:rFonts w:ascii="Garamond" w:eastAsia="Times New Roman" w:hAnsi="Garamond" w:cs="Times New Roman"/>
          <w:b/>
          <w:bCs/>
        </w:rPr>
        <w:t>c.</w:t>
      </w:r>
      <w:r w:rsidRPr="00C05D6B">
        <w:rPr>
          <w:rFonts w:ascii="Garamond" w:eastAsia="Times New Roman" w:hAnsi="Garamond" w:cs="Times New Roman"/>
          <w:b/>
          <w:bCs/>
        </w:rPr>
        <w:tab/>
        <w:t>The Bankruptcy Code</w:t>
      </w:r>
    </w:p>
    <w:p w14:paraId="57921D50" w14:textId="77777777" w:rsidR="003B30E9" w:rsidRPr="00C05D6B" w:rsidRDefault="003B30E9" w:rsidP="003125BF">
      <w:pPr>
        <w:rPr>
          <w:rFonts w:ascii="Garamond" w:eastAsia="Times New Roman" w:hAnsi="Garamond" w:cs="Times New Roman"/>
        </w:rPr>
      </w:pPr>
    </w:p>
    <w:p w14:paraId="2DCBF142" w14:textId="23872DEE" w:rsidR="003B30E9" w:rsidRPr="00C05D6B" w:rsidRDefault="003B30E9" w:rsidP="003125BF">
      <w:pPr>
        <w:rPr>
          <w:rFonts w:ascii="Garamond" w:eastAsia="Times New Roman" w:hAnsi="Garamond" w:cs="Times New Roman"/>
          <w:b/>
          <w:bCs/>
        </w:rPr>
      </w:pPr>
      <w:r w:rsidRPr="00C05D6B">
        <w:rPr>
          <w:rFonts w:ascii="Garamond" w:eastAsia="Times New Roman" w:hAnsi="Garamond" w:cs="Times New Roman"/>
          <w:b/>
          <w:bCs/>
        </w:rPr>
        <w:t>(CB, p. 882, after material on the Tucker Act)</w:t>
      </w:r>
    </w:p>
    <w:p w14:paraId="7CA01581" w14:textId="77777777" w:rsidR="003B30E9" w:rsidRPr="00C05D6B" w:rsidRDefault="003B30E9" w:rsidP="003125BF">
      <w:pPr>
        <w:rPr>
          <w:rFonts w:ascii="Garamond" w:eastAsia="Times New Roman" w:hAnsi="Garamond" w:cs="Times New Roman"/>
          <w:b/>
          <w:bCs/>
        </w:rPr>
      </w:pPr>
    </w:p>
    <w:p w14:paraId="2D1D8758" w14:textId="68F83550" w:rsidR="00681FCA" w:rsidRPr="00C05D6B" w:rsidRDefault="003B30E9" w:rsidP="003125BF">
      <w:pPr>
        <w:rPr>
          <w:rFonts w:ascii="Garamond" w:eastAsia="Times New Roman" w:hAnsi="Garamond" w:cs="Times New Roman"/>
        </w:rPr>
      </w:pPr>
      <w:r w:rsidRPr="00C05D6B">
        <w:rPr>
          <w:rFonts w:ascii="Garamond" w:eastAsia="Times New Roman" w:hAnsi="Garamond" w:cs="Times New Roman"/>
          <w:b/>
          <w:bCs/>
        </w:rPr>
        <w:tab/>
      </w:r>
      <w:r w:rsidRPr="00C05D6B">
        <w:rPr>
          <w:rFonts w:ascii="Garamond" w:eastAsia="Times New Roman" w:hAnsi="Garamond" w:cs="Times New Roman"/>
        </w:rPr>
        <w:t>The Bankruptcy Code</w:t>
      </w:r>
      <w:r w:rsidR="00990F06" w:rsidRPr="00C05D6B">
        <w:rPr>
          <w:rFonts w:ascii="Garamond" w:eastAsia="Times New Roman" w:hAnsi="Garamond" w:cs="Times New Roman"/>
        </w:rPr>
        <w:fldChar w:fldCharType="begin"/>
      </w:r>
      <w:r w:rsidR="00990F06" w:rsidRPr="00C05D6B">
        <w:rPr>
          <w:rFonts w:ascii="Garamond" w:hAnsi="Garamond"/>
        </w:rPr>
        <w:instrText xml:space="preserve"> TA \s "Bankruptcy Code" </w:instrText>
      </w:r>
      <w:r w:rsidR="00990F06" w:rsidRPr="00C05D6B">
        <w:rPr>
          <w:rFonts w:ascii="Garamond" w:eastAsia="Times New Roman" w:hAnsi="Garamond" w:cs="Times New Roman"/>
        </w:rPr>
        <w:fldChar w:fldCharType="end"/>
      </w:r>
      <w:r w:rsidRPr="00C05D6B">
        <w:rPr>
          <w:rFonts w:ascii="Garamond" w:eastAsia="Times New Roman" w:hAnsi="Garamond" w:cs="Times New Roman"/>
        </w:rPr>
        <w:t xml:space="preserve"> abrogates the federal government’s sovereign immunity. Section 106(a)(1) provides that “sovereign immunity is abrogated as to a governmental unit to the extent set forth in this section with respect to” specific Code provisions and defines “governmental unit” to include the “United States” and its “department[s], </w:t>
      </w:r>
      <w:proofErr w:type="spellStart"/>
      <w:r w:rsidRPr="00C05D6B">
        <w:rPr>
          <w:rFonts w:ascii="Garamond" w:eastAsia="Times New Roman" w:hAnsi="Garamond" w:cs="Times New Roman"/>
        </w:rPr>
        <w:t>agenc</w:t>
      </w:r>
      <w:proofErr w:type="spellEnd"/>
      <w:r w:rsidRPr="00C05D6B">
        <w:rPr>
          <w:rFonts w:ascii="Garamond" w:eastAsia="Times New Roman" w:hAnsi="Garamond" w:cs="Times New Roman"/>
        </w:rPr>
        <w:t>[</w:t>
      </w:r>
      <w:proofErr w:type="spellStart"/>
      <w:r w:rsidRPr="00C05D6B">
        <w:rPr>
          <w:rFonts w:ascii="Garamond" w:eastAsia="Times New Roman" w:hAnsi="Garamond" w:cs="Times New Roman"/>
        </w:rPr>
        <w:t>ies</w:t>
      </w:r>
      <w:proofErr w:type="spellEnd"/>
      <w:r w:rsidRPr="00C05D6B">
        <w:rPr>
          <w:rFonts w:ascii="Garamond" w:eastAsia="Times New Roman" w:hAnsi="Garamond" w:cs="Times New Roman"/>
        </w:rPr>
        <w:t xml:space="preserve">], [and] </w:t>
      </w:r>
      <w:proofErr w:type="spellStart"/>
      <w:r w:rsidRPr="00C05D6B">
        <w:rPr>
          <w:rFonts w:ascii="Garamond" w:eastAsia="Times New Roman" w:hAnsi="Garamond" w:cs="Times New Roman"/>
        </w:rPr>
        <w:t>instrumentalit</w:t>
      </w:r>
      <w:proofErr w:type="spellEnd"/>
      <w:r w:rsidRPr="00C05D6B">
        <w:rPr>
          <w:rFonts w:ascii="Garamond" w:eastAsia="Times New Roman" w:hAnsi="Garamond" w:cs="Times New Roman"/>
        </w:rPr>
        <w:t>[</w:t>
      </w:r>
      <w:proofErr w:type="spellStart"/>
      <w:r w:rsidRPr="00C05D6B">
        <w:rPr>
          <w:rFonts w:ascii="Garamond" w:eastAsia="Times New Roman" w:hAnsi="Garamond" w:cs="Times New Roman"/>
        </w:rPr>
        <w:t>ies</w:t>
      </w:r>
      <w:proofErr w:type="spellEnd"/>
      <w:r w:rsidRPr="00C05D6B">
        <w:rPr>
          <w:rFonts w:ascii="Garamond" w:eastAsia="Times New Roman" w:hAnsi="Garamond" w:cs="Times New Roman"/>
        </w:rPr>
        <w:t>].” In United States v. Miller</w:t>
      </w:r>
      <w:r w:rsidR="0019457E" w:rsidRPr="00C05D6B">
        <w:rPr>
          <w:rFonts w:ascii="Garamond" w:eastAsia="Times New Roman" w:hAnsi="Garamond" w:cs="Times New Roman"/>
        </w:rPr>
        <w:fldChar w:fldCharType="begin"/>
      </w:r>
      <w:r w:rsidR="0019457E" w:rsidRPr="00C05D6B">
        <w:rPr>
          <w:rFonts w:ascii="Garamond" w:hAnsi="Garamond"/>
        </w:rPr>
        <w:instrText xml:space="preserve"> TA \l "</w:instrText>
      </w:r>
      <w:r w:rsidR="0019457E" w:rsidRPr="00C05D6B">
        <w:rPr>
          <w:rFonts w:ascii="Garamond" w:eastAsia="Times New Roman" w:hAnsi="Garamond" w:cs="Times New Roman"/>
        </w:rPr>
        <w:instrText>United States v. Miller</w:instrText>
      </w:r>
      <w:r w:rsidR="0019457E" w:rsidRPr="00C05D6B">
        <w:rPr>
          <w:rFonts w:ascii="Garamond" w:hAnsi="Garamond"/>
        </w:rPr>
        <w:instrText xml:space="preserve">" \s "United States v. Miller" \c 1 </w:instrText>
      </w:r>
      <w:r w:rsidR="0019457E" w:rsidRPr="00C05D6B">
        <w:rPr>
          <w:rFonts w:ascii="Garamond" w:eastAsia="Times New Roman" w:hAnsi="Garamond" w:cs="Times New Roman"/>
        </w:rPr>
        <w:fldChar w:fldCharType="end"/>
      </w:r>
      <w:r w:rsidRPr="00C05D6B">
        <w:rPr>
          <w:rFonts w:ascii="Garamond" w:eastAsia="Times New Roman" w:hAnsi="Garamond" w:cs="Times New Roman"/>
        </w:rPr>
        <w:t xml:space="preserve"> (2025), the Court held that Section 106(a) did not authorize state-law claims against the United States in connection with a suit under Section 544(b) of the Code. </w:t>
      </w:r>
      <w:r w:rsidR="0069077A" w:rsidRPr="00C05D6B">
        <w:rPr>
          <w:rFonts w:ascii="Garamond" w:eastAsia="Times New Roman" w:hAnsi="Garamond" w:cs="Times New Roman"/>
        </w:rPr>
        <w:t xml:space="preserve">Section 544(b) creates a cause of action to allow a bankruptcy trustee to “avoid any transfer of an interest of the debtor . . . that is voidable under applicable law by a creditor holding an unsecured claim.” In </w:t>
      </w:r>
      <w:r w:rsidR="0069077A" w:rsidRPr="00C05D6B">
        <w:rPr>
          <w:rFonts w:ascii="Garamond" w:eastAsia="Times New Roman" w:hAnsi="Garamond" w:cs="Times New Roman"/>
          <w:i/>
          <w:iCs/>
        </w:rPr>
        <w:t>Miller</w:t>
      </w:r>
      <w:r w:rsidR="00990F06" w:rsidRPr="00C05D6B">
        <w:rPr>
          <w:rFonts w:ascii="Garamond" w:eastAsia="Times New Roman" w:hAnsi="Garamond" w:cs="Times New Roman"/>
        </w:rPr>
        <w:fldChar w:fldCharType="begin"/>
      </w:r>
      <w:r w:rsidR="00990F06" w:rsidRPr="00C05D6B">
        <w:rPr>
          <w:rFonts w:ascii="Garamond" w:hAnsi="Garamond"/>
        </w:rPr>
        <w:instrText xml:space="preserve"> TA \l "</w:instrText>
      </w:r>
      <w:r w:rsidR="00990F06" w:rsidRPr="00C05D6B">
        <w:rPr>
          <w:rFonts w:ascii="Garamond" w:eastAsia="Times New Roman" w:hAnsi="Garamond" w:cs="Times New Roman"/>
        </w:rPr>
        <w:instrText>United States v. Miller</w:instrText>
      </w:r>
      <w:r w:rsidR="00990F06" w:rsidRPr="00C05D6B">
        <w:rPr>
          <w:rFonts w:ascii="Garamond" w:hAnsi="Garamond"/>
        </w:rPr>
        <w:instrText xml:space="preserve">" \s "United States v. Miller" \c 1 </w:instrText>
      </w:r>
      <w:r w:rsidR="00990F06" w:rsidRPr="00C05D6B">
        <w:rPr>
          <w:rFonts w:ascii="Garamond" w:eastAsia="Times New Roman" w:hAnsi="Garamond" w:cs="Times New Roman"/>
        </w:rPr>
        <w:fldChar w:fldCharType="end"/>
      </w:r>
      <w:r w:rsidR="0069077A" w:rsidRPr="00C05D6B">
        <w:rPr>
          <w:rFonts w:ascii="Garamond" w:eastAsia="Times New Roman" w:hAnsi="Garamond" w:cs="Times New Roman"/>
        </w:rPr>
        <w:t xml:space="preserve">, the trustee sued under Section 544(b) and argued that Utah’s fraudulent-transfer statute was “applicable law” and that it operated in tandem with Section 544(b) to afford him the right to sue for an invalidation of some transfers. </w:t>
      </w:r>
      <w:r w:rsidRPr="00C05D6B">
        <w:rPr>
          <w:rFonts w:ascii="Garamond" w:eastAsia="Times New Roman" w:hAnsi="Garamond" w:cs="Times New Roman"/>
        </w:rPr>
        <w:t xml:space="preserve">Although Section 106(a) did waive sovereign immunity for Section 544(b) suits, </w:t>
      </w:r>
      <w:r w:rsidR="0069077A" w:rsidRPr="00C05D6B">
        <w:rPr>
          <w:rFonts w:ascii="Garamond" w:eastAsia="Times New Roman" w:hAnsi="Garamond" w:cs="Times New Roman"/>
        </w:rPr>
        <w:t xml:space="preserve">the Court held that it did not allow a trustee to rely upon state law causes of action as the “applicable law.” The problem, the Court reasoned, was that the trustee’s theory would alter the liabilities of the United States, which Section 106(a)(1) was not designed to do. Instead, Section 106(a)(1) was, like other sovereign immunity provisions, a “jurisdiction-creating provision,” not a “liability-creating provision.” In the Court’s view, the trustee was misreading Section 106(a)(1) to be a liability-creating provision that </w:t>
      </w:r>
      <w:r w:rsidR="00681FCA" w:rsidRPr="00C05D6B">
        <w:rPr>
          <w:rFonts w:ascii="Garamond" w:eastAsia="Times New Roman" w:hAnsi="Garamond" w:cs="Times New Roman"/>
        </w:rPr>
        <w:t xml:space="preserve">created a new liability of the federal government to a state law claim. </w:t>
      </w:r>
      <w:r w:rsidR="0069077A" w:rsidRPr="00C05D6B">
        <w:rPr>
          <w:rFonts w:ascii="Garamond" w:eastAsia="Times New Roman" w:hAnsi="Garamond" w:cs="Times New Roman"/>
        </w:rPr>
        <w:t xml:space="preserve">Justice Gorsuch dissented, arguing that the majority’s distinction did not make sense. In his view, the Court had confused the distinction between whether a plaintiff has a cause of action and whether the defendant has sovereign immunity. </w:t>
      </w:r>
      <w:r w:rsidR="00681FCA" w:rsidRPr="00C05D6B">
        <w:rPr>
          <w:rFonts w:ascii="Garamond" w:eastAsia="Times New Roman" w:hAnsi="Garamond" w:cs="Times New Roman"/>
        </w:rPr>
        <w:t xml:space="preserve">No one disputed that the plaintiff had a cause of action, and the only question was whether the United States could interpose sovereign immunity as a defense. In Justice Gorsuch’s view, Congress had decided to waive the sovereign immunity defense to the </w:t>
      </w:r>
      <w:r w:rsidR="00681FCA" w:rsidRPr="00C05D6B">
        <w:rPr>
          <w:rFonts w:ascii="Garamond" w:eastAsia="Times New Roman" w:hAnsi="Garamond" w:cs="Times New Roman"/>
        </w:rPr>
        <w:lastRenderedPageBreak/>
        <w:t>trustee’s cause of action. The majority stressed, however, the idea that waivers of sovereign immunity should be interpreted narrowly, with any ambiguities in the “language” of the statute construed in favor of the United States.</w:t>
      </w:r>
    </w:p>
    <w:p w14:paraId="7EA451DB" w14:textId="77777777" w:rsidR="003125BF" w:rsidRPr="00C05D6B" w:rsidRDefault="003125BF" w:rsidP="003125BF">
      <w:pPr>
        <w:rPr>
          <w:rFonts w:ascii="Garamond" w:hAnsi="Garamond" w:cs="Times New Roman"/>
        </w:rPr>
      </w:pPr>
    </w:p>
    <w:p w14:paraId="7DE24FAC" w14:textId="6B087713" w:rsidR="00C26B66" w:rsidRPr="00C05D6B" w:rsidRDefault="007A34B9" w:rsidP="00C26B66">
      <w:pPr>
        <w:rPr>
          <w:rFonts w:ascii="Garamond" w:hAnsi="Garamond" w:cs="Times New Roman"/>
          <w:b/>
          <w:bCs/>
          <w:i/>
          <w:iCs/>
        </w:rPr>
      </w:pPr>
      <w:r w:rsidRPr="00C05D6B">
        <w:rPr>
          <w:rFonts w:ascii="Garamond" w:hAnsi="Garamond" w:cs="Times New Roman"/>
          <w:b/>
          <w:bCs/>
          <w:i/>
          <w:iCs/>
        </w:rPr>
        <w:t>B.</w:t>
      </w:r>
      <w:r w:rsidRPr="00C05D6B">
        <w:rPr>
          <w:rFonts w:ascii="Garamond" w:hAnsi="Garamond" w:cs="Times New Roman"/>
          <w:b/>
          <w:bCs/>
          <w:i/>
          <w:iCs/>
        </w:rPr>
        <w:tab/>
        <w:t>Suits Against Federal Officers</w:t>
      </w:r>
    </w:p>
    <w:p w14:paraId="581C9482" w14:textId="77777777" w:rsidR="007A34B9" w:rsidRPr="00C05D6B" w:rsidRDefault="007A34B9" w:rsidP="00C26B66">
      <w:pPr>
        <w:rPr>
          <w:rFonts w:ascii="Garamond" w:hAnsi="Garamond" w:cs="Times New Roman"/>
        </w:rPr>
      </w:pPr>
    </w:p>
    <w:p w14:paraId="6E176C32" w14:textId="51796E8F" w:rsidR="00C26B66" w:rsidRPr="00C05D6B" w:rsidRDefault="007A34B9" w:rsidP="007A34B9">
      <w:pPr>
        <w:ind w:firstLine="720"/>
        <w:rPr>
          <w:rFonts w:ascii="Garamond" w:hAnsi="Garamond" w:cs="Times New Roman"/>
          <w:b/>
          <w:bCs/>
        </w:rPr>
      </w:pPr>
      <w:r w:rsidRPr="00C05D6B">
        <w:rPr>
          <w:rFonts w:ascii="Garamond" w:hAnsi="Garamond" w:cs="Times New Roman"/>
          <w:b/>
          <w:bCs/>
        </w:rPr>
        <w:t>2.</w:t>
      </w:r>
      <w:r w:rsidRPr="00C05D6B">
        <w:rPr>
          <w:rFonts w:ascii="Garamond" w:hAnsi="Garamond" w:cs="Times New Roman"/>
          <w:b/>
          <w:bCs/>
        </w:rPr>
        <w:tab/>
      </w:r>
      <w:r w:rsidR="00C26B66" w:rsidRPr="00C05D6B">
        <w:rPr>
          <w:rFonts w:ascii="Garamond" w:hAnsi="Garamond" w:cs="Times New Roman"/>
          <w:b/>
          <w:bCs/>
        </w:rPr>
        <w:t>Implied Causes of Action</w:t>
      </w:r>
    </w:p>
    <w:p w14:paraId="3EAD74EF" w14:textId="77777777" w:rsidR="007A34B9" w:rsidRPr="00C05D6B" w:rsidRDefault="007A34B9" w:rsidP="00C26B66">
      <w:pPr>
        <w:rPr>
          <w:rFonts w:ascii="Garamond" w:hAnsi="Garamond" w:cs="Times New Roman"/>
        </w:rPr>
      </w:pPr>
    </w:p>
    <w:p w14:paraId="64F6C333" w14:textId="04EDCCA7" w:rsidR="00B96569" w:rsidRPr="00C05D6B" w:rsidRDefault="00B96569" w:rsidP="00B96569">
      <w:pPr>
        <w:ind w:left="720" w:firstLine="720"/>
        <w:rPr>
          <w:rFonts w:ascii="Garamond" w:hAnsi="Garamond" w:cs="Times New Roman"/>
          <w:b/>
          <w:bCs/>
        </w:rPr>
      </w:pPr>
      <w:r w:rsidRPr="00C05D6B">
        <w:rPr>
          <w:rFonts w:ascii="Garamond" w:hAnsi="Garamond" w:cs="Times New Roman"/>
          <w:b/>
          <w:bCs/>
        </w:rPr>
        <w:t>a.</w:t>
      </w:r>
      <w:r w:rsidRPr="00C05D6B">
        <w:rPr>
          <w:rFonts w:ascii="Garamond" w:hAnsi="Garamond" w:cs="Times New Roman"/>
          <w:b/>
          <w:bCs/>
        </w:rPr>
        <w:tab/>
      </w:r>
      <w:r w:rsidR="000E67A4" w:rsidRPr="00C05D6B">
        <w:rPr>
          <w:rFonts w:ascii="Garamond" w:hAnsi="Garamond" w:cs="Times New Roman"/>
          <w:b/>
          <w:bCs/>
        </w:rPr>
        <w:t>For Constitutional Claims</w:t>
      </w:r>
    </w:p>
    <w:p w14:paraId="545399E4" w14:textId="77777777" w:rsidR="00B96569" w:rsidRPr="00C05D6B" w:rsidRDefault="00B96569" w:rsidP="00B96569">
      <w:pPr>
        <w:rPr>
          <w:rFonts w:ascii="Garamond" w:hAnsi="Garamond"/>
        </w:rPr>
      </w:pPr>
    </w:p>
    <w:p w14:paraId="5639233A" w14:textId="132143B6" w:rsidR="00B96569" w:rsidRPr="00C05D6B" w:rsidRDefault="00B96569" w:rsidP="00B96569">
      <w:pPr>
        <w:rPr>
          <w:rFonts w:ascii="Garamond" w:hAnsi="Garamond"/>
          <w:b/>
          <w:bCs/>
        </w:rPr>
      </w:pPr>
      <w:r w:rsidRPr="00C05D6B">
        <w:rPr>
          <w:rFonts w:ascii="Garamond" w:hAnsi="Garamond"/>
          <w:b/>
          <w:bCs/>
        </w:rPr>
        <w:t xml:space="preserve">(CB, p. 924, before the </w:t>
      </w:r>
      <w:proofErr w:type="spellStart"/>
      <w:r w:rsidRPr="00C05D6B">
        <w:rPr>
          <w:rFonts w:ascii="Garamond" w:hAnsi="Garamond"/>
          <w:b/>
          <w:bCs/>
        </w:rPr>
        <w:t>dinkus</w:t>
      </w:r>
      <w:proofErr w:type="spellEnd"/>
      <w:r w:rsidRPr="00C05D6B">
        <w:rPr>
          <w:rFonts w:ascii="Garamond" w:hAnsi="Garamond"/>
          <w:b/>
          <w:bCs/>
        </w:rPr>
        <w:t>)</w:t>
      </w:r>
    </w:p>
    <w:p w14:paraId="0ED1D331" w14:textId="77777777" w:rsidR="00B96569" w:rsidRPr="00C05D6B" w:rsidRDefault="00B96569" w:rsidP="00B96569">
      <w:pPr>
        <w:rPr>
          <w:rFonts w:ascii="Garamond" w:hAnsi="Garamond"/>
          <w:b/>
          <w:bCs/>
        </w:rPr>
      </w:pPr>
    </w:p>
    <w:p w14:paraId="735F3790" w14:textId="3141774F" w:rsidR="00B96569" w:rsidRPr="00C05D6B" w:rsidRDefault="00B96569" w:rsidP="00B96569">
      <w:pPr>
        <w:rPr>
          <w:rFonts w:ascii="Garamond" w:hAnsi="Garamond"/>
        </w:rPr>
      </w:pPr>
      <w:r w:rsidRPr="00C05D6B">
        <w:rPr>
          <w:rFonts w:ascii="Garamond" w:hAnsi="Garamond"/>
        </w:rPr>
        <w:tab/>
        <w:t xml:space="preserve">The Court made short work of a </w:t>
      </w:r>
      <w:r w:rsidRPr="00C05D6B">
        <w:rPr>
          <w:rFonts w:ascii="Garamond" w:hAnsi="Garamond"/>
          <w:i/>
          <w:iCs/>
        </w:rPr>
        <w:t xml:space="preserve">Bivens </w:t>
      </w:r>
      <w:r w:rsidRPr="00C05D6B">
        <w:rPr>
          <w:rFonts w:ascii="Garamond" w:hAnsi="Garamond"/>
        </w:rPr>
        <w:t xml:space="preserve">question with its per </w:t>
      </w:r>
      <w:proofErr w:type="spellStart"/>
      <w:r w:rsidRPr="00C05D6B">
        <w:rPr>
          <w:rFonts w:ascii="Garamond" w:hAnsi="Garamond"/>
        </w:rPr>
        <w:t>curiam</w:t>
      </w:r>
      <w:proofErr w:type="spellEnd"/>
      <w:r w:rsidRPr="00C05D6B">
        <w:rPr>
          <w:rFonts w:ascii="Garamond" w:hAnsi="Garamond"/>
        </w:rPr>
        <w:t xml:space="preserve"> opinion in </w:t>
      </w:r>
      <w:proofErr w:type="spellStart"/>
      <w:r w:rsidRPr="00C05D6B">
        <w:rPr>
          <w:rFonts w:ascii="Garamond" w:hAnsi="Garamond"/>
        </w:rPr>
        <w:t>Goldey</w:t>
      </w:r>
      <w:proofErr w:type="spellEnd"/>
      <w:r w:rsidRPr="00C05D6B">
        <w:rPr>
          <w:rFonts w:ascii="Garamond" w:hAnsi="Garamond"/>
        </w:rPr>
        <w:t xml:space="preserve"> v. Fields</w:t>
      </w:r>
      <w:r w:rsidR="0019457E" w:rsidRPr="00C05D6B">
        <w:rPr>
          <w:rFonts w:ascii="Garamond" w:hAnsi="Garamond"/>
        </w:rPr>
        <w:fldChar w:fldCharType="begin"/>
      </w:r>
      <w:r w:rsidR="0019457E" w:rsidRPr="00C05D6B">
        <w:rPr>
          <w:rFonts w:ascii="Garamond" w:hAnsi="Garamond"/>
        </w:rPr>
        <w:instrText xml:space="preserve"> TA \l "Goldey v. Fields" \s "Goldey v. Fields" \c 1 </w:instrText>
      </w:r>
      <w:r w:rsidR="0019457E" w:rsidRPr="00C05D6B">
        <w:rPr>
          <w:rFonts w:ascii="Garamond" w:hAnsi="Garamond"/>
        </w:rPr>
        <w:fldChar w:fldCharType="end"/>
      </w:r>
      <w:r w:rsidRPr="00C05D6B">
        <w:rPr>
          <w:rFonts w:ascii="Garamond" w:hAnsi="Garamond"/>
        </w:rPr>
        <w:t xml:space="preserve"> (2025), which held that a federal inmate did not have a </w:t>
      </w:r>
      <w:r w:rsidRPr="00C05D6B">
        <w:rPr>
          <w:rFonts w:ascii="Garamond" w:hAnsi="Garamond"/>
          <w:i/>
          <w:iCs/>
        </w:rPr>
        <w:t xml:space="preserve">Bivens </w:t>
      </w:r>
      <w:r w:rsidRPr="00C05D6B">
        <w:rPr>
          <w:rFonts w:ascii="Garamond" w:hAnsi="Garamond"/>
        </w:rPr>
        <w:t xml:space="preserve">cause of action to bring an Eighth Amendment excessive-force claim. The per </w:t>
      </w:r>
      <w:proofErr w:type="spellStart"/>
      <w:r w:rsidRPr="00C05D6B">
        <w:rPr>
          <w:rFonts w:ascii="Garamond" w:hAnsi="Garamond"/>
        </w:rPr>
        <w:t>curiam</w:t>
      </w:r>
      <w:proofErr w:type="spellEnd"/>
      <w:r w:rsidRPr="00C05D6B">
        <w:rPr>
          <w:rFonts w:ascii="Garamond" w:hAnsi="Garamond"/>
        </w:rPr>
        <w:t xml:space="preserve"> opinion stressed that “[f]or the past 45 years, this Court has consistently declined to extend </w:t>
      </w:r>
      <w:r w:rsidRPr="00C05D6B">
        <w:rPr>
          <w:rFonts w:ascii="Garamond" w:hAnsi="Garamond"/>
          <w:i/>
          <w:iCs/>
        </w:rPr>
        <w:t xml:space="preserve">Bivens </w:t>
      </w:r>
      <w:r w:rsidRPr="00C05D6B">
        <w:rPr>
          <w:rFonts w:ascii="Garamond" w:hAnsi="Garamond"/>
        </w:rPr>
        <w:t>to new contexts</w:t>
      </w:r>
      <w:r w:rsidR="000E67A4" w:rsidRPr="00C05D6B">
        <w:rPr>
          <w:rFonts w:ascii="Garamond" w:hAnsi="Garamond"/>
        </w:rPr>
        <w:t>.</w:t>
      </w:r>
      <w:r w:rsidRPr="00C05D6B">
        <w:rPr>
          <w:rFonts w:ascii="Garamond" w:hAnsi="Garamond"/>
        </w:rPr>
        <w:t xml:space="preserve">” </w:t>
      </w:r>
      <w:r w:rsidR="003B30E9" w:rsidRPr="00C05D6B">
        <w:rPr>
          <w:rFonts w:ascii="Garamond" w:hAnsi="Garamond"/>
        </w:rPr>
        <w:t xml:space="preserve">The Court apparently agreed with the district court’s conclusion that the case was a new context because the Court had never implied a </w:t>
      </w:r>
      <w:r w:rsidR="003B30E9" w:rsidRPr="00C05D6B">
        <w:rPr>
          <w:rFonts w:ascii="Garamond" w:hAnsi="Garamond"/>
          <w:i/>
          <w:iCs/>
        </w:rPr>
        <w:t xml:space="preserve">Bivens </w:t>
      </w:r>
      <w:r w:rsidR="003B30E9" w:rsidRPr="00C05D6B">
        <w:rPr>
          <w:rFonts w:ascii="Garamond" w:hAnsi="Garamond"/>
        </w:rPr>
        <w:t>remedy for Eighth Amendment excessive force claims. In this new context, a</w:t>
      </w:r>
      <w:r w:rsidRPr="00C05D6B">
        <w:rPr>
          <w:rFonts w:ascii="Garamond" w:hAnsi="Garamond"/>
        </w:rPr>
        <w:t xml:space="preserve">n implied </w:t>
      </w:r>
      <w:r w:rsidRPr="00C05D6B">
        <w:rPr>
          <w:rFonts w:ascii="Garamond" w:hAnsi="Garamond"/>
          <w:i/>
          <w:iCs/>
        </w:rPr>
        <w:t xml:space="preserve">Bivens </w:t>
      </w:r>
      <w:r w:rsidRPr="00C05D6B">
        <w:rPr>
          <w:rFonts w:ascii="Garamond" w:hAnsi="Garamond"/>
        </w:rPr>
        <w:t>remedy was inappropriate because Congress had legislated about prison condition litigation and had not expressly authorized suits for money damages</w:t>
      </w:r>
      <w:r w:rsidR="003B30E9" w:rsidRPr="00C05D6B">
        <w:rPr>
          <w:rFonts w:ascii="Garamond" w:hAnsi="Garamond"/>
        </w:rPr>
        <w:t xml:space="preserve">. Allowing such a suit would interfere with prison operations, which were “‘inordinately difficult.’” There were alternative mechanisms for prisoners to challenge prison conditions, which obviated the need for a </w:t>
      </w:r>
      <w:r w:rsidR="003B30E9" w:rsidRPr="00C05D6B">
        <w:rPr>
          <w:rFonts w:ascii="Garamond" w:hAnsi="Garamond"/>
          <w:i/>
          <w:iCs/>
        </w:rPr>
        <w:t xml:space="preserve">Bivens </w:t>
      </w:r>
      <w:r w:rsidR="003B30E9" w:rsidRPr="00C05D6B">
        <w:rPr>
          <w:rFonts w:ascii="Garamond" w:hAnsi="Garamond"/>
        </w:rPr>
        <w:t xml:space="preserve">remedy. </w:t>
      </w:r>
    </w:p>
    <w:p w14:paraId="45C92FF1" w14:textId="77777777" w:rsidR="00B96569" w:rsidRPr="00C05D6B" w:rsidRDefault="00B96569" w:rsidP="009B1076">
      <w:pPr>
        <w:rPr>
          <w:rFonts w:ascii="Garamond" w:hAnsi="Garamond"/>
        </w:rPr>
      </w:pPr>
    </w:p>
    <w:p w14:paraId="139EBDF7" w14:textId="11C245A7" w:rsidR="00C26B66" w:rsidRPr="00C05D6B" w:rsidRDefault="007A34B9" w:rsidP="007A34B9">
      <w:pPr>
        <w:ind w:left="720" w:firstLine="720"/>
        <w:rPr>
          <w:rFonts w:ascii="Garamond" w:hAnsi="Garamond" w:cs="Times New Roman"/>
          <w:b/>
          <w:bCs/>
        </w:rPr>
      </w:pPr>
      <w:r w:rsidRPr="00C05D6B">
        <w:rPr>
          <w:rFonts w:ascii="Garamond" w:hAnsi="Garamond" w:cs="Times New Roman"/>
          <w:b/>
          <w:bCs/>
        </w:rPr>
        <w:t>b.</w:t>
      </w:r>
      <w:r w:rsidRPr="00C05D6B">
        <w:rPr>
          <w:rFonts w:ascii="Garamond" w:hAnsi="Garamond" w:cs="Times New Roman"/>
          <w:b/>
          <w:bCs/>
        </w:rPr>
        <w:tab/>
      </w:r>
      <w:r w:rsidR="00C26B66" w:rsidRPr="00C05D6B">
        <w:rPr>
          <w:rFonts w:ascii="Garamond" w:hAnsi="Garamond" w:cs="Times New Roman"/>
          <w:b/>
          <w:bCs/>
        </w:rPr>
        <w:t>The Availability of Injunctive Relief to Enforce Federal Law</w:t>
      </w:r>
    </w:p>
    <w:p w14:paraId="4BEA73B0" w14:textId="77777777" w:rsidR="00C26B66" w:rsidRPr="00C05D6B" w:rsidRDefault="00C26B66" w:rsidP="00C26B66">
      <w:pPr>
        <w:pStyle w:val="NormalWeb"/>
        <w:spacing w:before="0" w:beforeAutospacing="0" w:after="0" w:afterAutospacing="0"/>
        <w:rPr>
          <w:rFonts w:ascii="Garamond" w:hAnsi="Garamond"/>
        </w:rPr>
      </w:pPr>
    </w:p>
    <w:p w14:paraId="7C65014C" w14:textId="451EB7AE" w:rsidR="00C26B66" w:rsidRPr="00C05D6B" w:rsidRDefault="00C26B66" w:rsidP="00C26B66">
      <w:pPr>
        <w:pStyle w:val="NormalWeb"/>
        <w:spacing w:before="0" w:beforeAutospacing="0" w:after="0" w:afterAutospacing="0"/>
        <w:rPr>
          <w:rFonts w:ascii="Garamond" w:hAnsi="Garamond"/>
          <w:b/>
          <w:bCs/>
        </w:rPr>
      </w:pPr>
      <w:r w:rsidRPr="00C05D6B">
        <w:rPr>
          <w:rFonts w:ascii="Garamond" w:hAnsi="Garamond"/>
          <w:b/>
          <w:bCs/>
        </w:rPr>
        <w:t xml:space="preserve">(CB, p. 927, after </w:t>
      </w:r>
      <w:r w:rsidR="00F9074C" w:rsidRPr="00C05D6B">
        <w:rPr>
          <w:rFonts w:ascii="Garamond" w:hAnsi="Garamond"/>
          <w:b/>
          <w:bCs/>
        </w:rPr>
        <w:t>final</w:t>
      </w:r>
      <w:r w:rsidRPr="00C05D6B">
        <w:rPr>
          <w:rFonts w:ascii="Garamond" w:hAnsi="Garamond"/>
          <w:b/>
          <w:bCs/>
        </w:rPr>
        <w:t xml:space="preserve"> paragraph)</w:t>
      </w:r>
    </w:p>
    <w:p w14:paraId="49EFC30F" w14:textId="77777777" w:rsidR="00C26B66" w:rsidRPr="00C05D6B" w:rsidRDefault="00C26B66" w:rsidP="00C26B66">
      <w:pPr>
        <w:pStyle w:val="NormalWeb"/>
        <w:spacing w:before="0" w:beforeAutospacing="0" w:after="0" w:afterAutospacing="0"/>
        <w:rPr>
          <w:rFonts w:ascii="Garamond" w:hAnsi="Garamond"/>
        </w:rPr>
      </w:pPr>
    </w:p>
    <w:p w14:paraId="0E1AF96F" w14:textId="77777777" w:rsidR="00C26B66" w:rsidRPr="00C05D6B" w:rsidRDefault="00C26B66" w:rsidP="00C26B66">
      <w:pPr>
        <w:pStyle w:val="NormalWeb"/>
        <w:spacing w:before="0" w:beforeAutospacing="0" w:after="0" w:afterAutospacing="0"/>
        <w:ind w:firstLine="720"/>
        <w:rPr>
          <w:rFonts w:ascii="Garamond" w:hAnsi="Garamond"/>
        </w:rPr>
      </w:pPr>
      <w:r w:rsidRPr="00C05D6B">
        <w:rPr>
          <w:rFonts w:ascii="Garamond" w:hAnsi="Garamond"/>
        </w:rPr>
        <w:t xml:space="preserve">Congress may also limit the authority of federal courts to issue injunctive relief against federal agencies by enacting a specific statutory review scheme and thus precluding ordinary federal question jurisdiction. The question is whether Congress intended the statutory review scheme to divest a court of ordinary federal question jurisdiction. </w:t>
      </w:r>
    </w:p>
    <w:p w14:paraId="3BDFC8C7" w14:textId="77777777" w:rsidR="00C26B66" w:rsidRPr="00C05D6B" w:rsidRDefault="00C26B66" w:rsidP="00C26B66">
      <w:pPr>
        <w:pStyle w:val="NormalWeb"/>
        <w:spacing w:before="0" w:beforeAutospacing="0" w:after="0" w:afterAutospacing="0"/>
        <w:ind w:firstLine="720"/>
        <w:rPr>
          <w:rFonts w:ascii="Garamond" w:hAnsi="Garamond"/>
        </w:rPr>
      </w:pPr>
    </w:p>
    <w:p w14:paraId="13264FA4" w14:textId="42511DA7" w:rsidR="00C26B66" w:rsidRPr="00C05D6B" w:rsidRDefault="00C26B66" w:rsidP="00C26B66">
      <w:pPr>
        <w:pStyle w:val="NormalWeb"/>
        <w:spacing w:before="0" w:beforeAutospacing="0" w:after="0" w:afterAutospacing="0"/>
        <w:ind w:firstLine="720"/>
        <w:rPr>
          <w:rFonts w:ascii="Garamond" w:hAnsi="Garamond"/>
        </w:rPr>
      </w:pPr>
      <w:r w:rsidRPr="00C05D6B">
        <w:rPr>
          <w:rFonts w:ascii="Garamond" w:hAnsi="Garamond"/>
        </w:rPr>
        <w:t>In Axon Enterprise, Inc. v. FTC</w:t>
      </w:r>
      <w:r w:rsidR="0019457E" w:rsidRPr="00C05D6B">
        <w:rPr>
          <w:rFonts w:ascii="Garamond" w:hAnsi="Garamond"/>
        </w:rPr>
        <w:fldChar w:fldCharType="begin"/>
      </w:r>
      <w:r w:rsidR="0019457E" w:rsidRPr="00C05D6B">
        <w:rPr>
          <w:rFonts w:ascii="Garamond" w:hAnsi="Garamond"/>
        </w:rPr>
        <w:instrText xml:space="preserve"> TA \l "Axon Enterprise, Inc. v. FTC" \s "Axon Enterprise, Inc. v. FTC" \c 1 </w:instrText>
      </w:r>
      <w:r w:rsidR="0019457E" w:rsidRPr="00C05D6B">
        <w:rPr>
          <w:rFonts w:ascii="Garamond" w:hAnsi="Garamond"/>
        </w:rPr>
        <w:fldChar w:fldCharType="end"/>
      </w:r>
      <w:r w:rsidR="007B5EE9" w:rsidRPr="00C05D6B">
        <w:rPr>
          <w:rFonts w:ascii="Garamond" w:hAnsi="Garamond"/>
        </w:rPr>
        <w:t xml:space="preserve"> (2023)</w:t>
      </w:r>
      <w:r w:rsidRPr="00C05D6B">
        <w:rPr>
          <w:rFonts w:ascii="Garamond" w:hAnsi="Garamond"/>
        </w:rPr>
        <w:t>, the Court held that the exclusive review provision of the Securities Exchange Act</w:t>
      </w:r>
      <w:r w:rsidR="0019457E" w:rsidRPr="00C05D6B">
        <w:rPr>
          <w:rFonts w:ascii="Garamond" w:hAnsi="Garamond"/>
        </w:rPr>
        <w:fldChar w:fldCharType="begin"/>
      </w:r>
      <w:r w:rsidR="0019457E" w:rsidRPr="00C05D6B">
        <w:rPr>
          <w:rFonts w:ascii="Garamond" w:hAnsi="Garamond"/>
        </w:rPr>
        <w:instrText xml:space="preserve"> TA \l "Securities Exchange Act" \s "Securities Exchange Act" \c 2 </w:instrText>
      </w:r>
      <w:r w:rsidR="0019457E" w:rsidRPr="00C05D6B">
        <w:rPr>
          <w:rFonts w:ascii="Garamond" w:hAnsi="Garamond"/>
        </w:rPr>
        <w:fldChar w:fldCharType="end"/>
      </w:r>
      <w:r w:rsidRPr="00C05D6B">
        <w:rPr>
          <w:rFonts w:ascii="Garamond" w:hAnsi="Garamond"/>
        </w:rPr>
        <w:t xml:space="preserve"> and the Federal Trade Commission Act</w:t>
      </w:r>
      <w:r w:rsidR="0019457E" w:rsidRPr="00C05D6B">
        <w:rPr>
          <w:rFonts w:ascii="Garamond" w:hAnsi="Garamond"/>
        </w:rPr>
        <w:fldChar w:fldCharType="begin"/>
      </w:r>
      <w:r w:rsidR="0019457E" w:rsidRPr="00C05D6B">
        <w:rPr>
          <w:rFonts w:ascii="Garamond" w:hAnsi="Garamond"/>
        </w:rPr>
        <w:instrText xml:space="preserve"> TA \l "Federal Trade Commission Act" \s "Federal Trade Commission Act" \c 2 </w:instrText>
      </w:r>
      <w:r w:rsidR="0019457E" w:rsidRPr="00C05D6B">
        <w:rPr>
          <w:rFonts w:ascii="Garamond" w:hAnsi="Garamond"/>
        </w:rPr>
        <w:fldChar w:fldCharType="end"/>
      </w:r>
      <w:r w:rsidRPr="00C05D6B">
        <w:rPr>
          <w:rFonts w:ascii="Garamond" w:hAnsi="Garamond"/>
        </w:rPr>
        <w:t xml:space="preserve"> did not bar a federal district court from adjudicating constitutional separation of powers challeng</w:t>
      </w:r>
      <w:r w:rsidR="00611A04" w:rsidRPr="00C05D6B">
        <w:rPr>
          <w:rFonts w:ascii="Garamond" w:hAnsi="Garamond"/>
        </w:rPr>
        <w:t>e</w:t>
      </w:r>
      <w:r w:rsidRPr="00C05D6B">
        <w:rPr>
          <w:rFonts w:ascii="Garamond" w:hAnsi="Garamond"/>
        </w:rPr>
        <w:t xml:space="preserve">s to the structure of the SEC’s and the FTC’s systems for administrative adjudication. The challengers were facing administrative enforcement actions within the SEC and the FTC, respectively. </w:t>
      </w:r>
      <w:r w:rsidR="009C5DE3" w:rsidRPr="00C05D6B">
        <w:rPr>
          <w:rFonts w:ascii="Garamond" w:hAnsi="Garamond"/>
        </w:rPr>
        <w:t xml:space="preserve">They could have raised their constitutional arguments in the agency proceedings, from which they had a statutory right to appeal to a federal court of appeals. Instead, they sued the agencies in federal district court under the general federal question statute. </w:t>
      </w:r>
      <w:r w:rsidRPr="00C05D6B">
        <w:rPr>
          <w:rFonts w:ascii="Garamond" w:hAnsi="Garamond"/>
        </w:rPr>
        <w:t xml:space="preserve">On the merits, they argued that the agencies could not fairly proceed against them because the SEC’s use of administrative </w:t>
      </w:r>
      <w:r w:rsidR="002501B3" w:rsidRPr="00C05D6B">
        <w:rPr>
          <w:rFonts w:ascii="Garamond" w:hAnsi="Garamond"/>
        </w:rPr>
        <w:t xml:space="preserve">judges </w:t>
      </w:r>
      <w:r w:rsidRPr="00C05D6B">
        <w:rPr>
          <w:rFonts w:ascii="Garamond" w:hAnsi="Garamond"/>
        </w:rPr>
        <w:t xml:space="preserve">violated Article II and the FTC’s combination of prosecutorial and judicial functions was unconstitutional. The Court held that </w:t>
      </w:r>
      <w:r w:rsidR="009C5DE3" w:rsidRPr="00C05D6B">
        <w:rPr>
          <w:rFonts w:ascii="Garamond" w:hAnsi="Garamond"/>
        </w:rPr>
        <w:t xml:space="preserve">raising </w:t>
      </w:r>
      <w:r w:rsidRPr="00C05D6B">
        <w:rPr>
          <w:rFonts w:ascii="Garamond" w:hAnsi="Garamond"/>
        </w:rPr>
        <w:t xml:space="preserve">the constitutional challenges </w:t>
      </w:r>
      <w:r w:rsidR="009C5DE3" w:rsidRPr="00C05D6B">
        <w:rPr>
          <w:rFonts w:ascii="Garamond" w:hAnsi="Garamond"/>
        </w:rPr>
        <w:t xml:space="preserve">directly in federal court rather than in the agency enforcement actions </w:t>
      </w:r>
      <w:r w:rsidRPr="00C05D6B">
        <w:rPr>
          <w:rFonts w:ascii="Garamond" w:hAnsi="Garamond"/>
        </w:rPr>
        <w:t xml:space="preserve">was </w:t>
      </w:r>
      <w:r w:rsidR="009C5DE3" w:rsidRPr="00C05D6B">
        <w:rPr>
          <w:rFonts w:ascii="Garamond" w:hAnsi="Garamond"/>
        </w:rPr>
        <w:t xml:space="preserve">permissible </w:t>
      </w:r>
      <w:r w:rsidRPr="00C05D6B">
        <w:rPr>
          <w:rFonts w:ascii="Garamond" w:hAnsi="Garamond"/>
        </w:rPr>
        <w:t xml:space="preserve">notwithstanding the </w:t>
      </w:r>
      <w:r w:rsidR="009C5DE3" w:rsidRPr="00C05D6B">
        <w:rPr>
          <w:rFonts w:ascii="Garamond" w:hAnsi="Garamond"/>
        </w:rPr>
        <w:t xml:space="preserve">explicit </w:t>
      </w:r>
      <w:r w:rsidRPr="00C05D6B">
        <w:rPr>
          <w:rFonts w:ascii="Garamond" w:hAnsi="Garamond"/>
        </w:rPr>
        <w:t>statutory review schemes that Congress enacted for SEC and FTC proceedings. Because Congress had not explicitly stated that it intended to divest the federal courts of ordinary federal question jurisdiction, the issue was whether it had done so implicitly. Applying factors</w:t>
      </w:r>
      <w:r w:rsidR="009C5DE3" w:rsidRPr="00C05D6B">
        <w:rPr>
          <w:rFonts w:ascii="Garamond" w:hAnsi="Garamond"/>
        </w:rPr>
        <w:t xml:space="preserve"> articulated</w:t>
      </w:r>
      <w:r w:rsidRPr="00C05D6B">
        <w:rPr>
          <w:rFonts w:ascii="Garamond" w:hAnsi="Garamond"/>
        </w:rPr>
        <w:t xml:space="preserve"> in Thunder Basin Coal Co. v. Reich</w:t>
      </w:r>
      <w:r w:rsidR="0019457E" w:rsidRPr="00C05D6B">
        <w:rPr>
          <w:rFonts w:ascii="Garamond" w:hAnsi="Garamond"/>
        </w:rPr>
        <w:fldChar w:fldCharType="begin"/>
      </w:r>
      <w:r w:rsidR="0019457E" w:rsidRPr="00C05D6B">
        <w:rPr>
          <w:rFonts w:ascii="Garamond" w:hAnsi="Garamond"/>
        </w:rPr>
        <w:instrText xml:space="preserve"> TA \l "Thunder Basin Coal Co. v. Reich" \s "Thunder Basin Coal Co. v. Reich" \c 1 </w:instrText>
      </w:r>
      <w:r w:rsidR="0019457E" w:rsidRPr="00C05D6B">
        <w:rPr>
          <w:rFonts w:ascii="Garamond" w:hAnsi="Garamond"/>
        </w:rPr>
        <w:fldChar w:fldCharType="end"/>
      </w:r>
      <w:r w:rsidRPr="00C05D6B">
        <w:rPr>
          <w:rFonts w:ascii="Garamond" w:hAnsi="Garamond"/>
        </w:rPr>
        <w:t xml:space="preserve"> (1994), the Court held </w:t>
      </w:r>
      <w:r w:rsidRPr="00C05D6B">
        <w:rPr>
          <w:rFonts w:ascii="Garamond" w:hAnsi="Garamond"/>
        </w:rPr>
        <w:lastRenderedPageBreak/>
        <w:t>that Congress never intended for structural constitutional challenges to the SEC and FTC systems to be limited to the statutory review scheme. Those schemes would not provide an adequate remedy, the Court reasoned, because the challengers faced an immediate injury from the ongoing and allegedly unconstitutional enforcement action. If their constitutional arguments were meritorious, then the agency proceedings would be illegitimate and impose an unwarranted expense and burden upon them. Moreover, the constitutional challenges were collateral to the substance of the administrative charges against them and outside the agencies’ policy expertise. Agency adjudication would not adequately address the structural constitutional challenge or aid the court in resolving those challenges.</w:t>
      </w:r>
    </w:p>
    <w:p w14:paraId="6F564725" w14:textId="77777777" w:rsidR="00F9074C" w:rsidRPr="00C05D6B" w:rsidRDefault="00F9074C" w:rsidP="00F9074C">
      <w:pPr>
        <w:pStyle w:val="NormalWeb"/>
        <w:spacing w:before="0" w:beforeAutospacing="0" w:after="0" w:afterAutospacing="0"/>
        <w:rPr>
          <w:rFonts w:ascii="Garamond" w:hAnsi="Garamond"/>
        </w:rPr>
      </w:pPr>
    </w:p>
    <w:p w14:paraId="4861E19E" w14:textId="6E193446" w:rsidR="00F9074C" w:rsidRPr="00C05D6B" w:rsidRDefault="00F9074C" w:rsidP="00F9074C">
      <w:pPr>
        <w:pStyle w:val="NormalWeb"/>
        <w:spacing w:before="0" w:beforeAutospacing="0" w:after="0" w:afterAutospacing="0"/>
        <w:rPr>
          <w:rFonts w:ascii="Garamond" w:hAnsi="Garamond"/>
        </w:rPr>
      </w:pPr>
      <w:r w:rsidRPr="00C05D6B">
        <w:rPr>
          <w:rFonts w:ascii="Garamond" w:hAnsi="Garamond"/>
          <w:b/>
          <w:bCs/>
        </w:rPr>
        <w:t>(CB, p. 941, after final paragraph)</w:t>
      </w:r>
    </w:p>
    <w:p w14:paraId="47CBB0E3" w14:textId="77777777" w:rsidR="00C26B66" w:rsidRPr="00C05D6B" w:rsidRDefault="00C26B66" w:rsidP="003125BF">
      <w:pPr>
        <w:rPr>
          <w:rFonts w:ascii="Garamond" w:hAnsi="Garamond" w:cs="Times New Roman"/>
        </w:rPr>
      </w:pPr>
    </w:p>
    <w:p w14:paraId="1B2C8CF9" w14:textId="052C0A3E" w:rsidR="00C26B66" w:rsidRPr="00C05D6B" w:rsidRDefault="00F9074C" w:rsidP="003125BF">
      <w:pPr>
        <w:rPr>
          <w:rFonts w:ascii="Garamond" w:hAnsi="Garamond" w:cs="Times New Roman"/>
          <w:b/>
          <w:bCs/>
        </w:rPr>
      </w:pPr>
      <w:r w:rsidRPr="00C05D6B">
        <w:rPr>
          <w:rFonts w:ascii="Garamond" w:hAnsi="Garamond" w:cs="Times New Roman"/>
        </w:rPr>
        <w:tab/>
      </w:r>
      <w:r w:rsidRPr="00C05D6B">
        <w:rPr>
          <w:rFonts w:ascii="Garamond" w:hAnsi="Garamond" w:cs="Times New Roman"/>
          <w:b/>
          <w:bCs/>
        </w:rPr>
        <w:t>4.</w:t>
      </w:r>
      <w:r w:rsidRPr="00C05D6B">
        <w:rPr>
          <w:rFonts w:ascii="Garamond" w:hAnsi="Garamond" w:cs="Times New Roman"/>
          <w:b/>
          <w:bCs/>
        </w:rPr>
        <w:tab/>
        <w:t>Immunity from Criminal Liability</w:t>
      </w:r>
    </w:p>
    <w:p w14:paraId="401861A3" w14:textId="77777777" w:rsidR="00F9074C" w:rsidRPr="00C05D6B" w:rsidRDefault="00F9074C" w:rsidP="003125BF">
      <w:pPr>
        <w:rPr>
          <w:rFonts w:ascii="Garamond" w:hAnsi="Garamond" w:cs="Times New Roman"/>
          <w:b/>
          <w:bCs/>
        </w:rPr>
      </w:pPr>
    </w:p>
    <w:p w14:paraId="684E78B3" w14:textId="6D54A3F4" w:rsidR="00611A04" w:rsidRPr="00C05D6B" w:rsidRDefault="003125BF" w:rsidP="003125BF">
      <w:pPr>
        <w:rPr>
          <w:rFonts w:ascii="Garamond" w:hAnsi="Garamond" w:cs="Times New Roman"/>
        </w:rPr>
      </w:pPr>
      <w:r w:rsidRPr="00C05D6B">
        <w:rPr>
          <w:rFonts w:ascii="Garamond" w:hAnsi="Garamond" w:cs="Times New Roman"/>
        </w:rPr>
        <w:tab/>
        <w:t xml:space="preserve">In </w:t>
      </w:r>
      <w:r w:rsidRPr="00C05D6B">
        <w:rPr>
          <w:rFonts w:ascii="Garamond" w:hAnsi="Garamond" w:cs="Times New Roman"/>
          <w:i/>
          <w:iCs/>
        </w:rPr>
        <w:t>Nixon v. Fitzgerald</w:t>
      </w:r>
      <w:r w:rsidR="00DA5FE7" w:rsidRPr="00C05D6B">
        <w:rPr>
          <w:rFonts w:ascii="Garamond" w:hAnsi="Garamond" w:cs="Times New Roman"/>
          <w:i/>
          <w:iCs/>
        </w:rPr>
        <w:fldChar w:fldCharType="begin"/>
      </w:r>
      <w:r w:rsidR="00DA5FE7" w:rsidRPr="00C05D6B">
        <w:rPr>
          <w:rFonts w:ascii="Garamond" w:hAnsi="Garamond"/>
        </w:rPr>
        <w:instrText xml:space="preserve"> TA \l "</w:instrText>
      </w:r>
      <w:r w:rsidR="00DA5FE7" w:rsidRPr="00372F61">
        <w:rPr>
          <w:rFonts w:ascii="Garamond" w:hAnsi="Garamond" w:cs="Times New Roman"/>
        </w:rPr>
        <w:instrText>Nixon v. Fitzgerald</w:instrText>
      </w:r>
      <w:r w:rsidR="00DA5FE7" w:rsidRPr="00C05D6B">
        <w:rPr>
          <w:rFonts w:ascii="Garamond" w:hAnsi="Garamond"/>
        </w:rPr>
        <w:instrText xml:space="preserve">" \s "Nixon v. Fitzgerald" \c 1 </w:instrText>
      </w:r>
      <w:r w:rsidR="00DA5FE7" w:rsidRPr="00C05D6B">
        <w:rPr>
          <w:rFonts w:ascii="Garamond" w:hAnsi="Garamond" w:cs="Times New Roman"/>
          <w:i/>
          <w:iCs/>
        </w:rPr>
        <w:fldChar w:fldCharType="end"/>
      </w:r>
      <w:r w:rsidRPr="00C05D6B">
        <w:rPr>
          <w:rFonts w:ascii="Garamond" w:hAnsi="Garamond" w:cs="Times New Roman"/>
        </w:rPr>
        <w:t xml:space="preserve">, the Court held that presidents receive absolute immunity from civil monetary suits for their presidential acts. However, the case did not define what constitutes a presidential act or address the extent of presidential immunity from other federal judicial forms of accountability, including criminal charges. </w:t>
      </w:r>
    </w:p>
    <w:p w14:paraId="0C5A9DE6" w14:textId="77777777" w:rsidR="00611A04" w:rsidRPr="00C05D6B" w:rsidRDefault="00611A04" w:rsidP="003125BF">
      <w:pPr>
        <w:rPr>
          <w:rFonts w:ascii="Garamond" w:hAnsi="Garamond" w:cs="Times New Roman"/>
        </w:rPr>
      </w:pPr>
    </w:p>
    <w:p w14:paraId="7A98FA97" w14:textId="54FC8457" w:rsidR="003125BF" w:rsidRPr="00C05D6B" w:rsidRDefault="009C5DE3" w:rsidP="002E331E">
      <w:pPr>
        <w:ind w:firstLine="720"/>
        <w:rPr>
          <w:rFonts w:ascii="Garamond" w:hAnsi="Garamond" w:cs="Times New Roman"/>
        </w:rPr>
      </w:pPr>
      <w:r w:rsidRPr="00C05D6B">
        <w:rPr>
          <w:rFonts w:ascii="Garamond" w:hAnsi="Garamond" w:cs="Times New Roman"/>
        </w:rPr>
        <w:t>I</w:t>
      </w:r>
      <w:r w:rsidR="003125BF" w:rsidRPr="00C05D6B">
        <w:rPr>
          <w:rFonts w:ascii="Garamond" w:hAnsi="Garamond" w:cs="Times New Roman"/>
        </w:rPr>
        <w:t>n Trump v. United States</w:t>
      </w:r>
      <w:r w:rsidR="00DA5FE7" w:rsidRPr="00C05D6B">
        <w:rPr>
          <w:rFonts w:ascii="Garamond" w:hAnsi="Garamond" w:cs="Times New Roman"/>
        </w:rPr>
        <w:fldChar w:fldCharType="begin"/>
      </w:r>
      <w:r w:rsidR="00DA5FE7" w:rsidRPr="00C05D6B">
        <w:rPr>
          <w:rFonts w:ascii="Garamond" w:hAnsi="Garamond"/>
        </w:rPr>
        <w:instrText xml:space="preserve"> TA \l "</w:instrText>
      </w:r>
      <w:r w:rsidR="00DA5FE7" w:rsidRPr="00C05D6B">
        <w:rPr>
          <w:rFonts w:ascii="Garamond" w:hAnsi="Garamond" w:cs="Times New Roman"/>
        </w:rPr>
        <w:instrText>Trump v. United States</w:instrText>
      </w:r>
      <w:r w:rsidR="00DA5FE7" w:rsidRPr="00C05D6B">
        <w:rPr>
          <w:rFonts w:ascii="Garamond" w:hAnsi="Garamond"/>
        </w:rPr>
        <w:instrText xml:space="preserve">" \s "Trump v. United States" \c 1 </w:instrText>
      </w:r>
      <w:r w:rsidR="00DA5FE7" w:rsidRPr="00C05D6B">
        <w:rPr>
          <w:rFonts w:ascii="Garamond" w:hAnsi="Garamond" w:cs="Times New Roman"/>
        </w:rPr>
        <w:fldChar w:fldCharType="end"/>
      </w:r>
      <w:r w:rsidR="003125BF" w:rsidRPr="00C05D6B">
        <w:rPr>
          <w:rFonts w:ascii="Garamond" w:hAnsi="Garamond" w:cs="Times New Roman"/>
        </w:rPr>
        <w:t xml:space="preserve"> (2024), the Court broadly defin</w:t>
      </w:r>
      <w:r w:rsidRPr="00C05D6B">
        <w:rPr>
          <w:rFonts w:ascii="Garamond" w:hAnsi="Garamond" w:cs="Times New Roman"/>
        </w:rPr>
        <w:t>ed</w:t>
      </w:r>
      <w:r w:rsidR="003125BF" w:rsidRPr="00C05D6B">
        <w:rPr>
          <w:rFonts w:ascii="Garamond" w:hAnsi="Garamond" w:cs="Times New Roman"/>
        </w:rPr>
        <w:t xml:space="preserve"> presidential act</w:t>
      </w:r>
      <w:r w:rsidRPr="00C05D6B">
        <w:rPr>
          <w:rFonts w:ascii="Garamond" w:hAnsi="Garamond" w:cs="Times New Roman"/>
        </w:rPr>
        <w:t>s</w:t>
      </w:r>
      <w:r w:rsidR="003125BF" w:rsidRPr="00C05D6B">
        <w:rPr>
          <w:rFonts w:ascii="Garamond" w:hAnsi="Garamond" w:cs="Times New Roman"/>
        </w:rPr>
        <w:t xml:space="preserve"> for the purposes of criminal liability and </w:t>
      </w:r>
      <w:r w:rsidRPr="00C05D6B">
        <w:rPr>
          <w:rFonts w:ascii="Garamond" w:hAnsi="Garamond" w:cs="Times New Roman"/>
        </w:rPr>
        <w:t xml:space="preserve">granted </w:t>
      </w:r>
      <w:r w:rsidR="003125BF" w:rsidRPr="00C05D6B">
        <w:rPr>
          <w:rFonts w:ascii="Garamond" w:hAnsi="Garamond" w:cs="Times New Roman"/>
        </w:rPr>
        <w:t xml:space="preserve">presidents </w:t>
      </w:r>
      <w:r w:rsidRPr="00C05D6B">
        <w:rPr>
          <w:rFonts w:ascii="Garamond" w:hAnsi="Garamond" w:cs="Times New Roman"/>
        </w:rPr>
        <w:t xml:space="preserve">sweeping </w:t>
      </w:r>
      <w:r w:rsidR="003125BF" w:rsidRPr="00C05D6B">
        <w:rPr>
          <w:rFonts w:ascii="Garamond" w:hAnsi="Garamond" w:cs="Times New Roman"/>
        </w:rPr>
        <w:t>protection for such acts.</w:t>
      </w:r>
      <w:r w:rsidR="00611A04" w:rsidRPr="00C05D6B">
        <w:rPr>
          <w:rFonts w:ascii="Garamond" w:hAnsi="Garamond" w:cs="Times New Roman"/>
        </w:rPr>
        <w:t xml:space="preserve"> </w:t>
      </w:r>
      <w:r w:rsidR="003125BF" w:rsidRPr="00C05D6B">
        <w:rPr>
          <w:rFonts w:ascii="Garamond" w:hAnsi="Garamond" w:cs="Times New Roman"/>
        </w:rPr>
        <w:t>The case concerned a federal indictment against former President Trump, alleging that after losing the 2020 presidential election, he illegally attempted to block a peaceful transfer of power. The allegations included conspiring to manufacture fake slates of electors, attempting to persuade a state attorney general to “find” additional votes or face prosecution, and inciting a violent mob to halt an official congressional vote necessary for the election victor to take office. Following the grand jury’s indictment, a special prosecutor attempted to bring the case to trial. The D.C. Circuit Court of Appeals ruled that the former president lacked immunity for these acts. The Supreme Court vacated that ruling.</w:t>
      </w:r>
    </w:p>
    <w:p w14:paraId="75FCC7CA" w14:textId="77777777" w:rsidR="00F9074C" w:rsidRPr="00C05D6B" w:rsidRDefault="00F9074C" w:rsidP="003125BF">
      <w:pPr>
        <w:rPr>
          <w:rFonts w:ascii="Garamond" w:hAnsi="Garamond" w:cs="Times New Roman"/>
        </w:rPr>
      </w:pPr>
    </w:p>
    <w:p w14:paraId="59D26FD6" w14:textId="77777777" w:rsidR="003125BF" w:rsidRPr="00C05D6B" w:rsidRDefault="003125BF" w:rsidP="003125BF">
      <w:pPr>
        <w:rPr>
          <w:rFonts w:ascii="Garamond" w:hAnsi="Garamond" w:cs="Times New Roman"/>
        </w:rPr>
      </w:pPr>
      <w:r w:rsidRPr="00C05D6B">
        <w:rPr>
          <w:rFonts w:ascii="Garamond" w:hAnsi="Garamond" w:cs="Times New Roman"/>
        </w:rPr>
        <w:tab/>
        <w:t>The Court categorized presidential acts into three categories: core, official but not core, and unofficial. First, presidents possess absolute immunity for exercising their core constitutional powers, such as issuing pardons, vetoing legislation, recognizing ambassadors, and making appointments. According to the ruling, this immunity is necessary to ensure the effective functioning of the executive branch, allowing presidents to execute their constitutional duties without fear of legal repercussions.</w:t>
      </w:r>
    </w:p>
    <w:p w14:paraId="21CA38D3" w14:textId="77777777" w:rsidR="00F9074C" w:rsidRPr="00C05D6B" w:rsidRDefault="00F9074C" w:rsidP="003125BF">
      <w:pPr>
        <w:rPr>
          <w:rFonts w:ascii="Garamond" w:hAnsi="Garamond" w:cs="Times New Roman"/>
        </w:rPr>
      </w:pPr>
    </w:p>
    <w:p w14:paraId="79193DAE" w14:textId="79FDC13B" w:rsidR="003125BF" w:rsidRPr="00C05D6B" w:rsidRDefault="003125BF" w:rsidP="003125BF">
      <w:pPr>
        <w:rPr>
          <w:rFonts w:ascii="Garamond" w:hAnsi="Garamond" w:cs="Times New Roman"/>
        </w:rPr>
      </w:pPr>
      <w:r w:rsidRPr="00C05D6B">
        <w:rPr>
          <w:rFonts w:ascii="Garamond" w:hAnsi="Garamond" w:cs="Times New Roman"/>
        </w:rPr>
        <w:tab/>
        <w:t>Second, for acts outside this “core” category, the Court held that other official acts of the president are entitled to “presumptive” immunity. On the one hand, subjecting former presidents to criminal charges for their official acts might influence their decision-making while in office, the Court reasoned. A president, wary of potential criminal consequences post-tenure, might avoid certain actions in the public interest. On the other hand, the public interest in the “fair and effective” enforcement of criminal laws is also important. Weighing these interests, the Court concluded that presidents should generally be immune from criminal prosecution for official acts unless prosecutors can unequivocally demonstrate that such charges would not undermine the executive branch’s function</w:t>
      </w:r>
      <w:r w:rsidR="00E155AE" w:rsidRPr="00C05D6B">
        <w:rPr>
          <w:rFonts w:ascii="Garamond" w:hAnsi="Garamond" w:cs="Times New Roman"/>
        </w:rPr>
        <w:t>s</w:t>
      </w:r>
      <w:r w:rsidRPr="00C05D6B">
        <w:rPr>
          <w:rFonts w:ascii="Garamond" w:hAnsi="Garamond" w:cs="Times New Roman"/>
        </w:rPr>
        <w:t>.</w:t>
      </w:r>
    </w:p>
    <w:p w14:paraId="2C1067A8" w14:textId="77777777" w:rsidR="00F9074C" w:rsidRPr="00C05D6B" w:rsidRDefault="00F9074C" w:rsidP="003125BF">
      <w:pPr>
        <w:rPr>
          <w:rFonts w:ascii="Garamond" w:hAnsi="Garamond" w:cs="Times New Roman"/>
        </w:rPr>
      </w:pPr>
    </w:p>
    <w:p w14:paraId="58602D5A" w14:textId="77777777" w:rsidR="003125BF" w:rsidRPr="00C05D6B" w:rsidRDefault="003125BF" w:rsidP="003125BF">
      <w:pPr>
        <w:rPr>
          <w:rFonts w:ascii="Garamond" w:hAnsi="Garamond" w:cs="Times New Roman"/>
        </w:rPr>
      </w:pPr>
      <w:r w:rsidRPr="00C05D6B">
        <w:rPr>
          <w:rFonts w:ascii="Garamond" w:hAnsi="Garamond" w:cs="Times New Roman"/>
        </w:rPr>
        <w:lastRenderedPageBreak/>
        <w:tab/>
        <w:t>Third, presidents do not receive immunity for their unofficial acts. The Court acknowledged, however, that distinguishing between official and unofficial acts is itself a challenge:</w:t>
      </w:r>
    </w:p>
    <w:p w14:paraId="7CB8BA52" w14:textId="77777777" w:rsidR="003125BF" w:rsidRPr="00C05D6B" w:rsidRDefault="003125BF" w:rsidP="003125BF">
      <w:pPr>
        <w:rPr>
          <w:rFonts w:ascii="Garamond" w:hAnsi="Garamond" w:cs="Times New Roman"/>
        </w:rPr>
      </w:pPr>
      <w:r w:rsidRPr="00C05D6B">
        <w:rPr>
          <w:rFonts w:ascii="Garamond" w:hAnsi="Garamond" w:cs="Times New Roman"/>
        </w:rPr>
        <w:tab/>
      </w:r>
    </w:p>
    <w:p w14:paraId="55D0D9D1" w14:textId="1D14B0D6" w:rsidR="003125BF" w:rsidRPr="00C05D6B" w:rsidRDefault="003125BF" w:rsidP="003125BF">
      <w:pPr>
        <w:ind w:left="1440" w:right="1440"/>
        <w:rPr>
          <w:rFonts w:ascii="Garamond" w:hAnsi="Garamond" w:cs="Times New Roman"/>
        </w:rPr>
      </w:pPr>
      <w:r w:rsidRPr="00C05D6B">
        <w:rPr>
          <w:rFonts w:ascii="Garamond" w:hAnsi="Garamond" w:cs="Times New Roman"/>
        </w:rPr>
        <w:t>Distinguishing the President’s official actions from his unofficial ones can be difficult. When the President acts pursuant to “constitutional and statutory authority,” he takes official action to perform the functions of his office. Determining whether an action is covered by immunity thus begins with assessing the President</w:t>
      </w:r>
      <w:r w:rsidR="00503568" w:rsidRPr="00C05D6B">
        <w:rPr>
          <w:rFonts w:ascii="Garamond" w:hAnsi="Garamond" w:cs="Times New Roman"/>
        </w:rPr>
        <w:t>’</w:t>
      </w:r>
      <w:r w:rsidRPr="00C05D6B">
        <w:rPr>
          <w:rFonts w:ascii="Garamond" w:hAnsi="Garamond" w:cs="Times New Roman"/>
        </w:rPr>
        <w:t>s authority to take that action.</w:t>
      </w:r>
    </w:p>
    <w:p w14:paraId="484114D8" w14:textId="77777777" w:rsidR="003125BF" w:rsidRPr="00C05D6B" w:rsidRDefault="003125BF" w:rsidP="003125BF">
      <w:pPr>
        <w:ind w:left="1440" w:right="1440"/>
        <w:rPr>
          <w:rFonts w:ascii="Garamond" w:hAnsi="Garamond" w:cs="Times New Roman"/>
        </w:rPr>
      </w:pPr>
    </w:p>
    <w:p w14:paraId="03C98E38" w14:textId="3DD0CC85" w:rsidR="003125BF" w:rsidRPr="00C05D6B" w:rsidRDefault="003125BF" w:rsidP="003125BF">
      <w:pPr>
        <w:ind w:left="1440" w:right="1440"/>
        <w:rPr>
          <w:rFonts w:ascii="Garamond" w:hAnsi="Garamond" w:cs="Times New Roman"/>
        </w:rPr>
      </w:pPr>
      <w:r w:rsidRPr="00C05D6B">
        <w:rPr>
          <w:rFonts w:ascii="Garamond" w:hAnsi="Garamond" w:cs="Times New Roman"/>
        </w:rPr>
        <w:t>But the breadth of the President</w:t>
      </w:r>
      <w:r w:rsidR="00503568" w:rsidRPr="00C05D6B">
        <w:rPr>
          <w:rFonts w:ascii="Garamond" w:hAnsi="Garamond" w:cs="Times New Roman"/>
        </w:rPr>
        <w:t>’</w:t>
      </w:r>
      <w:r w:rsidRPr="00C05D6B">
        <w:rPr>
          <w:rFonts w:ascii="Garamond" w:hAnsi="Garamond" w:cs="Times New Roman"/>
        </w:rPr>
        <w:t xml:space="preserve">s “discretionary responsibilities” under the Constitution and laws of the United States “in a broad variety of areas, many of them highly sensitive,” frequently makes it “difficult to determine which of [his] innumerable ‘functions’ encompassed a particular action.” And some Presidential conduct—for example, speaking to and on behalf of the American people, see </w:t>
      </w:r>
      <w:r w:rsidRPr="00C05D6B">
        <w:rPr>
          <w:rFonts w:ascii="Garamond" w:hAnsi="Garamond" w:cs="Times New Roman"/>
          <w:i/>
          <w:iCs/>
        </w:rPr>
        <w:t>Trump v. Hawaii</w:t>
      </w:r>
      <w:r w:rsidRPr="00C05D6B">
        <w:rPr>
          <w:rFonts w:ascii="Garamond" w:hAnsi="Garamond" w:cs="Times New Roman"/>
        </w:rPr>
        <w:t xml:space="preserve"> (2018)—certainly can qualify as official even when not obviously connected to a particular constitutional or statutory provision. For those reasons, the immunity we have recognized extends to the “outer perimeter” of the President</w:t>
      </w:r>
      <w:r w:rsidR="00E155AE" w:rsidRPr="00C05D6B">
        <w:rPr>
          <w:rFonts w:ascii="Garamond" w:hAnsi="Garamond" w:cs="Times New Roman"/>
        </w:rPr>
        <w:t>’</w:t>
      </w:r>
      <w:r w:rsidRPr="00C05D6B">
        <w:rPr>
          <w:rFonts w:ascii="Garamond" w:hAnsi="Garamond" w:cs="Times New Roman"/>
        </w:rPr>
        <w:t xml:space="preserve">s official responsibilities, covering actions so long as they are not manifestly or palpably beyond his authority. </w:t>
      </w:r>
    </w:p>
    <w:p w14:paraId="6661B576" w14:textId="77777777" w:rsidR="003125BF" w:rsidRPr="00C05D6B" w:rsidRDefault="003125BF" w:rsidP="003125BF">
      <w:pPr>
        <w:ind w:left="1440" w:right="1440"/>
        <w:rPr>
          <w:rFonts w:ascii="Garamond" w:hAnsi="Garamond" w:cs="Times New Roman"/>
        </w:rPr>
      </w:pPr>
    </w:p>
    <w:p w14:paraId="4D7B55C5" w14:textId="1544D128" w:rsidR="003125BF" w:rsidRPr="00C05D6B" w:rsidRDefault="003125BF" w:rsidP="003125BF">
      <w:pPr>
        <w:ind w:left="1440" w:right="1440"/>
        <w:rPr>
          <w:rFonts w:ascii="Garamond" w:hAnsi="Garamond" w:cs="Times New Roman"/>
        </w:rPr>
      </w:pPr>
      <w:r w:rsidRPr="00C05D6B">
        <w:rPr>
          <w:rFonts w:ascii="Garamond" w:hAnsi="Garamond" w:cs="Times New Roman"/>
        </w:rPr>
        <w:t>In dividing official from unofficial conduct, courts may not inquire into the President</w:t>
      </w:r>
      <w:r w:rsidR="00611A04" w:rsidRPr="00C05D6B">
        <w:rPr>
          <w:rFonts w:ascii="Garamond" w:hAnsi="Garamond" w:cs="Times New Roman"/>
        </w:rPr>
        <w:t>’</w:t>
      </w:r>
      <w:r w:rsidRPr="00C05D6B">
        <w:rPr>
          <w:rFonts w:ascii="Garamond" w:hAnsi="Garamond" w:cs="Times New Roman"/>
        </w:rPr>
        <w:t>s motives. Such an inquiry would risk exposing even the most obvious instances of official conduct to judicial examination on the mere allegation of improper purpose, thereby intruding on the Article II interests that immunity seeks to protect. Indeed, “[</w:t>
      </w:r>
      <w:proofErr w:type="spellStart"/>
      <w:r w:rsidRPr="00C05D6B">
        <w:rPr>
          <w:rFonts w:ascii="Garamond" w:hAnsi="Garamond" w:cs="Times New Roman"/>
        </w:rPr>
        <w:t>i</w:t>
      </w:r>
      <w:proofErr w:type="spellEnd"/>
      <w:r w:rsidRPr="00C05D6B">
        <w:rPr>
          <w:rFonts w:ascii="Garamond" w:hAnsi="Garamond" w:cs="Times New Roman"/>
        </w:rPr>
        <w:t>]t would seriously cripple the proper and effective administration of public affairs as entrusted to the executive branch of the government” if “[</w:t>
      </w:r>
      <w:proofErr w:type="spellStart"/>
      <w:r w:rsidRPr="00C05D6B">
        <w:rPr>
          <w:rFonts w:ascii="Garamond" w:hAnsi="Garamond" w:cs="Times New Roman"/>
        </w:rPr>
        <w:t>i</w:t>
      </w:r>
      <w:proofErr w:type="spellEnd"/>
      <w:r w:rsidRPr="00C05D6B">
        <w:rPr>
          <w:rFonts w:ascii="Garamond" w:hAnsi="Garamond" w:cs="Times New Roman"/>
        </w:rPr>
        <w:t xml:space="preserve">]n exercising the functions of his office,” the President was “under an apprehension that the motives that control his official conduct may, at any time, become the subject of inquiry.” </w:t>
      </w:r>
      <w:r w:rsidRPr="00C05D6B">
        <w:rPr>
          <w:rFonts w:ascii="Garamond" w:hAnsi="Garamond" w:cs="Times New Roman"/>
          <w:i/>
          <w:iCs/>
        </w:rPr>
        <w:t>Nixon v.</w:t>
      </w:r>
      <w:r w:rsidRPr="00C05D6B">
        <w:rPr>
          <w:rFonts w:ascii="Garamond" w:hAnsi="Garamond" w:cs="Times New Roman"/>
        </w:rPr>
        <w:t xml:space="preserve"> </w:t>
      </w:r>
      <w:r w:rsidRPr="00C05D6B">
        <w:rPr>
          <w:rFonts w:ascii="Garamond" w:hAnsi="Garamond" w:cs="Times New Roman"/>
          <w:i/>
          <w:iCs/>
        </w:rPr>
        <w:t xml:space="preserve">Fitzgerald </w:t>
      </w:r>
      <w:r w:rsidRPr="00C05D6B">
        <w:rPr>
          <w:rFonts w:ascii="Garamond" w:hAnsi="Garamond" w:cs="Times New Roman"/>
        </w:rPr>
        <w:t xml:space="preserve">(1982). We thus rejected such inquiries in Fitzgerald. </w:t>
      </w:r>
    </w:p>
    <w:p w14:paraId="0F96419C" w14:textId="77777777" w:rsidR="003125BF" w:rsidRPr="00C05D6B" w:rsidRDefault="003125BF" w:rsidP="003125BF">
      <w:pPr>
        <w:ind w:left="1440" w:right="1440"/>
        <w:rPr>
          <w:rFonts w:ascii="Garamond" w:hAnsi="Garamond" w:cs="Times New Roman"/>
        </w:rPr>
      </w:pPr>
    </w:p>
    <w:p w14:paraId="125FA563" w14:textId="77777777" w:rsidR="003125BF" w:rsidRPr="00C05D6B" w:rsidRDefault="003125BF" w:rsidP="003125BF">
      <w:pPr>
        <w:ind w:left="1440" w:right="1440"/>
        <w:rPr>
          <w:rFonts w:ascii="Garamond" w:hAnsi="Garamond" w:cs="Times New Roman"/>
        </w:rPr>
      </w:pPr>
      <w:r w:rsidRPr="00C05D6B">
        <w:rPr>
          <w:rFonts w:ascii="Garamond" w:hAnsi="Garamond" w:cs="Times New Roman"/>
        </w:rPr>
        <w:t>Nor may courts deem an action unofficial merely because it allegedly violates a generally applicable law. Otherwise, Presidents would be subject to trial on “every allegation that an action was unlawful,” depriving immunity of its intended effect.</w:t>
      </w:r>
    </w:p>
    <w:p w14:paraId="7A5884C7" w14:textId="77777777" w:rsidR="003125BF" w:rsidRPr="00C05D6B" w:rsidRDefault="003125BF" w:rsidP="003125BF">
      <w:pPr>
        <w:rPr>
          <w:rFonts w:ascii="Garamond" w:hAnsi="Garamond" w:cs="Times New Roman"/>
        </w:rPr>
      </w:pPr>
    </w:p>
    <w:p w14:paraId="30EAC0E0" w14:textId="77777777" w:rsidR="003125BF" w:rsidRPr="00C05D6B" w:rsidRDefault="003125BF" w:rsidP="003125BF">
      <w:pPr>
        <w:rPr>
          <w:rFonts w:ascii="Garamond" w:hAnsi="Garamond" w:cs="Times New Roman"/>
        </w:rPr>
      </w:pPr>
      <w:r w:rsidRPr="00C05D6B">
        <w:rPr>
          <w:rFonts w:ascii="Garamond" w:hAnsi="Garamond" w:cs="Times New Roman"/>
        </w:rPr>
        <w:t xml:space="preserve">Addressing specific allegations against former President Trump, the majority ruled that Trump cannot be prosecuted for allegedly using the Justice Department’s power to persuade states to replace legitimate electors with fraudulent ones. Similarly, the Court deemed Trump “presumptively immune” regarding his alleged attempts to pressure Vice President Mike Pence to reject electoral votes or return them to state legislatures, reasoning that these discussions fell within their official duties. However, the Court acknowledged that the vice president’s role as president of the Senate is </w:t>
      </w:r>
      <w:r w:rsidRPr="00C05D6B">
        <w:rPr>
          <w:rFonts w:ascii="Garamond" w:hAnsi="Garamond" w:cs="Times New Roman"/>
        </w:rPr>
        <w:lastRenderedPageBreak/>
        <w:t>a legislative function, not an executive one, leaving the district court to decide if prosecuting Trump for this conduct would intrude upon executive powers.</w:t>
      </w:r>
    </w:p>
    <w:p w14:paraId="2B30054A" w14:textId="77777777" w:rsidR="00F9074C" w:rsidRPr="00C05D6B" w:rsidRDefault="00F9074C" w:rsidP="003125BF">
      <w:pPr>
        <w:rPr>
          <w:rFonts w:ascii="Garamond" w:hAnsi="Garamond" w:cs="Times New Roman"/>
        </w:rPr>
      </w:pPr>
    </w:p>
    <w:p w14:paraId="38F63182" w14:textId="3CEB6E27" w:rsidR="003125BF" w:rsidRPr="00C05D6B" w:rsidRDefault="003125BF" w:rsidP="003125BF">
      <w:pPr>
        <w:rPr>
          <w:rFonts w:ascii="Garamond" w:hAnsi="Garamond" w:cs="Times New Roman"/>
        </w:rPr>
      </w:pPr>
      <w:r w:rsidRPr="00C05D6B">
        <w:rPr>
          <w:rFonts w:ascii="Garamond" w:hAnsi="Garamond" w:cs="Times New Roman"/>
        </w:rPr>
        <w:tab/>
        <w:t xml:space="preserve">The Court took a similar stance on allegations involving Trump’s interactions with private individuals and state officials to alter electoral votes, his tweets leading up to the January 6 attacks, and a speech he gave just before his supporters violently broke into the United States </w:t>
      </w:r>
      <w:r w:rsidR="00BD33D4" w:rsidRPr="00C05D6B">
        <w:rPr>
          <w:rFonts w:ascii="Garamond" w:hAnsi="Garamond" w:cs="Times New Roman"/>
        </w:rPr>
        <w:t>C</w:t>
      </w:r>
      <w:r w:rsidRPr="00C05D6B">
        <w:rPr>
          <w:rFonts w:ascii="Garamond" w:hAnsi="Garamond" w:cs="Times New Roman"/>
        </w:rPr>
        <w:t xml:space="preserve">apitol. The Court emphasized that determining the immunity for these actions requires a thorough analysis of the indictment’s detailed and interconnected allegations. </w:t>
      </w:r>
    </w:p>
    <w:p w14:paraId="140E53DA" w14:textId="77777777" w:rsidR="00F9074C" w:rsidRPr="00C05D6B" w:rsidRDefault="00F9074C" w:rsidP="003125BF">
      <w:pPr>
        <w:rPr>
          <w:rFonts w:ascii="Garamond" w:hAnsi="Garamond" w:cs="Times New Roman"/>
        </w:rPr>
      </w:pPr>
    </w:p>
    <w:p w14:paraId="57D623CA" w14:textId="0E42EECC" w:rsidR="003125BF" w:rsidRPr="00C05D6B" w:rsidRDefault="003125BF" w:rsidP="003125BF">
      <w:pPr>
        <w:rPr>
          <w:rFonts w:ascii="Garamond" w:hAnsi="Garamond" w:cs="Times New Roman"/>
        </w:rPr>
      </w:pPr>
      <w:r w:rsidRPr="00C05D6B">
        <w:rPr>
          <w:rFonts w:ascii="Garamond" w:hAnsi="Garamond" w:cs="Times New Roman"/>
        </w:rPr>
        <w:tab/>
        <w:t xml:space="preserve">Moreover, the Court held that prosecutors </w:t>
      </w:r>
      <w:r w:rsidR="00503568" w:rsidRPr="00C05D6B">
        <w:rPr>
          <w:rFonts w:ascii="Garamond" w:hAnsi="Garamond" w:cs="Times New Roman"/>
        </w:rPr>
        <w:t xml:space="preserve">could not </w:t>
      </w:r>
      <w:r w:rsidRPr="00C05D6B">
        <w:rPr>
          <w:rFonts w:ascii="Garamond" w:hAnsi="Garamond" w:cs="Times New Roman"/>
        </w:rPr>
        <w:t xml:space="preserve">use evidence of Trump’s official acts to prove his knowledge of the falsehood of his election-fraud claims. Using official acts as evidence of </w:t>
      </w:r>
      <w:r w:rsidR="00CD6A2B" w:rsidRPr="00C05D6B">
        <w:rPr>
          <w:rFonts w:ascii="Garamond" w:hAnsi="Garamond" w:cs="Times New Roman"/>
        </w:rPr>
        <w:t xml:space="preserve">knowledge </w:t>
      </w:r>
      <w:r w:rsidRPr="00C05D6B">
        <w:rPr>
          <w:rFonts w:ascii="Garamond" w:hAnsi="Garamond" w:cs="Times New Roman"/>
        </w:rPr>
        <w:t>could undermine the established immunity by indirectly scrutinizing acts for which a president is immune, thus inviting juries to evaluate these actions in the context of unrelated charges.</w:t>
      </w:r>
    </w:p>
    <w:p w14:paraId="7912C703" w14:textId="77777777" w:rsidR="00F9074C" w:rsidRPr="00C05D6B" w:rsidRDefault="00F9074C" w:rsidP="003125BF">
      <w:pPr>
        <w:rPr>
          <w:rFonts w:ascii="Garamond" w:hAnsi="Garamond" w:cs="Times New Roman"/>
        </w:rPr>
      </w:pPr>
    </w:p>
    <w:p w14:paraId="4D27D4DF" w14:textId="76D86D7A" w:rsidR="003125BF" w:rsidRPr="00C05D6B" w:rsidRDefault="003125BF" w:rsidP="003125BF">
      <w:pPr>
        <w:rPr>
          <w:rFonts w:ascii="Garamond" w:hAnsi="Garamond" w:cs="Times New Roman"/>
        </w:rPr>
      </w:pPr>
      <w:r w:rsidRPr="00C05D6B">
        <w:rPr>
          <w:rFonts w:ascii="Garamond" w:hAnsi="Garamond" w:cs="Times New Roman"/>
        </w:rPr>
        <w:tab/>
        <w:t>Justice Thomas concurred with the majority’s ruling on immunity but raised concerns about the constitutionality of Special Counsel Jack Smith’s appointment. Thomas pointed out the historical rarity of prosecuting former presidents for their official acts and stressed that any unprecedented prosecution must be carried out by an authority duly appointed by the American people. He urged the lower courts to resolve questions about the Special Counsel’s appointment before proceeding further.</w:t>
      </w:r>
    </w:p>
    <w:p w14:paraId="5193ED90" w14:textId="77777777" w:rsidR="00F9074C" w:rsidRPr="00C05D6B" w:rsidRDefault="00F9074C" w:rsidP="003125BF">
      <w:pPr>
        <w:rPr>
          <w:rFonts w:ascii="Garamond" w:hAnsi="Garamond" w:cs="Times New Roman"/>
        </w:rPr>
      </w:pPr>
    </w:p>
    <w:p w14:paraId="0C1E5CB6" w14:textId="1686B0FD" w:rsidR="003125BF" w:rsidRPr="00C05D6B" w:rsidRDefault="003125BF" w:rsidP="003125BF">
      <w:pPr>
        <w:rPr>
          <w:rFonts w:ascii="Garamond" w:hAnsi="Garamond" w:cs="Times New Roman"/>
        </w:rPr>
      </w:pPr>
      <w:r w:rsidRPr="00C05D6B">
        <w:rPr>
          <w:rFonts w:ascii="Garamond" w:hAnsi="Garamond" w:cs="Times New Roman"/>
        </w:rPr>
        <w:tab/>
        <w:t>Justice Sotomayor authored the lead dissent, in an opinion joined by Justices Jackson and Kagan. In their view, there was very little support in text, history, precedent, or reason for the majority’s opinion. The dissent marshaled Founding Era evidence of prominent voices that believed that presidents could be criminally prosecuted. Further, the dissent contended that in creating a new immunity, the Court paid insufficient attention to the absence of accountability for bribes or coups or assassinations</w:t>
      </w:r>
      <w:r w:rsidR="00E553A4" w:rsidRPr="00C05D6B">
        <w:rPr>
          <w:rFonts w:ascii="Garamond" w:hAnsi="Garamond" w:cs="Times New Roman"/>
        </w:rPr>
        <w:t xml:space="preserve"> of</w:t>
      </w:r>
      <w:r w:rsidRPr="00C05D6B">
        <w:rPr>
          <w:rFonts w:ascii="Garamond" w:hAnsi="Garamond" w:cs="Times New Roman"/>
        </w:rPr>
        <w:t xml:space="preserve"> political rivals:</w:t>
      </w:r>
    </w:p>
    <w:p w14:paraId="03D7629A" w14:textId="77777777" w:rsidR="003125BF" w:rsidRPr="00C05D6B" w:rsidRDefault="003125BF" w:rsidP="003125BF">
      <w:pPr>
        <w:rPr>
          <w:rFonts w:ascii="Garamond" w:hAnsi="Garamond" w:cs="Times New Roman"/>
        </w:rPr>
      </w:pPr>
    </w:p>
    <w:p w14:paraId="78EE4F0F" w14:textId="0C189951" w:rsidR="003125BF" w:rsidRPr="00C05D6B" w:rsidRDefault="003125BF" w:rsidP="003125BF">
      <w:pPr>
        <w:ind w:left="1440" w:right="1440"/>
        <w:rPr>
          <w:rFonts w:ascii="Garamond" w:hAnsi="Garamond" w:cs="Times New Roman"/>
        </w:rPr>
      </w:pPr>
      <w:r w:rsidRPr="00C05D6B">
        <w:rPr>
          <w:rFonts w:ascii="Garamond" w:hAnsi="Garamond" w:cs="Times New Roman"/>
        </w:rPr>
        <w:t>Looking beyond the fate of this particular prosecution, the long-term consequences of today’s decision are stark. The Court effectively creates a law-free zone around the President, upsetting the status quo that has existed since the Founding. This new official-acts immunity now “lies about like a loaded weapon” for any President that wishes to place his own interests, his own political survival, or his own financial gain, above the interests of the Nation. Korematsu v. United States (1944) (Jackson, J., dissenting). The President of the United States is the most powerful person in the country, and possibly the world. When he uses his official powers in any way, under the majority</w:t>
      </w:r>
      <w:r w:rsidR="00E155AE" w:rsidRPr="00C05D6B">
        <w:rPr>
          <w:rFonts w:ascii="Garamond" w:hAnsi="Garamond" w:cs="Times New Roman"/>
        </w:rPr>
        <w:t>’</w:t>
      </w:r>
      <w:r w:rsidRPr="00C05D6B">
        <w:rPr>
          <w:rFonts w:ascii="Garamond" w:hAnsi="Garamond" w:cs="Times New Roman"/>
        </w:rPr>
        <w:t>s reasoning, he now will be insulated from criminal prosecution. Orders the Navy’s Seal Team 6 to assassinate a political rival? Immune. Organizes a military coup to hold onto power? Immune. Takes a bribe in exchange for a pardon? Immune. Immune, immune, immune.</w:t>
      </w:r>
    </w:p>
    <w:p w14:paraId="695BFD97" w14:textId="77777777" w:rsidR="003125BF" w:rsidRPr="00C05D6B" w:rsidRDefault="003125BF" w:rsidP="003125BF">
      <w:pPr>
        <w:ind w:left="1440" w:right="1440"/>
        <w:rPr>
          <w:rFonts w:ascii="Garamond" w:hAnsi="Garamond" w:cs="Times New Roman"/>
        </w:rPr>
      </w:pPr>
    </w:p>
    <w:p w14:paraId="091C6F89" w14:textId="26BE6B3B" w:rsidR="003125BF" w:rsidRPr="00C05D6B" w:rsidRDefault="003125BF" w:rsidP="003125BF">
      <w:pPr>
        <w:ind w:left="1440" w:right="1440"/>
        <w:rPr>
          <w:rFonts w:ascii="Garamond" w:hAnsi="Garamond" w:cs="Times New Roman"/>
        </w:rPr>
      </w:pPr>
      <w:r w:rsidRPr="00C05D6B">
        <w:rPr>
          <w:rFonts w:ascii="Garamond" w:hAnsi="Garamond" w:cs="Times New Roman"/>
        </w:rPr>
        <w:t xml:space="preserve">Let the President violate the law, let him exploit the trappings of his office for personal gain, let him use his official power for evil ends. Because if he knew that he may one day face liability for breaking the </w:t>
      </w:r>
      <w:r w:rsidRPr="00C05D6B">
        <w:rPr>
          <w:rFonts w:ascii="Garamond" w:hAnsi="Garamond" w:cs="Times New Roman"/>
        </w:rPr>
        <w:lastRenderedPageBreak/>
        <w:t>law, he might not be as bold and fearless as we would like him to be. That is the majority</w:t>
      </w:r>
      <w:r w:rsidR="00E155AE" w:rsidRPr="00C05D6B">
        <w:rPr>
          <w:rFonts w:ascii="Garamond" w:hAnsi="Garamond" w:cs="Times New Roman"/>
        </w:rPr>
        <w:t>’</w:t>
      </w:r>
      <w:r w:rsidRPr="00C05D6B">
        <w:rPr>
          <w:rFonts w:ascii="Garamond" w:hAnsi="Garamond" w:cs="Times New Roman"/>
        </w:rPr>
        <w:t>s message today.</w:t>
      </w:r>
    </w:p>
    <w:p w14:paraId="22EFA0E8" w14:textId="77777777" w:rsidR="003125BF" w:rsidRPr="00C05D6B" w:rsidRDefault="003125BF" w:rsidP="003125BF">
      <w:pPr>
        <w:ind w:left="1440" w:right="1440"/>
        <w:rPr>
          <w:rFonts w:ascii="Garamond" w:hAnsi="Garamond" w:cs="Times New Roman"/>
        </w:rPr>
      </w:pPr>
    </w:p>
    <w:p w14:paraId="5DFC985B" w14:textId="77777777" w:rsidR="003125BF" w:rsidRPr="00C05D6B" w:rsidRDefault="003125BF" w:rsidP="003125BF">
      <w:pPr>
        <w:ind w:left="1440" w:right="1440"/>
        <w:rPr>
          <w:rFonts w:ascii="Garamond" w:hAnsi="Garamond" w:cs="Times New Roman"/>
        </w:rPr>
      </w:pPr>
      <w:r w:rsidRPr="00C05D6B">
        <w:rPr>
          <w:rFonts w:ascii="Garamond" w:hAnsi="Garamond" w:cs="Times New Roman"/>
        </w:rPr>
        <w:t>Even if these nightmare scenarios never play out, and I pray they never do, the damage has been done. The relationship between the President and the people he serves has shifted irrevocably. In every use of official power, the President is now a king above the law.</w:t>
      </w:r>
    </w:p>
    <w:p w14:paraId="3E6DBE1D" w14:textId="77777777" w:rsidR="003125BF" w:rsidRPr="00C05D6B" w:rsidRDefault="003125BF" w:rsidP="003125BF">
      <w:pPr>
        <w:ind w:left="1440" w:right="1440"/>
        <w:rPr>
          <w:rFonts w:ascii="Garamond" w:hAnsi="Garamond" w:cs="Times New Roman"/>
        </w:rPr>
      </w:pPr>
    </w:p>
    <w:p w14:paraId="13233D53" w14:textId="38CFD1D7" w:rsidR="003125BF" w:rsidRPr="00C05D6B" w:rsidRDefault="003125BF" w:rsidP="003125BF">
      <w:pPr>
        <w:ind w:left="1440" w:right="1440"/>
        <w:rPr>
          <w:rFonts w:ascii="Garamond" w:hAnsi="Garamond" w:cs="Times New Roman"/>
        </w:rPr>
      </w:pPr>
      <w:r w:rsidRPr="00C05D6B">
        <w:rPr>
          <w:rFonts w:ascii="Garamond" w:hAnsi="Garamond" w:cs="Times New Roman"/>
        </w:rPr>
        <w:t>The majority’s single-minded fixation on the President</w:t>
      </w:r>
      <w:r w:rsidR="00E155AE" w:rsidRPr="00C05D6B">
        <w:rPr>
          <w:rFonts w:ascii="Garamond" w:hAnsi="Garamond" w:cs="Times New Roman"/>
        </w:rPr>
        <w:t>’</w:t>
      </w:r>
      <w:r w:rsidRPr="00C05D6B">
        <w:rPr>
          <w:rFonts w:ascii="Garamond" w:hAnsi="Garamond" w:cs="Times New Roman"/>
        </w:rPr>
        <w:t>s need for boldness and dispatch ignores the countervailing need for accountability and restraint. The Framers were not so single-minded. In the Federalist Papers, after “endeavor[</w:t>
      </w:r>
      <w:proofErr w:type="spellStart"/>
      <w:r w:rsidRPr="00C05D6B">
        <w:rPr>
          <w:rFonts w:ascii="Garamond" w:hAnsi="Garamond" w:cs="Times New Roman"/>
        </w:rPr>
        <w:t>ing</w:t>
      </w:r>
      <w:proofErr w:type="spellEnd"/>
      <w:r w:rsidRPr="00C05D6B">
        <w:rPr>
          <w:rFonts w:ascii="Garamond" w:hAnsi="Garamond" w:cs="Times New Roman"/>
        </w:rPr>
        <w:t xml:space="preserve">] to show” that the Executive designed by the Constitution “combines </w:t>
      </w:r>
      <w:r w:rsidR="00503568" w:rsidRPr="00C05D6B">
        <w:rPr>
          <w:rFonts w:ascii="Garamond" w:hAnsi="Garamond" w:cs="Times New Roman"/>
        </w:rPr>
        <w:t xml:space="preserve">. . . </w:t>
      </w:r>
      <w:r w:rsidRPr="00C05D6B">
        <w:rPr>
          <w:rFonts w:ascii="Garamond" w:hAnsi="Garamond" w:cs="Times New Roman"/>
        </w:rPr>
        <w:t>all the requisites to energy,” Alexander Hamilton asked a separate, equally important question: “Does it also combine the requisites to safety, in a republican sense, a due dependence on the people, a due responsibility?” The Federalist No. 77, p. 507 (J. Harvard Library ed. 2009). The answer then was yes, based in part upon the President</w:t>
      </w:r>
      <w:r w:rsidR="00E155AE" w:rsidRPr="00C05D6B">
        <w:rPr>
          <w:rFonts w:ascii="Garamond" w:hAnsi="Garamond" w:cs="Times New Roman"/>
        </w:rPr>
        <w:t>’</w:t>
      </w:r>
      <w:r w:rsidRPr="00C05D6B">
        <w:rPr>
          <w:rFonts w:ascii="Garamond" w:hAnsi="Garamond" w:cs="Times New Roman"/>
        </w:rPr>
        <w:t>s vulnerability to “prosecution in the common course of law.” The answer after today is no.</w:t>
      </w:r>
    </w:p>
    <w:p w14:paraId="49F44403" w14:textId="77777777" w:rsidR="003125BF" w:rsidRPr="00C05D6B" w:rsidRDefault="003125BF" w:rsidP="003125BF">
      <w:pPr>
        <w:ind w:left="1440" w:right="1440"/>
        <w:rPr>
          <w:rFonts w:ascii="Garamond" w:hAnsi="Garamond" w:cs="Times New Roman"/>
        </w:rPr>
      </w:pPr>
    </w:p>
    <w:p w14:paraId="3AE1FD09" w14:textId="77777777" w:rsidR="003125BF" w:rsidRPr="00C05D6B" w:rsidRDefault="003125BF" w:rsidP="003125BF">
      <w:pPr>
        <w:ind w:left="1440" w:right="1440"/>
        <w:rPr>
          <w:rFonts w:ascii="Garamond" w:hAnsi="Garamond" w:cs="Times New Roman"/>
        </w:rPr>
      </w:pPr>
      <w:r w:rsidRPr="00C05D6B">
        <w:rPr>
          <w:rFonts w:ascii="Garamond" w:hAnsi="Garamond" w:cs="Times New Roman"/>
        </w:rPr>
        <w:t>Never in the history of our Republic has a President had reason to believe that he would be immune from criminal prosecution if he used the trappings of his office to violate the criminal law. Moving forward, however, all former Presidents will be cloaked in such immunity. If the occupant of that office misuses official power for personal gain, the criminal law that the rest of us must abide will not provide a backstop.</w:t>
      </w:r>
    </w:p>
    <w:p w14:paraId="0AB502DC" w14:textId="77777777" w:rsidR="003125BF" w:rsidRPr="00C05D6B" w:rsidRDefault="003125BF" w:rsidP="003125BF">
      <w:pPr>
        <w:ind w:left="1440" w:right="1440"/>
        <w:rPr>
          <w:rFonts w:ascii="Garamond" w:hAnsi="Garamond" w:cs="Times New Roman"/>
        </w:rPr>
      </w:pPr>
    </w:p>
    <w:p w14:paraId="5D3B7B6D" w14:textId="77777777" w:rsidR="003125BF" w:rsidRPr="00C05D6B" w:rsidRDefault="003125BF" w:rsidP="003125BF">
      <w:pPr>
        <w:ind w:left="1440" w:right="1440"/>
        <w:rPr>
          <w:rFonts w:ascii="Garamond" w:hAnsi="Garamond" w:cs="Times New Roman"/>
        </w:rPr>
      </w:pPr>
      <w:r w:rsidRPr="00C05D6B">
        <w:rPr>
          <w:rFonts w:ascii="Garamond" w:hAnsi="Garamond" w:cs="Times New Roman"/>
        </w:rPr>
        <w:t>With fear for our democracy, I dissent.</w:t>
      </w:r>
    </w:p>
    <w:p w14:paraId="2D4B13D1" w14:textId="77777777" w:rsidR="003125BF" w:rsidRPr="00C05D6B" w:rsidRDefault="003125BF" w:rsidP="003125BF">
      <w:pPr>
        <w:rPr>
          <w:rFonts w:ascii="Garamond" w:hAnsi="Garamond" w:cs="Times New Roman"/>
        </w:rPr>
      </w:pPr>
    </w:p>
    <w:p w14:paraId="1A5F54BE" w14:textId="77777777" w:rsidR="00C26B66" w:rsidRPr="00C05D6B" w:rsidRDefault="00C26B66" w:rsidP="003125BF">
      <w:pPr>
        <w:rPr>
          <w:rFonts w:ascii="Garamond" w:hAnsi="Garamond" w:cs="Times New Roman"/>
        </w:rPr>
      </w:pPr>
    </w:p>
    <w:p w14:paraId="2FD008AB" w14:textId="77777777" w:rsidR="00002E08" w:rsidRPr="00C05D6B" w:rsidRDefault="00002E08">
      <w:pPr>
        <w:spacing w:after="160" w:line="278" w:lineRule="auto"/>
        <w:rPr>
          <w:rFonts w:ascii="Garamond" w:hAnsi="Garamond" w:cs="Times New Roman"/>
          <w:b/>
          <w:bCs/>
        </w:rPr>
      </w:pPr>
      <w:r w:rsidRPr="00C05D6B">
        <w:rPr>
          <w:rFonts w:ascii="Garamond" w:hAnsi="Garamond" w:cs="Times New Roman"/>
          <w:b/>
          <w:bCs/>
        </w:rPr>
        <w:br w:type="page"/>
      </w:r>
    </w:p>
    <w:p w14:paraId="459F54B4" w14:textId="3F86E760" w:rsidR="00002E08" w:rsidRPr="00C05D6B" w:rsidRDefault="00002E08" w:rsidP="009F73D4">
      <w:pPr>
        <w:jc w:val="center"/>
        <w:rPr>
          <w:rFonts w:ascii="Garamond" w:hAnsi="Garamond" w:cs="Times New Roman"/>
          <w:b/>
          <w:bCs/>
        </w:rPr>
      </w:pPr>
      <w:r w:rsidRPr="00C05D6B">
        <w:rPr>
          <w:rFonts w:ascii="Garamond" w:hAnsi="Garamond" w:cs="Times New Roman"/>
          <w:b/>
          <w:bCs/>
        </w:rPr>
        <w:lastRenderedPageBreak/>
        <w:t>______________________________________________________________________________</w:t>
      </w:r>
    </w:p>
    <w:p w14:paraId="13A50F59" w14:textId="77777777" w:rsidR="00926DEE" w:rsidRPr="00C05D6B" w:rsidRDefault="00926DEE" w:rsidP="00926DEE">
      <w:pPr>
        <w:jc w:val="center"/>
        <w:rPr>
          <w:rFonts w:ascii="Garamond" w:hAnsi="Garamond" w:cs="Times New Roman"/>
          <w:b/>
          <w:bCs/>
        </w:rPr>
      </w:pPr>
    </w:p>
    <w:p w14:paraId="3E4A7A90"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Chapter 8</w:t>
      </w:r>
    </w:p>
    <w:p w14:paraId="4A4CBDC1" w14:textId="77777777" w:rsidR="00926DEE" w:rsidRPr="00C05D6B" w:rsidRDefault="00926DEE" w:rsidP="00926DEE">
      <w:pPr>
        <w:jc w:val="center"/>
        <w:rPr>
          <w:rFonts w:ascii="Garamond" w:hAnsi="Garamond" w:cs="Times New Roman"/>
          <w:b/>
          <w:bCs/>
          <w:i/>
          <w:iCs/>
          <w:sz w:val="40"/>
          <w:szCs w:val="40"/>
        </w:rPr>
      </w:pPr>
    </w:p>
    <w:p w14:paraId="7D186DFA"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The Writ of Habeas Corpus: Relief Against a State or Federal Officer Responsible for Unlawful Detention</w:t>
      </w:r>
    </w:p>
    <w:p w14:paraId="03CCCB05" w14:textId="77777777" w:rsidR="00002E08" w:rsidRPr="00C05D6B" w:rsidRDefault="00002E08" w:rsidP="00002E08">
      <w:pPr>
        <w:jc w:val="center"/>
        <w:rPr>
          <w:rFonts w:ascii="Garamond" w:hAnsi="Garamond" w:cs="Times New Roman"/>
          <w:b/>
          <w:bCs/>
        </w:rPr>
      </w:pPr>
      <w:r w:rsidRPr="00C05D6B">
        <w:rPr>
          <w:rFonts w:ascii="Garamond" w:hAnsi="Garamond" w:cs="Times New Roman"/>
          <w:b/>
          <w:bCs/>
        </w:rPr>
        <w:t>______________________________________________________________________________</w:t>
      </w:r>
    </w:p>
    <w:p w14:paraId="02AF04CC" w14:textId="77777777" w:rsidR="00F9074C" w:rsidRPr="00C05D6B" w:rsidRDefault="00F9074C" w:rsidP="003125BF">
      <w:pPr>
        <w:rPr>
          <w:rFonts w:ascii="Garamond" w:hAnsi="Garamond" w:cs="Times New Roman"/>
          <w:b/>
          <w:bCs/>
        </w:rPr>
      </w:pPr>
    </w:p>
    <w:p w14:paraId="32CDE8CC" w14:textId="37ACB074" w:rsidR="00F9074C" w:rsidRPr="00C05D6B" w:rsidRDefault="00F9074C" w:rsidP="00F9074C">
      <w:pPr>
        <w:rPr>
          <w:rFonts w:ascii="Garamond" w:hAnsi="Garamond" w:cs="Times New Roman"/>
        </w:rPr>
      </w:pPr>
      <w:r w:rsidRPr="00C05D6B">
        <w:rPr>
          <w:rFonts w:ascii="Garamond" w:hAnsi="Garamond" w:cs="Times New Roman"/>
          <w:b/>
          <w:bCs/>
          <w:i/>
          <w:iCs/>
        </w:rPr>
        <w:t>A.</w:t>
      </w:r>
      <w:r w:rsidRPr="00C05D6B">
        <w:rPr>
          <w:rFonts w:ascii="Garamond" w:hAnsi="Garamond" w:cs="Times New Roman"/>
          <w:b/>
          <w:bCs/>
          <w:i/>
          <w:iCs/>
        </w:rPr>
        <w:tab/>
        <w:t>Introduction to the Writ of Habeas Corpus</w:t>
      </w:r>
    </w:p>
    <w:p w14:paraId="76E908AE" w14:textId="77777777" w:rsidR="00F9074C" w:rsidRPr="00C05D6B" w:rsidRDefault="00F9074C" w:rsidP="00F9074C">
      <w:pPr>
        <w:rPr>
          <w:rFonts w:ascii="Garamond" w:hAnsi="Garamond" w:cs="Times New Roman"/>
        </w:rPr>
      </w:pPr>
    </w:p>
    <w:p w14:paraId="233F776E" w14:textId="04FE546D" w:rsidR="00F9074C" w:rsidRPr="00C05D6B" w:rsidRDefault="00F9074C" w:rsidP="00F9074C">
      <w:pPr>
        <w:rPr>
          <w:rFonts w:ascii="Garamond" w:hAnsi="Garamond" w:cs="Times New Roman"/>
        </w:rPr>
      </w:pPr>
      <w:r w:rsidRPr="00C05D6B">
        <w:rPr>
          <w:rFonts w:ascii="Garamond" w:hAnsi="Garamond" w:cs="Times New Roman"/>
        </w:rPr>
        <w:tab/>
      </w:r>
      <w:r w:rsidRPr="00C05D6B">
        <w:rPr>
          <w:rFonts w:ascii="Garamond" w:hAnsi="Garamond" w:cs="Times New Roman"/>
          <w:b/>
          <w:bCs/>
        </w:rPr>
        <w:t>3.</w:t>
      </w:r>
      <w:r w:rsidRPr="00C05D6B">
        <w:rPr>
          <w:rFonts w:ascii="Garamond" w:hAnsi="Garamond" w:cs="Times New Roman"/>
          <w:b/>
          <w:bCs/>
        </w:rPr>
        <w:tab/>
        <w:t>Executive Detention</w:t>
      </w:r>
    </w:p>
    <w:p w14:paraId="1D755CCC" w14:textId="77777777" w:rsidR="00F9074C" w:rsidRPr="00C05D6B" w:rsidRDefault="00F9074C" w:rsidP="00F9074C">
      <w:pPr>
        <w:rPr>
          <w:rFonts w:ascii="Garamond" w:hAnsi="Garamond" w:cs="Times New Roman"/>
        </w:rPr>
      </w:pPr>
    </w:p>
    <w:p w14:paraId="53A17EA0" w14:textId="4FCBBD6E" w:rsidR="003125BF" w:rsidRPr="00C05D6B" w:rsidRDefault="003125BF" w:rsidP="003125BF">
      <w:pPr>
        <w:rPr>
          <w:rFonts w:ascii="Garamond" w:hAnsi="Garamond" w:cs="Times New Roman"/>
          <w:b/>
          <w:bCs/>
        </w:rPr>
      </w:pPr>
      <w:r w:rsidRPr="00C05D6B">
        <w:rPr>
          <w:rFonts w:ascii="Garamond" w:hAnsi="Garamond" w:cs="Times New Roman"/>
          <w:b/>
          <w:bCs/>
        </w:rPr>
        <w:t xml:space="preserve">(CB p. 987, after reference to </w:t>
      </w:r>
      <w:r w:rsidRPr="00C05D6B">
        <w:rPr>
          <w:rFonts w:ascii="Garamond" w:hAnsi="Garamond" w:cs="Times New Roman"/>
          <w:b/>
          <w:bCs/>
          <w:i/>
          <w:iCs/>
        </w:rPr>
        <w:t>Al-Hela</w:t>
      </w:r>
      <w:r w:rsidRPr="00C05D6B">
        <w:rPr>
          <w:rFonts w:ascii="Garamond" w:hAnsi="Garamond" w:cs="Times New Roman"/>
          <w:b/>
          <w:bCs/>
        </w:rPr>
        <w:t>)</w:t>
      </w:r>
    </w:p>
    <w:p w14:paraId="75839311" w14:textId="77777777" w:rsidR="003125BF" w:rsidRPr="00C05D6B" w:rsidRDefault="003125BF" w:rsidP="003125BF">
      <w:pPr>
        <w:rPr>
          <w:rFonts w:ascii="Garamond" w:hAnsi="Garamond" w:cs="Times New Roman"/>
        </w:rPr>
      </w:pPr>
    </w:p>
    <w:p w14:paraId="53ADF64D" w14:textId="2EEDA9E2" w:rsidR="003125BF" w:rsidRPr="00C05D6B" w:rsidRDefault="003125BF" w:rsidP="003125BF">
      <w:pPr>
        <w:rPr>
          <w:rFonts w:ascii="Garamond" w:hAnsi="Garamond" w:cs="Times New Roman"/>
        </w:rPr>
      </w:pPr>
      <w:r w:rsidRPr="00C05D6B">
        <w:rPr>
          <w:rFonts w:ascii="Garamond" w:hAnsi="Garamond" w:cs="Times New Roman"/>
        </w:rPr>
        <w:t>Al-Hela v. Biden</w:t>
      </w:r>
      <w:r w:rsidR="00DA5FE7" w:rsidRPr="00C05D6B">
        <w:rPr>
          <w:rFonts w:ascii="Garamond" w:hAnsi="Garamond" w:cs="Times New Roman"/>
        </w:rPr>
        <w:fldChar w:fldCharType="begin"/>
      </w:r>
      <w:r w:rsidR="00DA5FE7" w:rsidRPr="00C05D6B">
        <w:rPr>
          <w:rFonts w:ascii="Garamond" w:hAnsi="Garamond"/>
        </w:rPr>
        <w:instrText xml:space="preserve"> TA \l "</w:instrText>
      </w:r>
      <w:r w:rsidR="00DA5FE7" w:rsidRPr="00C05D6B">
        <w:rPr>
          <w:rFonts w:ascii="Garamond" w:hAnsi="Garamond" w:cs="Times New Roman"/>
        </w:rPr>
        <w:instrText>Al-Hela v. Biden</w:instrText>
      </w:r>
      <w:r w:rsidR="00DA5FE7" w:rsidRPr="00C05D6B">
        <w:rPr>
          <w:rFonts w:ascii="Garamond" w:hAnsi="Garamond"/>
        </w:rPr>
        <w:instrText xml:space="preserve">" \s "Al-Hela v. Biden" \c 1 </w:instrText>
      </w:r>
      <w:r w:rsidR="00DA5FE7" w:rsidRPr="00C05D6B">
        <w:rPr>
          <w:rFonts w:ascii="Garamond" w:hAnsi="Garamond" w:cs="Times New Roman"/>
        </w:rPr>
        <w:fldChar w:fldCharType="end"/>
      </w:r>
      <w:r w:rsidRPr="00C05D6B">
        <w:rPr>
          <w:rFonts w:ascii="Garamond" w:hAnsi="Garamond" w:cs="Times New Roman"/>
        </w:rPr>
        <w:t xml:space="preserve"> (D.C. Cir. 2023) (</w:t>
      </w:r>
      <w:proofErr w:type="spellStart"/>
      <w:r w:rsidRPr="00C05D6B">
        <w:rPr>
          <w:rFonts w:ascii="Garamond" w:hAnsi="Garamond" w:cs="Times New Roman"/>
        </w:rPr>
        <w:t>en</w:t>
      </w:r>
      <w:proofErr w:type="spellEnd"/>
      <w:r w:rsidRPr="00C05D6B">
        <w:rPr>
          <w:rFonts w:ascii="Garamond" w:hAnsi="Garamond" w:cs="Times New Roman"/>
        </w:rPr>
        <w:t xml:space="preserve"> banc) (assuming without deciding that even if Guantanamo detainees have procedural and substantive due process rights, procedures used to adjudicate petitioner’s habeas petition before the district court satisfy due process; neither length of petitioner’s detention since 2004, nor evidentiary foundation for conclusion that he was an enemy combatant, violate substantive due process; remanding for determination of eligibility for transfer and statutory power to continue to detain in light of Periodic Review Board’s finding that his detention is “no longer necessary to protect against a continuing significant threat to the security of the United States”).</w:t>
      </w:r>
    </w:p>
    <w:p w14:paraId="51B1B984" w14:textId="77777777" w:rsidR="009B1076" w:rsidRPr="00C05D6B" w:rsidRDefault="009B1076" w:rsidP="003125BF">
      <w:pPr>
        <w:rPr>
          <w:rFonts w:ascii="Garamond" w:hAnsi="Garamond" w:cs="Times New Roman"/>
        </w:rPr>
      </w:pPr>
    </w:p>
    <w:p w14:paraId="306C8B83" w14:textId="74936854" w:rsidR="009B1076" w:rsidRPr="00C05D6B" w:rsidRDefault="00C943EC" w:rsidP="009B1076">
      <w:pPr>
        <w:rPr>
          <w:rFonts w:ascii="Garamond" w:hAnsi="Garamond" w:cs="Times New Roman"/>
          <w:b/>
          <w:bCs/>
        </w:rPr>
      </w:pPr>
      <w:r w:rsidRPr="00C05D6B">
        <w:rPr>
          <w:rFonts w:ascii="Garamond" w:hAnsi="Garamond" w:cs="Times New Roman"/>
          <w:b/>
          <w:bCs/>
        </w:rPr>
        <w:t>(CB</w:t>
      </w:r>
      <w:r w:rsidR="009B1076" w:rsidRPr="00C05D6B">
        <w:rPr>
          <w:rFonts w:ascii="Garamond" w:hAnsi="Garamond" w:cs="Times New Roman"/>
          <w:b/>
          <w:bCs/>
        </w:rPr>
        <w:t xml:space="preserve"> p. 1008, end of last full paragraph</w:t>
      </w:r>
      <w:r w:rsidRPr="00C05D6B">
        <w:rPr>
          <w:rFonts w:ascii="Garamond" w:hAnsi="Garamond" w:cs="Times New Roman"/>
          <w:b/>
          <w:bCs/>
        </w:rPr>
        <w:t>)</w:t>
      </w:r>
    </w:p>
    <w:p w14:paraId="57F646AB" w14:textId="77777777" w:rsidR="009B1076" w:rsidRPr="00C05D6B" w:rsidRDefault="009B1076" w:rsidP="009B1076">
      <w:pPr>
        <w:rPr>
          <w:rFonts w:ascii="Garamond" w:hAnsi="Garamond" w:cstheme="majorBidi"/>
        </w:rPr>
      </w:pPr>
    </w:p>
    <w:p w14:paraId="0ECD0C2E" w14:textId="6E9B032A" w:rsidR="009B1076" w:rsidRPr="00C05D6B" w:rsidRDefault="009B1076" w:rsidP="009B1076">
      <w:pPr>
        <w:ind w:firstLine="720"/>
        <w:rPr>
          <w:rFonts w:ascii="Garamond" w:hAnsi="Garamond" w:cs="Times New Roman"/>
        </w:rPr>
      </w:pPr>
      <w:r w:rsidRPr="00C05D6B">
        <w:rPr>
          <w:rFonts w:ascii="Garamond" w:hAnsi="Garamond" w:cs="Times New Roman"/>
        </w:rPr>
        <w:t>The outer boundaries of executive power and the relationship between habeas, due process, and equity jurisdiction have been tested in a series of emergency appeals to the Supreme Court. In March 2025, the White House released a presidential proclamation invoking the Alien</w:t>
      </w:r>
      <w:r w:rsidR="00C51175" w:rsidRPr="00C05D6B">
        <w:rPr>
          <w:rFonts w:ascii="Garamond" w:hAnsi="Garamond" w:cs="Times New Roman"/>
        </w:rPr>
        <w:t xml:space="preserve"> Enemies</w:t>
      </w:r>
      <w:r w:rsidRPr="00C05D6B">
        <w:rPr>
          <w:rFonts w:ascii="Garamond" w:hAnsi="Garamond" w:cs="Times New Roman"/>
        </w:rPr>
        <w:t xml:space="preserve"> Act</w:t>
      </w:r>
      <w:r w:rsidR="006A674F" w:rsidRPr="00C05D6B">
        <w:rPr>
          <w:rFonts w:ascii="Garamond" w:hAnsi="Garamond" w:cs="Times New Roman"/>
        </w:rPr>
        <w:fldChar w:fldCharType="begin"/>
      </w:r>
      <w:r w:rsidR="006A674F" w:rsidRPr="00C05D6B">
        <w:rPr>
          <w:rFonts w:ascii="Garamond" w:hAnsi="Garamond"/>
        </w:rPr>
        <w:instrText xml:space="preserve"> TA \s "Enemy Aliens Act" </w:instrText>
      </w:r>
      <w:r w:rsidR="006A674F" w:rsidRPr="00C05D6B">
        <w:rPr>
          <w:rFonts w:ascii="Garamond" w:hAnsi="Garamond" w:cs="Times New Roman"/>
        </w:rPr>
        <w:fldChar w:fldCharType="end"/>
      </w:r>
      <w:r w:rsidRPr="00C05D6B">
        <w:rPr>
          <w:rFonts w:ascii="Garamond" w:hAnsi="Garamond" w:cs="Times New Roman"/>
        </w:rPr>
        <w:t xml:space="preserve"> as authority to detain and remove Venezuelan nationals “who are members of </w:t>
      </w:r>
      <w:proofErr w:type="spellStart"/>
      <w:r w:rsidRPr="00C05D6B">
        <w:rPr>
          <w:rFonts w:ascii="Garamond" w:hAnsi="Garamond" w:cs="Times New Roman"/>
        </w:rPr>
        <w:t>Tren</w:t>
      </w:r>
      <w:proofErr w:type="spellEnd"/>
      <w:r w:rsidRPr="00C05D6B">
        <w:rPr>
          <w:rFonts w:ascii="Garamond" w:hAnsi="Garamond" w:cs="Times New Roman"/>
        </w:rPr>
        <w:t xml:space="preserve"> de Aragua”</w:t>
      </w:r>
      <w:r w:rsidR="00DD16D0" w:rsidRPr="00C05D6B">
        <w:rPr>
          <w:rFonts w:ascii="Garamond" w:hAnsi="Garamond" w:cs="Times New Roman"/>
        </w:rPr>
        <w:t xml:space="preserve"> (</w:t>
      </w:r>
      <w:proofErr w:type="spellStart"/>
      <w:r w:rsidR="00DD16D0" w:rsidRPr="00C05D6B">
        <w:rPr>
          <w:rFonts w:ascii="Garamond" w:hAnsi="Garamond" w:cs="Times New Roman"/>
        </w:rPr>
        <w:t>TdA</w:t>
      </w:r>
      <w:proofErr w:type="spellEnd"/>
      <w:r w:rsidR="00DD16D0" w:rsidRPr="00C05D6B">
        <w:rPr>
          <w:rFonts w:ascii="Garamond" w:hAnsi="Garamond" w:cs="Times New Roman"/>
        </w:rPr>
        <w:t>)—</w:t>
      </w:r>
      <w:r w:rsidRPr="00C05D6B">
        <w:rPr>
          <w:rFonts w:ascii="Garamond" w:hAnsi="Garamond" w:cs="Times New Roman"/>
        </w:rPr>
        <w:t>an organization that “the State Department has designated as a foreign terrorist organization.” Trump v. J.G.G.</w:t>
      </w:r>
      <w:r w:rsidR="00DA5FE7" w:rsidRPr="00C05D6B">
        <w:rPr>
          <w:rFonts w:ascii="Garamond" w:hAnsi="Garamond" w:cs="Times New Roman"/>
        </w:rPr>
        <w:fldChar w:fldCharType="begin"/>
      </w:r>
      <w:r w:rsidR="00DA5FE7" w:rsidRPr="00C05D6B">
        <w:rPr>
          <w:rFonts w:ascii="Garamond" w:hAnsi="Garamond"/>
        </w:rPr>
        <w:instrText xml:space="preserve"> TA \s "Trump v. J.G.G." </w:instrText>
      </w:r>
      <w:r w:rsidR="00DA5FE7" w:rsidRPr="00C05D6B">
        <w:rPr>
          <w:rFonts w:ascii="Garamond" w:hAnsi="Garamond" w:cs="Times New Roman"/>
        </w:rPr>
        <w:fldChar w:fldCharType="end"/>
      </w:r>
      <w:r w:rsidRPr="00C05D6B">
        <w:rPr>
          <w:rFonts w:ascii="Garamond" w:hAnsi="Garamond" w:cs="Times New Roman"/>
        </w:rPr>
        <w:t xml:space="preserve"> (2025). Prior to publishing the proclamation, the government began removing Venezuelan immigrants detained in the United States to a maximum</w:t>
      </w:r>
      <w:r w:rsidR="00DD16D0" w:rsidRPr="00C05D6B">
        <w:rPr>
          <w:rFonts w:ascii="Garamond" w:hAnsi="Garamond" w:cs="Times New Roman"/>
        </w:rPr>
        <w:t>-</w:t>
      </w:r>
      <w:r w:rsidRPr="00C05D6B">
        <w:rPr>
          <w:rFonts w:ascii="Garamond" w:hAnsi="Garamond" w:cs="Times New Roman"/>
        </w:rPr>
        <w:t>security foreign prison in El Salvador without notice or an opportunity to be heard. Historically and by its text, the Alien</w:t>
      </w:r>
      <w:r w:rsidR="00AB1E8F" w:rsidRPr="00C05D6B">
        <w:rPr>
          <w:rFonts w:ascii="Garamond" w:hAnsi="Garamond" w:cs="Times New Roman"/>
        </w:rPr>
        <w:t xml:space="preserve"> Enemies</w:t>
      </w:r>
      <w:r w:rsidRPr="00C05D6B">
        <w:rPr>
          <w:rFonts w:ascii="Garamond" w:hAnsi="Garamond" w:cs="Times New Roman"/>
        </w:rPr>
        <w:t xml:space="preserve"> Act</w:t>
      </w:r>
      <w:r w:rsidR="006A674F" w:rsidRPr="00C05D6B">
        <w:rPr>
          <w:rFonts w:ascii="Garamond" w:hAnsi="Garamond" w:cs="Times New Roman"/>
        </w:rPr>
        <w:fldChar w:fldCharType="begin"/>
      </w:r>
      <w:r w:rsidR="006A674F" w:rsidRPr="00C05D6B">
        <w:rPr>
          <w:rFonts w:ascii="Garamond" w:hAnsi="Garamond"/>
        </w:rPr>
        <w:instrText xml:space="preserve"> TA \s "Enemy Aliens Act" </w:instrText>
      </w:r>
      <w:r w:rsidR="006A674F" w:rsidRPr="00C05D6B">
        <w:rPr>
          <w:rFonts w:ascii="Garamond" w:hAnsi="Garamond" w:cs="Times New Roman"/>
        </w:rPr>
        <w:fldChar w:fldCharType="end"/>
      </w:r>
      <w:r w:rsidR="006A674F" w:rsidRPr="00C05D6B">
        <w:rPr>
          <w:rFonts w:ascii="Garamond" w:hAnsi="Garamond" w:cs="Times New Roman"/>
        </w:rPr>
        <w:t xml:space="preserve"> </w:t>
      </w:r>
      <w:r w:rsidRPr="00C05D6B">
        <w:rPr>
          <w:rFonts w:ascii="Garamond" w:hAnsi="Garamond" w:cs="Times New Roman"/>
        </w:rPr>
        <w:t xml:space="preserve"> empowers detention and removal of foreign citizens of “a hostile nation or government” during “a declared war” or when a “foreign nation” threatens “invasion or predatory incursion” of the territory of the United States.</w:t>
      </w:r>
      <w:r w:rsidR="00DD16D0" w:rsidRPr="00C05D6B">
        <w:rPr>
          <w:rFonts w:ascii="Garamond" w:hAnsi="Garamond" w:cs="Times New Roman"/>
        </w:rPr>
        <w:t xml:space="preserve"> </w:t>
      </w:r>
      <w:r w:rsidRPr="00C05D6B">
        <w:rPr>
          <w:rFonts w:ascii="Garamond" w:hAnsi="Garamond" w:cs="Times New Roman"/>
        </w:rPr>
        <w:t>The only times it has previously been invoked were the War of 1812, World War I, and World War II.</w:t>
      </w:r>
      <w:r w:rsidR="00DD16D0" w:rsidRPr="00C05D6B">
        <w:rPr>
          <w:rFonts w:ascii="Garamond" w:hAnsi="Garamond" w:cs="Times New Roman"/>
        </w:rPr>
        <w:t xml:space="preserve"> </w:t>
      </w:r>
      <w:r w:rsidRPr="00C05D6B">
        <w:rPr>
          <w:rFonts w:ascii="Garamond" w:hAnsi="Garamond" w:cs="Times New Roman"/>
        </w:rPr>
        <w:t xml:space="preserve">The presidential proclamation in 2025, by contrast, asserts that </w:t>
      </w:r>
      <w:proofErr w:type="spellStart"/>
      <w:r w:rsidRPr="00C05D6B">
        <w:rPr>
          <w:rFonts w:ascii="Garamond" w:hAnsi="Garamond" w:cs="Times New Roman"/>
        </w:rPr>
        <w:t>Tren</w:t>
      </w:r>
      <w:proofErr w:type="spellEnd"/>
      <w:r w:rsidRPr="00C05D6B">
        <w:rPr>
          <w:rFonts w:ascii="Garamond" w:hAnsi="Garamond" w:cs="Times New Roman"/>
        </w:rPr>
        <w:t xml:space="preserve"> de Aragua is “conducting irregular warfare </w:t>
      </w:r>
      <w:r w:rsidR="00DD16D0" w:rsidRPr="00C05D6B">
        <w:rPr>
          <w:rFonts w:ascii="Garamond" w:hAnsi="Garamond" w:cs="Times New Roman"/>
        </w:rPr>
        <w:t>. . .</w:t>
      </w:r>
      <w:r w:rsidRPr="00C05D6B">
        <w:rPr>
          <w:rFonts w:ascii="Garamond" w:hAnsi="Garamond" w:cs="Times New Roman"/>
        </w:rPr>
        <w:t xml:space="preserve"> at the direction of the </w:t>
      </w:r>
      <w:r w:rsidR="00DD16D0" w:rsidRPr="00C05D6B">
        <w:rPr>
          <w:rFonts w:ascii="Garamond" w:hAnsi="Garamond" w:cs="Times New Roman"/>
        </w:rPr>
        <w:t>M</w:t>
      </w:r>
      <w:r w:rsidRPr="00C05D6B">
        <w:rPr>
          <w:rFonts w:ascii="Garamond" w:hAnsi="Garamond" w:cs="Times New Roman"/>
        </w:rPr>
        <w:t>aduro regime in Venezuela.”</w:t>
      </w:r>
    </w:p>
    <w:p w14:paraId="28ABA170" w14:textId="77777777" w:rsidR="009B1076" w:rsidRPr="00C05D6B" w:rsidRDefault="009B1076" w:rsidP="009B1076">
      <w:pPr>
        <w:ind w:firstLine="720"/>
        <w:rPr>
          <w:rFonts w:ascii="Garamond" w:hAnsi="Garamond" w:cs="Times New Roman"/>
        </w:rPr>
      </w:pPr>
    </w:p>
    <w:p w14:paraId="6B58FFA6" w14:textId="172B22B6" w:rsidR="009B1076" w:rsidRPr="00C05D6B" w:rsidRDefault="009B1076" w:rsidP="009B1076">
      <w:pPr>
        <w:ind w:firstLine="720"/>
        <w:rPr>
          <w:rFonts w:ascii="Garamond" w:hAnsi="Garamond" w:cs="Times New Roman"/>
        </w:rPr>
      </w:pPr>
      <w:r w:rsidRPr="00C05D6B">
        <w:rPr>
          <w:rFonts w:ascii="Garamond" w:hAnsi="Garamond" w:cs="Times New Roman"/>
        </w:rPr>
        <w:t xml:space="preserve">On March 14, 2025, suspected members of </w:t>
      </w:r>
      <w:proofErr w:type="spellStart"/>
      <w:r w:rsidRPr="00C05D6B">
        <w:rPr>
          <w:rFonts w:ascii="Garamond" w:hAnsi="Garamond" w:cs="Times New Roman"/>
        </w:rPr>
        <w:t>TdA</w:t>
      </w:r>
      <w:proofErr w:type="spellEnd"/>
      <w:r w:rsidRPr="00C05D6B">
        <w:rPr>
          <w:rFonts w:ascii="Garamond" w:hAnsi="Garamond" w:cs="Times New Roman"/>
        </w:rPr>
        <w:t xml:space="preserve"> who deny any affiliation with the gang were seized for removal within 24 hours. Their lawyers filed a class action seeking injunctive relief in the District of Columbia challenging the president’s statutory authority under the Alien</w:t>
      </w:r>
      <w:r w:rsidR="00AB1E8F" w:rsidRPr="00C05D6B">
        <w:rPr>
          <w:rFonts w:ascii="Garamond" w:hAnsi="Garamond" w:cs="Times New Roman"/>
        </w:rPr>
        <w:t xml:space="preserve"> Enemies</w:t>
      </w:r>
      <w:r w:rsidRPr="00C05D6B">
        <w:rPr>
          <w:rFonts w:ascii="Garamond" w:hAnsi="Garamond" w:cs="Times New Roman"/>
        </w:rPr>
        <w:t xml:space="preserve"> Act</w:t>
      </w:r>
      <w:r w:rsidR="006A674F" w:rsidRPr="00C05D6B">
        <w:rPr>
          <w:rFonts w:ascii="Garamond" w:hAnsi="Garamond" w:cs="Times New Roman"/>
        </w:rPr>
        <w:fldChar w:fldCharType="begin"/>
      </w:r>
      <w:r w:rsidR="006A674F" w:rsidRPr="00C05D6B">
        <w:rPr>
          <w:rFonts w:ascii="Garamond" w:hAnsi="Garamond"/>
        </w:rPr>
        <w:instrText xml:space="preserve"> TA \s "Enemy Aliens Act" </w:instrText>
      </w:r>
      <w:r w:rsidR="006A674F" w:rsidRPr="00C05D6B">
        <w:rPr>
          <w:rFonts w:ascii="Garamond" w:hAnsi="Garamond" w:cs="Times New Roman"/>
        </w:rPr>
        <w:fldChar w:fldCharType="end"/>
      </w:r>
      <w:r w:rsidRPr="00C05D6B">
        <w:rPr>
          <w:rFonts w:ascii="Garamond" w:hAnsi="Garamond" w:cs="Times New Roman"/>
        </w:rPr>
        <w:t xml:space="preserve"> and the failure to provide constitutionally mandatory notice and a meaningful opportunity to be heard under the Due Process Clause. When the government learned of the suit, it accelerated its </w:t>
      </w:r>
      <w:r w:rsidRPr="00C05D6B">
        <w:rPr>
          <w:rFonts w:ascii="Garamond" w:hAnsi="Garamond" w:cs="Times New Roman"/>
        </w:rPr>
        <w:lastRenderedPageBreak/>
        <w:t>removal process, “usher[</w:t>
      </w:r>
      <w:proofErr w:type="spellStart"/>
      <w:r w:rsidRPr="00C05D6B">
        <w:rPr>
          <w:rFonts w:ascii="Garamond" w:hAnsi="Garamond" w:cs="Times New Roman"/>
        </w:rPr>
        <w:t>ing</w:t>
      </w:r>
      <w:proofErr w:type="spellEnd"/>
      <w:r w:rsidRPr="00C05D6B">
        <w:rPr>
          <w:rFonts w:ascii="Garamond" w:hAnsi="Garamond" w:cs="Times New Roman"/>
        </w:rPr>
        <w:t>] the named plaintiffs onto planes along with dozens of other detainees.”  Plaintiff J.G.G. “had no chance to tell a court that the tattoos causing DHS to suspect him of gang membership were unrelated to a gang”</w:t>
      </w:r>
      <w:r w:rsidR="00DD16D0" w:rsidRPr="00C05D6B">
        <w:rPr>
          <w:rFonts w:ascii="Garamond" w:hAnsi="Garamond" w:cs="Times New Roman"/>
        </w:rPr>
        <w:t>—</w:t>
      </w:r>
      <w:r w:rsidRPr="00C05D6B">
        <w:rPr>
          <w:rFonts w:ascii="Garamond" w:hAnsi="Garamond" w:cs="Times New Roman"/>
        </w:rPr>
        <w:t>he is a tattoo artist and decided to get the tattoo after seeing an image of it on Google; another named plaintiff was apparently seized on the basis of attending a party hosted by people he did not know on the invitation of a friend. The government asserted that no U.S. court has jurisdiction to order relief for plaintiffs already sent to another country.</w:t>
      </w:r>
    </w:p>
    <w:p w14:paraId="19DDC5C7" w14:textId="77777777" w:rsidR="009B1076" w:rsidRPr="00C05D6B" w:rsidRDefault="009B1076" w:rsidP="009B1076">
      <w:pPr>
        <w:ind w:firstLine="720"/>
        <w:rPr>
          <w:rFonts w:ascii="Garamond" w:hAnsi="Garamond" w:cs="Times New Roman"/>
        </w:rPr>
      </w:pPr>
    </w:p>
    <w:p w14:paraId="50547352" w14:textId="040D78E0" w:rsidR="009B1076" w:rsidRPr="00C05D6B" w:rsidRDefault="009B1076" w:rsidP="009B1076">
      <w:pPr>
        <w:ind w:firstLine="720"/>
        <w:rPr>
          <w:rFonts w:ascii="Garamond" w:hAnsi="Garamond" w:cs="Times New Roman"/>
        </w:rPr>
      </w:pPr>
      <w:r w:rsidRPr="00C05D6B">
        <w:rPr>
          <w:rFonts w:ascii="Garamond" w:hAnsi="Garamond" w:cs="Times New Roman"/>
        </w:rPr>
        <w:t xml:space="preserve">The district court granted a temporary restraining order prohibiting the removal of the five named plaintiffs. One plaintiff was then allowed off a plane. However, despite the hearing scheduled to determine the extension of the TRO to putative class members, “DHS continued to load up planes with detainees,” and the White House for the first time published its proclamation invoking the </w:t>
      </w:r>
      <w:r w:rsidR="00EA1625" w:rsidRPr="00C05D6B">
        <w:rPr>
          <w:rFonts w:ascii="Garamond" w:hAnsi="Garamond" w:cs="Times New Roman"/>
        </w:rPr>
        <w:t>Alien Enemies</w:t>
      </w:r>
      <w:r w:rsidRPr="00C05D6B">
        <w:rPr>
          <w:rFonts w:ascii="Garamond" w:hAnsi="Garamond" w:cs="Times New Roman"/>
        </w:rPr>
        <w:t xml:space="preserve"> Act</w:t>
      </w:r>
      <w:r w:rsidR="006A674F" w:rsidRPr="00C05D6B">
        <w:rPr>
          <w:rFonts w:ascii="Garamond" w:hAnsi="Garamond" w:cs="Times New Roman"/>
        </w:rPr>
        <w:fldChar w:fldCharType="begin"/>
      </w:r>
      <w:r w:rsidR="006A674F" w:rsidRPr="00C05D6B">
        <w:rPr>
          <w:rFonts w:ascii="Garamond" w:hAnsi="Garamond"/>
        </w:rPr>
        <w:instrText xml:space="preserve"> TA \s "Enemy Aliens Act" </w:instrText>
      </w:r>
      <w:r w:rsidR="006A674F" w:rsidRPr="00C05D6B">
        <w:rPr>
          <w:rFonts w:ascii="Garamond" w:hAnsi="Garamond" w:cs="Times New Roman"/>
        </w:rPr>
        <w:fldChar w:fldCharType="end"/>
      </w:r>
      <w:r w:rsidRPr="00C05D6B">
        <w:rPr>
          <w:rFonts w:ascii="Garamond" w:hAnsi="Garamond" w:cs="Times New Roman"/>
        </w:rPr>
        <w:t xml:space="preserve">. The court not only extended its TRO to the putative class, it further ordered that any plane “that is going to take off or is in the air needs to be returned to the United States.”  After learning that the government may not have complied with these orders, the district court issued an order to show </w:t>
      </w:r>
      <w:proofErr w:type="gramStart"/>
      <w:r w:rsidRPr="00C05D6B">
        <w:rPr>
          <w:rFonts w:ascii="Garamond" w:hAnsi="Garamond" w:cs="Times New Roman"/>
        </w:rPr>
        <w:t>cause</w:t>
      </w:r>
      <w:proofErr w:type="gramEnd"/>
      <w:r w:rsidRPr="00C05D6B">
        <w:rPr>
          <w:rFonts w:ascii="Garamond" w:hAnsi="Garamond" w:cs="Times New Roman"/>
        </w:rPr>
        <w:t xml:space="preserve"> which could lead to a finding of contempt. </w:t>
      </w:r>
    </w:p>
    <w:p w14:paraId="4D4A5C7B" w14:textId="77777777" w:rsidR="009B1076" w:rsidRPr="00C05D6B" w:rsidRDefault="009B1076" w:rsidP="009B1076">
      <w:pPr>
        <w:ind w:firstLine="720"/>
        <w:rPr>
          <w:rFonts w:ascii="Garamond" w:hAnsi="Garamond" w:cs="Times New Roman"/>
        </w:rPr>
      </w:pPr>
    </w:p>
    <w:p w14:paraId="52D8FFE8" w14:textId="0E556DF7" w:rsidR="009B1076" w:rsidRPr="00C05D6B" w:rsidRDefault="009B1076" w:rsidP="009B1076">
      <w:pPr>
        <w:ind w:firstLine="720"/>
        <w:rPr>
          <w:rFonts w:ascii="Garamond" w:hAnsi="Garamond" w:cs="Times New Roman"/>
        </w:rPr>
      </w:pPr>
      <w:r w:rsidRPr="00C05D6B">
        <w:rPr>
          <w:rFonts w:ascii="Garamond" w:hAnsi="Garamond" w:cs="Times New Roman"/>
        </w:rPr>
        <w:t>In the meantime, the government sought an emergency stay of the injunctions. The D.C. Circuit denied that request, but the Supreme Court reversed, vacating the injunctions. The Court held that “Challenges to removal under the AEA</w:t>
      </w:r>
      <w:r w:rsidR="005048C0" w:rsidRPr="00C05D6B">
        <w:rPr>
          <w:rFonts w:ascii="Garamond" w:hAnsi="Garamond" w:cs="Times New Roman"/>
        </w:rPr>
        <w:fldChar w:fldCharType="begin"/>
      </w:r>
      <w:r w:rsidR="005048C0" w:rsidRPr="00C05D6B">
        <w:rPr>
          <w:rFonts w:ascii="Garamond" w:hAnsi="Garamond"/>
        </w:rPr>
        <w:instrText xml:space="preserve"> TA \s "Enemy Aliens Act" </w:instrText>
      </w:r>
      <w:r w:rsidR="005048C0" w:rsidRPr="00C05D6B">
        <w:rPr>
          <w:rFonts w:ascii="Garamond" w:hAnsi="Garamond" w:cs="Times New Roman"/>
        </w:rPr>
        <w:fldChar w:fldCharType="end"/>
      </w:r>
      <w:r w:rsidRPr="00C05D6B">
        <w:rPr>
          <w:rFonts w:ascii="Garamond" w:hAnsi="Garamond" w:cs="Times New Roman"/>
        </w:rPr>
        <w:t xml:space="preserve">, a statute which largely ‘precludes judicial review,’ </w:t>
      </w:r>
      <w:proofErr w:type="spellStart"/>
      <w:r w:rsidRPr="00C05D6B">
        <w:rPr>
          <w:rFonts w:ascii="Garamond" w:hAnsi="Garamond" w:cs="Times New Roman"/>
        </w:rPr>
        <w:t>Ludecke</w:t>
      </w:r>
      <w:proofErr w:type="spellEnd"/>
      <w:r w:rsidRPr="00C05D6B">
        <w:rPr>
          <w:rFonts w:ascii="Garamond" w:hAnsi="Garamond" w:cs="Times New Roman"/>
        </w:rPr>
        <w:t xml:space="preserve"> v. Watkins</w:t>
      </w:r>
      <w:r w:rsidR="005048C0" w:rsidRPr="00C05D6B">
        <w:rPr>
          <w:rFonts w:ascii="Garamond" w:hAnsi="Garamond" w:cs="Times New Roman"/>
        </w:rPr>
        <w:fldChar w:fldCharType="begin"/>
      </w:r>
      <w:r w:rsidR="005048C0" w:rsidRPr="00C05D6B">
        <w:rPr>
          <w:rFonts w:ascii="Garamond" w:hAnsi="Garamond"/>
        </w:rPr>
        <w:instrText xml:space="preserve"> TA \l "</w:instrText>
      </w:r>
      <w:r w:rsidR="005048C0" w:rsidRPr="00C05D6B">
        <w:rPr>
          <w:rFonts w:ascii="Garamond" w:hAnsi="Garamond" w:cs="Times New Roman"/>
        </w:rPr>
        <w:instrText>Ludecke v. Watkins</w:instrText>
      </w:r>
      <w:r w:rsidR="005048C0" w:rsidRPr="00C05D6B">
        <w:rPr>
          <w:rFonts w:ascii="Garamond" w:hAnsi="Garamond"/>
        </w:rPr>
        <w:instrText xml:space="preserve">" \s "Ludecke v. Watkins" \c 1 </w:instrText>
      </w:r>
      <w:r w:rsidR="005048C0" w:rsidRPr="00C05D6B">
        <w:rPr>
          <w:rFonts w:ascii="Garamond" w:hAnsi="Garamond" w:cs="Times New Roman"/>
        </w:rPr>
        <w:fldChar w:fldCharType="end"/>
      </w:r>
      <w:r w:rsidRPr="00C05D6B">
        <w:rPr>
          <w:rFonts w:ascii="Garamond" w:hAnsi="Garamond" w:cs="Times New Roman"/>
        </w:rPr>
        <w:t xml:space="preserve"> (1948), must be brought in habeas </w:t>
      </w:r>
      <w:r w:rsidR="00DD16D0" w:rsidRPr="00C05D6B">
        <w:rPr>
          <w:rFonts w:ascii="Garamond" w:hAnsi="Garamond" w:cs="Times New Roman"/>
        </w:rPr>
        <w:t>. . .</w:t>
      </w:r>
      <w:r w:rsidRPr="00C05D6B">
        <w:rPr>
          <w:rFonts w:ascii="Garamond" w:hAnsi="Garamond" w:cs="Times New Roman"/>
        </w:rPr>
        <w:t xml:space="preserve"> regardless of whether the detainees formally request relief from confinement, because their claims necessarily imply the invalidity of their confinement and removal.” Such claims fall within the “‘core’ of the writ of habeas corpus” even if the petitions would not lead to immediate release: grant of “‘immediate physical release is not the only remedy under the federal writ of habeas corpus’ Peyton v. Rowe</w:t>
      </w:r>
      <w:r w:rsidR="00DA5FE7" w:rsidRPr="00C05D6B">
        <w:rPr>
          <w:rFonts w:ascii="Garamond" w:hAnsi="Garamond" w:cs="Times New Roman"/>
        </w:rPr>
        <w:fldChar w:fldCharType="begin"/>
      </w:r>
      <w:r w:rsidR="00DA5FE7" w:rsidRPr="00C05D6B">
        <w:rPr>
          <w:rFonts w:ascii="Garamond" w:hAnsi="Garamond"/>
        </w:rPr>
        <w:instrText xml:space="preserve"> TA \l "</w:instrText>
      </w:r>
      <w:r w:rsidR="00DA5FE7" w:rsidRPr="00C05D6B">
        <w:rPr>
          <w:rFonts w:ascii="Garamond" w:hAnsi="Garamond" w:cs="Times New Roman"/>
        </w:rPr>
        <w:instrText>Peyton v. Rowe</w:instrText>
      </w:r>
      <w:r w:rsidR="00DA5FE7" w:rsidRPr="00C05D6B">
        <w:rPr>
          <w:rFonts w:ascii="Garamond" w:hAnsi="Garamond"/>
        </w:rPr>
        <w:instrText xml:space="preserve">" \s "Peyton v. Rowe" \c 1 </w:instrText>
      </w:r>
      <w:r w:rsidR="00DA5FE7" w:rsidRPr="00C05D6B">
        <w:rPr>
          <w:rFonts w:ascii="Garamond" w:hAnsi="Garamond" w:cs="Times New Roman"/>
        </w:rPr>
        <w:fldChar w:fldCharType="end"/>
      </w:r>
      <w:r w:rsidRPr="00C05D6B">
        <w:rPr>
          <w:rFonts w:ascii="Garamond" w:hAnsi="Garamond" w:cs="Times New Roman"/>
        </w:rPr>
        <w:t xml:space="preserve"> (1968); Nance v. Ward</w:t>
      </w:r>
      <w:r w:rsidR="00DA5FE7" w:rsidRPr="00C05D6B">
        <w:rPr>
          <w:rFonts w:ascii="Garamond" w:hAnsi="Garamond" w:cs="Times New Roman"/>
        </w:rPr>
        <w:fldChar w:fldCharType="begin"/>
      </w:r>
      <w:r w:rsidR="00DA5FE7" w:rsidRPr="00C05D6B">
        <w:rPr>
          <w:rFonts w:ascii="Garamond" w:hAnsi="Garamond"/>
        </w:rPr>
        <w:instrText xml:space="preserve"> TA \l "</w:instrText>
      </w:r>
      <w:r w:rsidR="00DA5FE7" w:rsidRPr="00C05D6B">
        <w:rPr>
          <w:rFonts w:ascii="Garamond" w:hAnsi="Garamond" w:cs="Times New Roman"/>
        </w:rPr>
        <w:instrText>Nance v. Ward</w:instrText>
      </w:r>
      <w:r w:rsidR="00DA5FE7" w:rsidRPr="00C05D6B">
        <w:rPr>
          <w:rFonts w:ascii="Garamond" w:hAnsi="Garamond"/>
        </w:rPr>
        <w:instrText xml:space="preserve">" \s "Nance v. Ward" \c 1 </w:instrText>
      </w:r>
      <w:r w:rsidR="00DA5FE7" w:rsidRPr="00C05D6B">
        <w:rPr>
          <w:rFonts w:ascii="Garamond" w:hAnsi="Garamond" w:cs="Times New Roman"/>
        </w:rPr>
        <w:fldChar w:fldCharType="end"/>
      </w:r>
      <w:r w:rsidRPr="00C05D6B">
        <w:rPr>
          <w:rFonts w:ascii="Garamond" w:hAnsi="Garamond" w:cs="Times New Roman"/>
        </w:rPr>
        <w:t xml:space="preserve"> (2022) (explaining that a capital prisoner may seek ‘to overturn his death sentence’ in a habeas ‘by analogy’ to seeking release).” However, for ‘core’ habeas petitions, the Court concluded, “jurisdiction lies in only one district: the district of confinement.” Since the plaintiffs are “confined in Texas,” venue “is improper in the District of Columbia.”</w:t>
      </w:r>
    </w:p>
    <w:p w14:paraId="5387C9D5" w14:textId="77777777" w:rsidR="009B1076" w:rsidRPr="00C05D6B" w:rsidRDefault="009B1076" w:rsidP="009B1076">
      <w:pPr>
        <w:ind w:firstLine="720"/>
        <w:rPr>
          <w:rFonts w:ascii="Garamond" w:hAnsi="Garamond" w:cs="Times New Roman"/>
        </w:rPr>
      </w:pPr>
    </w:p>
    <w:p w14:paraId="69DE4F6E" w14:textId="140D4944" w:rsidR="009B1076" w:rsidRPr="00C05D6B" w:rsidRDefault="009B1076" w:rsidP="009B1076">
      <w:pPr>
        <w:ind w:firstLine="720"/>
        <w:rPr>
          <w:rFonts w:ascii="Garamond" w:hAnsi="Garamond" w:cs="Times New Roman"/>
        </w:rPr>
      </w:pPr>
      <w:r w:rsidRPr="00C05D6B">
        <w:rPr>
          <w:rFonts w:ascii="Garamond" w:hAnsi="Garamond" w:cs="Times New Roman"/>
        </w:rPr>
        <w:t xml:space="preserve">The </w:t>
      </w:r>
      <w:r w:rsidR="00F47A07" w:rsidRPr="00C05D6B">
        <w:rPr>
          <w:rFonts w:ascii="Garamond" w:hAnsi="Garamond" w:cs="Times New Roman"/>
        </w:rPr>
        <w:t>C</w:t>
      </w:r>
      <w:r w:rsidRPr="00C05D6B">
        <w:rPr>
          <w:rFonts w:ascii="Garamond" w:hAnsi="Garamond" w:cs="Times New Roman"/>
        </w:rPr>
        <w:t>ourt added, however, that “the detainees are entitled to notice and opportunity to be heard ‘appropriate to the nature of the case.’ Mullane v. Central Hanover Bank</w:t>
      </w:r>
      <w:r w:rsidR="00DA5FE7" w:rsidRPr="00C05D6B">
        <w:rPr>
          <w:rFonts w:ascii="Garamond" w:hAnsi="Garamond" w:cs="Times New Roman"/>
        </w:rPr>
        <w:fldChar w:fldCharType="begin"/>
      </w:r>
      <w:r w:rsidR="00DA5FE7" w:rsidRPr="00C05D6B">
        <w:rPr>
          <w:rFonts w:ascii="Garamond" w:hAnsi="Garamond"/>
        </w:rPr>
        <w:instrText xml:space="preserve"> TA \l "</w:instrText>
      </w:r>
      <w:r w:rsidR="00DA5FE7" w:rsidRPr="00C05D6B">
        <w:rPr>
          <w:rFonts w:ascii="Garamond" w:hAnsi="Garamond" w:cs="Times New Roman"/>
        </w:rPr>
        <w:instrText>Mullane v. Central Hanover Bank</w:instrText>
      </w:r>
      <w:r w:rsidR="00DA5FE7" w:rsidRPr="00C05D6B">
        <w:rPr>
          <w:rFonts w:ascii="Garamond" w:hAnsi="Garamond"/>
        </w:rPr>
        <w:instrText xml:space="preserve">" \s "Mullane v. Central Hanover Bank" \c 1 </w:instrText>
      </w:r>
      <w:r w:rsidR="00DA5FE7" w:rsidRPr="00C05D6B">
        <w:rPr>
          <w:rFonts w:ascii="Garamond" w:hAnsi="Garamond" w:cs="Times New Roman"/>
        </w:rPr>
        <w:fldChar w:fldCharType="end"/>
      </w:r>
      <w:r w:rsidRPr="00C05D6B">
        <w:rPr>
          <w:rFonts w:ascii="Garamond" w:hAnsi="Garamond" w:cs="Times New Roman"/>
        </w:rPr>
        <w:t xml:space="preserve"> (1950).” The notice constitutionally required under the circumstances of </w:t>
      </w:r>
      <w:r w:rsidR="00EA1625" w:rsidRPr="00C05D6B">
        <w:rPr>
          <w:rFonts w:ascii="Garamond" w:hAnsi="Garamond" w:cs="Times New Roman"/>
        </w:rPr>
        <w:t>Alien Enemies</w:t>
      </w:r>
      <w:r w:rsidRPr="00C05D6B">
        <w:rPr>
          <w:rFonts w:ascii="Garamond" w:hAnsi="Garamond" w:cs="Times New Roman"/>
        </w:rPr>
        <w:t xml:space="preserve"> Act</w:t>
      </w:r>
      <w:r w:rsidR="00DA5FE7" w:rsidRPr="00C05D6B">
        <w:rPr>
          <w:rFonts w:ascii="Garamond" w:hAnsi="Garamond" w:cs="Times New Roman"/>
        </w:rPr>
        <w:fldChar w:fldCharType="begin"/>
      </w:r>
      <w:r w:rsidR="00DA5FE7" w:rsidRPr="00C05D6B">
        <w:rPr>
          <w:rFonts w:ascii="Garamond" w:hAnsi="Garamond"/>
        </w:rPr>
        <w:instrText xml:space="preserve"> TA \s "Enemy Aliens Act" </w:instrText>
      </w:r>
      <w:r w:rsidR="00DA5FE7" w:rsidRPr="00C05D6B">
        <w:rPr>
          <w:rFonts w:ascii="Garamond" w:hAnsi="Garamond" w:cs="Times New Roman"/>
        </w:rPr>
        <w:fldChar w:fldCharType="end"/>
      </w:r>
      <w:r w:rsidRPr="00C05D6B">
        <w:rPr>
          <w:rFonts w:ascii="Garamond" w:hAnsi="Garamond" w:cs="Times New Roman"/>
        </w:rPr>
        <w:t xml:space="preserve"> removal, “must be</w:t>
      </w:r>
      <w:r w:rsidR="00F47A07" w:rsidRPr="00C05D6B">
        <w:rPr>
          <w:rFonts w:ascii="Garamond" w:hAnsi="Garamond" w:cs="Times New Roman"/>
        </w:rPr>
        <w:t xml:space="preserve"> . . .</w:t>
      </w:r>
      <w:r w:rsidRPr="00C05D6B">
        <w:rPr>
          <w:rFonts w:ascii="Garamond" w:hAnsi="Garamond" w:cs="Times New Roman"/>
        </w:rPr>
        <w:t xml:space="preserve"> within a reasonable time and in such a manner as will allow them to actually seek habeas relief in the proper venue before such removal occurs.”</w:t>
      </w:r>
    </w:p>
    <w:p w14:paraId="6ECEB307" w14:textId="77777777" w:rsidR="009B1076" w:rsidRPr="00C05D6B" w:rsidRDefault="009B1076" w:rsidP="009B1076">
      <w:pPr>
        <w:ind w:firstLine="720"/>
        <w:rPr>
          <w:rFonts w:ascii="Garamond" w:hAnsi="Garamond" w:cs="Times New Roman"/>
        </w:rPr>
      </w:pPr>
    </w:p>
    <w:p w14:paraId="109A1B3C" w14:textId="73925B8B" w:rsidR="009B1076" w:rsidRPr="00C05D6B" w:rsidRDefault="009B1076" w:rsidP="009B1076">
      <w:pPr>
        <w:ind w:firstLine="720"/>
        <w:rPr>
          <w:rFonts w:ascii="Garamond" w:hAnsi="Garamond" w:cs="Times New Roman"/>
        </w:rPr>
      </w:pPr>
      <w:r w:rsidRPr="00C05D6B">
        <w:rPr>
          <w:rFonts w:ascii="Garamond" w:hAnsi="Garamond" w:cs="Times New Roman"/>
        </w:rPr>
        <w:t>The plaintiffs accordingly refiled a class action habeas petition in federal court in Texas seeking injunctive relief against summary removal. A.A.R.P. v. Trump</w:t>
      </w:r>
      <w:r w:rsidR="00DA5FE7" w:rsidRPr="00C05D6B">
        <w:rPr>
          <w:rFonts w:ascii="Garamond" w:hAnsi="Garamond" w:cs="Times New Roman"/>
        </w:rPr>
        <w:fldChar w:fldCharType="begin"/>
      </w:r>
      <w:r w:rsidR="00DA5FE7" w:rsidRPr="00C05D6B">
        <w:rPr>
          <w:rFonts w:ascii="Garamond" w:hAnsi="Garamond"/>
        </w:rPr>
        <w:instrText xml:space="preserve"> TA \l "</w:instrText>
      </w:r>
      <w:r w:rsidR="00DA5FE7" w:rsidRPr="00C05D6B">
        <w:rPr>
          <w:rFonts w:ascii="Garamond" w:hAnsi="Garamond" w:cs="Times New Roman"/>
        </w:rPr>
        <w:instrText>A.A.R.P. v. Trump</w:instrText>
      </w:r>
      <w:r w:rsidR="00DA5FE7" w:rsidRPr="00C05D6B">
        <w:rPr>
          <w:rFonts w:ascii="Garamond" w:hAnsi="Garamond"/>
        </w:rPr>
        <w:instrText xml:space="preserve">" \s "A.A.R.P. v. Trump" \c 1 </w:instrText>
      </w:r>
      <w:r w:rsidR="00DA5FE7" w:rsidRPr="00C05D6B">
        <w:rPr>
          <w:rFonts w:ascii="Garamond" w:hAnsi="Garamond" w:cs="Times New Roman"/>
        </w:rPr>
        <w:fldChar w:fldCharType="end"/>
      </w:r>
      <w:r w:rsidRPr="00C05D6B">
        <w:rPr>
          <w:rFonts w:ascii="Garamond" w:hAnsi="Garamond" w:cs="Times New Roman"/>
        </w:rPr>
        <w:t xml:space="preserve"> (2025). When the district court denied the TRO, the government informed plaintiffs they could be removed as early as the next day. Plaintiffs then filed a new request for an “emergency TRO” at 12:30 am in the morning.  Hearing nothing from the court for twelve hours, they moved for a ruling or status hearing by 1:30 pm and roughly 90 minutes later they appealed the court’s “constructive denial” of the emergency TRO to the Fifth Circuit and to the Supreme Court.  </w:t>
      </w:r>
    </w:p>
    <w:p w14:paraId="284488C3" w14:textId="77777777" w:rsidR="009B1076" w:rsidRPr="00C05D6B" w:rsidRDefault="009B1076" w:rsidP="009B1076">
      <w:pPr>
        <w:ind w:firstLine="720"/>
        <w:rPr>
          <w:rFonts w:ascii="Garamond" w:hAnsi="Garamond" w:cs="Times New Roman"/>
        </w:rPr>
      </w:pPr>
    </w:p>
    <w:p w14:paraId="03139256" w14:textId="50CEC607" w:rsidR="009B1076" w:rsidRPr="00C05D6B" w:rsidRDefault="009B1076" w:rsidP="009B1076">
      <w:pPr>
        <w:ind w:firstLine="720"/>
        <w:rPr>
          <w:rFonts w:ascii="Garamond" w:hAnsi="Garamond" w:cs="Times New Roman"/>
        </w:rPr>
      </w:pPr>
      <w:r w:rsidRPr="00C05D6B">
        <w:rPr>
          <w:rFonts w:ascii="Garamond" w:hAnsi="Garamond" w:cs="Times New Roman"/>
        </w:rPr>
        <w:t xml:space="preserve">To preserve the status quo, the Supreme Court immediately ordered the government “not to remove any member of the putative class of detainees” from the United States. The Fifth Circuit then denied the TRO and dismissed their appeal for lack of jurisdiction.  </w:t>
      </w:r>
    </w:p>
    <w:p w14:paraId="63CB73FB" w14:textId="77777777" w:rsidR="009B1076" w:rsidRPr="00C05D6B" w:rsidRDefault="009B1076" w:rsidP="009B1076">
      <w:pPr>
        <w:ind w:firstLine="720"/>
        <w:rPr>
          <w:rFonts w:ascii="Garamond" w:hAnsi="Garamond" w:cs="Times New Roman"/>
        </w:rPr>
      </w:pPr>
    </w:p>
    <w:p w14:paraId="20E18FF0" w14:textId="6EB6D25B" w:rsidR="009B1076" w:rsidRPr="00C05D6B" w:rsidRDefault="009B1076" w:rsidP="009B1076">
      <w:pPr>
        <w:ind w:firstLine="720"/>
        <w:rPr>
          <w:rFonts w:ascii="Garamond" w:hAnsi="Garamond" w:cs="Times New Roman"/>
        </w:rPr>
      </w:pPr>
      <w:r w:rsidRPr="00C05D6B">
        <w:rPr>
          <w:rFonts w:ascii="Garamond" w:hAnsi="Garamond" w:cs="Times New Roman"/>
        </w:rPr>
        <w:lastRenderedPageBreak/>
        <w:t>The Supreme Court reversed. It held that the appellate courts have jurisdiction “to review interlocutory orders that have the practical effect of refusing an injunction,” emphasizing that “a district court’s inaction in the face of extreme urgency and a high risk of serious, perhaps irreparable, consequences may have the effect of refusing an injunction.” Here, the district court did nothing for “14 hours and 28 minutes” and that effectively “refused an injunction” despite the “imminent threat of severe, irreparable harm.” Citing Trump v. J.G.G</w:t>
      </w:r>
      <w:r w:rsidR="00DA5FE7" w:rsidRPr="00C05D6B">
        <w:rPr>
          <w:rFonts w:ascii="Garamond" w:hAnsi="Garamond" w:cs="Times New Roman"/>
        </w:rPr>
        <w:fldChar w:fldCharType="begin"/>
      </w:r>
      <w:r w:rsidR="00DA5FE7" w:rsidRPr="00C05D6B">
        <w:rPr>
          <w:rFonts w:ascii="Garamond" w:hAnsi="Garamond"/>
        </w:rPr>
        <w:instrText xml:space="preserve"> TA \s "Trump v. J.G.G." </w:instrText>
      </w:r>
      <w:r w:rsidR="00DA5FE7" w:rsidRPr="00C05D6B">
        <w:rPr>
          <w:rFonts w:ascii="Garamond" w:hAnsi="Garamond" w:cs="Times New Roman"/>
        </w:rPr>
        <w:fldChar w:fldCharType="end"/>
      </w:r>
      <w:r w:rsidRPr="00C05D6B">
        <w:rPr>
          <w:rFonts w:ascii="Garamond" w:hAnsi="Garamond" w:cs="Times New Roman"/>
        </w:rPr>
        <w:t xml:space="preserve">., the Court reasserted that due process applies to removal proceedings conducted pursuant to the </w:t>
      </w:r>
      <w:r w:rsidR="00EA1625" w:rsidRPr="00C05D6B">
        <w:rPr>
          <w:rFonts w:ascii="Garamond" w:hAnsi="Garamond" w:cs="Times New Roman"/>
        </w:rPr>
        <w:t>Alien Enemies</w:t>
      </w:r>
      <w:r w:rsidRPr="00C05D6B">
        <w:rPr>
          <w:rFonts w:ascii="Garamond" w:hAnsi="Garamond" w:cs="Times New Roman"/>
        </w:rPr>
        <w:t xml:space="preserve"> Act,</w:t>
      </w:r>
      <w:r w:rsidR="00DA5FE7" w:rsidRPr="00C05D6B">
        <w:rPr>
          <w:rFonts w:ascii="Garamond" w:hAnsi="Garamond" w:cs="Times New Roman"/>
        </w:rPr>
        <w:fldChar w:fldCharType="begin"/>
      </w:r>
      <w:r w:rsidR="00DA5FE7" w:rsidRPr="00C05D6B">
        <w:rPr>
          <w:rFonts w:ascii="Garamond" w:hAnsi="Garamond"/>
        </w:rPr>
        <w:instrText xml:space="preserve"> TA \s "</w:instrText>
      </w:r>
      <w:r w:rsidR="005048C0" w:rsidRPr="00C05D6B">
        <w:rPr>
          <w:rFonts w:ascii="Garamond" w:hAnsi="Garamond"/>
        </w:rPr>
        <w:instrText xml:space="preserve"> Alien Enemies Act</w:instrText>
      </w:r>
      <w:r w:rsidR="00DA5FE7" w:rsidRPr="00C05D6B">
        <w:rPr>
          <w:rFonts w:ascii="Garamond" w:hAnsi="Garamond"/>
        </w:rPr>
        <w:instrText xml:space="preserve">" </w:instrText>
      </w:r>
      <w:r w:rsidR="00DA5FE7" w:rsidRPr="00C05D6B">
        <w:rPr>
          <w:rFonts w:ascii="Garamond" w:hAnsi="Garamond" w:cs="Times New Roman"/>
        </w:rPr>
        <w:fldChar w:fldCharType="end"/>
      </w:r>
      <w:r w:rsidRPr="00C05D6B">
        <w:rPr>
          <w:rFonts w:ascii="Garamond" w:hAnsi="Garamond" w:cs="Times New Roman"/>
        </w:rPr>
        <w:t xml:space="preserve"> noting that the Court has “long held that no person shall be removed from the United States without opportunity, at some time, to be heard. The Japanese Immigrant Case</w:t>
      </w:r>
      <w:r w:rsidR="00E021F0" w:rsidRPr="00C05D6B">
        <w:rPr>
          <w:rFonts w:ascii="Garamond" w:hAnsi="Garamond" w:cs="Times New Roman"/>
        </w:rPr>
        <w:fldChar w:fldCharType="begin"/>
      </w:r>
      <w:r w:rsidR="00E021F0" w:rsidRPr="00C05D6B">
        <w:rPr>
          <w:rFonts w:ascii="Garamond" w:hAnsi="Garamond"/>
        </w:rPr>
        <w:instrText xml:space="preserve"> TA \l "</w:instrText>
      </w:r>
      <w:r w:rsidR="00E021F0" w:rsidRPr="00C05D6B">
        <w:rPr>
          <w:rFonts w:ascii="Garamond" w:hAnsi="Garamond" w:cs="Times New Roman"/>
        </w:rPr>
        <w:instrText>The Japanese Immigrant Case</w:instrText>
      </w:r>
      <w:r w:rsidR="00E021F0" w:rsidRPr="00C05D6B">
        <w:rPr>
          <w:rFonts w:ascii="Garamond" w:hAnsi="Garamond"/>
        </w:rPr>
        <w:instrText xml:space="preserve">" \s "Yamataya v. Fisher (The Japanese Immigrant Case" \c 1 </w:instrText>
      </w:r>
      <w:r w:rsidR="00E021F0" w:rsidRPr="00C05D6B">
        <w:rPr>
          <w:rFonts w:ascii="Garamond" w:hAnsi="Garamond" w:cs="Times New Roman"/>
        </w:rPr>
        <w:fldChar w:fldCharType="end"/>
      </w:r>
      <w:r w:rsidRPr="00C05D6B">
        <w:rPr>
          <w:rFonts w:ascii="Garamond" w:hAnsi="Garamond" w:cs="Times New Roman"/>
        </w:rPr>
        <w:t xml:space="preserve"> (1903). Due process requires notice that is ‘reasonably calculated, under all the circumstances, to apprise the interested parties’ and that ‘affords a reasonable time to make an appearance.’ </w:t>
      </w:r>
      <w:r w:rsidRPr="00C05D6B">
        <w:rPr>
          <w:rFonts w:ascii="Garamond" w:hAnsi="Garamond" w:cs="Times New Roman"/>
          <w:i/>
          <w:iCs/>
        </w:rPr>
        <w:t>Mullane</w:t>
      </w:r>
      <w:r w:rsidR="005048C0" w:rsidRPr="00C05D6B">
        <w:rPr>
          <w:rFonts w:ascii="Garamond" w:hAnsi="Garamond" w:cs="Times New Roman"/>
          <w:i/>
          <w:iCs/>
        </w:rPr>
        <w:fldChar w:fldCharType="begin"/>
      </w:r>
      <w:r w:rsidR="005048C0" w:rsidRPr="00C05D6B">
        <w:rPr>
          <w:rFonts w:ascii="Garamond" w:hAnsi="Garamond"/>
        </w:rPr>
        <w:instrText xml:space="preserve"> TA \s "Mullane v. Central Hanover Bank" </w:instrText>
      </w:r>
      <w:r w:rsidR="005048C0" w:rsidRPr="00C05D6B">
        <w:rPr>
          <w:rFonts w:ascii="Garamond" w:hAnsi="Garamond" w:cs="Times New Roman"/>
          <w:i/>
          <w:iCs/>
        </w:rPr>
        <w:fldChar w:fldCharType="end"/>
      </w:r>
      <w:r w:rsidRPr="00C05D6B">
        <w:rPr>
          <w:rFonts w:ascii="Garamond" w:hAnsi="Garamond" w:cs="Times New Roman"/>
        </w:rPr>
        <w:t>.” The government’s notice “roughly 24 hours before removal, devoid of information about how to exercise due process rights to contest that removal, surely does not pass muster.” The Court remanded the case to the Fifth Circuit to consider what kind of process would be fundamentally fair.</w:t>
      </w:r>
    </w:p>
    <w:p w14:paraId="569A1360" w14:textId="77777777" w:rsidR="009B1076" w:rsidRPr="00C05D6B" w:rsidRDefault="009B1076" w:rsidP="009B1076">
      <w:pPr>
        <w:ind w:firstLine="720"/>
        <w:rPr>
          <w:rFonts w:ascii="Garamond" w:hAnsi="Garamond" w:cs="Times New Roman"/>
        </w:rPr>
      </w:pPr>
    </w:p>
    <w:p w14:paraId="085BA17E" w14:textId="3B128612" w:rsidR="009B1076" w:rsidRPr="00C05D6B" w:rsidRDefault="009B1076" w:rsidP="009B1076">
      <w:pPr>
        <w:ind w:firstLine="720"/>
        <w:rPr>
          <w:rFonts w:ascii="Garamond" w:hAnsi="Garamond" w:cs="Times New Roman"/>
        </w:rPr>
      </w:pPr>
      <w:r w:rsidRPr="00C05D6B">
        <w:rPr>
          <w:rFonts w:ascii="Garamond" w:hAnsi="Garamond" w:cs="Times New Roman"/>
        </w:rPr>
        <w:t xml:space="preserve">All nine justices agreed in </w:t>
      </w:r>
      <w:r w:rsidRPr="00C05D6B">
        <w:rPr>
          <w:rFonts w:ascii="Garamond" w:hAnsi="Garamond" w:cs="Times New Roman"/>
          <w:i/>
          <w:iCs/>
        </w:rPr>
        <w:t>J.G.G.</w:t>
      </w:r>
      <w:r w:rsidR="00DA5FE7" w:rsidRPr="00C05D6B">
        <w:rPr>
          <w:rFonts w:ascii="Garamond" w:hAnsi="Garamond" w:cs="Times New Roman"/>
        </w:rPr>
        <w:t xml:space="preserve"> </w:t>
      </w:r>
      <w:r w:rsidR="00DA5FE7" w:rsidRPr="00C05D6B">
        <w:rPr>
          <w:rFonts w:ascii="Garamond" w:hAnsi="Garamond" w:cs="Times New Roman"/>
        </w:rPr>
        <w:fldChar w:fldCharType="begin"/>
      </w:r>
      <w:r w:rsidR="00DA5FE7" w:rsidRPr="00C05D6B">
        <w:rPr>
          <w:rFonts w:ascii="Garamond" w:hAnsi="Garamond"/>
        </w:rPr>
        <w:instrText xml:space="preserve"> TA \s "Trump v. J.G.G." </w:instrText>
      </w:r>
      <w:r w:rsidR="00DA5FE7" w:rsidRPr="00C05D6B">
        <w:rPr>
          <w:rFonts w:ascii="Garamond" w:hAnsi="Garamond" w:cs="Times New Roman"/>
        </w:rPr>
        <w:fldChar w:fldCharType="end"/>
      </w:r>
      <w:r w:rsidRPr="00C05D6B">
        <w:rPr>
          <w:rFonts w:ascii="Garamond" w:hAnsi="Garamond" w:cs="Times New Roman"/>
        </w:rPr>
        <w:t>that due process requires notice and an opportunity to be heard for Alien</w:t>
      </w:r>
      <w:r w:rsidR="00364403">
        <w:rPr>
          <w:rFonts w:ascii="Garamond" w:hAnsi="Garamond" w:cs="Times New Roman"/>
        </w:rPr>
        <w:t xml:space="preserve"> Enemies</w:t>
      </w:r>
      <w:r w:rsidRPr="00C05D6B">
        <w:rPr>
          <w:rFonts w:ascii="Garamond" w:hAnsi="Garamond" w:cs="Times New Roman"/>
        </w:rPr>
        <w:t xml:space="preserve"> Act</w:t>
      </w:r>
      <w:r w:rsidR="005048C0" w:rsidRPr="00C05D6B">
        <w:rPr>
          <w:rFonts w:ascii="Garamond" w:hAnsi="Garamond" w:cs="Times New Roman"/>
        </w:rPr>
        <w:fldChar w:fldCharType="begin"/>
      </w:r>
      <w:r w:rsidR="005048C0" w:rsidRPr="00C05D6B">
        <w:rPr>
          <w:rFonts w:ascii="Garamond" w:hAnsi="Garamond"/>
        </w:rPr>
        <w:instrText xml:space="preserve"> TA \s " Alien Enemies Act" </w:instrText>
      </w:r>
      <w:r w:rsidR="005048C0" w:rsidRPr="00C05D6B">
        <w:rPr>
          <w:rFonts w:ascii="Garamond" w:hAnsi="Garamond" w:cs="Times New Roman"/>
        </w:rPr>
        <w:fldChar w:fldCharType="end"/>
      </w:r>
      <w:r w:rsidRPr="00C05D6B">
        <w:rPr>
          <w:rFonts w:ascii="Garamond" w:hAnsi="Garamond" w:cs="Times New Roman"/>
        </w:rPr>
        <w:t xml:space="preserve"> removals. But four justices (Justice Sotomayor, joined by Justice Kagan, Jackson, and Barrett) dissented from the Court’s conclusion that the suit in the District of Columbia was improper and that habeas was the only vehicle for raising the due process claim. In </w:t>
      </w:r>
      <w:r w:rsidRPr="00C05D6B">
        <w:rPr>
          <w:rFonts w:ascii="Garamond" w:hAnsi="Garamond" w:cs="Times New Roman"/>
          <w:i/>
          <w:iCs/>
        </w:rPr>
        <w:t>A.A.R.P.</w:t>
      </w:r>
      <w:r w:rsidRPr="00C05D6B">
        <w:rPr>
          <w:rFonts w:ascii="Garamond" w:hAnsi="Garamond" w:cs="Times New Roman"/>
        </w:rPr>
        <w:t>,</w:t>
      </w:r>
      <w:r w:rsidR="00DA5FE7" w:rsidRPr="00C05D6B">
        <w:rPr>
          <w:rFonts w:ascii="Garamond" w:hAnsi="Garamond" w:cs="Times New Roman"/>
        </w:rPr>
        <w:fldChar w:fldCharType="begin"/>
      </w:r>
      <w:r w:rsidR="00DA5FE7" w:rsidRPr="00C05D6B">
        <w:rPr>
          <w:rFonts w:ascii="Garamond" w:hAnsi="Garamond"/>
        </w:rPr>
        <w:instrText xml:space="preserve"> TA \s "A.A.R.P. v. Trump" </w:instrText>
      </w:r>
      <w:r w:rsidR="00DA5FE7" w:rsidRPr="00C05D6B">
        <w:rPr>
          <w:rFonts w:ascii="Garamond" w:hAnsi="Garamond" w:cs="Times New Roman"/>
        </w:rPr>
        <w:fldChar w:fldCharType="end"/>
      </w:r>
      <w:r w:rsidRPr="00C05D6B">
        <w:rPr>
          <w:rFonts w:ascii="Garamond" w:hAnsi="Garamond" w:cs="Times New Roman"/>
        </w:rPr>
        <w:t xml:space="preserve"> Justices Alito and Thomas dissented, arguing that the plaintiffs failed to establish that they were in imminent danger of removal and that the record shows the district court was simply waiting for a government response rather than ignoring the emergency circumstances.</w:t>
      </w:r>
    </w:p>
    <w:p w14:paraId="6C9B8224" w14:textId="77777777" w:rsidR="009B1076" w:rsidRPr="00C05D6B" w:rsidRDefault="009B1076" w:rsidP="009B1076">
      <w:pPr>
        <w:ind w:firstLine="720"/>
        <w:rPr>
          <w:rFonts w:ascii="Garamond" w:hAnsi="Garamond" w:cs="Times New Roman"/>
        </w:rPr>
      </w:pPr>
    </w:p>
    <w:p w14:paraId="6621E72A" w14:textId="3FEFCB4F" w:rsidR="009B1076" w:rsidRPr="00C05D6B" w:rsidRDefault="009B1076" w:rsidP="009B1076">
      <w:pPr>
        <w:ind w:firstLine="720"/>
        <w:rPr>
          <w:rFonts w:ascii="Garamond" w:hAnsi="Garamond" w:cs="Times New Roman"/>
        </w:rPr>
      </w:pPr>
      <w:r w:rsidRPr="00C05D6B">
        <w:rPr>
          <w:rFonts w:ascii="Garamond" w:hAnsi="Garamond" w:cs="Times New Roman"/>
          <w:i/>
          <w:iCs/>
        </w:rPr>
        <w:t>J.G.G.</w:t>
      </w:r>
      <w:r w:rsidR="00DA5FE7" w:rsidRPr="00C05D6B">
        <w:rPr>
          <w:rFonts w:ascii="Garamond" w:hAnsi="Garamond" w:cs="Times New Roman"/>
        </w:rPr>
        <w:t xml:space="preserve"> </w:t>
      </w:r>
      <w:r w:rsidR="00DA5FE7" w:rsidRPr="00C05D6B">
        <w:rPr>
          <w:rFonts w:ascii="Garamond" w:hAnsi="Garamond" w:cs="Times New Roman"/>
        </w:rPr>
        <w:fldChar w:fldCharType="begin"/>
      </w:r>
      <w:r w:rsidR="00DA5FE7" w:rsidRPr="00C05D6B">
        <w:rPr>
          <w:rFonts w:ascii="Garamond" w:hAnsi="Garamond"/>
        </w:rPr>
        <w:instrText xml:space="preserve"> TA \s "Trump v. J.G.G." </w:instrText>
      </w:r>
      <w:r w:rsidR="00DA5FE7" w:rsidRPr="00C05D6B">
        <w:rPr>
          <w:rFonts w:ascii="Garamond" w:hAnsi="Garamond" w:cs="Times New Roman"/>
        </w:rPr>
        <w:fldChar w:fldCharType="end"/>
      </w:r>
      <w:r w:rsidRPr="00C05D6B">
        <w:rPr>
          <w:rFonts w:ascii="Garamond" w:hAnsi="Garamond" w:cs="Times New Roman"/>
        </w:rPr>
        <w:t xml:space="preserve">and </w:t>
      </w:r>
      <w:r w:rsidRPr="00C05D6B">
        <w:rPr>
          <w:rFonts w:ascii="Garamond" w:hAnsi="Garamond" w:cs="Times New Roman"/>
          <w:i/>
          <w:iCs/>
        </w:rPr>
        <w:t>A.A.R.P.</w:t>
      </w:r>
      <w:r w:rsidR="00DA5FE7" w:rsidRPr="00C05D6B">
        <w:rPr>
          <w:rFonts w:ascii="Garamond" w:hAnsi="Garamond" w:cs="Times New Roman"/>
        </w:rPr>
        <w:t xml:space="preserve"> </w:t>
      </w:r>
      <w:r w:rsidR="00DA5FE7" w:rsidRPr="00C05D6B">
        <w:rPr>
          <w:rFonts w:ascii="Garamond" w:hAnsi="Garamond" w:cs="Times New Roman"/>
        </w:rPr>
        <w:fldChar w:fldCharType="begin"/>
      </w:r>
      <w:r w:rsidR="00DA5FE7" w:rsidRPr="00C05D6B">
        <w:rPr>
          <w:rFonts w:ascii="Garamond" w:hAnsi="Garamond"/>
        </w:rPr>
        <w:instrText xml:space="preserve"> TA \s "A.A.R.P. v. Trump" </w:instrText>
      </w:r>
      <w:r w:rsidR="00DA5FE7" w:rsidRPr="00C05D6B">
        <w:rPr>
          <w:rFonts w:ascii="Garamond" w:hAnsi="Garamond" w:cs="Times New Roman"/>
        </w:rPr>
        <w:fldChar w:fldCharType="end"/>
      </w:r>
      <w:r w:rsidRPr="00C05D6B">
        <w:rPr>
          <w:rFonts w:ascii="Garamond" w:hAnsi="Garamond" w:cs="Times New Roman"/>
        </w:rPr>
        <w:t>directly connect habeas and due process</w:t>
      </w:r>
      <w:r w:rsidR="00DD16D0" w:rsidRPr="00C05D6B">
        <w:rPr>
          <w:rFonts w:ascii="Garamond" w:hAnsi="Garamond" w:cs="Times New Roman"/>
        </w:rPr>
        <w:t>—</w:t>
      </w:r>
      <w:r w:rsidRPr="00C05D6B">
        <w:rPr>
          <w:rFonts w:ascii="Garamond" w:hAnsi="Garamond" w:cs="Times New Roman"/>
        </w:rPr>
        <w:t xml:space="preserve">habeas is the jurisdictional vehicle for ensuring procedural due process in these removal cases. Neither case cites </w:t>
      </w:r>
      <w:proofErr w:type="spellStart"/>
      <w:r w:rsidRPr="00C05D6B">
        <w:rPr>
          <w:rFonts w:ascii="Garamond" w:hAnsi="Garamond" w:cs="Times New Roman"/>
          <w:i/>
          <w:iCs/>
        </w:rPr>
        <w:t>Thuraissigiam</w:t>
      </w:r>
      <w:proofErr w:type="spellEnd"/>
      <w:r w:rsidRPr="00C05D6B">
        <w:rPr>
          <w:rFonts w:ascii="Garamond" w:hAnsi="Garamond" w:cs="Times New Roman"/>
        </w:rPr>
        <w:t xml:space="preserve">.  Can that case’s claim that the core remedy for habeas is release, not additional procedural protection, be reconciled with </w:t>
      </w:r>
      <w:r w:rsidRPr="00C05D6B">
        <w:rPr>
          <w:rFonts w:ascii="Garamond" w:hAnsi="Garamond" w:cs="Times New Roman"/>
          <w:i/>
          <w:iCs/>
        </w:rPr>
        <w:t>J.G.G.</w:t>
      </w:r>
      <w:r w:rsidR="00DA5FE7" w:rsidRPr="00C05D6B">
        <w:rPr>
          <w:rFonts w:ascii="Garamond" w:hAnsi="Garamond" w:cs="Times New Roman"/>
        </w:rPr>
        <w:t xml:space="preserve"> </w:t>
      </w:r>
      <w:r w:rsidR="00DA5FE7" w:rsidRPr="00C05D6B">
        <w:rPr>
          <w:rFonts w:ascii="Garamond" w:hAnsi="Garamond" w:cs="Times New Roman"/>
        </w:rPr>
        <w:fldChar w:fldCharType="begin"/>
      </w:r>
      <w:r w:rsidR="00DA5FE7" w:rsidRPr="00C05D6B">
        <w:rPr>
          <w:rFonts w:ascii="Garamond" w:hAnsi="Garamond"/>
        </w:rPr>
        <w:instrText xml:space="preserve"> TA \s "Trump v. J.G.G." </w:instrText>
      </w:r>
      <w:r w:rsidR="00DA5FE7" w:rsidRPr="00C05D6B">
        <w:rPr>
          <w:rFonts w:ascii="Garamond" w:hAnsi="Garamond" w:cs="Times New Roman"/>
        </w:rPr>
        <w:fldChar w:fldCharType="end"/>
      </w:r>
      <w:r w:rsidRPr="00C05D6B">
        <w:rPr>
          <w:rFonts w:ascii="Garamond" w:hAnsi="Garamond" w:cs="Times New Roman"/>
        </w:rPr>
        <w:t xml:space="preserve">and </w:t>
      </w:r>
      <w:r w:rsidRPr="00C05D6B">
        <w:rPr>
          <w:rFonts w:ascii="Garamond" w:hAnsi="Garamond" w:cs="Times New Roman"/>
          <w:i/>
          <w:iCs/>
        </w:rPr>
        <w:t>A.A.R.P.</w:t>
      </w:r>
      <w:r w:rsidR="00DA5FE7" w:rsidRPr="00C05D6B">
        <w:rPr>
          <w:rFonts w:ascii="Garamond" w:hAnsi="Garamond" w:cs="Times New Roman"/>
        </w:rPr>
        <w:fldChar w:fldCharType="begin"/>
      </w:r>
      <w:r w:rsidR="00DA5FE7" w:rsidRPr="00C05D6B">
        <w:rPr>
          <w:rFonts w:ascii="Garamond" w:hAnsi="Garamond"/>
        </w:rPr>
        <w:instrText xml:space="preserve"> TA \s "A.A.R.P. v. Trump" </w:instrText>
      </w:r>
      <w:r w:rsidR="00DA5FE7" w:rsidRPr="00C05D6B">
        <w:rPr>
          <w:rFonts w:ascii="Garamond" w:hAnsi="Garamond" w:cs="Times New Roman"/>
        </w:rPr>
        <w:fldChar w:fldCharType="end"/>
      </w:r>
      <w:r w:rsidRPr="00C05D6B">
        <w:rPr>
          <w:rFonts w:ascii="Garamond" w:hAnsi="Garamond" w:cs="Times New Roman"/>
        </w:rPr>
        <w:t xml:space="preserve">?  Perhaps one way to do so is to read </w:t>
      </w:r>
      <w:proofErr w:type="spellStart"/>
      <w:r w:rsidRPr="00C05D6B">
        <w:rPr>
          <w:rFonts w:ascii="Garamond" w:hAnsi="Garamond" w:cs="Times New Roman"/>
          <w:i/>
          <w:iCs/>
        </w:rPr>
        <w:t>Thuraissigiam</w:t>
      </w:r>
      <w:r w:rsidRPr="00C05D6B">
        <w:rPr>
          <w:rFonts w:ascii="Garamond" w:hAnsi="Garamond" w:cs="Times New Roman"/>
        </w:rPr>
        <w:t>’s</w:t>
      </w:r>
      <w:proofErr w:type="spellEnd"/>
      <w:r w:rsidRPr="00C05D6B">
        <w:rPr>
          <w:rFonts w:ascii="Garamond" w:hAnsi="Garamond" w:cs="Times New Roman"/>
        </w:rPr>
        <w:t xml:space="preserve"> habeas and due process analysis as limited to its facts</w:t>
      </w:r>
      <w:r w:rsidR="00DD16D0" w:rsidRPr="00C05D6B">
        <w:rPr>
          <w:rFonts w:ascii="Garamond" w:hAnsi="Garamond" w:cs="Times New Roman"/>
        </w:rPr>
        <w:t>—</w:t>
      </w:r>
      <w:r w:rsidRPr="00C05D6B">
        <w:rPr>
          <w:rFonts w:ascii="Garamond" w:hAnsi="Garamond" w:cs="Times New Roman"/>
        </w:rPr>
        <w:t xml:space="preserve">i.e., detentions “at the border” and subject to the INA’s expedited removal proceedings. On the other hand, it is remarkable, in light of </w:t>
      </w:r>
      <w:proofErr w:type="spellStart"/>
      <w:r w:rsidRPr="00C05D6B">
        <w:rPr>
          <w:rFonts w:ascii="Garamond" w:hAnsi="Garamond" w:cs="Times New Roman"/>
          <w:i/>
          <w:iCs/>
        </w:rPr>
        <w:t>Thuraissigiam</w:t>
      </w:r>
      <w:proofErr w:type="spellEnd"/>
      <w:r w:rsidRPr="00C05D6B">
        <w:rPr>
          <w:rFonts w:ascii="Garamond" w:hAnsi="Garamond" w:cs="Times New Roman"/>
        </w:rPr>
        <w:t xml:space="preserve">, to read the Court describe due process prior to removal as “core” to the writ. Indeed, in a separate concurring opinion in </w:t>
      </w:r>
      <w:r w:rsidRPr="00C05D6B">
        <w:rPr>
          <w:rFonts w:ascii="Garamond" w:hAnsi="Garamond" w:cs="Times New Roman"/>
          <w:i/>
          <w:iCs/>
        </w:rPr>
        <w:t>J.G.G.</w:t>
      </w:r>
      <w:r w:rsidRPr="00C05D6B">
        <w:rPr>
          <w:rFonts w:ascii="Garamond" w:hAnsi="Garamond" w:cs="Times New Roman"/>
        </w:rPr>
        <w:t>,</w:t>
      </w:r>
      <w:r w:rsidR="00DA5FE7" w:rsidRPr="00C05D6B">
        <w:rPr>
          <w:rFonts w:ascii="Garamond" w:hAnsi="Garamond" w:cs="Times New Roman"/>
        </w:rPr>
        <w:fldChar w:fldCharType="begin"/>
      </w:r>
      <w:r w:rsidR="00DA5FE7" w:rsidRPr="00C05D6B">
        <w:rPr>
          <w:rFonts w:ascii="Garamond" w:hAnsi="Garamond"/>
        </w:rPr>
        <w:instrText xml:space="preserve"> TA \s "Trump v. J.G.G." </w:instrText>
      </w:r>
      <w:r w:rsidR="00DA5FE7" w:rsidRPr="00C05D6B">
        <w:rPr>
          <w:rFonts w:ascii="Garamond" w:hAnsi="Garamond" w:cs="Times New Roman"/>
        </w:rPr>
        <w:fldChar w:fldCharType="end"/>
      </w:r>
      <w:r w:rsidRPr="00C05D6B">
        <w:rPr>
          <w:rFonts w:ascii="Garamond" w:hAnsi="Garamond" w:cs="Times New Roman"/>
        </w:rPr>
        <w:t xml:space="preserve"> Justice Kavanaugh stresses the historical pedigree of habeas as </w:t>
      </w:r>
      <w:r w:rsidR="00BB2D15">
        <w:rPr>
          <w:rFonts w:ascii="Garamond" w:hAnsi="Garamond" w:cs="Times New Roman"/>
        </w:rPr>
        <w:t xml:space="preserve">a </w:t>
      </w:r>
      <w:r w:rsidRPr="00C05D6B">
        <w:rPr>
          <w:rFonts w:ascii="Garamond" w:hAnsi="Garamond" w:cs="Times New Roman"/>
        </w:rPr>
        <w:t>check on improper extra-territorial “transfers” of detainees: “going back to the English Habeas Corpus Act of 16</w:t>
      </w:r>
      <w:r w:rsidR="00C46E5E" w:rsidRPr="00C05D6B">
        <w:rPr>
          <w:rFonts w:ascii="Garamond" w:hAnsi="Garamond" w:cs="Times New Roman"/>
        </w:rPr>
        <w:t>7</w:t>
      </w:r>
      <w:r w:rsidRPr="00C05D6B">
        <w:rPr>
          <w:rFonts w:ascii="Garamond" w:hAnsi="Garamond" w:cs="Times New Roman"/>
        </w:rPr>
        <w:t>9</w:t>
      </w:r>
      <w:r w:rsidR="00E021F0" w:rsidRPr="00C05D6B">
        <w:rPr>
          <w:rFonts w:ascii="Garamond" w:hAnsi="Garamond" w:cs="Times New Roman"/>
        </w:rPr>
        <w:fldChar w:fldCharType="begin"/>
      </w:r>
      <w:r w:rsidR="00E021F0" w:rsidRPr="00C05D6B">
        <w:rPr>
          <w:rFonts w:ascii="Garamond" w:hAnsi="Garamond"/>
        </w:rPr>
        <w:instrText xml:space="preserve"> TA \l "</w:instrText>
      </w:r>
      <w:r w:rsidR="00E021F0" w:rsidRPr="00C05D6B">
        <w:rPr>
          <w:rFonts w:ascii="Garamond" w:hAnsi="Garamond" w:cs="Times New Roman"/>
        </w:rPr>
        <w:instrText>English Habeas Corpus Act of 1769</w:instrText>
      </w:r>
      <w:r w:rsidR="00E021F0" w:rsidRPr="00C05D6B">
        <w:rPr>
          <w:rFonts w:ascii="Garamond" w:hAnsi="Garamond"/>
        </w:rPr>
        <w:instrText xml:space="preserve">" \s "English Habeas Corpus Act of 1769" \c </w:instrText>
      </w:r>
      <w:r w:rsidR="007B7806">
        <w:rPr>
          <w:rFonts w:ascii="Garamond" w:hAnsi="Garamond"/>
        </w:rPr>
        <w:instrText>2</w:instrText>
      </w:r>
      <w:r w:rsidR="00E021F0" w:rsidRPr="00C05D6B">
        <w:rPr>
          <w:rFonts w:ascii="Garamond" w:hAnsi="Garamond"/>
        </w:rPr>
        <w:instrText xml:space="preserve"> </w:instrText>
      </w:r>
      <w:r w:rsidR="00E021F0" w:rsidRPr="00C05D6B">
        <w:rPr>
          <w:rFonts w:ascii="Garamond" w:hAnsi="Garamond" w:cs="Times New Roman"/>
        </w:rPr>
        <w:fldChar w:fldCharType="end"/>
      </w:r>
      <w:r w:rsidRPr="00C05D6B">
        <w:rPr>
          <w:rFonts w:ascii="Garamond" w:hAnsi="Garamond" w:cs="Times New Roman"/>
        </w:rPr>
        <w:t>, if not ear</w:t>
      </w:r>
      <w:r w:rsidR="00C46E5E" w:rsidRPr="00C05D6B">
        <w:rPr>
          <w:rFonts w:ascii="Garamond" w:hAnsi="Garamond" w:cs="Times New Roman"/>
        </w:rPr>
        <w:t>lier</w:t>
      </w:r>
      <w:r w:rsidRPr="00C05D6B">
        <w:rPr>
          <w:rFonts w:ascii="Garamond" w:hAnsi="Garamond" w:cs="Times New Roman"/>
        </w:rPr>
        <w:t xml:space="preserve">, habeas has been the proper vehicle for detainees to bring claims seeking to bar their transfers.”  </w:t>
      </w:r>
    </w:p>
    <w:p w14:paraId="4E80AEE2" w14:textId="77777777" w:rsidR="0059686E" w:rsidRPr="00C05D6B" w:rsidRDefault="0059686E" w:rsidP="009B1076">
      <w:pPr>
        <w:ind w:firstLine="720"/>
        <w:rPr>
          <w:rFonts w:ascii="Garamond" w:hAnsi="Garamond" w:cs="Times New Roman"/>
        </w:rPr>
      </w:pPr>
    </w:p>
    <w:p w14:paraId="0A75BDB0" w14:textId="286EC570" w:rsidR="0059686E" w:rsidRPr="00C05D6B" w:rsidRDefault="0059686E" w:rsidP="0059686E">
      <w:pPr>
        <w:ind w:firstLine="720"/>
        <w:rPr>
          <w:rFonts w:ascii="Garamond" w:hAnsi="Garamond" w:cs="Times New Roman"/>
        </w:rPr>
      </w:pPr>
      <w:r w:rsidRPr="00C05D6B">
        <w:rPr>
          <w:rFonts w:ascii="Garamond" w:hAnsi="Garamond" w:cs="Times New Roman"/>
        </w:rPr>
        <w:t xml:space="preserve">The administration has also substantially expanded expedited removal, the proceeding at issue in </w:t>
      </w:r>
      <w:proofErr w:type="spellStart"/>
      <w:r w:rsidRPr="00C05D6B">
        <w:rPr>
          <w:rFonts w:ascii="Garamond" w:hAnsi="Garamond" w:cs="Times New Roman"/>
          <w:i/>
          <w:iCs/>
        </w:rPr>
        <w:t>Thuraissigiam</w:t>
      </w:r>
      <w:proofErr w:type="spellEnd"/>
      <w:r w:rsidRPr="00C05D6B">
        <w:rPr>
          <w:rFonts w:ascii="Garamond" w:hAnsi="Garamond" w:cs="Times New Roman"/>
        </w:rPr>
        <w:t>, by applying it beyond detentions at the border. Under the statutory provisions authorizing expedited removal, anyone who has not been (a) admitted, (b) paroled into the United States, (c) deemed an unaccompanied minor, or (d) “affirmatively shown to the satisfaction of an immigration officer that the alien has been physically present in the United States continuously” for two years, is subject to expedited removal. 8 U.S.C. § 1225(b)(1)(A)(iii)</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8 U.S.C. § 1225(b)(1)(A)(iii)</w:instrText>
      </w:r>
      <w:r w:rsidR="00887802" w:rsidRPr="00C05D6B">
        <w:rPr>
          <w:rFonts w:ascii="Garamond" w:hAnsi="Garamond"/>
        </w:rPr>
        <w:instrText xml:space="preserve">" \s "8 U.S.C. § 1225(b)(1)(A)(iii)" \c 2 </w:instrText>
      </w:r>
      <w:r w:rsidR="00887802" w:rsidRPr="00C05D6B">
        <w:rPr>
          <w:rFonts w:ascii="Garamond" w:hAnsi="Garamond" w:cs="Times New Roman"/>
        </w:rPr>
        <w:fldChar w:fldCharType="end"/>
      </w:r>
      <w:r w:rsidRPr="00C05D6B">
        <w:rPr>
          <w:rFonts w:ascii="Garamond" w:hAnsi="Garamond" w:cs="Times New Roman"/>
        </w:rPr>
        <w:t xml:space="preserve">. Although prior administrative regulations limited use of this authority to detentions at or near the border, as in </w:t>
      </w:r>
      <w:proofErr w:type="spellStart"/>
      <w:r w:rsidRPr="00C05D6B">
        <w:rPr>
          <w:rFonts w:ascii="Garamond" w:hAnsi="Garamond" w:cs="Times New Roman"/>
          <w:i/>
          <w:iCs/>
        </w:rPr>
        <w:t>Thuraissigiam</w:t>
      </w:r>
      <w:proofErr w:type="spellEnd"/>
      <w:r w:rsidRPr="00C05D6B">
        <w:rPr>
          <w:rFonts w:ascii="Garamond" w:hAnsi="Garamond" w:cs="Times New Roman"/>
        </w:rPr>
        <w:t xml:space="preserve">, the White House eliminated these limitations in 2025 by adopting a policy of nationwide expedited removal in support of its mass deportation policy.  </w:t>
      </w:r>
    </w:p>
    <w:p w14:paraId="359B272A" w14:textId="77777777" w:rsidR="0059686E" w:rsidRPr="00C05D6B" w:rsidRDefault="0059686E" w:rsidP="0059686E">
      <w:pPr>
        <w:ind w:firstLine="720"/>
        <w:rPr>
          <w:rFonts w:ascii="Garamond" w:hAnsi="Garamond" w:cs="Times New Roman"/>
        </w:rPr>
      </w:pPr>
    </w:p>
    <w:p w14:paraId="7FDE4258" w14:textId="6472190F" w:rsidR="0059686E" w:rsidRPr="00C05D6B" w:rsidRDefault="0059686E" w:rsidP="0059686E">
      <w:pPr>
        <w:ind w:firstLine="720"/>
        <w:rPr>
          <w:rFonts w:ascii="Garamond" w:hAnsi="Garamond" w:cs="Times New Roman"/>
        </w:rPr>
      </w:pPr>
      <w:r w:rsidRPr="00C05D6B">
        <w:rPr>
          <w:rFonts w:ascii="Garamond" w:hAnsi="Garamond" w:cs="Times New Roman"/>
        </w:rPr>
        <w:t xml:space="preserve">Immigrants’ rights groups sought injunctive relief a day after the policy was announced. The district court granted a TRO, relying on a study suggesting that as many as 15 percent of people subject to expedited removal were never referred to an asylum officer despite expressing a fear of </w:t>
      </w:r>
      <w:r w:rsidRPr="00C05D6B">
        <w:rPr>
          <w:rFonts w:ascii="Garamond" w:hAnsi="Garamond" w:cs="Times New Roman"/>
        </w:rPr>
        <w:lastRenderedPageBreak/>
        <w:t>persecution if returned to their home country; evidence that citizens, unaccompanied minors, and people claiming asylum have been unlawfully removed; and evidence that immigrants who are stopped by immigration agents often do not have paperwork in their possession to prove that they have been in the country longer than two years. Make the Road New York v. Mullin</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Make the Road New York v. Mullin</w:instrText>
      </w:r>
      <w:r w:rsidR="00887802" w:rsidRPr="00C05D6B">
        <w:rPr>
          <w:rFonts w:ascii="Garamond" w:hAnsi="Garamond"/>
        </w:rPr>
        <w:instrText xml:space="preserve">" \s "Make the Road New York v. Mullin" \c 1 </w:instrText>
      </w:r>
      <w:r w:rsidR="00887802" w:rsidRPr="00C05D6B">
        <w:rPr>
          <w:rFonts w:ascii="Garamond" w:hAnsi="Garamond" w:cs="Times New Roman"/>
        </w:rPr>
        <w:fldChar w:fldCharType="end"/>
      </w:r>
      <w:r w:rsidRPr="00C05D6B">
        <w:rPr>
          <w:rFonts w:ascii="Garamond" w:hAnsi="Garamond" w:cs="Times New Roman"/>
        </w:rPr>
        <w:t xml:space="preserve"> (D.C. Cir. 2026). The TRO was predicated on 5 U.S.C. § 705</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5 U.S.C. § 705</w:instrText>
      </w:r>
      <w:r w:rsidR="00887802" w:rsidRPr="00C05D6B">
        <w:rPr>
          <w:rFonts w:ascii="Garamond" w:hAnsi="Garamond"/>
        </w:rPr>
        <w:instrText xml:space="preserve">" \s "5 U.S.C. § 705" \c 2 </w:instrText>
      </w:r>
      <w:r w:rsidR="00887802" w:rsidRPr="00C05D6B">
        <w:rPr>
          <w:rFonts w:ascii="Garamond" w:hAnsi="Garamond" w:cs="Times New Roman"/>
        </w:rPr>
        <w:fldChar w:fldCharType="end"/>
      </w:r>
      <w:r w:rsidRPr="00C05D6B">
        <w:rPr>
          <w:rFonts w:ascii="Garamond" w:hAnsi="Garamond" w:cs="Times New Roman"/>
        </w:rPr>
        <w:t xml:space="preserve"> of the Administrative Procedure Act</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Administrative Procedure Act</w:instrText>
      </w:r>
      <w:r w:rsidR="00887802" w:rsidRPr="00C05D6B">
        <w:rPr>
          <w:rFonts w:ascii="Garamond" w:hAnsi="Garamond"/>
        </w:rPr>
        <w:instrText xml:space="preserve">" \s "Administrative Procedure Act" \c 2 </w:instrText>
      </w:r>
      <w:r w:rsidR="00887802" w:rsidRPr="00C05D6B">
        <w:rPr>
          <w:rFonts w:ascii="Garamond" w:hAnsi="Garamond" w:cs="Times New Roman"/>
        </w:rPr>
        <w:fldChar w:fldCharType="end"/>
      </w:r>
      <w:r w:rsidRPr="00C05D6B">
        <w:rPr>
          <w:rFonts w:ascii="Garamond" w:hAnsi="Garamond" w:cs="Times New Roman"/>
        </w:rPr>
        <w:t>, which allows a court to stay administrative action pending judicial review, and 8 U.S.C. § 1252(e)(3)</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8 U.S.C. § 1252(e)(3)</w:instrText>
      </w:r>
      <w:r w:rsidR="00887802" w:rsidRPr="00C05D6B">
        <w:rPr>
          <w:rFonts w:ascii="Garamond" w:hAnsi="Garamond"/>
        </w:rPr>
        <w:instrText xml:space="preserve">" \s "8 U.S.C. § 1252(e)(3)" \c 2 </w:instrText>
      </w:r>
      <w:r w:rsidR="00887802" w:rsidRPr="00C05D6B">
        <w:rPr>
          <w:rFonts w:ascii="Garamond" w:hAnsi="Garamond" w:cs="Times New Roman"/>
        </w:rPr>
        <w:fldChar w:fldCharType="end"/>
      </w:r>
      <w:r w:rsidRPr="00C05D6B">
        <w:rPr>
          <w:rFonts w:ascii="Garamond" w:hAnsi="Garamond" w:cs="Times New Roman"/>
        </w:rPr>
        <w:t>, which channels claims regarding the constitutionality and statutory legitimacy of INA policy regulations to the federal courts of the District of Columbia.</w:t>
      </w:r>
    </w:p>
    <w:p w14:paraId="0CA4186B" w14:textId="77777777" w:rsidR="0059686E" w:rsidRPr="00C05D6B" w:rsidRDefault="0059686E" w:rsidP="0059686E">
      <w:pPr>
        <w:ind w:firstLine="720"/>
        <w:rPr>
          <w:rFonts w:ascii="Garamond" w:hAnsi="Garamond" w:cs="Times New Roman"/>
        </w:rPr>
      </w:pPr>
    </w:p>
    <w:p w14:paraId="0E496A4F" w14:textId="4220181A" w:rsidR="0059686E" w:rsidRPr="00C05D6B" w:rsidRDefault="0059686E" w:rsidP="0059686E">
      <w:pPr>
        <w:ind w:firstLine="720"/>
        <w:rPr>
          <w:rFonts w:ascii="Garamond" w:hAnsi="Garamond" w:cs="Times New Roman"/>
        </w:rPr>
      </w:pPr>
      <w:r w:rsidRPr="00C05D6B">
        <w:rPr>
          <w:rFonts w:ascii="Garamond" w:hAnsi="Garamond" w:cs="Times New Roman"/>
        </w:rPr>
        <w:t xml:space="preserve">The D.C. Circuit Court reversed. The court held that under </w:t>
      </w:r>
      <w:r w:rsidRPr="00C05D6B">
        <w:rPr>
          <w:rFonts w:ascii="Garamond" w:hAnsi="Garamond" w:cs="Times New Roman"/>
          <w:i/>
          <w:iCs/>
        </w:rPr>
        <w:t>A.A.R.P</w:t>
      </w:r>
      <w:r w:rsidRPr="00C05D6B">
        <w:rPr>
          <w:rFonts w:ascii="Garamond" w:hAnsi="Garamond" w:cs="Times New Roman"/>
        </w:rPr>
        <w:t xml:space="preserve">., the proper due process test is the more limited “reasonably calculated” notice standard of </w:t>
      </w:r>
      <w:r w:rsidRPr="00C05D6B">
        <w:rPr>
          <w:rFonts w:ascii="Garamond" w:hAnsi="Garamond" w:cs="Times New Roman"/>
          <w:i/>
          <w:iCs/>
        </w:rPr>
        <w:t>Mullane</w:t>
      </w:r>
      <w:r w:rsidR="00887802" w:rsidRPr="00C05D6B">
        <w:rPr>
          <w:rFonts w:ascii="Garamond" w:hAnsi="Garamond" w:cs="Times New Roman"/>
          <w:i/>
          <w:iCs/>
        </w:rPr>
        <w:fldChar w:fldCharType="begin"/>
      </w:r>
      <w:r w:rsidR="00887802" w:rsidRPr="00C05D6B">
        <w:rPr>
          <w:rFonts w:ascii="Garamond" w:hAnsi="Garamond"/>
        </w:rPr>
        <w:instrText xml:space="preserve"> TA \s "Mullane v. Central Hanover Bank" </w:instrText>
      </w:r>
      <w:r w:rsidR="00887802" w:rsidRPr="00C05D6B">
        <w:rPr>
          <w:rFonts w:ascii="Garamond" w:hAnsi="Garamond" w:cs="Times New Roman"/>
          <w:i/>
          <w:iCs/>
        </w:rPr>
        <w:fldChar w:fldCharType="end"/>
      </w:r>
      <w:r w:rsidRPr="00C05D6B">
        <w:rPr>
          <w:rFonts w:ascii="Garamond" w:hAnsi="Garamond" w:cs="Times New Roman"/>
        </w:rPr>
        <w:t xml:space="preserve">, not the broader </w:t>
      </w:r>
      <w:r w:rsidRPr="00C05D6B">
        <w:rPr>
          <w:rFonts w:ascii="Garamond" w:hAnsi="Garamond" w:cs="Times New Roman"/>
          <w:i/>
          <w:iCs/>
        </w:rPr>
        <w:t>Mathews</w:t>
      </w:r>
      <w:r w:rsidRPr="00C05D6B">
        <w:rPr>
          <w:rFonts w:ascii="Garamond" w:hAnsi="Garamond" w:cs="Times New Roman"/>
        </w:rPr>
        <w:t xml:space="preserve"> test concerned with interest balancing and the risk of error. Applying </w:t>
      </w:r>
      <w:r w:rsidRPr="00C05D6B">
        <w:rPr>
          <w:rFonts w:ascii="Garamond" w:hAnsi="Garamond" w:cs="Times New Roman"/>
          <w:i/>
          <w:iCs/>
        </w:rPr>
        <w:t>Mullane</w:t>
      </w:r>
      <w:r w:rsidR="00887802" w:rsidRPr="00C05D6B">
        <w:rPr>
          <w:rFonts w:ascii="Garamond" w:hAnsi="Garamond" w:cs="Times New Roman"/>
          <w:i/>
          <w:iCs/>
        </w:rPr>
        <w:fldChar w:fldCharType="begin"/>
      </w:r>
      <w:r w:rsidR="00887802" w:rsidRPr="00C05D6B">
        <w:rPr>
          <w:rFonts w:ascii="Garamond" w:hAnsi="Garamond"/>
        </w:rPr>
        <w:instrText xml:space="preserve"> TA \s "Mullane v. Central Hanover Bank" </w:instrText>
      </w:r>
      <w:r w:rsidR="00887802" w:rsidRPr="00C05D6B">
        <w:rPr>
          <w:rFonts w:ascii="Garamond" w:hAnsi="Garamond" w:cs="Times New Roman"/>
          <w:i/>
          <w:iCs/>
        </w:rPr>
        <w:fldChar w:fldCharType="end"/>
      </w:r>
      <w:r w:rsidR="00887802" w:rsidRPr="00C05D6B">
        <w:rPr>
          <w:rFonts w:ascii="Garamond" w:hAnsi="Garamond" w:cs="Times New Roman"/>
        </w:rPr>
        <w:t>,</w:t>
      </w:r>
      <w:r w:rsidR="004877F6">
        <w:rPr>
          <w:rFonts w:ascii="Garamond" w:hAnsi="Garamond" w:cs="Times New Roman"/>
        </w:rPr>
        <w:t xml:space="preserve"> </w:t>
      </w:r>
      <w:r w:rsidRPr="00C05D6B">
        <w:rPr>
          <w:rFonts w:ascii="Garamond" w:hAnsi="Garamond" w:cs="Times New Roman"/>
        </w:rPr>
        <w:t>the court determined that written notice issued to immigrants after they have been detained is constitutionally adequate, and that regulatory guidance requires “an opportunity to respond” within a “reasonable time” if there is any basis for contesting expedited removal. “There is no evidence,” the court emphasized, that the new policy directives “secretly restrict[] the right to notice and an opportunity to respond, that they command officers to withhold information, that they prohibit aliens from raising continuous presence or any other defense, or that they limit the time or opportunity afforded to aliens after a removal order issues.” The risk of unlawful implementation is not a ground to suspend the policy as written. Nor is there any affirmative statutory duty on the part of immigration officers to advise people of available defenses or exemptions</w:t>
      </w:r>
      <w:r w:rsidR="00F47A07" w:rsidRPr="00C05D6B">
        <w:rPr>
          <w:rFonts w:ascii="Garamond" w:hAnsi="Garamond" w:cs="Times New Roman"/>
        </w:rPr>
        <w:t>—</w:t>
      </w:r>
      <w:r w:rsidRPr="00C05D6B">
        <w:rPr>
          <w:rFonts w:ascii="Garamond" w:hAnsi="Garamond" w:cs="Times New Roman"/>
        </w:rPr>
        <w:t xml:space="preserve">the government is obliged only to provide notice of expedited removal and an opportunity for the person notified to present defenses. There is no “requirement that the government explain how the individual might prevail,” just as a criminal defendant is entitled to notice of charges, but not available defenses. </w:t>
      </w:r>
      <w:r w:rsidRPr="00C05D6B">
        <w:rPr>
          <w:rFonts w:ascii="Garamond" w:hAnsi="Garamond" w:cs="Times New Roman"/>
          <w:i/>
          <w:iCs/>
        </w:rPr>
        <w:t>A.A.R.P</w:t>
      </w:r>
      <w:r w:rsidRPr="00C05D6B">
        <w:rPr>
          <w:rFonts w:ascii="Garamond" w:hAnsi="Garamond" w:cs="Times New Roman"/>
        </w:rPr>
        <w:t xml:space="preserve">., the court noted, involved constitutionally inadequate “time and information to actually seek habeas relief before removal,” not notice of “every conceivable counterargument” to the </w:t>
      </w:r>
      <w:r w:rsidR="00EA1625" w:rsidRPr="00C05D6B">
        <w:rPr>
          <w:rFonts w:ascii="Garamond" w:hAnsi="Garamond" w:cs="Times New Roman"/>
        </w:rPr>
        <w:t>Alien Enemies</w:t>
      </w:r>
      <w:r w:rsidRPr="00C05D6B">
        <w:rPr>
          <w:rFonts w:ascii="Garamond" w:hAnsi="Garamond" w:cs="Times New Roman"/>
        </w:rPr>
        <w:t xml:space="preserve"> Act designation.</w:t>
      </w:r>
    </w:p>
    <w:p w14:paraId="31801D56" w14:textId="77777777" w:rsidR="0059686E" w:rsidRPr="00C05D6B" w:rsidRDefault="0059686E" w:rsidP="0059686E">
      <w:pPr>
        <w:ind w:firstLine="720"/>
        <w:rPr>
          <w:rFonts w:ascii="Garamond" w:hAnsi="Garamond" w:cs="Times New Roman"/>
        </w:rPr>
      </w:pPr>
    </w:p>
    <w:p w14:paraId="1AF22E68" w14:textId="444256BF" w:rsidR="0059686E" w:rsidRPr="00C05D6B" w:rsidRDefault="0059686E" w:rsidP="0059686E">
      <w:pPr>
        <w:ind w:firstLine="720"/>
        <w:rPr>
          <w:rFonts w:ascii="Garamond" w:hAnsi="Garamond" w:cs="Times New Roman"/>
        </w:rPr>
      </w:pPr>
      <w:r w:rsidRPr="00C05D6B">
        <w:rPr>
          <w:rFonts w:ascii="Garamond" w:hAnsi="Garamond" w:cs="Times New Roman"/>
        </w:rPr>
        <w:t>The court conceded that “the record contains evidence that some aliens have been erroneously subjected to expedited removal despite having been present for more than two years,” and that such removals are “illegal,” just as failure to recognize the assertion of a credible fear of persecution would be illegal. But an individual officer’s failure to follow the law does not render the underlying policy unconstitutional and is not reviewable through § 1252(e)(3), the provision for facial challenges on which plaintiffs relied. Nor is a “neutral adjudicator” required at the “initial screening.”</w:t>
      </w:r>
      <w:r w:rsidR="00F47A07" w:rsidRPr="00C05D6B">
        <w:rPr>
          <w:rFonts w:ascii="Garamond" w:hAnsi="Garamond" w:cs="Times New Roman"/>
        </w:rPr>
        <w:t xml:space="preserve"> </w:t>
      </w:r>
      <w:r w:rsidRPr="00C05D6B">
        <w:rPr>
          <w:rFonts w:ascii="Garamond" w:hAnsi="Garamond" w:cs="Times New Roman"/>
        </w:rPr>
        <w:t>As long as agency officers’ decisions are “subject to review by neutral adjudicators,” due process is satisfied. In the court’s view, review by immigration judges provides the necessary layer of impartial adjudication. “Due process does not require a neutral adjudicator at every stage of a multi-step administrative process</w:t>
      </w:r>
      <w:r w:rsidR="00F47A07" w:rsidRPr="00C05D6B">
        <w:rPr>
          <w:rFonts w:ascii="Garamond" w:hAnsi="Garamond" w:cs="Times New Roman"/>
        </w:rPr>
        <w:t>—</w:t>
      </w:r>
      <w:r w:rsidRPr="00C05D6B">
        <w:rPr>
          <w:rFonts w:ascii="Garamond" w:hAnsi="Garamond" w:cs="Times New Roman"/>
        </w:rPr>
        <w:t>as many regulated industries know all too well.”</w:t>
      </w:r>
    </w:p>
    <w:p w14:paraId="57EB0E2B" w14:textId="77777777" w:rsidR="0059686E" w:rsidRPr="00C05D6B" w:rsidRDefault="0059686E" w:rsidP="0059686E">
      <w:pPr>
        <w:ind w:firstLine="720"/>
        <w:rPr>
          <w:rFonts w:ascii="Garamond" w:hAnsi="Garamond" w:cs="Times New Roman"/>
        </w:rPr>
      </w:pPr>
    </w:p>
    <w:p w14:paraId="6F8B5EE9" w14:textId="4006C144" w:rsidR="0059686E" w:rsidRPr="00C05D6B" w:rsidRDefault="0059686E" w:rsidP="0059686E">
      <w:pPr>
        <w:ind w:firstLine="720"/>
        <w:rPr>
          <w:rFonts w:ascii="Garamond" w:hAnsi="Garamond" w:cs="Times New Roman"/>
        </w:rPr>
      </w:pPr>
      <w:r w:rsidRPr="00C05D6B">
        <w:rPr>
          <w:rFonts w:ascii="Garamond" w:hAnsi="Garamond" w:cs="Times New Roman"/>
        </w:rPr>
        <w:t>One of the two judges who formed a majority for the panel on the merits wrote separately to indicate that reaching the merits was unnecessary because the statute precludes any judicial review of “which aliens would be subject to expedited removal.” The APA simply does</w:t>
      </w:r>
      <w:r w:rsidR="00581050" w:rsidRPr="00C05D6B">
        <w:rPr>
          <w:rFonts w:ascii="Garamond" w:hAnsi="Garamond" w:cs="Times New Roman"/>
        </w:rPr>
        <w:t xml:space="preserve"> not</w:t>
      </w:r>
      <w:r w:rsidRPr="00C05D6B">
        <w:rPr>
          <w:rFonts w:ascii="Garamond" w:hAnsi="Garamond" w:cs="Times New Roman"/>
        </w:rPr>
        <w:t xml:space="preserve"> provide authority for pre-enforcement injunctive relief where a decision is committed to agency discretion.</w:t>
      </w:r>
    </w:p>
    <w:p w14:paraId="50C501EF" w14:textId="77777777" w:rsidR="0059686E" w:rsidRPr="00C05D6B" w:rsidRDefault="0059686E" w:rsidP="0059686E">
      <w:pPr>
        <w:ind w:firstLine="720"/>
        <w:rPr>
          <w:rFonts w:ascii="Garamond" w:hAnsi="Garamond" w:cs="Times New Roman"/>
        </w:rPr>
      </w:pPr>
    </w:p>
    <w:p w14:paraId="30E8203E" w14:textId="3026A485" w:rsidR="0059686E" w:rsidRPr="00C05D6B" w:rsidRDefault="0059686E" w:rsidP="0059686E">
      <w:pPr>
        <w:ind w:firstLine="720"/>
        <w:rPr>
          <w:rFonts w:ascii="Garamond" w:hAnsi="Garamond" w:cs="Times New Roman"/>
        </w:rPr>
      </w:pPr>
      <w:r w:rsidRPr="00C05D6B">
        <w:rPr>
          <w:rFonts w:ascii="Garamond" w:hAnsi="Garamond" w:cs="Times New Roman"/>
        </w:rPr>
        <w:t xml:space="preserve">The dissent emphasized that people who are not in fact eligible for expedited removal are being removed. That has occurred because “DHS is using procedures that do not allow a meaningful opportunity for noncitizens to demonstrate that they have been continuously present in the United States for two years.” None of the mandatory forms read to noncitizens “ask these </w:t>
      </w:r>
      <w:r w:rsidRPr="00C05D6B">
        <w:rPr>
          <w:rFonts w:ascii="Garamond" w:hAnsi="Garamond" w:cs="Times New Roman"/>
        </w:rPr>
        <w:lastRenderedPageBreak/>
        <w:t>individuals if they have been present in the United States for less than two continuous years.”</w:t>
      </w:r>
      <w:r w:rsidR="00F47A07" w:rsidRPr="00C05D6B">
        <w:rPr>
          <w:rFonts w:ascii="Garamond" w:hAnsi="Garamond" w:cs="Times New Roman"/>
        </w:rPr>
        <w:t xml:space="preserve"> </w:t>
      </w:r>
      <w:r w:rsidRPr="00C05D6B">
        <w:rPr>
          <w:rFonts w:ascii="Garamond" w:hAnsi="Garamond" w:cs="Times New Roman"/>
        </w:rPr>
        <w:t xml:space="preserve">Moreover, after an initial screening interview there is no other opportunity to present evidence of continuous presence. A DHS “guidance document” suggests that noncitizens are given a reasonable opportunity to gather evidence, but the record does not establish what that opportunity is and the timeframe is too compressed. The formal notice served “combines both the notice of and order for expedited removal” thus leaving no meaningful opportunity to challenge the order. Whatever the merits of this expedited process when aliens arrive at the border, the dissent found it manifestly flawed as to people in the country for extended, indeterminate periods of time. The government’s procedures also “prevent noncitizens from contacting counsel or other support to gather” relevant information. </w:t>
      </w:r>
      <w:r w:rsidRPr="00C05D6B">
        <w:rPr>
          <w:rFonts w:ascii="Garamond" w:hAnsi="Garamond" w:cs="Times New Roman"/>
          <w:i/>
          <w:iCs/>
        </w:rPr>
        <w:t>Mullane</w:t>
      </w:r>
      <w:r w:rsidR="00887802" w:rsidRPr="00C05D6B">
        <w:rPr>
          <w:rFonts w:ascii="Garamond" w:hAnsi="Garamond" w:cs="Times New Roman"/>
          <w:i/>
          <w:iCs/>
        </w:rPr>
        <w:fldChar w:fldCharType="begin"/>
      </w:r>
      <w:r w:rsidR="00887802" w:rsidRPr="00C05D6B">
        <w:rPr>
          <w:rFonts w:ascii="Garamond" w:hAnsi="Garamond"/>
        </w:rPr>
        <w:instrText xml:space="preserve"> TA \s "Mullane v. Central Hanover Bank" </w:instrText>
      </w:r>
      <w:r w:rsidR="00887802" w:rsidRPr="00C05D6B">
        <w:rPr>
          <w:rFonts w:ascii="Garamond" w:hAnsi="Garamond" w:cs="Times New Roman"/>
          <w:i/>
          <w:iCs/>
        </w:rPr>
        <w:fldChar w:fldCharType="end"/>
      </w:r>
      <w:r w:rsidR="00887802" w:rsidRPr="00C05D6B">
        <w:rPr>
          <w:rFonts w:ascii="Garamond" w:hAnsi="Garamond" w:cs="Times New Roman"/>
        </w:rPr>
        <w:t xml:space="preserve">, </w:t>
      </w:r>
      <w:r w:rsidRPr="00C05D6B">
        <w:rPr>
          <w:rFonts w:ascii="Garamond" w:hAnsi="Garamond" w:cs="Times New Roman"/>
        </w:rPr>
        <w:t xml:space="preserve"> requires notice “of such a nature as reasonably to convey the required information and afford a reasonable time for those interested to make their appearance.” </w:t>
      </w:r>
      <w:r w:rsidRPr="00C05D6B">
        <w:rPr>
          <w:rFonts w:ascii="Garamond" w:hAnsi="Garamond" w:cs="Times New Roman"/>
          <w:i/>
          <w:iCs/>
        </w:rPr>
        <w:t xml:space="preserve">A.A.R.P. </w:t>
      </w:r>
      <w:r w:rsidRPr="00C05D6B">
        <w:rPr>
          <w:rFonts w:ascii="Garamond" w:hAnsi="Garamond" w:cs="Times New Roman"/>
        </w:rPr>
        <w:t xml:space="preserve">and </w:t>
      </w:r>
      <w:r w:rsidRPr="00C05D6B">
        <w:rPr>
          <w:rFonts w:ascii="Garamond" w:hAnsi="Garamond" w:cs="Times New Roman"/>
          <w:i/>
          <w:iCs/>
        </w:rPr>
        <w:t>J.G.G.</w:t>
      </w:r>
      <w:r w:rsidR="00887802" w:rsidRPr="00C05D6B">
        <w:rPr>
          <w:rFonts w:ascii="Garamond" w:hAnsi="Garamond" w:cs="Times New Roman"/>
          <w:i/>
          <w:iCs/>
        </w:rPr>
        <w:fldChar w:fldCharType="begin"/>
      </w:r>
      <w:r w:rsidR="00887802" w:rsidRPr="00C05D6B">
        <w:rPr>
          <w:rFonts w:ascii="Garamond" w:hAnsi="Garamond"/>
        </w:rPr>
        <w:instrText xml:space="preserve"> TA \s "Trump v. J.G.G." </w:instrText>
      </w:r>
      <w:r w:rsidR="00887802" w:rsidRPr="00C05D6B">
        <w:rPr>
          <w:rFonts w:ascii="Garamond" w:hAnsi="Garamond" w:cs="Times New Roman"/>
          <w:i/>
          <w:iCs/>
        </w:rPr>
        <w:fldChar w:fldCharType="end"/>
      </w:r>
      <w:r w:rsidRPr="00C05D6B">
        <w:rPr>
          <w:rFonts w:ascii="Garamond" w:hAnsi="Garamond" w:cs="Times New Roman"/>
          <w:i/>
          <w:iCs/>
        </w:rPr>
        <w:t xml:space="preserve"> </w:t>
      </w:r>
      <w:r w:rsidRPr="00C05D6B">
        <w:rPr>
          <w:rFonts w:ascii="Garamond" w:hAnsi="Garamond" w:cs="Times New Roman"/>
        </w:rPr>
        <w:t>require that the content and timing of removal proceeding provide an “actual opportunity” to challenge both legal and factual predicates.</w:t>
      </w:r>
    </w:p>
    <w:p w14:paraId="5429AC03" w14:textId="77777777" w:rsidR="0059686E" w:rsidRPr="00C05D6B" w:rsidRDefault="0059686E" w:rsidP="0059686E">
      <w:pPr>
        <w:ind w:firstLine="720"/>
        <w:rPr>
          <w:rFonts w:ascii="Garamond" w:hAnsi="Garamond" w:cs="Times New Roman"/>
        </w:rPr>
      </w:pPr>
    </w:p>
    <w:p w14:paraId="5DB8BF7D" w14:textId="24F41111" w:rsidR="0059686E" w:rsidRPr="00C05D6B" w:rsidRDefault="0059686E" w:rsidP="0059686E">
      <w:pPr>
        <w:ind w:firstLine="720"/>
        <w:rPr>
          <w:rFonts w:ascii="Garamond" w:hAnsi="Garamond" w:cs="Times New Roman"/>
        </w:rPr>
      </w:pPr>
      <w:r w:rsidRPr="00C05D6B">
        <w:rPr>
          <w:rFonts w:ascii="Garamond" w:hAnsi="Garamond" w:cs="Times New Roman"/>
        </w:rPr>
        <w:t xml:space="preserve">Is continuous presence for more than two years a defense, or a statutory predicate of eligibility for expedited removal? On the one hand, the statute provides that a noncitizen is removable only if they have not been continuously present for two years. On the other hand, the statute says that continuous presence must be “affirmatively shown to the satisfaction of an immigration officer.” That places the burden on the noncitizen, but there must be an opportunity to meet that burden (otherwise many people present for more than two years could be illegally removed in expedited proceedings) and due process requires that the opportunity be meaningful.  </w:t>
      </w:r>
    </w:p>
    <w:p w14:paraId="1396F46E" w14:textId="77777777" w:rsidR="0059686E" w:rsidRPr="00C05D6B" w:rsidRDefault="0059686E" w:rsidP="0059686E">
      <w:pPr>
        <w:ind w:firstLine="720"/>
        <w:rPr>
          <w:rFonts w:ascii="Garamond" w:hAnsi="Garamond" w:cs="Times New Roman"/>
        </w:rPr>
      </w:pPr>
    </w:p>
    <w:p w14:paraId="212BE785" w14:textId="07BDEFC1" w:rsidR="0059686E" w:rsidRPr="00C05D6B" w:rsidRDefault="0059686E" w:rsidP="0059686E">
      <w:pPr>
        <w:ind w:firstLine="720"/>
        <w:rPr>
          <w:rFonts w:ascii="Garamond" w:hAnsi="Garamond" w:cs="Times New Roman"/>
        </w:rPr>
      </w:pPr>
      <w:r w:rsidRPr="00C05D6B">
        <w:rPr>
          <w:rFonts w:ascii="Garamond" w:hAnsi="Garamond" w:cs="Times New Roman"/>
        </w:rPr>
        <w:t xml:space="preserve">The majority acknowledges that expedited removal of a person who has been “denied an opportunity to prove continuous presence” is “illegal.” But it doesn’t elaborate on what it means to be denied such an opportunity. If the immigration officers act so quickly that there is no chance to gather necessary papers, that denies the opportunity even if there is no explicit refusal to permit the person time to gather them in response to an explicit request. Generally, </w:t>
      </w:r>
      <w:r w:rsidRPr="00C05D6B">
        <w:rPr>
          <w:rFonts w:ascii="Garamond" w:hAnsi="Garamond" w:cs="Times New Roman"/>
          <w:i/>
          <w:iCs/>
        </w:rPr>
        <w:t>Mullane</w:t>
      </w:r>
      <w:r w:rsidR="00887802" w:rsidRPr="00C05D6B">
        <w:rPr>
          <w:rFonts w:ascii="Garamond" w:hAnsi="Garamond" w:cs="Times New Roman"/>
          <w:i/>
          <w:iCs/>
        </w:rPr>
        <w:fldChar w:fldCharType="begin"/>
      </w:r>
      <w:r w:rsidR="00887802" w:rsidRPr="00C05D6B">
        <w:rPr>
          <w:rFonts w:ascii="Garamond" w:hAnsi="Garamond"/>
        </w:rPr>
        <w:instrText xml:space="preserve"> TA \s "Mullane v. Central Hanover Bank" </w:instrText>
      </w:r>
      <w:r w:rsidR="00887802" w:rsidRPr="00C05D6B">
        <w:rPr>
          <w:rFonts w:ascii="Garamond" w:hAnsi="Garamond" w:cs="Times New Roman"/>
          <w:i/>
          <w:iCs/>
        </w:rPr>
        <w:fldChar w:fldCharType="end"/>
      </w:r>
      <w:r w:rsidRPr="00C05D6B">
        <w:rPr>
          <w:rFonts w:ascii="Garamond" w:hAnsi="Garamond" w:cs="Times New Roman"/>
        </w:rPr>
        <w:t xml:space="preserve"> requires time not only to present defenses one already knows about and has facts ready to hand, but to examine the notice and prepare to meet one’s burden. The majority analogizes to criminal proceedings, insisting the prosecution is not obliged to make the defendant’s case, but there are obvious differences between a criminal trial and a screening interview with an immigration officer, not least of which the Sixth Amendment right to an attorney, the presence of a judge, and a jury in criminal trials.  </w:t>
      </w:r>
    </w:p>
    <w:p w14:paraId="2C5D9EB4" w14:textId="77777777" w:rsidR="0059686E" w:rsidRPr="00C05D6B" w:rsidRDefault="0059686E" w:rsidP="0059686E">
      <w:pPr>
        <w:ind w:firstLine="720"/>
        <w:rPr>
          <w:rFonts w:ascii="Garamond" w:hAnsi="Garamond" w:cs="Times New Roman"/>
        </w:rPr>
      </w:pPr>
    </w:p>
    <w:p w14:paraId="1E9E1A83" w14:textId="07E77F56" w:rsidR="0059686E" w:rsidRPr="00C05D6B" w:rsidRDefault="0059686E" w:rsidP="0059686E">
      <w:pPr>
        <w:ind w:firstLine="720"/>
        <w:rPr>
          <w:rFonts w:ascii="Garamond" w:hAnsi="Garamond" w:cs="Times New Roman"/>
        </w:rPr>
      </w:pPr>
      <w:r w:rsidRPr="00C05D6B">
        <w:rPr>
          <w:rFonts w:ascii="Garamond" w:hAnsi="Garamond" w:cs="Times New Roman"/>
        </w:rPr>
        <w:t xml:space="preserve">Is the majority correct that the immigration officers conducting the first credible fear determinations for asylum need not be impartial as long as immigration judges are available? There is a separate question about the independence of immigration judges who serve at the pleasure of the Attorney General, </w:t>
      </w:r>
      <w:r w:rsidRPr="00C05D6B">
        <w:rPr>
          <w:rFonts w:ascii="Garamond" w:hAnsi="Garamond" w:cs="Times New Roman"/>
          <w:i/>
          <w:iCs/>
        </w:rPr>
        <w:t>see</w:t>
      </w:r>
      <w:r w:rsidRPr="00C05D6B">
        <w:rPr>
          <w:rFonts w:ascii="Garamond" w:hAnsi="Garamond" w:cs="Times New Roman"/>
        </w:rPr>
        <w:t xml:space="preserve"> </w:t>
      </w:r>
      <w:proofErr w:type="spellStart"/>
      <w:r w:rsidRPr="00C05D6B">
        <w:rPr>
          <w:rFonts w:ascii="Garamond" w:hAnsi="Garamond" w:cs="Times New Roman"/>
        </w:rPr>
        <w:t>Nehmas</w:t>
      </w:r>
      <w:proofErr w:type="spellEnd"/>
      <w:r w:rsidRPr="00C05D6B">
        <w:rPr>
          <w:rFonts w:ascii="Garamond" w:hAnsi="Garamond" w:cs="Times New Roman"/>
        </w:rPr>
        <w:t xml:space="preserve">, McCann, Rich, Ulloa, and </w:t>
      </w:r>
      <w:proofErr w:type="spellStart"/>
      <w:r w:rsidRPr="00C05D6B">
        <w:rPr>
          <w:rFonts w:ascii="Garamond" w:hAnsi="Garamond" w:cs="Times New Roman"/>
        </w:rPr>
        <w:t>Aleaziz</w:t>
      </w:r>
      <w:proofErr w:type="spellEnd"/>
      <w:r w:rsidRPr="00C05D6B">
        <w:rPr>
          <w:rFonts w:ascii="Garamond" w:hAnsi="Garamond" w:cs="Times New Roman"/>
        </w:rPr>
        <w:t xml:space="preserve">, </w:t>
      </w:r>
      <w:r w:rsidRPr="00C05D6B">
        <w:rPr>
          <w:rFonts w:ascii="Garamond" w:hAnsi="Garamond" w:cs="Times New Roman"/>
          <w:i/>
          <w:iCs/>
        </w:rPr>
        <w:t>How Trump Purged Immigration Judges to Speed up Deportations</w:t>
      </w:r>
      <w:r w:rsidRPr="00C05D6B">
        <w:rPr>
          <w:rFonts w:ascii="Garamond" w:hAnsi="Garamond" w:cs="Times New Roman"/>
        </w:rPr>
        <w:t>, N.Y. Times, April 9, 2026</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 xml:space="preserve">Nehmas, McCann, Rich, Ulloa, and Aleaziz, </w:instrText>
      </w:r>
      <w:r w:rsidR="00887802" w:rsidRPr="00C05D6B">
        <w:rPr>
          <w:rFonts w:ascii="Garamond" w:hAnsi="Garamond" w:cs="Times New Roman"/>
          <w:i/>
          <w:iCs/>
        </w:rPr>
        <w:instrText>How Trump Purged Immigration Judges to Speed up Deportations</w:instrText>
      </w:r>
      <w:r w:rsidR="00887802" w:rsidRPr="00C05D6B">
        <w:rPr>
          <w:rFonts w:ascii="Garamond" w:hAnsi="Garamond" w:cs="Times New Roman"/>
        </w:rPr>
        <w:instrText>, N.Y. Times, April 9, 2026</w:instrText>
      </w:r>
      <w:r w:rsidR="00887802" w:rsidRPr="00C05D6B">
        <w:rPr>
          <w:rFonts w:ascii="Garamond" w:hAnsi="Garamond"/>
        </w:rPr>
        <w:instrText xml:space="preserve">" \s "Nehmas, McCann, Rich, Ulloa, and Aleaziz, How Trump Purged Immigration Judges to Speed up Deportations, N.Y. Times, April 9, 2026" \c 3 </w:instrText>
      </w:r>
      <w:r w:rsidR="00887802" w:rsidRPr="00C05D6B">
        <w:rPr>
          <w:rFonts w:ascii="Garamond" w:hAnsi="Garamond" w:cs="Times New Roman"/>
        </w:rPr>
        <w:fldChar w:fldCharType="end"/>
      </w:r>
      <w:r w:rsidRPr="00C05D6B">
        <w:rPr>
          <w:rFonts w:ascii="Garamond" w:hAnsi="Garamond" w:cs="Times New Roman"/>
        </w:rPr>
        <w:t>, but assume that they are genuinely impartial.  The Supreme Court has held that “where an initial determination is made by a party acting in an enforcement capacity” as part of a general administrative process, “due process may be satisfied by providing for a neutral adjudicator to conduct a de novo review of all factual and legal issues.” Concrete Pipe &amp; Products of Ca. v. Construction Laborers Pension Trust</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Concrete Pipe &amp; Products of Ca. v. Construction Laborers Pension Trust</w:instrText>
      </w:r>
      <w:r w:rsidR="00887802" w:rsidRPr="00C05D6B">
        <w:rPr>
          <w:rFonts w:ascii="Garamond" w:hAnsi="Garamond"/>
        </w:rPr>
        <w:instrText xml:space="preserve">" \s "Concrete Pipe &amp; Products of Ca. v. Construction Laborers Pension Trust" \c 1 </w:instrText>
      </w:r>
      <w:r w:rsidR="00887802" w:rsidRPr="00C05D6B">
        <w:rPr>
          <w:rFonts w:ascii="Garamond" w:hAnsi="Garamond" w:cs="Times New Roman"/>
        </w:rPr>
        <w:fldChar w:fldCharType="end"/>
      </w:r>
      <w:r w:rsidRPr="00C05D6B">
        <w:rPr>
          <w:rFonts w:ascii="Garamond" w:hAnsi="Garamond" w:cs="Times New Roman"/>
        </w:rPr>
        <w:t xml:space="preserve"> (1993).  </w:t>
      </w:r>
    </w:p>
    <w:p w14:paraId="326BD321" w14:textId="77777777" w:rsidR="0059686E" w:rsidRPr="00C05D6B" w:rsidRDefault="0059686E" w:rsidP="0059686E">
      <w:pPr>
        <w:ind w:firstLine="720"/>
        <w:rPr>
          <w:rFonts w:ascii="Garamond" w:hAnsi="Garamond" w:cs="Times New Roman"/>
        </w:rPr>
      </w:pPr>
    </w:p>
    <w:p w14:paraId="6D8F7406" w14:textId="4423F155" w:rsidR="0059686E" w:rsidRPr="00C05D6B" w:rsidRDefault="0059686E" w:rsidP="0059686E">
      <w:pPr>
        <w:ind w:firstLine="720"/>
        <w:rPr>
          <w:rFonts w:ascii="Garamond" w:hAnsi="Garamond" w:cs="Times New Roman"/>
        </w:rPr>
      </w:pPr>
      <w:r w:rsidRPr="00C05D6B">
        <w:rPr>
          <w:rFonts w:ascii="Garamond" w:hAnsi="Garamond" w:cs="Times New Roman"/>
        </w:rPr>
        <w:t xml:space="preserve">Immigration judges review credible fear determinations de novo. 8 C.F.R. § 1003.42(c). The district court noted evidence, however, that inspecting officers “regularly” record “false information” during expedited removal interviews, coerce people to sign forms including false information, and rush people through the process. There are other reports of immigration officers interfering with access to counsel, </w:t>
      </w:r>
      <w:r w:rsidRPr="00C05D6B">
        <w:rPr>
          <w:rFonts w:ascii="Garamond" w:hAnsi="Garamond" w:cs="Times New Roman"/>
          <w:i/>
          <w:iCs/>
        </w:rPr>
        <w:t>see</w:t>
      </w:r>
      <w:r w:rsidRPr="00C05D6B">
        <w:rPr>
          <w:rFonts w:ascii="Garamond" w:hAnsi="Garamond" w:cs="Times New Roman"/>
        </w:rPr>
        <w:t xml:space="preserve"> Chas Danner, </w:t>
      </w:r>
      <w:r w:rsidRPr="00C05D6B">
        <w:rPr>
          <w:rFonts w:ascii="Garamond" w:hAnsi="Garamond" w:cs="Times New Roman"/>
          <w:i/>
          <w:iCs/>
        </w:rPr>
        <w:t xml:space="preserve">All the U.S. Citizens Who’ve Been Caught Up in </w:t>
      </w:r>
      <w:r w:rsidRPr="00C05D6B">
        <w:rPr>
          <w:rFonts w:ascii="Garamond" w:hAnsi="Garamond" w:cs="Times New Roman"/>
          <w:i/>
          <w:iCs/>
        </w:rPr>
        <w:lastRenderedPageBreak/>
        <w:t>Trump’s Immigration Crackdown</w:t>
      </w:r>
      <w:r w:rsidRPr="00C05D6B">
        <w:rPr>
          <w:rFonts w:ascii="Garamond" w:hAnsi="Garamond" w:cs="Times New Roman"/>
        </w:rPr>
        <w:t>, New York Magazine, May 3, 2025</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 xml:space="preserve">Chas Danner, </w:instrText>
      </w:r>
      <w:r w:rsidR="00887802" w:rsidRPr="00C05D6B">
        <w:rPr>
          <w:rFonts w:ascii="Garamond" w:hAnsi="Garamond" w:cs="Times New Roman"/>
          <w:i/>
          <w:iCs/>
        </w:rPr>
        <w:instrText>All the U.S. Citizens Who’ve Been Caught Up in Trump’s Immigration Crackdown</w:instrText>
      </w:r>
      <w:r w:rsidR="00887802" w:rsidRPr="00C05D6B">
        <w:rPr>
          <w:rFonts w:ascii="Garamond" w:hAnsi="Garamond" w:cs="Times New Roman"/>
        </w:rPr>
        <w:instrText>, New York Magazine, May 3, 2025</w:instrText>
      </w:r>
      <w:r w:rsidR="00887802" w:rsidRPr="00C05D6B">
        <w:rPr>
          <w:rFonts w:ascii="Garamond" w:hAnsi="Garamond"/>
        </w:rPr>
        <w:instrText xml:space="preserve">" \s "Chas Danner, All the U.S. Citizens Who’ve Been Caught Up in Trump’s Immigration Crackdown, New York Magazine, May 3, 2025" \c 3 </w:instrText>
      </w:r>
      <w:r w:rsidR="00887802" w:rsidRPr="00C05D6B">
        <w:rPr>
          <w:rFonts w:ascii="Garamond" w:hAnsi="Garamond" w:cs="Times New Roman"/>
        </w:rPr>
        <w:fldChar w:fldCharType="end"/>
      </w:r>
      <w:r w:rsidRPr="00C05D6B">
        <w:rPr>
          <w:rFonts w:ascii="Garamond" w:hAnsi="Garamond" w:cs="Times New Roman"/>
        </w:rPr>
        <w:t xml:space="preserve"> (describing allegation that agent who hung up the phone when father attempted to give mother number their attorney’s contact information to prevent U.S. citizen child from being removed with mother; describing other discrepancies between records made by immigration agents regarding citizenship of detainees and their claims), and of using race as a factor in deciding whom to stop. </w:t>
      </w:r>
      <w:r w:rsidRPr="00C05D6B">
        <w:rPr>
          <w:rFonts w:ascii="Garamond" w:hAnsi="Garamond" w:cs="Times New Roman"/>
          <w:i/>
          <w:iCs/>
        </w:rPr>
        <w:t>See</w:t>
      </w:r>
      <w:r w:rsidRPr="00C05D6B">
        <w:rPr>
          <w:rFonts w:ascii="Garamond" w:hAnsi="Garamond" w:cs="Times New Roman"/>
        </w:rPr>
        <w:t xml:space="preserve"> Presa Johnson, and Pratt, </w:t>
      </w:r>
      <w:r w:rsidRPr="00C05D6B">
        <w:rPr>
          <w:rFonts w:ascii="Garamond" w:hAnsi="Garamond" w:cs="Times New Roman"/>
          <w:i/>
          <w:iCs/>
        </w:rPr>
        <w:t>Latino US Citizens Racially Profiled by Federal Immigration Agents in Chicago</w:t>
      </w:r>
      <w:r w:rsidRPr="00C05D6B">
        <w:rPr>
          <w:rFonts w:ascii="Garamond" w:hAnsi="Garamond" w:cs="Times New Roman"/>
        </w:rPr>
        <w:t>, Nov. 15, 2025</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 xml:space="preserve">Presa Johnson, and Pratt, </w:instrText>
      </w:r>
      <w:r w:rsidR="00887802" w:rsidRPr="00C05D6B">
        <w:rPr>
          <w:rFonts w:ascii="Garamond" w:hAnsi="Garamond" w:cs="Times New Roman"/>
          <w:i/>
          <w:iCs/>
        </w:rPr>
        <w:instrText>Latino US Citizens Racially Profiled by Federal Immigration Agents in Chicago</w:instrText>
      </w:r>
      <w:r w:rsidR="00887802" w:rsidRPr="00C05D6B">
        <w:rPr>
          <w:rFonts w:ascii="Garamond" w:hAnsi="Garamond" w:cs="Times New Roman"/>
        </w:rPr>
        <w:instrText>, Nov. 15, 2025</w:instrText>
      </w:r>
      <w:r w:rsidR="00887802" w:rsidRPr="00C05D6B">
        <w:rPr>
          <w:rFonts w:ascii="Garamond" w:hAnsi="Garamond"/>
        </w:rPr>
        <w:instrText xml:space="preserve">" \s "Presa Johnson, and Pratt, Latino US Citizens Racially Profiled by Federal Immigration Agents in Chicago, Nov. 15, 2025" \c 3 </w:instrText>
      </w:r>
      <w:r w:rsidR="00887802" w:rsidRPr="00C05D6B">
        <w:rPr>
          <w:rFonts w:ascii="Garamond" w:hAnsi="Garamond" w:cs="Times New Roman"/>
        </w:rPr>
        <w:fldChar w:fldCharType="end"/>
      </w:r>
      <w:r w:rsidRPr="00C05D6B">
        <w:rPr>
          <w:rFonts w:ascii="Garamond" w:hAnsi="Garamond" w:cs="Times New Roman"/>
        </w:rPr>
        <w:t xml:space="preserve">; </w:t>
      </w:r>
      <w:r w:rsidRPr="00C05D6B">
        <w:rPr>
          <w:rFonts w:ascii="Garamond" w:hAnsi="Garamond" w:cs="Times New Roman"/>
          <w:i/>
          <w:iCs/>
        </w:rPr>
        <w:t>cf.</w:t>
      </w:r>
      <w:r w:rsidRPr="00C05D6B">
        <w:rPr>
          <w:rFonts w:ascii="Garamond" w:hAnsi="Garamond" w:cs="Times New Roman"/>
        </w:rPr>
        <w:t xml:space="preserve"> </w:t>
      </w:r>
      <w:proofErr w:type="spellStart"/>
      <w:r w:rsidRPr="00C05D6B">
        <w:rPr>
          <w:rFonts w:ascii="Garamond" w:hAnsi="Garamond" w:cs="Times New Roman"/>
        </w:rPr>
        <w:t>Noem</w:t>
      </w:r>
      <w:proofErr w:type="spellEnd"/>
      <w:r w:rsidRPr="00C05D6B">
        <w:rPr>
          <w:rFonts w:ascii="Garamond" w:hAnsi="Garamond" w:cs="Times New Roman"/>
        </w:rPr>
        <w:t xml:space="preserve"> v. Perdomo</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Noem v. Perdomo</w:instrText>
      </w:r>
      <w:r w:rsidR="00887802" w:rsidRPr="00C05D6B">
        <w:rPr>
          <w:rFonts w:ascii="Garamond" w:hAnsi="Garamond"/>
        </w:rPr>
        <w:instrText xml:space="preserve">" \s "Noem v. Perdomo" \c 1 </w:instrText>
      </w:r>
      <w:r w:rsidR="00887802" w:rsidRPr="00C05D6B">
        <w:rPr>
          <w:rFonts w:ascii="Garamond" w:hAnsi="Garamond" w:cs="Times New Roman"/>
        </w:rPr>
        <w:fldChar w:fldCharType="end"/>
      </w:r>
      <w:r w:rsidRPr="00C05D6B">
        <w:rPr>
          <w:rFonts w:ascii="Garamond" w:hAnsi="Garamond" w:cs="Times New Roman"/>
        </w:rPr>
        <w:t xml:space="preserve"> (2025) (staying injunction against racial profiling in immigration stops in Los Angeles disproportionately targeting Latinos); </w:t>
      </w:r>
      <w:r w:rsidRPr="00C05D6B">
        <w:rPr>
          <w:rFonts w:ascii="Garamond" w:hAnsi="Garamond" w:cs="Times New Roman"/>
          <w:i/>
          <w:iCs/>
        </w:rPr>
        <w:t>id.</w:t>
      </w:r>
      <w:r w:rsidRPr="00C05D6B">
        <w:rPr>
          <w:rFonts w:ascii="Garamond" w:hAnsi="Garamond" w:cs="Times New Roman"/>
        </w:rPr>
        <w:t xml:space="preserve"> (Kavanaugh, concurring) (emphasizing that while “apparent ethnicity alone cannot furnish reasonable suspicion,” in the context of immigration enforcement “it can be a ‘relevant factor’ when considered along with other salient factors” such as the location, the </w:t>
      </w:r>
      <w:r w:rsidR="0088081C" w:rsidRPr="00C05D6B">
        <w:rPr>
          <w:rFonts w:ascii="Garamond" w:hAnsi="Garamond" w:cs="Times New Roman"/>
        </w:rPr>
        <w:t xml:space="preserve">type </w:t>
      </w:r>
      <w:r w:rsidRPr="00C05D6B">
        <w:rPr>
          <w:rFonts w:ascii="Garamond" w:hAnsi="Garamond" w:cs="Times New Roman"/>
        </w:rPr>
        <w:t xml:space="preserve">of work a person does, “speaking Spanish or speaking with English with an accent”).   </w:t>
      </w:r>
    </w:p>
    <w:p w14:paraId="3362FE9F" w14:textId="77777777" w:rsidR="0059686E" w:rsidRPr="00C05D6B" w:rsidRDefault="0059686E" w:rsidP="0059686E">
      <w:pPr>
        <w:ind w:firstLine="720"/>
        <w:rPr>
          <w:rFonts w:ascii="Garamond" w:hAnsi="Garamond" w:cs="Times New Roman"/>
        </w:rPr>
      </w:pPr>
    </w:p>
    <w:p w14:paraId="77CED793" w14:textId="5FF270D6" w:rsidR="0059686E" w:rsidRPr="00C05D6B" w:rsidRDefault="0059686E" w:rsidP="0059686E">
      <w:pPr>
        <w:ind w:firstLine="720"/>
        <w:rPr>
          <w:rFonts w:ascii="Garamond" w:hAnsi="Garamond" w:cs="Times New Roman"/>
        </w:rPr>
      </w:pPr>
      <w:r w:rsidRPr="00C05D6B">
        <w:rPr>
          <w:rFonts w:ascii="Garamond" w:hAnsi="Garamond" w:cs="Times New Roman"/>
        </w:rPr>
        <w:t>Interference with the right to counsel or with the presentation of proof to the initial screening officer would prevent people from raising asylum claims and having those claims properly recorded</w:t>
      </w:r>
      <w:r w:rsidR="00F47A07" w:rsidRPr="00C05D6B">
        <w:rPr>
          <w:rFonts w:ascii="Garamond" w:hAnsi="Garamond" w:cs="Times New Roman"/>
        </w:rPr>
        <w:t>—</w:t>
      </w:r>
      <w:r w:rsidRPr="00C05D6B">
        <w:rPr>
          <w:rFonts w:ascii="Garamond" w:hAnsi="Garamond" w:cs="Times New Roman"/>
        </w:rPr>
        <w:t xml:space="preserve">both of which are predicates to appeal to an immigration judge. The alleged problem underlying </w:t>
      </w:r>
      <w:r w:rsidRPr="00C05D6B">
        <w:rPr>
          <w:rFonts w:ascii="Garamond" w:hAnsi="Garamond" w:cs="Times New Roman"/>
          <w:i/>
          <w:iCs/>
        </w:rPr>
        <w:t>Make the Road</w:t>
      </w:r>
      <w:r w:rsidR="00887802" w:rsidRPr="00C05D6B">
        <w:rPr>
          <w:rFonts w:ascii="Garamond" w:hAnsi="Garamond" w:cs="Times New Roman"/>
          <w:i/>
          <w:iCs/>
        </w:rPr>
        <w:fldChar w:fldCharType="begin"/>
      </w:r>
      <w:r w:rsidR="00887802" w:rsidRPr="00C05D6B">
        <w:rPr>
          <w:rFonts w:ascii="Garamond" w:hAnsi="Garamond"/>
        </w:rPr>
        <w:instrText xml:space="preserve"> TA \s "Make the Road New York v. Mullin" </w:instrText>
      </w:r>
      <w:r w:rsidR="00887802" w:rsidRPr="00C05D6B">
        <w:rPr>
          <w:rFonts w:ascii="Garamond" w:hAnsi="Garamond" w:cs="Times New Roman"/>
          <w:i/>
          <w:iCs/>
        </w:rPr>
        <w:fldChar w:fldCharType="end"/>
      </w:r>
      <w:r w:rsidRPr="00C05D6B">
        <w:rPr>
          <w:rFonts w:ascii="Garamond" w:hAnsi="Garamond" w:cs="Times New Roman"/>
        </w:rPr>
        <w:t xml:space="preserve"> is not a form of bias which can be cured on further review before an impartial adjudicator, but bias that undermines access to that adjudicator. Neither the majority opinion nor the dissent addressed this. The majority simply emphasized </w:t>
      </w:r>
      <w:r w:rsidRPr="00C05D6B">
        <w:rPr>
          <w:rFonts w:ascii="Garamond" w:hAnsi="Garamond" w:cs="Times New Roman"/>
          <w:i/>
          <w:iCs/>
        </w:rPr>
        <w:t>Concrete Pip</w:t>
      </w:r>
      <w:r w:rsidR="00887802" w:rsidRPr="00C05D6B">
        <w:rPr>
          <w:rFonts w:ascii="Garamond" w:hAnsi="Garamond" w:cs="Times New Roman"/>
          <w:i/>
          <w:iCs/>
        </w:rPr>
        <w:fldChar w:fldCharType="begin"/>
      </w:r>
      <w:r w:rsidR="00887802" w:rsidRPr="00C05D6B">
        <w:rPr>
          <w:rFonts w:ascii="Garamond" w:hAnsi="Garamond"/>
        </w:rPr>
        <w:instrText xml:space="preserve"> TA \s "Concrete Pipe &amp; Products of Ca. v. Construction Laborers Pension Trust" </w:instrText>
      </w:r>
      <w:r w:rsidR="00887802" w:rsidRPr="00C05D6B">
        <w:rPr>
          <w:rFonts w:ascii="Garamond" w:hAnsi="Garamond" w:cs="Times New Roman"/>
          <w:i/>
          <w:iCs/>
        </w:rPr>
        <w:fldChar w:fldCharType="end"/>
      </w:r>
      <w:r w:rsidRPr="00C05D6B">
        <w:rPr>
          <w:rFonts w:ascii="Garamond" w:hAnsi="Garamond" w:cs="Times New Roman"/>
          <w:i/>
          <w:iCs/>
        </w:rPr>
        <w:t>e</w:t>
      </w:r>
      <w:r w:rsidRPr="00C05D6B">
        <w:rPr>
          <w:rFonts w:ascii="Garamond" w:hAnsi="Garamond" w:cs="Times New Roman"/>
        </w:rPr>
        <w:t xml:space="preserve"> and the fact that the process set out by statute provides for de novo review after an asylum claim is raised, recorded, and denied by the agency officers.  </w:t>
      </w:r>
    </w:p>
    <w:p w14:paraId="36C5897C" w14:textId="77777777" w:rsidR="0059686E" w:rsidRPr="00C05D6B" w:rsidRDefault="0059686E" w:rsidP="0059686E">
      <w:pPr>
        <w:ind w:firstLine="720"/>
        <w:rPr>
          <w:rFonts w:ascii="Garamond" w:hAnsi="Garamond" w:cs="Times New Roman"/>
        </w:rPr>
      </w:pPr>
    </w:p>
    <w:p w14:paraId="1A60A783" w14:textId="5EB6A180" w:rsidR="0059686E" w:rsidRPr="00C05D6B" w:rsidRDefault="0059686E" w:rsidP="0059686E">
      <w:pPr>
        <w:ind w:firstLine="720"/>
        <w:rPr>
          <w:rFonts w:ascii="Garamond" w:hAnsi="Garamond" w:cs="Times New Roman"/>
        </w:rPr>
      </w:pPr>
      <w:r w:rsidRPr="00C05D6B">
        <w:rPr>
          <w:rFonts w:ascii="Garamond" w:hAnsi="Garamond" w:cs="Times New Roman"/>
        </w:rPr>
        <w:t xml:space="preserve">In concert with the Supreme Court decision ending temporary protected status for refugees, lifting the stay on the nationwide use of expedited removal has led to a significant increase in immigration arrests.  </w:t>
      </w:r>
      <w:r w:rsidRPr="00C05D6B">
        <w:rPr>
          <w:rFonts w:ascii="Garamond" w:hAnsi="Garamond" w:cs="Times New Roman"/>
          <w:i/>
          <w:iCs/>
        </w:rPr>
        <w:t xml:space="preserve">See </w:t>
      </w:r>
      <w:r w:rsidR="00F47A07" w:rsidRPr="00C05D6B">
        <w:rPr>
          <w:rFonts w:ascii="Garamond" w:hAnsi="Garamond" w:cs="Times New Roman"/>
        </w:rPr>
        <w:t xml:space="preserve">Hamed </w:t>
      </w:r>
      <w:proofErr w:type="spellStart"/>
      <w:r w:rsidRPr="00C05D6B">
        <w:rPr>
          <w:rFonts w:ascii="Garamond" w:hAnsi="Garamond" w:cs="Times New Roman"/>
        </w:rPr>
        <w:t>Aleaziz</w:t>
      </w:r>
      <w:proofErr w:type="spellEnd"/>
      <w:r w:rsidRPr="00C05D6B">
        <w:rPr>
          <w:rFonts w:ascii="Garamond" w:hAnsi="Garamond" w:cs="Times New Roman"/>
        </w:rPr>
        <w:t xml:space="preserve">, </w:t>
      </w:r>
      <w:r w:rsidRPr="00C05D6B">
        <w:rPr>
          <w:rFonts w:ascii="Garamond" w:hAnsi="Garamond" w:cs="Times New Roman"/>
          <w:i/>
          <w:iCs/>
        </w:rPr>
        <w:t>Immigration Arrests Surge to 10,000 in Five Days as ICE Clamps Down</w:t>
      </w:r>
      <w:r w:rsidRPr="00C05D6B">
        <w:rPr>
          <w:rFonts w:ascii="Garamond" w:hAnsi="Garamond" w:cs="Times New Roman"/>
        </w:rPr>
        <w:t>, N.Y. Times, July 1, 2026</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 xml:space="preserve">Hamed Aleaziz, </w:instrText>
      </w:r>
      <w:r w:rsidR="00887802" w:rsidRPr="00C05D6B">
        <w:rPr>
          <w:rFonts w:ascii="Garamond" w:hAnsi="Garamond" w:cs="Times New Roman"/>
          <w:i/>
          <w:iCs/>
        </w:rPr>
        <w:instrText>Immigration Arrests Surge to 10,000 in Five Days as ICE Clamps Down</w:instrText>
      </w:r>
      <w:r w:rsidR="00887802" w:rsidRPr="00C05D6B">
        <w:rPr>
          <w:rFonts w:ascii="Garamond" w:hAnsi="Garamond" w:cs="Times New Roman"/>
        </w:rPr>
        <w:instrText>, N.Y. Times, July 1, 2026</w:instrText>
      </w:r>
      <w:r w:rsidR="00887802" w:rsidRPr="00C05D6B">
        <w:rPr>
          <w:rFonts w:ascii="Garamond" w:hAnsi="Garamond"/>
        </w:rPr>
        <w:instrText xml:space="preserve">" \s "Hamed Aleaziz, Immigration Arrests Surge to 10,000 in Five Days as ICE Clamps Down, N.Y. Times, July 1, 2026" \c 3 </w:instrText>
      </w:r>
      <w:r w:rsidR="00887802" w:rsidRPr="00C05D6B">
        <w:rPr>
          <w:rFonts w:ascii="Garamond" w:hAnsi="Garamond" w:cs="Times New Roman"/>
        </w:rPr>
        <w:fldChar w:fldCharType="end"/>
      </w:r>
      <w:r w:rsidRPr="00C05D6B">
        <w:rPr>
          <w:rFonts w:ascii="Garamond" w:hAnsi="Garamond" w:cs="Times New Roman"/>
        </w:rPr>
        <w:t>.</w:t>
      </w:r>
    </w:p>
    <w:p w14:paraId="53CEBD04" w14:textId="77777777" w:rsidR="003125BF" w:rsidRPr="00C05D6B" w:rsidRDefault="003125BF" w:rsidP="003125BF">
      <w:pPr>
        <w:rPr>
          <w:rFonts w:ascii="Garamond" w:hAnsi="Garamond" w:cs="Times New Roman"/>
        </w:rPr>
      </w:pPr>
    </w:p>
    <w:p w14:paraId="3D362283" w14:textId="165BDFB4" w:rsidR="003125BF" w:rsidRPr="00C05D6B" w:rsidRDefault="003125BF" w:rsidP="003125BF">
      <w:pPr>
        <w:rPr>
          <w:rFonts w:ascii="Garamond" w:hAnsi="Garamond" w:cs="Times New Roman"/>
          <w:b/>
          <w:bCs/>
        </w:rPr>
      </w:pPr>
      <w:r w:rsidRPr="00C05D6B">
        <w:rPr>
          <w:rFonts w:ascii="Garamond" w:hAnsi="Garamond" w:cs="Times New Roman"/>
          <w:b/>
          <w:bCs/>
        </w:rPr>
        <w:t xml:space="preserve">(CB p. 1009, </w:t>
      </w:r>
      <w:r w:rsidR="00F9074C" w:rsidRPr="00C05D6B">
        <w:rPr>
          <w:rFonts w:ascii="Garamond" w:hAnsi="Garamond" w:cs="Times New Roman"/>
          <w:b/>
          <w:bCs/>
        </w:rPr>
        <w:t xml:space="preserve">after </w:t>
      </w:r>
      <w:r w:rsidRPr="00C05D6B">
        <w:rPr>
          <w:rFonts w:ascii="Garamond" w:hAnsi="Garamond" w:cs="Times New Roman"/>
          <w:b/>
          <w:bCs/>
        </w:rPr>
        <w:t>end of section A)</w:t>
      </w:r>
    </w:p>
    <w:p w14:paraId="60D6D02F" w14:textId="77777777" w:rsidR="003125BF" w:rsidRPr="00C05D6B" w:rsidRDefault="003125BF" w:rsidP="003125BF">
      <w:pPr>
        <w:rPr>
          <w:rFonts w:ascii="Garamond" w:hAnsi="Garamond" w:cs="Times New Roman"/>
        </w:rPr>
      </w:pPr>
    </w:p>
    <w:p w14:paraId="2BFD77B0" w14:textId="2E40041E" w:rsidR="003125BF" w:rsidRPr="00C05D6B" w:rsidRDefault="003125BF" w:rsidP="00F9074C">
      <w:pPr>
        <w:ind w:firstLine="720"/>
        <w:rPr>
          <w:rFonts w:ascii="Garamond" w:hAnsi="Garamond" w:cs="Times New Roman"/>
        </w:rPr>
      </w:pPr>
      <w:r w:rsidRPr="00C05D6B">
        <w:rPr>
          <w:rFonts w:ascii="Garamond" w:hAnsi="Garamond" w:cs="Times New Roman"/>
        </w:rPr>
        <w:t>Although federal prisoners may also invoke § 2241</w:t>
      </w:r>
      <w:r w:rsidR="004859E7" w:rsidRPr="004859E7">
        <w:rPr>
          <w:rFonts w:ascii="Garamond" w:hAnsi="Garamond" w:cs="Times New Roman"/>
        </w:rPr>
        <w:fldChar w:fldCharType="begin"/>
      </w:r>
      <w:r w:rsidR="004859E7" w:rsidRPr="004859E7">
        <w:rPr>
          <w:rFonts w:ascii="Garamond" w:hAnsi="Garamond"/>
        </w:rPr>
        <w:instrText xml:space="preserve"> TA \l "</w:instrText>
      </w:r>
      <w:r w:rsidR="007B7806" w:rsidRPr="004859E7">
        <w:rPr>
          <w:rFonts w:ascii="Garamond" w:hAnsi="Garamond"/>
        </w:rPr>
        <w:instrText xml:space="preserve">28 U.S.C. </w:instrText>
      </w:r>
      <w:r w:rsidR="004859E7" w:rsidRPr="004859E7">
        <w:rPr>
          <w:rFonts w:ascii="Garamond" w:hAnsi="Garamond" w:cs="Times New Roman"/>
        </w:rPr>
        <w:instrText>§ 2241</w:instrText>
      </w:r>
      <w:r w:rsidR="004859E7" w:rsidRPr="004859E7">
        <w:rPr>
          <w:rFonts w:ascii="Garamond" w:hAnsi="Garamond"/>
        </w:rPr>
        <w:instrText xml:space="preserve">" \s "28 U.S.C. § 2241" \c 2 </w:instrText>
      </w:r>
      <w:r w:rsidR="004859E7" w:rsidRPr="004859E7">
        <w:rPr>
          <w:rFonts w:ascii="Garamond" w:hAnsi="Garamond" w:cs="Times New Roman"/>
        </w:rPr>
        <w:fldChar w:fldCharType="end"/>
      </w:r>
      <w:r w:rsidRPr="00C05D6B">
        <w:rPr>
          <w:rFonts w:ascii="Garamond" w:hAnsi="Garamond" w:cs="Times New Roman"/>
        </w:rPr>
        <w:t>, their access to it is limited by 28 U.S.C. § 2255(e).</w:t>
      </w:r>
      <w:r w:rsidR="00CA35FE" w:rsidRPr="00C05D6B">
        <w:rPr>
          <w:rFonts w:ascii="Garamond" w:hAnsi="Garamond" w:cs="Times New Roman"/>
        </w:rPr>
        <w:fldChar w:fldCharType="begin"/>
      </w:r>
      <w:r w:rsidR="00CA35FE" w:rsidRPr="00C05D6B">
        <w:rPr>
          <w:rFonts w:ascii="Garamond" w:hAnsi="Garamond"/>
        </w:rPr>
        <w:instrText xml:space="preserve"> TA \l "</w:instrText>
      </w:r>
      <w:r w:rsidR="00CA35FE" w:rsidRPr="00C05D6B">
        <w:rPr>
          <w:rFonts w:ascii="Garamond" w:hAnsi="Garamond" w:cs="Times New Roman"/>
        </w:rPr>
        <w:instrText>28 U.S.C. § 2255(e).</w:instrText>
      </w:r>
      <w:r w:rsidR="00CA35FE" w:rsidRPr="00C05D6B">
        <w:rPr>
          <w:rFonts w:ascii="Garamond" w:hAnsi="Garamond"/>
        </w:rPr>
        <w:instrText xml:space="preserve">" \s "28 U.S.C. § 2255(e)" \c 2 </w:instrText>
      </w:r>
      <w:r w:rsidR="00CA35FE" w:rsidRPr="00C05D6B">
        <w:rPr>
          <w:rFonts w:ascii="Garamond" w:hAnsi="Garamond" w:cs="Times New Roman"/>
        </w:rPr>
        <w:fldChar w:fldCharType="end"/>
      </w:r>
      <w:r w:rsidRPr="00C05D6B">
        <w:rPr>
          <w:rFonts w:ascii="Garamond" w:hAnsi="Garamond" w:cs="Times New Roman"/>
        </w:rPr>
        <w:t xml:space="preserve"> In Jones v. Hendrix</w:t>
      </w:r>
      <w:r w:rsidR="0046680A" w:rsidRPr="00C05D6B">
        <w:rPr>
          <w:rFonts w:ascii="Garamond" w:hAnsi="Garamond" w:cs="Times New Roman"/>
        </w:rPr>
        <w:fldChar w:fldCharType="begin"/>
      </w:r>
      <w:r w:rsidR="0046680A" w:rsidRPr="00C05D6B">
        <w:rPr>
          <w:rFonts w:ascii="Garamond" w:hAnsi="Garamond"/>
        </w:rPr>
        <w:instrText xml:space="preserve"> TA \l "</w:instrText>
      </w:r>
      <w:r w:rsidR="0046680A" w:rsidRPr="00C05D6B">
        <w:rPr>
          <w:rFonts w:ascii="Garamond" w:hAnsi="Garamond" w:cs="Times New Roman"/>
        </w:rPr>
        <w:instrText>Jones v. Hendrix</w:instrText>
      </w:r>
      <w:r w:rsidR="0046680A" w:rsidRPr="00C05D6B">
        <w:rPr>
          <w:rFonts w:ascii="Garamond" w:hAnsi="Garamond"/>
        </w:rPr>
        <w:instrText xml:space="preserve">" \s "Jones v. Hendrix" \c 1 </w:instrText>
      </w:r>
      <w:r w:rsidR="0046680A" w:rsidRPr="00C05D6B">
        <w:rPr>
          <w:rFonts w:ascii="Garamond" w:hAnsi="Garamond" w:cs="Times New Roman"/>
        </w:rPr>
        <w:fldChar w:fldCharType="end"/>
      </w:r>
      <w:r w:rsidRPr="00C05D6B">
        <w:rPr>
          <w:rFonts w:ascii="Garamond" w:hAnsi="Garamond" w:cs="Times New Roman"/>
        </w:rPr>
        <w:t xml:space="preserve"> (2023), as in </w:t>
      </w:r>
      <w:proofErr w:type="spellStart"/>
      <w:r w:rsidRPr="00C05D6B">
        <w:rPr>
          <w:rFonts w:ascii="Garamond" w:hAnsi="Garamond" w:cs="Times New Roman"/>
          <w:i/>
          <w:iCs/>
        </w:rPr>
        <w:t>Thuraissigiam</w:t>
      </w:r>
      <w:proofErr w:type="spellEnd"/>
      <w:r w:rsidRPr="00C05D6B">
        <w:rPr>
          <w:rFonts w:ascii="Garamond" w:hAnsi="Garamond" w:cs="Times New Roman"/>
        </w:rPr>
        <w:t>, the Court underscored that Suspension Clause claims that § 2241</w:t>
      </w:r>
      <w:r w:rsidR="004859E7" w:rsidRPr="004859E7">
        <w:rPr>
          <w:rFonts w:ascii="Garamond" w:hAnsi="Garamond" w:cs="Times New Roman"/>
        </w:rPr>
        <w:fldChar w:fldCharType="begin"/>
      </w:r>
      <w:r w:rsidR="004859E7" w:rsidRPr="004859E7">
        <w:rPr>
          <w:rFonts w:ascii="Garamond" w:hAnsi="Garamond"/>
        </w:rPr>
        <w:instrText xml:space="preserve"> TA \l "</w:instrText>
      </w:r>
      <w:r w:rsidR="007B7806" w:rsidRPr="004859E7">
        <w:rPr>
          <w:rFonts w:ascii="Garamond" w:hAnsi="Garamond"/>
        </w:rPr>
        <w:instrText xml:space="preserve">28 U.S.C. </w:instrText>
      </w:r>
      <w:r w:rsidR="004859E7" w:rsidRPr="004859E7">
        <w:rPr>
          <w:rFonts w:ascii="Garamond" w:hAnsi="Garamond" w:cs="Times New Roman"/>
        </w:rPr>
        <w:instrText>§ 2241</w:instrText>
      </w:r>
      <w:r w:rsidR="004859E7" w:rsidRPr="004859E7">
        <w:rPr>
          <w:rFonts w:ascii="Garamond" w:hAnsi="Garamond"/>
        </w:rPr>
        <w:instrText xml:space="preserve">" \s "28 U.S.C. § 2241" \c 2 </w:instrText>
      </w:r>
      <w:r w:rsidR="004859E7" w:rsidRPr="004859E7">
        <w:rPr>
          <w:rFonts w:ascii="Garamond" w:hAnsi="Garamond" w:cs="Times New Roman"/>
        </w:rPr>
        <w:fldChar w:fldCharType="end"/>
      </w:r>
      <w:r w:rsidRPr="00C05D6B">
        <w:rPr>
          <w:rFonts w:ascii="Garamond" w:hAnsi="Garamond" w:cs="Times New Roman"/>
        </w:rPr>
        <w:t xml:space="preserve"> jurisdiction is constitutionally mandatory are to be judged by the scope of the writ “when the Constitution was drafted and ratified.” Jones sought to use § 2241</w:t>
      </w:r>
      <w:r w:rsidR="004859E7" w:rsidRPr="004859E7">
        <w:rPr>
          <w:rFonts w:ascii="Garamond" w:hAnsi="Garamond" w:cs="Times New Roman"/>
        </w:rPr>
        <w:fldChar w:fldCharType="begin"/>
      </w:r>
      <w:r w:rsidR="004859E7" w:rsidRPr="004859E7">
        <w:rPr>
          <w:rFonts w:ascii="Garamond" w:hAnsi="Garamond"/>
        </w:rPr>
        <w:instrText xml:space="preserve"> TA \l "</w:instrText>
      </w:r>
      <w:r w:rsidR="007B7806" w:rsidRPr="004859E7">
        <w:rPr>
          <w:rFonts w:ascii="Garamond" w:hAnsi="Garamond"/>
        </w:rPr>
        <w:instrText xml:space="preserve">28 U.S.C. </w:instrText>
      </w:r>
      <w:r w:rsidR="004859E7" w:rsidRPr="004859E7">
        <w:rPr>
          <w:rFonts w:ascii="Garamond" w:hAnsi="Garamond" w:cs="Times New Roman"/>
        </w:rPr>
        <w:instrText>§ 2241</w:instrText>
      </w:r>
      <w:r w:rsidR="004859E7" w:rsidRPr="004859E7">
        <w:rPr>
          <w:rFonts w:ascii="Garamond" w:hAnsi="Garamond"/>
        </w:rPr>
        <w:instrText xml:space="preserve">" \s "28 U.S.C. § 2241" \c 2 </w:instrText>
      </w:r>
      <w:r w:rsidR="004859E7" w:rsidRPr="004859E7">
        <w:rPr>
          <w:rFonts w:ascii="Garamond" w:hAnsi="Garamond" w:cs="Times New Roman"/>
        </w:rPr>
        <w:fldChar w:fldCharType="end"/>
      </w:r>
      <w:r w:rsidRPr="00C05D6B">
        <w:rPr>
          <w:rFonts w:ascii="Garamond" w:hAnsi="Garamond" w:cs="Times New Roman"/>
        </w:rPr>
        <w:t xml:space="preserve"> for a successive habeas petition raising a claim that his conviction under a federal firearm statute did not include a finding of scienter that the Supreme Court held was required. He could not raise that statutory claim under § 2255</w:t>
      </w:r>
      <w:r w:rsidR="004859E7" w:rsidRPr="004859E7">
        <w:rPr>
          <w:rFonts w:ascii="Garamond" w:hAnsi="Garamond" w:cs="Times New Roman"/>
        </w:rPr>
        <w:fldChar w:fldCharType="begin"/>
      </w:r>
      <w:r w:rsidR="004859E7" w:rsidRPr="004859E7">
        <w:rPr>
          <w:rFonts w:ascii="Garamond" w:hAnsi="Garamond"/>
        </w:rPr>
        <w:instrText xml:space="preserve"> TA \l "</w:instrText>
      </w:r>
      <w:r w:rsidR="004859E7">
        <w:rPr>
          <w:rFonts w:ascii="Garamond" w:hAnsi="Garamond"/>
        </w:rPr>
        <w:instrText xml:space="preserve">28 U.S.C. </w:instrText>
      </w:r>
      <w:r w:rsidR="004859E7" w:rsidRPr="004859E7">
        <w:rPr>
          <w:rFonts w:ascii="Garamond" w:hAnsi="Garamond" w:cs="Times New Roman"/>
        </w:rPr>
        <w:instrText>§ 2255</w:instrText>
      </w:r>
      <w:r w:rsidR="004859E7" w:rsidRPr="004859E7">
        <w:rPr>
          <w:rFonts w:ascii="Garamond" w:hAnsi="Garamond"/>
        </w:rPr>
        <w:instrText xml:space="preserve">" \s "28 U.S.C. § 2255" \c 2 </w:instrText>
      </w:r>
      <w:r w:rsidR="004859E7" w:rsidRPr="004859E7">
        <w:rPr>
          <w:rFonts w:ascii="Garamond" w:hAnsi="Garamond" w:cs="Times New Roman"/>
        </w:rPr>
        <w:fldChar w:fldCharType="end"/>
      </w:r>
      <w:r w:rsidRPr="00C05D6B">
        <w:rPr>
          <w:rFonts w:ascii="Garamond" w:hAnsi="Garamond" w:cs="Times New Roman"/>
        </w:rPr>
        <w:t xml:space="preserve"> because AEDPA amendments barred § 2255</w:t>
      </w:r>
      <w:r w:rsidR="004859E7" w:rsidRPr="004859E7">
        <w:rPr>
          <w:rFonts w:ascii="Garamond" w:hAnsi="Garamond" w:cs="Times New Roman"/>
        </w:rPr>
        <w:fldChar w:fldCharType="begin"/>
      </w:r>
      <w:r w:rsidR="004859E7" w:rsidRPr="004859E7">
        <w:rPr>
          <w:rFonts w:ascii="Garamond" w:hAnsi="Garamond"/>
        </w:rPr>
        <w:instrText xml:space="preserve"> TA \l "</w:instrText>
      </w:r>
      <w:r w:rsidR="004859E7">
        <w:rPr>
          <w:rFonts w:ascii="Garamond" w:hAnsi="Garamond"/>
        </w:rPr>
        <w:instrText xml:space="preserve">28 U.S.C. </w:instrText>
      </w:r>
      <w:r w:rsidR="004859E7" w:rsidRPr="004859E7">
        <w:rPr>
          <w:rFonts w:ascii="Garamond" w:hAnsi="Garamond" w:cs="Times New Roman"/>
        </w:rPr>
        <w:instrText>§ 2255</w:instrText>
      </w:r>
      <w:r w:rsidR="004859E7" w:rsidRPr="004859E7">
        <w:rPr>
          <w:rFonts w:ascii="Garamond" w:hAnsi="Garamond"/>
        </w:rPr>
        <w:instrText xml:space="preserve">" \s "28 U.S.C. § 2255" \c 2 </w:instrText>
      </w:r>
      <w:r w:rsidR="004859E7" w:rsidRPr="004859E7">
        <w:rPr>
          <w:rFonts w:ascii="Garamond" w:hAnsi="Garamond" w:cs="Times New Roman"/>
        </w:rPr>
        <w:fldChar w:fldCharType="end"/>
      </w:r>
      <w:r w:rsidRPr="00C05D6B">
        <w:rPr>
          <w:rFonts w:ascii="Garamond" w:hAnsi="Garamond" w:cs="Times New Roman"/>
        </w:rPr>
        <w:t xml:space="preserve"> successive petitions unless they rest on new evidence of innocence or a new </w:t>
      </w:r>
      <w:r w:rsidRPr="00C05D6B">
        <w:rPr>
          <w:rFonts w:ascii="Garamond" w:hAnsi="Garamond" w:cs="Times New Roman"/>
          <w:i/>
          <w:iCs/>
        </w:rPr>
        <w:t>constitutional</w:t>
      </w:r>
      <w:r w:rsidRPr="00C05D6B">
        <w:rPr>
          <w:rFonts w:ascii="Garamond" w:hAnsi="Garamond" w:cs="Times New Roman"/>
        </w:rPr>
        <w:t xml:space="preserve"> rule.  </w:t>
      </w:r>
    </w:p>
    <w:p w14:paraId="21574D21" w14:textId="77777777" w:rsidR="00F9074C" w:rsidRPr="00C05D6B" w:rsidRDefault="00F9074C" w:rsidP="00F9074C">
      <w:pPr>
        <w:ind w:firstLine="720"/>
        <w:rPr>
          <w:rFonts w:ascii="Garamond" w:hAnsi="Garamond" w:cs="Times New Roman"/>
        </w:rPr>
      </w:pPr>
    </w:p>
    <w:p w14:paraId="35E561E5" w14:textId="065ECC70" w:rsidR="003125BF" w:rsidRPr="00C05D6B" w:rsidRDefault="003125BF" w:rsidP="003125BF">
      <w:pPr>
        <w:ind w:firstLine="720"/>
        <w:rPr>
          <w:rFonts w:ascii="Garamond" w:hAnsi="Garamond" w:cs="Times New Roman"/>
        </w:rPr>
      </w:pPr>
      <w:r w:rsidRPr="00C05D6B">
        <w:rPr>
          <w:rFonts w:ascii="Garamond" w:hAnsi="Garamond" w:cs="Times New Roman"/>
        </w:rPr>
        <w:t xml:space="preserve">Relying on </w:t>
      </w:r>
      <w:r w:rsidRPr="00C05D6B">
        <w:rPr>
          <w:rFonts w:ascii="Garamond" w:hAnsi="Garamond" w:cs="Times New Roman"/>
          <w:i/>
          <w:iCs/>
        </w:rPr>
        <w:t xml:space="preserve">Ex </w:t>
      </w:r>
      <w:proofErr w:type="spellStart"/>
      <w:r w:rsidRPr="00C05D6B">
        <w:rPr>
          <w:rFonts w:ascii="Garamond" w:hAnsi="Garamond" w:cs="Times New Roman"/>
          <w:i/>
          <w:iCs/>
        </w:rPr>
        <w:t>parte</w:t>
      </w:r>
      <w:proofErr w:type="spellEnd"/>
      <w:r w:rsidRPr="00C05D6B">
        <w:rPr>
          <w:rFonts w:ascii="Garamond" w:hAnsi="Garamond" w:cs="Times New Roman"/>
          <w:i/>
          <w:iCs/>
        </w:rPr>
        <w:t xml:space="preserve"> Watkins</w:t>
      </w:r>
      <w:r w:rsidR="00CA35FE" w:rsidRPr="00C05D6B">
        <w:rPr>
          <w:rFonts w:ascii="Garamond" w:hAnsi="Garamond" w:cs="Times New Roman"/>
          <w:i/>
          <w:iCs/>
        </w:rPr>
        <w:fldChar w:fldCharType="begin"/>
      </w:r>
      <w:r w:rsidR="00CA35FE" w:rsidRPr="00C05D6B">
        <w:rPr>
          <w:rFonts w:ascii="Garamond" w:hAnsi="Garamond"/>
        </w:rPr>
        <w:instrText xml:space="preserve"> TA \l "</w:instrText>
      </w:r>
      <w:r w:rsidR="00CA35FE" w:rsidRPr="00F5595D">
        <w:rPr>
          <w:rFonts w:ascii="Garamond" w:hAnsi="Garamond" w:cs="Times New Roman"/>
        </w:rPr>
        <w:instrText>Ex parte Watkins</w:instrText>
      </w:r>
      <w:r w:rsidR="00CA35FE" w:rsidRPr="00C05D6B">
        <w:rPr>
          <w:rFonts w:ascii="Garamond" w:hAnsi="Garamond"/>
        </w:rPr>
        <w:instrText xml:space="preserve">" \s "Ex parte Watkins" \c 1 </w:instrText>
      </w:r>
      <w:r w:rsidR="00CA35FE" w:rsidRPr="00C05D6B">
        <w:rPr>
          <w:rFonts w:ascii="Garamond" w:hAnsi="Garamond" w:cs="Times New Roman"/>
          <w:i/>
          <w:iCs/>
        </w:rPr>
        <w:fldChar w:fldCharType="end"/>
      </w:r>
      <w:r w:rsidRPr="00C05D6B">
        <w:rPr>
          <w:rFonts w:ascii="Garamond" w:hAnsi="Garamond" w:cs="Times New Roman"/>
        </w:rPr>
        <w:t xml:space="preserve"> for the view that early American habeas practice was limited to challenges to jurisdiction, not review “for substantive errors of law” by a court of competent jurisdiction, the Court found no Suspension Clause violation in § 2255(h)</w:t>
      </w:r>
      <w:r w:rsidR="004859E7" w:rsidRPr="004859E7">
        <w:rPr>
          <w:rFonts w:ascii="Garamond" w:hAnsi="Garamond" w:cs="Times New Roman"/>
        </w:rPr>
        <w:t xml:space="preserve"> </w:t>
      </w:r>
      <w:r w:rsidR="004859E7" w:rsidRPr="004859E7">
        <w:rPr>
          <w:rFonts w:ascii="Garamond" w:hAnsi="Garamond" w:cs="Times New Roman"/>
        </w:rPr>
        <w:fldChar w:fldCharType="begin"/>
      </w:r>
      <w:r w:rsidR="004859E7" w:rsidRPr="004859E7">
        <w:rPr>
          <w:rFonts w:ascii="Garamond" w:hAnsi="Garamond"/>
        </w:rPr>
        <w:instrText xml:space="preserve"> TA \l "</w:instrText>
      </w:r>
      <w:r w:rsidR="004859E7">
        <w:rPr>
          <w:rFonts w:ascii="Garamond" w:hAnsi="Garamond"/>
        </w:rPr>
        <w:instrText xml:space="preserve">28 U.S.C. </w:instrText>
      </w:r>
      <w:r w:rsidR="004859E7" w:rsidRPr="004859E7">
        <w:rPr>
          <w:rFonts w:ascii="Garamond" w:hAnsi="Garamond" w:cs="Times New Roman"/>
        </w:rPr>
        <w:instrText>§ 2255</w:instrText>
      </w:r>
      <w:r w:rsidR="004859E7">
        <w:rPr>
          <w:rFonts w:ascii="Garamond" w:hAnsi="Garamond" w:cs="Times New Roman"/>
        </w:rPr>
        <w:instrText>(h)</w:instrText>
      </w:r>
      <w:r w:rsidR="004859E7" w:rsidRPr="004859E7">
        <w:rPr>
          <w:rFonts w:ascii="Garamond" w:hAnsi="Garamond"/>
        </w:rPr>
        <w:instrText>" \s "28 U.S.C. § 2255</w:instrText>
      </w:r>
      <w:r w:rsidR="004859E7">
        <w:rPr>
          <w:rFonts w:ascii="Garamond" w:hAnsi="Garamond"/>
        </w:rPr>
        <w:instrText>(h)</w:instrText>
      </w:r>
      <w:r w:rsidR="004859E7" w:rsidRPr="004859E7">
        <w:rPr>
          <w:rFonts w:ascii="Garamond" w:hAnsi="Garamond"/>
        </w:rPr>
        <w:instrText xml:space="preserve">" \c 2 </w:instrText>
      </w:r>
      <w:r w:rsidR="004859E7" w:rsidRPr="004859E7">
        <w:rPr>
          <w:rFonts w:ascii="Garamond" w:hAnsi="Garamond" w:cs="Times New Roman"/>
        </w:rPr>
        <w:fldChar w:fldCharType="end"/>
      </w:r>
      <w:r w:rsidRPr="00C05D6B">
        <w:rPr>
          <w:rFonts w:ascii="Garamond" w:hAnsi="Garamond" w:cs="Times New Roman"/>
        </w:rPr>
        <w:t>’s prohibition on a successive petition that raise</w:t>
      </w:r>
      <w:r w:rsidR="000672F2" w:rsidRPr="00C05D6B">
        <w:rPr>
          <w:rFonts w:ascii="Garamond" w:hAnsi="Garamond" w:cs="Times New Roman"/>
        </w:rPr>
        <w:t>s</w:t>
      </w:r>
      <w:r w:rsidRPr="00C05D6B">
        <w:rPr>
          <w:rFonts w:ascii="Garamond" w:hAnsi="Garamond" w:cs="Times New Roman"/>
        </w:rPr>
        <w:t xml:space="preserve"> statutory flaws in a petitioner’s conviction. “Jones fails to identify a single clear case of habeas being used to relitigate a conviction after trial by a court of general criminal jurisdiction. Rather, the cases he cites mostly involve commitments by justices of the peace,” courts that “were not courts of recor</w:t>
      </w:r>
      <w:r w:rsidR="00F47A07" w:rsidRPr="00C05D6B">
        <w:rPr>
          <w:rFonts w:ascii="Garamond" w:hAnsi="Garamond" w:cs="Times New Roman"/>
        </w:rPr>
        <w:t xml:space="preserve">d. . . . </w:t>
      </w:r>
      <w:r w:rsidRPr="00C05D6B">
        <w:rPr>
          <w:rFonts w:ascii="Garamond" w:hAnsi="Garamond" w:cs="Times New Roman"/>
        </w:rPr>
        <w:t>As such</w:t>
      </w:r>
      <w:r w:rsidR="00F47A07" w:rsidRPr="00C05D6B">
        <w:rPr>
          <w:rFonts w:ascii="Garamond" w:hAnsi="Garamond" w:cs="Times New Roman"/>
        </w:rPr>
        <w:t xml:space="preserve"> . . . </w:t>
      </w:r>
      <w:r w:rsidRPr="00C05D6B">
        <w:rPr>
          <w:rFonts w:ascii="Garamond" w:hAnsi="Garamond" w:cs="Times New Roman"/>
        </w:rPr>
        <w:t xml:space="preserve">the fact that superior courts sometimes used habeas to examine commitments by such inferior magistrates furnishes no authority for inquiring in the judgments of a court of general jurisdiction.” Notice the similar narrowing and exaction of the historical question the Court made in </w:t>
      </w:r>
      <w:proofErr w:type="spellStart"/>
      <w:r w:rsidRPr="00C05D6B">
        <w:rPr>
          <w:rFonts w:ascii="Garamond" w:hAnsi="Garamond" w:cs="Times New Roman"/>
          <w:i/>
          <w:iCs/>
        </w:rPr>
        <w:t>Thuraissigiam</w:t>
      </w:r>
      <w:proofErr w:type="spellEnd"/>
      <w:r w:rsidRPr="00C05D6B">
        <w:rPr>
          <w:rFonts w:ascii="Garamond" w:hAnsi="Garamond" w:cs="Times New Roman"/>
        </w:rPr>
        <w:t>: the Court move</w:t>
      </w:r>
      <w:r w:rsidR="00611A04" w:rsidRPr="00C05D6B">
        <w:rPr>
          <w:rFonts w:ascii="Garamond" w:hAnsi="Garamond" w:cs="Times New Roman"/>
        </w:rPr>
        <w:t>d</w:t>
      </w:r>
      <w:r w:rsidRPr="00C05D6B">
        <w:rPr>
          <w:rFonts w:ascii="Garamond" w:hAnsi="Garamond" w:cs="Times New Roman"/>
        </w:rPr>
        <w:t xml:space="preserve"> from the question whether habeas involved review of matters other than jurisdictional competence to the </w:t>
      </w:r>
      <w:r w:rsidRPr="00C05D6B">
        <w:rPr>
          <w:rFonts w:ascii="Garamond" w:hAnsi="Garamond" w:cs="Times New Roman"/>
        </w:rPr>
        <w:lastRenderedPageBreak/>
        <w:t xml:space="preserve">much more specific question whether habeas involved broader review where the court that entered the judgment was a “court of general criminal jurisdiction.”  </w:t>
      </w:r>
    </w:p>
    <w:p w14:paraId="26B16724" w14:textId="77777777" w:rsidR="00F9074C" w:rsidRPr="00C05D6B" w:rsidRDefault="00F9074C" w:rsidP="003125BF">
      <w:pPr>
        <w:ind w:firstLine="720"/>
        <w:rPr>
          <w:rFonts w:ascii="Garamond" w:hAnsi="Garamond" w:cs="Times New Roman"/>
        </w:rPr>
      </w:pPr>
    </w:p>
    <w:p w14:paraId="3BE9688E" w14:textId="0D5DDE8C" w:rsidR="003125BF" w:rsidRPr="00C05D6B" w:rsidRDefault="003125BF" w:rsidP="003125BF">
      <w:pPr>
        <w:ind w:firstLine="720"/>
        <w:rPr>
          <w:rFonts w:ascii="Garamond" w:hAnsi="Garamond" w:cs="Times New Roman"/>
        </w:rPr>
      </w:pPr>
      <w:r w:rsidRPr="00C05D6B">
        <w:rPr>
          <w:rFonts w:ascii="Garamond" w:hAnsi="Garamond" w:cs="Times New Roman"/>
        </w:rPr>
        <w:t>Justices Jackson, Sotomayor, and Kagan dissented, arguing that Congress could not have intended, and the Suspension Clause does not tolerate, barring a prisoner from raising the claim that he is innocent (because the government never proved an element of the offen</w:t>
      </w:r>
      <w:r w:rsidR="00B86C2F" w:rsidRPr="00C05D6B">
        <w:rPr>
          <w:rFonts w:ascii="Garamond" w:hAnsi="Garamond" w:cs="Times New Roman"/>
        </w:rPr>
        <w:t>s</w:t>
      </w:r>
      <w:r w:rsidRPr="00C05D6B">
        <w:rPr>
          <w:rFonts w:ascii="Garamond" w:hAnsi="Garamond" w:cs="Times New Roman"/>
        </w:rPr>
        <w:t xml:space="preserve">e the Court has deemed essential) just because he filed a previous habeas petition. It must be possible, they argued, to raise an intervening Supreme Court decision of statutory construction that demonstrates an essential element of the offense was not proved. Justice Jackson emphasized that the Court’s account of the jurisdictional error-only history tied to </w:t>
      </w:r>
      <w:r w:rsidRPr="00C05D6B">
        <w:rPr>
          <w:rFonts w:ascii="Garamond" w:hAnsi="Garamond" w:cs="Times New Roman"/>
          <w:i/>
          <w:iCs/>
        </w:rPr>
        <w:t>In re Watkins</w:t>
      </w:r>
      <w:r w:rsidR="00CA35FE" w:rsidRPr="00C05D6B">
        <w:rPr>
          <w:rFonts w:ascii="Garamond" w:hAnsi="Garamond" w:cs="Times New Roman"/>
          <w:i/>
          <w:iCs/>
        </w:rPr>
        <w:fldChar w:fldCharType="begin"/>
      </w:r>
      <w:r w:rsidR="00CA35FE" w:rsidRPr="00C05D6B">
        <w:rPr>
          <w:rFonts w:ascii="Garamond" w:hAnsi="Garamond"/>
        </w:rPr>
        <w:instrText xml:space="preserve"> TA \l "</w:instrText>
      </w:r>
      <w:r w:rsidR="00CA35FE" w:rsidRPr="00F5595D">
        <w:rPr>
          <w:rFonts w:ascii="Garamond" w:hAnsi="Garamond" w:cs="Times New Roman"/>
        </w:rPr>
        <w:instrText>In re Watkins</w:instrText>
      </w:r>
      <w:r w:rsidR="00CA35FE" w:rsidRPr="00C05D6B">
        <w:rPr>
          <w:rFonts w:ascii="Garamond" w:hAnsi="Garamond"/>
        </w:rPr>
        <w:instrText xml:space="preserve">" \s "In re Watkins" \c 1 </w:instrText>
      </w:r>
      <w:r w:rsidR="00CA35FE" w:rsidRPr="00C05D6B">
        <w:rPr>
          <w:rFonts w:ascii="Garamond" w:hAnsi="Garamond" w:cs="Times New Roman"/>
          <w:i/>
          <w:iCs/>
        </w:rPr>
        <w:fldChar w:fldCharType="end"/>
      </w:r>
      <w:r w:rsidRPr="00C05D6B">
        <w:rPr>
          <w:rFonts w:ascii="Garamond" w:hAnsi="Garamond" w:cs="Times New Roman"/>
        </w:rPr>
        <w:t xml:space="preserve"> is, according to professional legal historians “narrative and myth but not history.”  </w:t>
      </w:r>
    </w:p>
    <w:p w14:paraId="045CEBAD" w14:textId="77777777" w:rsidR="003125BF" w:rsidRPr="00C05D6B" w:rsidRDefault="003125BF" w:rsidP="003125BF">
      <w:pPr>
        <w:rPr>
          <w:rFonts w:ascii="Garamond" w:hAnsi="Garamond" w:cs="Times New Roman"/>
          <w:b/>
          <w:bCs/>
          <w:i/>
          <w:iCs/>
        </w:rPr>
      </w:pPr>
    </w:p>
    <w:p w14:paraId="10B0B52E" w14:textId="64984E53" w:rsidR="003125BF" w:rsidRPr="00C05D6B" w:rsidRDefault="00F9074C" w:rsidP="003125BF">
      <w:pPr>
        <w:rPr>
          <w:rFonts w:ascii="Garamond" w:hAnsi="Garamond" w:cs="Times New Roman"/>
          <w:b/>
          <w:bCs/>
          <w:i/>
          <w:iCs/>
        </w:rPr>
      </w:pPr>
      <w:r w:rsidRPr="00C05D6B">
        <w:rPr>
          <w:rFonts w:ascii="Garamond" w:hAnsi="Garamond" w:cs="Times New Roman"/>
          <w:b/>
          <w:bCs/>
          <w:i/>
          <w:iCs/>
        </w:rPr>
        <w:t>B.</w:t>
      </w:r>
      <w:r w:rsidRPr="00C05D6B">
        <w:rPr>
          <w:rFonts w:ascii="Garamond" w:hAnsi="Garamond" w:cs="Times New Roman"/>
          <w:b/>
          <w:bCs/>
          <w:i/>
          <w:iCs/>
        </w:rPr>
        <w:tab/>
      </w:r>
      <w:r w:rsidR="003125BF" w:rsidRPr="00C05D6B">
        <w:rPr>
          <w:rFonts w:ascii="Garamond" w:hAnsi="Garamond" w:cs="Times New Roman"/>
          <w:b/>
          <w:bCs/>
          <w:i/>
          <w:iCs/>
        </w:rPr>
        <w:t xml:space="preserve">Collateral Attack on State Criminal Convictions </w:t>
      </w:r>
    </w:p>
    <w:p w14:paraId="5374E42B" w14:textId="77777777" w:rsidR="00F9074C" w:rsidRPr="00C05D6B" w:rsidRDefault="00F9074C" w:rsidP="003125BF">
      <w:pPr>
        <w:rPr>
          <w:rFonts w:ascii="Garamond" w:hAnsi="Garamond" w:cs="Times New Roman"/>
          <w:b/>
          <w:bCs/>
          <w:i/>
          <w:iCs/>
        </w:rPr>
      </w:pPr>
    </w:p>
    <w:p w14:paraId="3F57ACC7" w14:textId="7E4CA3C0" w:rsidR="00F9074C" w:rsidRPr="00C05D6B" w:rsidRDefault="00F9074C" w:rsidP="00F9074C">
      <w:pPr>
        <w:ind w:firstLine="720"/>
        <w:rPr>
          <w:rFonts w:ascii="Garamond" w:hAnsi="Garamond" w:cs="Times New Roman"/>
          <w:b/>
          <w:bCs/>
        </w:rPr>
      </w:pPr>
      <w:r w:rsidRPr="00C05D6B">
        <w:rPr>
          <w:rFonts w:ascii="Garamond" w:hAnsi="Garamond" w:cs="Times New Roman"/>
          <w:b/>
          <w:bCs/>
        </w:rPr>
        <w:t>1.</w:t>
      </w:r>
      <w:r w:rsidRPr="00C05D6B">
        <w:rPr>
          <w:rFonts w:ascii="Garamond" w:hAnsi="Garamond" w:cs="Times New Roman"/>
          <w:b/>
          <w:bCs/>
        </w:rPr>
        <w:tab/>
        <w:t>Procedural Prerequisites to Collateral Attack on State Court Judgments</w:t>
      </w:r>
    </w:p>
    <w:p w14:paraId="258E1452" w14:textId="77777777" w:rsidR="00F9074C" w:rsidRPr="00C05D6B" w:rsidRDefault="00F9074C" w:rsidP="00F9074C">
      <w:pPr>
        <w:ind w:left="720"/>
        <w:rPr>
          <w:rFonts w:ascii="Garamond" w:hAnsi="Garamond" w:cs="Times New Roman"/>
          <w:b/>
          <w:bCs/>
        </w:rPr>
      </w:pPr>
    </w:p>
    <w:p w14:paraId="6CF4EF1B" w14:textId="5CA0DED5" w:rsidR="00F9074C" w:rsidRPr="00C05D6B" w:rsidRDefault="00F9074C" w:rsidP="00F9074C">
      <w:pPr>
        <w:ind w:left="1440"/>
        <w:rPr>
          <w:rFonts w:ascii="Garamond" w:hAnsi="Garamond" w:cs="Times New Roman"/>
          <w:b/>
          <w:bCs/>
        </w:rPr>
      </w:pPr>
      <w:r w:rsidRPr="00C05D6B">
        <w:rPr>
          <w:rFonts w:ascii="Garamond" w:hAnsi="Garamond" w:cs="Times New Roman"/>
          <w:b/>
          <w:bCs/>
        </w:rPr>
        <w:t>e.</w:t>
      </w:r>
      <w:r w:rsidRPr="00C05D6B">
        <w:rPr>
          <w:rFonts w:ascii="Garamond" w:hAnsi="Garamond" w:cs="Times New Roman"/>
          <w:b/>
          <w:bCs/>
        </w:rPr>
        <w:tab/>
        <w:t>Successive Petitions</w:t>
      </w:r>
    </w:p>
    <w:p w14:paraId="4379EA99" w14:textId="77777777" w:rsidR="00F9074C" w:rsidRPr="00C05D6B" w:rsidRDefault="00F9074C" w:rsidP="00F9074C">
      <w:pPr>
        <w:ind w:left="1440"/>
        <w:rPr>
          <w:rFonts w:ascii="Garamond" w:hAnsi="Garamond" w:cs="Times New Roman"/>
          <w:b/>
          <w:bCs/>
        </w:rPr>
      </w:pPr>
    </w:p>
    <w:p w14:paraId="662358E3" w14:textId="2732A6F4" w:rsidR="003125BF" w:rsidRPr="00C05D6B" w:rsidRDefault="003125BF" w:rsidP="003125BF">
      <w:pPr>
        <w:rPr>
          <w:rFonts w:ascii="Garamond" w:hAnsi="Garamond" w:cs="Times New Roman"/>
          <w:b/>
          <w:bCs/>
        </w:rPr>
      </w:pPr>
      <w:r w:rsidRPr="00C05D6B">
        <w:rPr>
          <w:rFonts w:ascii="Garamond" w:hAnsi="Garamond" w:cs="Times New Roman"/>
          <w:b/>
          <w:bCs/>
        </w:rPr>
        <w:t xml:space="preserve">(CB p. 1051, </w:t>
      </w:r>
      <w:r w:rsidR="00F9074C" w:rsidRPr="00C05D6B">
        <w:rPr>
          <w:rFonts w:ascii="Garamond" w:hAnsi="Garamond" w:cs="Times New Roman"/>
          <w:b/>
          <w:bCs/>
        </w:rPr>
        <w:t>after</w:t>
      </w:r>
      <w:r w:rsidRPr="00C05D6B">
        <w:rPr>
          <w:rFonts w:ascii="Garamond" w:hAnsi="Garamond" w:cs="Times New Roman"/>
          <w:b/>
          <w:bCs/>
        </w:rPr>
        <w:t xml:space="preserve"> Felker</w:t>
      </w:r>
      <w:r w:rsidR="00F9074C" w:rsidRPr="00C05D6B">
        <w:rPr>
          <w:rFonts w:ascii="Garamond" w:hAnsi="Garamond" w:cs="Times New Roman"/>
          <w:b/>
          <w:bCs/>
        </w:rPr>
        <w:t xml:space="preserve"> v. Turpin, Warden</w:t>
      </w:r>
      <w:r w:rsidR="00CA35FE" w:rsidRPr="00C05D6B">
        <w:rPr>
          <w:rFonts w:ascii="Garamond" w:hAnsi="Garamond" w:cs="Times New Roman"/>
          <w:b/>
          <w:bCs/>
        </w:rPr>
        <w:fldChar w:fldCharType="begin"/>
      </w:r>
      <w:r w:rsidR="00CA35FE" w:rsidRPr="00C05D6B">
        <w:rPr>
          <w:rFonts w:ascii="Garamond" w:hAnsi="Garamond"/>
        </w:rPr>
        <w:instrText xml:space="preserve"> TA \l "</w:instrText>
      </w:r>
      <w:r w:rsidR="00CA35FE" w:rsidRPr="00F5595D">
        <w:rPr>
          <w:rFonts w:ascii="Garamond" w:hAnsi="Garamond" w:cs="Times New Roman"/>
        </w:rPr>
        <w:instrText>Felker v. Turpin, Warden</w:instrText>
      </w:r>
      <w:r w:rsidR="00CA35FE" w:rsidRPr="00C05D6B">
        <w:rPr>
          <w:rFonts w:ascii="Garamond" w:hAnsi="Garamond"/>
        </w:rPr>
        <w:instrText xml:space="preserve">" \s "Felker v. Turpin, Warden" \c 1 </w:instrText>
      </w:r>
      <w:r w:rsidR="00CA35FE" w:rsidRPr="00C05D6B">
        <w:rPr>
          <w:rFonts w:ascii="Garamond" w:hAnsi="Garamond" w:cs="Times New Roman"/>
          <w:b/>
          <w:bCs/>
        </w:rPr>
        <w:fldChar w:fldCharType="end"/>
      </w:r>
      <w:r w:rsidR="00F9074C" w:rsidRPr="00C05D6B">
        <w:rPr>
          <w:rFonts w:ascii="Garamond" w:hAnsi="Garamond" w:cs="Times New Roman"/>
          <w:b/>
          <w:bCs/>
        </w:rPr>
        <w:t xml:space="preserve"> (1996)</w:t>
      </w:r>
      <w:r w:rsidRPr="00C05D6B">
        <w:rPr>
          <w:rFonts w:ascii="Garamond" w:hAnsi="Garamond" w:cs="Times New Roman"/>
          <w:b/>
          <w:bCs/>
        </w:rPr>
        <w:t>)</w:t>
      </w:r>
    </w:p>
    <w:p w14:paraId="7515D8A0" w14:textId="77777777" w:rsidR="003125BF" w:rsidRPr="00C05D6B" w:rsidRDefault="003125BF" w:rsidP="003125BF">
      <w:pPr>
        <w:rPr>
          <w:rFonts w:ascii="Garamond" w:hAnsi="Garamond" w:cs="Times New Roman"/>
        </w:rPr>
      </w:pPr>
    </w:p>
    <w:p w14:paraId="62245BFF" w14:textId="10EDB909" w:rsidR="003125BF" w:rsidRPr="00C05D6B" w:rsidRDefault="003125BF" w:rsidP="00F9074C">
      <w:pPr>
        <w:ind w:firstLine="720"/>
        <w:rPr>
          <w:rFonts w:ascii="Garamond" w:hAnsi="Garamond" w:cs="Times New Roman"/>
        </w:rPr>
      </w:pPr>
      <w:r w:rsidRPr="00C05D6B">
        <w:rPr>
          <w:rFonts w:ascii="Garamond" w:hAnsi="Garamond" w:cs="Times New Roman"/>
        </w:rPr>
        <w:t>In Jones v. Hendrix</w:t>
      </w:r>
      <w:r w:rsidR="0046680A" w:rsidRPr="00C05D6B">
        <w:rPr>
          <w:rFonts w:ascii="Garamond" w:hAnsi="Garamond" w:cs="Times New Roman"/>
        </w:rPr>
        <w:fldChar w:fldCharType="begin"/>
      </w:r>
      <w:r w:rsidR="0046680A" w:rsidRPr="00C05D6B">
        <w:rPr>
          <w:rFonts w:ascii="Garamond" w:hAnsi="Garamond"/>
        </w:rPr>
        <w:instrText xml:space="preserve"> TA \s "Jones v. Hendrix" </w:instrText>
      </w:r>
      <w:r w:rsidR="0046680A" w:rsidRPr="00C05D6B">
        <w:rPr>
          <w:rFonts w:ascii="Garamond" w:hAnsi="Garamond" w:cs="Times New Roman"/>
        </w:rPr>
        <w:fldChar w:fldCharType="end"/>
      </w:r>
      <w:r w:rsidRPr="00C05D6B">
        <w:rPr>
          <w:rFonts w:ascii="Garamond" w:hAnsi="Garamond" w:cs="Times New Roman"/>
        </w:rPr>
        <w:t xml:space="preserve"> (2023) the Court held that where a </w:t>
      </w:r>
      <w:r w:rsidRPr="00C05D6B">
        <w:rPr>
          <w:rFonts w:ascii="Garamond" w:hAnsi="Garamond" w:cs="Times New Roman"/>
          <w:i/>
          <w:iCs/>
        </w:rPr>
        <w:t>federal</w:t>
      </w:r>
      <w:r w:rsidRPr="00C05D6B">
        <w:rPr>
          <w:rFonts w:ascii="Garamond" w:hAnsi="Garamond" w:cs="Times New Roman"/>
        </w:rPr>
        <w:t xml:space="preserve"> prisoner’s successive petition rests on a new rule grounded in the statute under which he was convicted, rather than a new constitutional rule, see 28 U.S.C. § 2255(h)</w:t>
      </w:r>
      <w:r w:rsidR="00CA35FE" w:rsidRPr="00C05D6B">
        <w:rPr>
          <w:rFonts w:ascii="Garamond" w:hAnsi="Garamond" w:cs="Times New Roman"/>
        </w:rPr>
        <w:fldChar w:fldCharType="begin"/>
      </w:r>
      <w:r w:rsidR="00CA35FE" w:rsidRPr="00C05D6B">
        <w:rPr>
          <w:rFonts w:ascii="Garamond" w:hAnsi="Garamond"/>
        </w:rPr>
        <w:instrText xml:space="preserve"> TA \l "</w:instrText>
      </w:r>
      <w:r w:rsidR="00CA35FE" w:rsidRPr="00C05D6B">
        <w:rPr>
          <w:rFonts w:ascii="Garamond" w:hAnsi="Garamond" w:cs="Times New Roman"/>
        </w:rPr>
        <w:instrText>28 U.S.C. § 2255(h)</w:instrText>
      </w:r>
      <w:r w:rsidR="00CA35FE" w:rsidRPr="00C05D6B">
        <w:rPr>
          <w:rFonts w:ascii="Garamond" w:hAnsi="Garamond"/>
        </w:rPr>
        <w:instrText xml:space="preserve">" \s "28 U.S.C. § 2255(h)" \c 2 </w:instrText>
      </w:r>
      <w:r w:rsidR="00CA35FE" w:rsidRPr="00C05D6B">
        <w:rPr>
          <w:rFonts w:ascii="Garamond" w:hAnsi="Garamond" w:cs="Times New Roman"/>
        </w:rPr>
        <w:fldChar w:fldCharType="end"/>
      </w:r>
      <w:r w:rsidRPr="00C05D6B">
        <w:rPr>
          <w:rFonts w:ascii="Garamond" w:hAnsi="Garamond" w:cs="Times New Roman"/>
        </w:rPr>
        <w:t>, he cannot use § 2241</w:t>
      </w:r>
      <w:r w:rsidR="004859E7" w:rsidRPr="004859E7">
        <w:rPr>
          <w:rFonts w:ascii="Garamond" w:hAnsi="Garamond" w:cs="Times New Roman"/>
        </w:rPr>
        <w:fldChar w:fldCharType="begin"/>
      </w:r>
      <w:r w:rsidR="004859E7" w:rsidRPr="004859E7">
        <w:rPr>
          <w:rFonts w:ascii="Garamond" w:hAnsi="Garamond"/>
        </w:rPr>
        <w:instrText xml:space="preserve"> TA \l "</w:instrText>
      </w:r>
      <w:r w:rsidR="007B7806" w:rsidRPr="004859E7">
        <w:rPr>
          <w:rFonts w:ascii="Garamond" w:hAnsi="Garamond"/>
        </w:rPr>
        <w:instrText xml:space="preserve">28 U.S.C. </w:instrText>
      </w:r>
      <w:r w:rsidR="004859E7" w:rsidRPr="004859E7">
        <w:rPr>
          <w:rFonts w:ascii="Garamond" w:hAnsi="Garamond" w:cs="Times New Roman"/>
        </w:rPr>
        <w:instrText>§ 2241</w:instrText>
      </w:r>
      <w:r w:rsidR="004859E7" w:rsidRPr="004859E7">
        <w:rPr>
          <w:rFonts w:ascii="Garamond" w:hAnsi="Garamond"/>
        </w:rPr>
        <w:instrText xml:space="preserve">" \s "28 U.S.C. § 2241" \c 2 </w:instrText>
      </w:r>
      <w:r w:rsidR="004859E7" w:rsidRPr="004859E7">
        <w:rPr>
          <w:rFonts w:ascii="Garamond" w:hAnsi="Garamond" w:cs="Times New Roman"/>
        </w:rPr>
        <w:fldChar w:fldCharType="end"/>
      </w:r>
      <w:r w:rsidRPr="00C05D6B">
        <w:rPr>
          <w:rFonts w:ascii="Garamond" w:hAnsi="Garamond" w:cs="Times New Roman"/>
        </w:rPr>
        <w:t xml:space="preserve"> to argue that the government failed to prove an element of his offen</w:t>
      </w:r>
      <w:r w:rsidR="002D1DC3" w:rsidRPr="00C05D6B">
        <w:rPr>
          <w:rFonts w:ascii="Garamond" w:hAnsi="Garamond" w:cs="Times New Roman"/>
        </w:rPr>
        <w:t>s</w:t>
      </w:r>
      <w:r w:rsidRPr="00C05D6B">
        <w:rPr>
          <w:rFonts w:ascii="Garamond" w:hAnsi="Garamond" w:cs="Times New Roman"/>
        </w:rPr>
        <w:t>e. Although 28 U.S.C. § 2255(e)</w:t>
      </w:r>
      <w:r w:rsidR="00CA35FE" w:rsidRPr="00C05D6B">
        <w:rPr>
          <w:rFonts w:ascii="Garamond" w:hAnsi="Garamond" w:cs="Times New Roman"/>
        </w:rPr>
        <w:fldChar w:fldCharType="begin"/>
      </w:r>
      <w:r w:rsidR="00CA35FE" w:rsidRPr="00C05D6B">
        <w:rPr>
          <w:rFonts w:ascii="Garamond" w:hAnsi="Garamond"/>
        </w:rPr>
        <w:instrText xml:space="preserve"> TA \s "28 U.S.C. § 2255(e)" </w:instrText>
      </w:r>
      <w:r w:rsidR="00CA35FE" w:rsidRPr="00C05D6B">
        <w:rPr>
          <w:rFonts w:ascii="Garamond" w:hAnsi="Garamond" w:cs="Times New Roman"/>
        </w:rPr>
        <w:fldChar w:fldCharType="end"/>
      </w:r>
      <w:r w:rsidRPr="00C05D6B">
        <w:rPr>
          <w:rFonts w:ascii="Garamond" w:hAnsi="Garamond" w:cs="Times New Roman"/>
        </w:rPr>
        <w:t xml:space="preserve"> states that </w:t>
      </w:r>
      <w:r w:rsidR="005D000B" w:rsidRPr="00C05D6B">
        <w:rPr>
          <w:rFonts w:ascii="Garamond" w:hAnsi="Garamond" w:cs="Times New Roman"/>
        </w:rPr>
        <w:t xml:space="preserve">a </w:t>
      </w:r>
      <w:r w:rsidRPr="00C05D6B">
        <w:rPr>
          <w:rFonts w:ascii="Garamond" w:hAnsi="Garamond" w:cs="Times New Roman"/>
        </w:rPr>
        <w:t>§ 2241</w:t>
      </w:r>
      <w:r w:rsidR="004859E7" w:rsidRPr="004859E7">
        <w:rPr>
          <w:rFonts w:ascii="Garamond" w:hAnsi="Garamond" w:cs="Times New Roman"/>
        </w:rPr>
        <w:fldChar w:fldCharType="begin"/>
      </w:r>
      <w:r w:rsidR="004859E7" w:rsidRPr="004859E7">
        <w:rPr>
          <w:rFonts w:ascii="Garamond" w:hAnsi="Garamond"/>
        </w:rPr>
        <w:instrText xml:space="preserve"> TA \l "</w:instrText>
      </w:r>
      <w:r w:rsidR="007B7806" w:rsidRPr="004859E7">
        <w:rPr>
          <w:rFonts w:ascii="Garamond" w:hAnsi="Garamond"/>
        </w:rPr>
        <w:instrText xml:space="preserve">28 U.S.C. </w:instrText>
      </w:r>
      <w:r w:rsidR="004859E7" w:rsidRPr="004859E7">
        <w:rPr>
          <w:rFonts w:ascii="Garamond" w:hAnsi="Garamond" w:cs="Times New Roman"/>
        </w:rPr>
        <w:instrText>§ 2241</w:instrText>
      </w:r>
      <w:r w:rsidR="004859E7" w:rsidRPr="004859E7">
        <w:rPr>
          <w:rFonts w:ascii="Garamond" w:hAnsi="Garamond"/>
        </w:rPr>
        <w:instrText xml:space="preserve">" \s "28 U.S.C. § 2241" \c 2 </w:instrText>
      </w:r>
      <w:r w:rsidR="004859E7" w:rsidRPr="004859E7">
        <w:rPr>
          <w:rFonts w:ascii="Garamond" w:hAnsi="Garamond" w:cs="Times New Roman"/>
        </w:rPr>
        <w:fldChar w:fldCharType="end"/>
      </w:r>
      <w:r w:rsidRPr="00C05D6B">
        <w:rPr>
          <w:rFonts w:ascii="Garamond" w:hAnsi="Garamond" w:cs="Times New Roman"/>
        </w:rPr>
        <w:t xml:space="preserve"> petition may be filed where the § 2255</w:t>
      </w:r>
      <w:r w:rsidR="004859E7" w:rsidRPr="004859E7">
        <w:rPr>
          <w:rFonts w:ascii="Garamond" w:hAnsi="Garamond" w:cs="Times New Roman"/>
        </w:rPr>
        <w:fldChar w:fldCharType="begin"/>
      </w:r>
      <w:r w:rsidR="004859E7" w:rsidRPr="004859E7">
        <w:rPr>
          <w:rFonts w:ascii="Garamond" w:hAnsi="Garamond"/>
        </w:rPr>
        <w:instrText xml:space="preserve"> TA \l "</w:instrText>
      </w:r>
      <w:r w:rsidR="007B7806" w:rsidRPr="004859E7">
        <w:rPr>
          <w:rFonts w:ascii="Garamond" w:hAnsi="Garamond"/>
        </w:rPr>
        <w:instrText xml:space="preserve">28 U.S.C. </w:instrText>
      </w:r>
      <w:r w:rsidR="004859E7" w:rsidRPr="004859E7">
        <w:rPr>
          <w:rFonts w:ascii="Garamond" w:hAnsi="Garamond" w:cs="Times New Roman"/>
        </w:rPr>
        <w:instrText>§ 2255</w:instrText>
      </w:r>
      <w:r w:rsidR="004859E7" w:rsidRPr="004859E7">
        <w:rPr>
          <w:rFonts w:ascii="Garamond" w:hAnsi="Garamond"/>
        </w:rPr>
        <w:instrText xml:space="preserve">" \s "28 U.S.C. § 2255" \c 2 </w:instrText>
      </w:r>
      <w:r w:rsidR="004859E7" w:rsidRPr="004859E7">
        <w:rPr>
          <w:rFonts w:ascii="Garamond" w:hAnsi="Garamond" w:cs="Times New Roman"/>
        </w:rPr>
        <w:fldChar w:fldCharType="end"/>
      </w:r>
      <w:r w:rsidRPr="00C05D6B">
        <w:rPr>
          <w:rFonts w:ascii="Garamond" w:hAnsi="Garamond" w:cs="Times New Roman"/>
        </w:rPr>
        <w:t xml:space="preserve"> “remedy by motion is inadequate or ineffective to test the legality of his detention,” the Court held that this provision applies exclusively to habeas petitions challenging detention (not the sentence) and “unusual circumstances in which it is impossible or impracticable for a prisoner to seek relief from the sentencing court” (e.g., the court has been dissolved, or a hearing is required and the petitioner cannot travel to the sentencing court). What § 2255(e)</w:t>
      </w:r>
      <w:r w:rsidR="004859E7" w:rsidRPr="004859E7">
        <w:rPr>
          <w:rFonts w:ascii="Garamond" w:hAnsi="Garamond" w:cs="Times New Roman"/>
        </w:rPr>
        <w:t xml:space="preserve"> </w:t>
      </w:r>
      <w:r w:rsidR="004859E7" w:rsidRPr="00C05D6B">
        <w:rPr>
          <w:rFonts w:ascii="Garamond" w:hAnsi="Garamond" w:cs="Times New Roman"/>
        </w:rPr>
        <w:t>)</w:t>
      </w:r>
      <w:r w:rsidR="004859E7" w:rsidRPr="00C05D6B">
        <w:rPr>
          <w:rFonts w:ascii="Garamond" w:hAnsi="Garamond" w:cs="Times New Roman"/>
        </w:rPr>
        <w:fldChar w:fldCharType="begin"/>
      </w:r>
      <w:r w:rsidR="004859E7" w:rsidRPr="00C05D6B">
        <w:rPr>
          <w:rFonts w:ascii="Garamond" w:hAnsi="Garamond"/>
        </w:rPr>
        <w:instrText xml:space="preserve"> TA \s "28 U.S.C. § 2255(e)" </w:instrText>
      </w:r>
      <w:r w:rsidR="004859E7" w:rsidRPr="00C05D6B">
        <w:rPr>
          <w:rFonts w:ascii="Garamond" w:hAnsi="Garamond" w:cs="Times New Roman"/>
        </w:rPr>
        <w:fldChar w:fldCharType="end"/>
      </w:r>
      <w:r w:rsidRPr="00C05D6B">
        <w:rPr>
          <w:rFonts w:ascii="Garamond" w:hAnsi="Garamond" w:cs="Times New Roman"/>
        </w:rPr>
        <w:t xml:space="preserve"> does not do, the Court held, is create an “end-run” around the limitations on successive petitions prohibited § 2255(h)</w:t>
      </w:r>
      <w:r w:rsidR="00CA35FE" w:rsidRPr="00C05D6B">
        <w:rPr>
          <w:rFonts w:ascii="Garamond" w:hAnsi="Garamond" w:cs="Times New Roman"/>
        </w:rPr>
        <w:fldChar w:fldCharType="begin"/>
      </w:r>
      <w:r w:rsidR="00CA35FE" w:rsidRPr="00C05D6B">
        <w:rPr>
          <w:rFonts w:ascii="Garamond" w:hAnsi="Garamond"/>
        </w:rPr>
        <w:instrText xml:space="preserve"> TA \s "28 U.S.C. § 2255(h)" </w:instrText>
      </w:r>
      <w:r w:rsidR="00CA35FE" w:rsidRPr="00C05D6B">
        <w:rPr>
          <w:rFonts w:ascii="Garamond" w:hAnsi="Garamond" w:cs="Times New Roman"/>
        </w:rPr>
        <w:fldChar w:fldCharType="end"/>
      </w:r>
      <w:r w:rsidRPr="00C05D6B">
        <w:rPr>
          <w:rFonts w:ascii="Garamond" w:hAnsi="Garamond" w:cs="Times New Roman"/>
        </w:rPr>
        <w:t xml:space="preserve"> by opening § 2241</w:t>
      </w:r>
      <w:r w:rsidR="004859E7" w:rsidRPr="004859E7">
        <w:rPr>
          <w:rFonts w:ascii="Garamond" w:hAnsi="Garamond" w:cs="Times New Roman"/>
        </w:rPr>
        <w:fldChar w:fldCharType="begin"/>
      </w:r>
      <w:r w:rsidR="004859E7" w:rsidRPr="004859E7">
        <w:rPr>
          <w:rFonts w:ascii="Garamond" w:hAnsi="Garamond"/>
        </w:rPr>
        <w:instrText xml:space="preserve"> TA \l "</w:instrText>
      </w:r>
      <w:r w:rsidR="002670B9" w:rsidRPr="004859E7">
        <w:rPr>
          <w:rFonts w:ascii="Garamond" w:hAnsi="Garamond"/>
        </w:rPr>
        <w:instrText xml:space="preserve">28 U.S.C. </w:instrText>
      </w:r>
      <w:r w:rsidR="004859E7" w:rsidRPr="004859E7">
        <w:rPr>
          <w:rFonts w:ascii="Garamond" w:hAnsi="Garamond" w:cs="Times New Roman"/>
        </w:rPr>
        <w:instrText>§ 2241</w:instrText>
      </w:r>
      <w:r w:rsidR="004859E7" w:rsidRPr="004859E7">
        <w:rPr>
          <w:rFonts w:ascii="Garamond" w:hAnsi="Garamond"/>
        </w:rPr>
        <w:instrText xml:space="preserve">" \s "28 U.S.C. § 2241" \c 2 </w:instrText>
      </w:r>
      <w:r w:rsidR="004859E7" w:rsidRPr="004859E7">
        <w:rPr>
          <w:rFonts w:ascii="Garamond" w:hAnsi="Garamond" w:cs="Times New Roman"/>
        </w:rPr>
        <w:fldChar w:fldCharType="end"/>
      </w:r>
      <w:r w:rsidRPr="00C05D6B">
        <w:rPr>
          <w:rFonts w:ascii="Garamond" w:hAnsi="Garamond" w:cs="Times New Roman"/>
        </w:rPr>
        <w:t xml:space="preserve">.  </w:t>
      </w:r>
    </w:p>
    <w:p w14:paraId="3239A52D" w14:textId="77777777" w:rsidR="00F0462B" w:rsidRPr="00C05D6B" w:rsidRDefault="00F0462B" w:rsidP="00F9074C">
      <w:pPr>
        <w:ind w:firstLine="720"/>
        <w:rPr>
          <w:rFonts w:ascii="Garamond" w:hAnsi="Garamond" w:cs="Times New Roman"/>
        </w:rPr>
      </w:pPr>
    </w:p>
    <w:p w14:paraId="6B877605" w14:textId="441EBC7C" w:rsidR="00F0462B" w:rsidRPr="00C05D6B" w:rsidRDefault="00F0462B" w:rsidP="00F0462B">
      <w:pPr>
        <w:ind w:firstLine="720"/>
        <w:rPr>
          <w:rFonts w:ascii="Garamond" w:hAnsi="Garamond"/>
        </w:rPr>
      </w:pPr>
      <w:r w:rsidRPr="007B7806">
        <w:rPr>
          <w:rFonts w:ascii="Garamond" w:hAnsi="Garamond"/>
        </w:rPr>
        <w:t xml:space="preserve">What if a court of appeal is considering the merits of an initial </w:t>
      </w:r>
      <w:r w:rsidR="007B7806" w:rsidRPr="007B7806">
        <w:rPr>
          <w:rFonts w:ascii="Garamond" w:hAnsi="Garamond"/>
        </w:rPr>
        <w:fldChar w:fldCharType="begin"/>
      </w:r>
      <w:r w:rsidR="007B7806" w:rsidRPr="007B7806">
        <w:rPr>
          <w:rFonts w:ascii="Garamond" w:hAnsi="Garamond"/>
        </w:rPr>
        <w:instrText xml:space="preserve"> TA \l "28 U.S.C. § 2254" \s "28 U.S.C. § 2254" \c 2 </w:instrText>
      </w:r>
      <w:r w:rsidR="007B7806" w:rsidRPr="007B7806">
        <w:rPr>
          <w:rFonts w:ascii="Garamond" w:hAnsi="Garamond"/>
        </w:rPr>
        <w:fldChar w:fldCharType="end"/>
      </w:r>
      <w:r w:rsidRPr="007B7806">
        <w:rPr>
          <w:rFonts w:ascii="Garamond" w:hAnsi="Garamond"/>
        </w:rPr>
        <w:t>§ 2254 petition and the prisoner discovers exculpatory evidence? If the appellate court refuses to supplement the record of the appeal, permission must be sought from the appellate court to file a successive petition. Once a district court enters final judgment on the initial petition, any new filing must be treated as a successive application subject to the requirements of § 2244(b)</w:t>
      </w:r>
      <w:r w:rsidR="007B7806" w:rsidRPr="007B7806">
        <w:rPr>
          <w:rFonts w:ascii="Garamond" w:hAnsi="Garamond"/>
        </w:rPr>
        <w:fldChar w:fldCharType="begin"/>
      </w:r>
      <w:r w:rsidR="007B7806" w:rsidRPr="007B7806">
        <w:rPr>
          <w:rFonts w:ascii="Garamond" w:hAnsi="Garamond"/>
        </w:rPr>
        <w:instrText xml:space="preserve"> TA \l "28 U.S.C. § 2244(b)" \s "28 U.S.C. § 2244(b)" \c 2 </w:instrText>
      </w:r>
      <w:r w:rsidR="007B7806" w:rsidRPr="007B7806">
        <w:rPr>
          <w:rFonts w:ascii="Garamond" w:hAnsi="Garamond"/>
        </w:rPr>
        <w:fldChar w:fldCharType="end"/>
      </w:r>
      <w:r w:rsidRPr="00C05D6B">
        <w:rPr>
          <w:rFonts w:ascii="Garamond" w:hAnsi="Garamond"/>
        </w:rPr>
        <w:t xml:space="preserve">. </w:t>
      </w:r>
      <w:r w:rsidRPr="00C05D6B">
        <w:rPr>
          <w:rFonts w:ascii="Garamond" w:hAnsi="Garamond"/>
          <w:i/>
          <w:iCs/>
        </w:rPr>
        <w:t>See</w:t>
      </w:r>
      <w:r w:rsidRPr="00C05D6B">
        <w:rPr>
          <w:rFonts w:ascii="Garamond" w:hAnsi="Garamond"/>
        </w:rPr>
        <w:t xml:space="preserve"> Rivers v. Guerrero</w:t>
      </w:r>
      <w:r w:rsidR="00887802" w:rsidRPr="00C05D6B">
        <w:rPr>
          <w:rFonts w:ascii="Garamond" w:hAnsi="Garamond"/>
        </w:rPr>
        <w:fldChar w:fldCharType="begin"/>
      </w:r>
      <w:r w:rsidR="00887802" w:rsidRPr="00C05D6B">
        <w:rPr>
          <w:rFonts w:ascii="Garamond" w:hAnsi="Garamond"/>
        </w:rPr>
        <w:instrText xml:space="preserve"> TA \l "Rivers v. Guerrero" \s "Rivers v. Guerrero" \c 1 </w:instrText>
      </w:r>
      <w:r w:rsidR="00887802" w:rsidRPr="00C05D6B">
        <w:rPr>
          <w:rFonts w:ascii="Garamond" w:hAnsi="Garamond"/>
        </w:rPr>
        <w:fldChar w:fldCharType="end"/>
      </w:r>
      <w:r w:rsidRPr="00C05D6B">
        <w:rPr>
          <w:rFonts w:ascii="Garamond" w:hAnsi="Garamond"/>
        </w:rPr>
        <w:t xml:space="preserve"> (2025).</w:t>
      </w:r>
    </w:p>
    <w:p w14:paraId="4FAE6871" w14:textId="77777777" w:rsidR="00F0462B" w:rsidRPr="00C05D6B" w:rsidRDefault="00F0462B" w:rsidP="00F0462B">
      <w:pPr>
        <w:ind w:firstLine="720"/>
        <w:rPr>
          <w:rFonts w:ascii="Garamond" w:hAnsi="Garamond"/>
        </w:rPr>
      </w:pPr>
    </w:p>
    <w:p w14:paraId="28CC62A6" w14:textId="7E966515" w:rsidR="00F0462B" w:rsidRPr="00C05D6B" w:rsidRDefault="00F0462B" w:rsidP="000B38A4">
      <w:pPr>
        <w:ind w:firstLine="720"/>
        <w:rPr>
          <w:rFonts w:ascii="Garamond" w:hAnsi="Garamond"/>
        </w:rPr>
      </w:pPr>
      <w:r w:rsidRPr="00C05D6B">
        <w:rPr>
          <w:rFonts w:ascii="Garamond" w:hAnsi="Garamond"/>
        </w:rPr>
        <w:t>This Chapter focuses on §2254</w:t>
      </w:r>
      <w:r w:rsidR="007B7806" w:rsidRPr="007B7806">
        <w:rPr>
          <w:rFonts w:ascii="Garamond" w:hAnsi="Garamond"/>
        </w:rPr>
        <w:fldChar w:fldCharType="begin"/>
      </w:r>
      <w:r w:rsidR="007B7806" w:rsidRPr="007B7806">
        <w:rPr>
          <w:rFonts w:ascii="Garamond" w:hAnsi="Garamond"/>
        </w:rPr>
        <w:instrText xml:space="preserve"> TA \s "28 U.S.C. § 2254" </w:instrText>
      </w:r>
      <w:r w:rsidR="007B7806" w:rsidRPr="007B7806">
        <w:rPr>
          <w:rFonts w:ascii="Garamond" w:hAnsi="Garamond"/>
        </w:rPr>
        <w:fldChar w:fldCharType="end"/>
      </w:r>
      <w:r w:rsidRPr="00C05D6B">
        <w:rPr>
          <w:rFonts w:ascii="Garamond" w:hAnsi="Garamond"/>
        </w:rPr>
        <w:t xml:space="preserve"> challenges to state convictions. But successive petitions are limited for § 2255</w:t>
      </w:r>
      <w:r w:rsidR="004859E7" w:rsidRPr="004859E7">
        <w:rPr>
          <w:rFonts w:ascii="Garamond" w:hAnsi="Garamond" w:cs="Times New Roman"/>
        </w:rPr>
        <w:fldChar w:fldCharType="begin"/>
      </w:r>
      <w:r w:rsidR="004859E7" w:rsidRPr="004859E7">
        <w:rPr>
          <w:rFonts w:ascii="Garamond" w:hAnsi="Garamond"/>
        </w:rPr>
        <w:instrText xml:space="preserve"> TA \l "</w:instrText>
      </w:r>
      <w:r w:rsidR="007B7806" w:rsidRPr="004859E7">
        <w:rPr>
          <w:rFonts w:ascii="Garamond" w:hAnsi="Garamond"/>
        </w:rPr>
        <w:instrText xml:space="preserve">28 U.S.C. </w:instrText>
      </w:r>
      <w:r w:rsidR="004859E7" w:rsidRPr="004859E7">
        <w:rPr>
          <w:rFonts w:ascii="Garamond" w:hAnsi="Garamond" w:cs="Times New Roman"/>
        </w:rPr>
        <w:instrText>§ 2255</w:instrText>
      </w:r>
      <w:r w:rsidR="004859E7" w:rsidRPr="004859E7">
        <w:rPr>
          <w:rFonts w:ascii="Garamond" w:hAnsi="Garamond"/>
        </w:rPr>
        <w:instrText xml:space="preserve">" \s "28 U.S.C. § 2255" \c 2 </w:instrText>
      </w:r>
      <w:r w:rsidR="004859E7" w:rsidRPr="004859E7">
        <w:rPr>
          <w:rFonts w:ascii="Garamond" w:hAnsi="Garamond" w:cs="Times New Roman"/>
        </w:rPr>
        <w:fldChar w:fldCharType="end"/>
      </w:r>
      <w:r w:rsidRPr="00C05D6B">
        <w:rPr>
          <w:rFonts w:ascii="Garamond" w:hAnsi="Garamond"/>
        </w:rPr>
        <w:t xml:space="preserve"> challenges to federal convictions, and the limitations are linked to the standard for challenging state convictions. In both circumstances, a prisoner must obtain a certificate from a court of appeals before presenting a challenge to the district court. The § 2255</w:t>
      </w:r>
      <w:r w:rsidR="004859E7" w:rsidRPr="004859E7">
        <w:rPr>
          <w:rFonts w:ascii="Garamond" w:hAnsi="Garamond" w:cs="Times New Roman"/>
        </w:rPr>
        <w:fldChar w:fldCharType="begin"/>
      </w:r>
      <w:r w:rsidR="004859E7" w:rsidRPr="004859E7">
        <w:rPr>
          <w:rFonts w:ascii="Garamond" w:hAnsi="Garamond"/>
        </w:rPr>
        <w:instrText xml:space="preserve"> TA \l "</w:instrText>
      </w:r>
      <w:r w:rsidR="007B7806" w:rsidRPr="004859E7">
        <w:rPr>
          <w:rFonts w:ascii="Garamond" w:hAnsi="Garamond"/>
        </w:rPr>
        <w:instrText xml:space="preserve">28 U.S.C. </w:instrText>
      </w:r>
      <w:r w:rsidR="004859E7" w:rsidRPr="004859E7">
        <w:rPr>
          <w:rFonts w:ascii="Garamond" w:hAnsi="Garamond" w:cs="Times New Roman"/>
        </w:rPr>
        <w:instrText>§ 2255</w:instrText>
      </w:r>
      <w:r w:rsidR="004859E7" w:rsidRPr="004859E7">
        <w:rPr>
          <w:rFonts w:ascii="Garamond" w:hAnsi="Garamond"/>
        </w:rPr>
        <w:instrText xml:space="preserve">" \s "28 U.S.C. § 2255" \c 2 </w:instrText>
      </w:r>
      <w:r w:rsidR="004859E7" w:rsidRPr="004859E7">
        <w:rPr>
          <w:rFonts w:ascii="Garamond" w:hAnsi="Garamond" w:cs="Times New Roman"/>
        </w:rPr>
        <w:fldChar w:fldCharType="end"/>
      </w:r>
      <w:r w:rsidRPr="00C05D6B">
        <w:rPr>
          <w:rFonts w:ascii="Garamond" w:hAnsi="Garamond"/>
        </w:rPr>
        <w:t xml:space="preserve"> standard is linked to the § 2254</w:t>
      </w:r>
      <w:r w:rsidR="007B7806" w:rsidRPr="007B7806">
        <w:rPr>
          <w:rFonts w:ascii="Garamond" w:hAnsi="Garamond"/>
        </w:rPr>
        <w:fldChar w:fldCharType="begin"/>
      </w:r>
      <w:r w:rsidR="007B7806" w:rsidRPr="007B7806">
        <w:rPr>
          <w:rFonts w:ascii="Garamond" w:hAnsi="Garamond"/>
        </w:rPr>
        <w:instrText xml:space="preserve"> TA \s "28 U.S.C. § 2254" </w:instrText>
      </w:r>
      <w:r w:rsidR="007B7806" w:rsidRPr="007B7806">
        <w:rPr>
          <w:rFonts w:ascii="Garamond" w:hAnsi="Garamond"/>
        </w:rPr>
        <w:fldChar w:fldCharType="end"/>
      </w:r>
      <w:r w:rsidRPr="00C05D6B">
        <w:rPr>
          <w:rFonts w:ascii="Garamond" w:hAnsi="Garamond"/>
        </w:rPr>
        <w:t xml:space="preserve"> standard for successive petitions through § 2255(h)</w:t>
      </w:r>
      <w:r w:rsidR="00887802" w:rsidRPr="00C05D6B">
        <w:rPr>
          <w:rFonts w:ascii="Garamond" w:hAnsi="Garamond" w:cs="Times New Roman"/>
        </w:rPr>
        <w:t xml:space="preserve"> )</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28 U.S.C. § 2255(h)</w:instrText>
      </w:r>
      <w:r w:rsidR="00887802" w:rsidRPr="00C05D6B">
        <w:rPr>
          <w:rFonts w:ascii="Garamond" w:hAnsi="Garamond"/>
        </w:rPr>
        <w:instrText xml:space="preserve">" \s "28 U.S.C. § 2255(h)" \c 2 </w:instrText>
      </w:r>
      <w:r w:rsidR="00887802" w:rsidRPr="00C05D6B">
        <w:rPr>
          <w:rFonts w:ascii="Garamond" w:hAnsi="Garamond" w:cs="Times New Roman"/>
        </w:rPr>
        <w:fldChar w:fldCharType="end"/>
      </w:r>
      <w:r w:rsidRPr="00C05D6B">
        <w:rPr>
          <w:rFonts w:ascii="Garamond" w:hAnsi="Garamond"/>
        </w:rPr>
        <w:t>, which provides that “a second or successive motion must be certified as provided in section 2244</w:t>
      </w:r>
      <w:r w:rsidR="007B7806" w:rsidRPr="007B7806">
        <w:rPr>
          <w:rFonts w:ascii="Garamond" w:hAnsi="Garamond"/>
        </w:rPr>
        <w:fldChar w:fldCharType="begin"/>
      </w:r>
      <w:r w:rsidR="007B7806" w:rsidRPr="007B7806">
        <w:rPr>
          <w:rFonts w:ascii="Garamond" w:hAnsi="Garamond"/>
        </w:rPr>
        <w:instrText xml:space="preserve"> TA \l "28 U.S.C. § 2244" \s "28 U.S.C. § 2244" \c 2 </w:instrText>
      </w:r>
      <w:r w:rsidR="007B7806" w:rsidRPr="007B7806">
        <w:rPr>
          <w:rFonts w:ascii="Garamond" w:hAnsi="Garamond"/>
        </w:rPr>
        <w:fldChar w:fldCharType="end"/>
      </w:r>
      <w:r w:rsidRPr="00C05D6B">
        <w:rPr>
          <w:rFonts w:ascii="Garamond" w:hAnsi="Garamond"/>
        </w:rPr>
        <w:t xml:space="preserve"> by a panel of the appropriate court of appeals to contain (1) newly discovered evidence </w:t>
      </w:r>
      <w:r w:rsidR="00F47A07" w:rsidRPr="00C05D6B">
        <w:rPr>
          <w:rFonts w:ascii="Garamond" w:hAnsi="Garamond"/>
        </w:rPr>
        <w:t>. . .</w:t>
      </w:r>
      <w:r w:rsidRPr="00C05D6B">
        <w:rPr>
          <w:rFonts w:ascii="Garamond" w:hAnsi="Garamond"/>
        </w:rPr>
        <w:t xml:space="preserve"> sufficient to establish</w:t>
      </w:r>
      <w:r w:rsidR="00F47A07" w:rsidRPr="00C05D6B">
        <w:rPr>
          <w:rFonts w:ascii="Garamond" w:hAnsi="Garamond"/>
        </w:rPr>
        <w:t xml:space="preserve"> . . . </w:t>
      </w:r>
      <w:r w:rsidRPr="00C05D6B">
        <w:rPr>
          <w:rFonts w:ascii="Garamond" w:hAnsi="Garamond"/>
        </w:rPr>
        <w:t>that no reasonable factfinder would have found the movant guilty of the offense, or, (2) a new rule of constitutional law, made retroactive</w:t>
      </w:r>
      <w:r w:rsidR="00F47A07" w:rsidRPr="00C05D6B">
        <w:rPr>
          <w:rFonts w:ascii="Garamond" w:hAnsi="Garamond"/>
        </w:rPr>
        <w:t xml:space="preserve"> . . . </w:t>
      </w:r>
      <w:r w:rsidRPr="00C05D6B">
        <w:rPr>
          <w:rFonts w:ascii="Garamond" w:hAnsi="Garamond"/>
        </w:rPr>
        <w:t>that was previously unavailable.”</w:t>
      </w:r>
    </w:p>
    <w:p w14:paraId="43F149A7" w14:textId="77777777" w:rsidR="00F0462B" w:rsidRPr="00C05D6B" w:rsidRDefault="00F0462B" w:rsidP="00F0462B">
      <w:pPr>
        <w:rPr>
          <w:rFonts w:ascii="Garamond" w:hAnsi="Garamond"/>
        </w:rPr>
      </w:pPr>
    </w:p>
    <w:p w14:paraId="1AA37339" w14:textId="28003210" w:rsidR="00F0462B" w:rsidRPr="007B7806" w:rsidRDefault="00F0462B" w:rsidP="00F0462B">
      <w:pPr>
        <w:ind w:firstLine="720"/>
        <w:rPr>
          <w:rFonts w:ascii="Garamond" w:hAnsi="Garamond"/>
        </w:rPr>
      </w:pPr>
      <w:r w:rsidRPr="002670B9">
        <w:rPr>
          <w:rFonts w:ascii="Garamond" w:hAnsi="Garamond"/>
        </w:rPr>
        <w:lastRenderedPageBreak/>
        <w:t>That raises questions about whether all of the limitations on § 2254</w:t>
      </w:r>
      <w:r w:rsidR="007B7806" w:rsidRPr="002670B9">
        <w:rPr>
          <w:rFonts w:ascii="Garamond" w:hAnsi="Garamond"/>
        </w:rPr>
        <w:fldChar w:fldCharType="begin"/>
      </w:r>
      <w:r w:rsidR="007B7806" w:rsidRPr="002670B9">
        <w:rPr>
          <w:rFonts w:ascii="Garamond" w:hAnsi="Garamond"/>
        </w:rPr>
        <w:instrText xml:space="preserve"> TA \s "28 U.S.C. § 2254" </w:instrText>
      </w:r>
      <w:r w:rsidR="007B7806" w:rsidRPr="002670B9">
        <w:rPr>
          <w:rFonts w:ascii="Garamond" w:hAnsi="Garamond"/>
        </w:rPr>
        <w:fldChar w:fldCharType="end"/>
      </w:r>
      <w:r w:rsidRPr="002670B9">
        <w:rPr>
          <w:rFonts w:ascii="Garamond" w:hAnsi="Garamond"/>
        </w:rPr>
        <w:t xml:space="preserve"> petitions set out in § 2244</w:t>
      </w:r>
      <w:r w:rsidR="007B7806" w:rsidRPr="002670B9">
        <w:rPr>
          <w:rFonts w:ascii="Garamond" w:hAnsi="Garamond"/>
        </w:rPr>
        <w:fldChar w:fldCharType="begin"/>
      </w:r>
      <w:r w:rsidR="007B7806" w:rsidRPr="002670B9">
        <w:rPr>
          <w:rFonts w:ascii="Garamond" w:hAnsi="Garamond"/>
        </w:rPr>
        <w:instrText xml:space="preserve"> TA \s "28 U.S.C. § 2244" </w:instrText>
      </w:r>
      <w:r w:rsidR="007B7806" w:rsidRPr="002670B9">
        <w:rPr>
          <w:rFonts w:ascii="Garamond" w:hAnsi="Garamond"/>
        </w:rPr>
        <w:fldChar w:fldCharType="end"/>
      </w:r>
      <w:r w:rsidRPr="002670B9">
        <w:rPr>
          <w:rFonts w:ascii="Garamond" w:hAnsi="Garamond"/>
        </w:rPr>
        <w:t xml:space="preserve"> also apply to § 2255</w:t>
      </w:r>
      <w:r w:rsidR="007B7806" w:rsidRPr="002670B9">
        <w:rPr>
          <w:rFonts w:ascii="Garamond" w:hAnsi="Garamond"/>
        </w:rPr>
        <w:fldChar w:fldCharType="begin"/>
      </w:r>
      <w:r w:rsidR="007B7806" w:rsidRPr="002670B9">
        <w:rPr>
          <w:rFonts w:ascii="Garamond" w:hAnsi="Garamond"/>
        </w:rPr>
        <w:instrText xml:space="preserve"> TA \l "28 U.S.C. § 2254" \s "28 U.S.C. § 2254" \c 2 </w:instrText>
      </w:r>
      <w:r w:rsidR="007B7806" w:rsidRPr="002670B9">
        <w:rPr>
          <w:rFonts w:ascii="Garamond" w:hAnsi="Garamond"/>
        </w:rPr>
        <w:fldChar w:fldCharType="end"/>
      </w:r>
      <w:r w:rsidRPr="002670B9">
        <w:rPr>
          <w:rFonts w:ascii="Garamond" w:hAnsi="Garamond"/>
        </w:rPr>
        <w:t xml:space="preserve"> federal custody cases, or only the two referenced substantive conditions on a certificate. Under § 2244</w:t>
      </w:r>
      <w:r w:rsidR="007B7806" w:rsidRPr="002670B9">
        <w:rPr>
          <w:rFonts w:ascii="Garamond" w:hAnsi="Garamond"/>
        </w:rPr>
        <w:fldChar w:fldCharType="begin"/>
      </w:r>
      <w:r w:rsidR="007B7806" w:rsidRPr="002670B9">
        <w:rPr>
          <w:rFonts w:ascii="Garamond" w:hAnsi="Garamond"/>
        </w:rPr>
        <w:instrText xml:space="preserve"> TA \s "28 U.S.C. § 2244" </w:instrText>
      </w:r>
      <w:r w:rsidR="007B7806" w:rsidRPr="002670B9">
        <w:rPr>
          <w:rFonts w:ascii="Garamond" w:hAnsi="Garamond"/>
        </w:rPr>
        <w:fldChar w:fldCharType="end"/>
      </w:r>
      <w:r w:rsidRPr="002670B9">
        <w:rPr>
          <w:rFonts w:ascii="Garamond" w:hAnsi="Garamond"/>
        </w:rPr>
        <w:t>, for example, the “denial of an authorization by a court of appeals to file a second or successive petition” may not be “the subject of a petition for … a writ of certiorari.” § 2244(b)(3)(E)</w:t>
      </w:r>
      <w:r w:rsidR="007B7806" w:rsidRPr="002670B9">
        <w:rPr>
          <w:rFonts w:ascii="Garamond" w:hAnsi="Garamond"/>
        </w:rPr>
        <w:fldChar w:fldCharType="begin"/>
      </w:r>
      <w:r w:rsidR="007B7806" w:rsidRPr="002670B9">
        <w:rPr>
          <w:rFonts w:ascii="Garamond" w:hAnsi="Garamond"/>
        </w:rPr>
        <w:instrText xml:space="preserve"> TA \l "</w:instrText>
      </w:r>
      <w:r w:rsidR="002670B9" w:rsidRPr="002670B9">
        <w:rPr>
          <w:rFonts w:ascii="Garamond" w:hAnsi="Garamond"/>
        </w:rPr>
        <w:instrText xml:space="preserve">28 U.S.C. </w:instrText>
      </w:r>
      <w:r w:rsidR="007B7806" w:rsidRPr="002670B9">
        <w:rPr>
          <w:rFonts w:ascii="Garamond" w:hAnsi="Garamond"/>
        </w:rPr>
        <w:instrText xml:space="preserve">§ 2244(b)(3)(E)" \s "28 U.S.C. § 2244(b)(3)(E)" \c 2 </w:instrText>
      </w:r>
      <w:r w:rsidR="007B7806" w:rsidRPr="002670B9">
        <w:rPr>
          <w:rFonts w:ascii="Garamond" w:hAnsi="Garamond"/>
        </w:rPr>
        <w:fldChar w:fldCharType="end"/>
      </w:r>
      <w:r w:rsidRPr="002670B9">
        <w:rPr>
          <w:rFonts w:ascii="Garamond" w:hAnsi="Garamond"/>
        </w:rPr>
        <w:t>. In Bowe v. U</w:t>
      </w:r>
      <w:r w:rsidR="00CD16D4" w:rsidRPr="002670B9">
        <w:rPr>
          <w:rFonts w:ascii="Garamond" w:hAnsi="Garamond"/>
        </w:rPr>
        <w:t>nited States</w:t>
      </w:r>
      <w:r w:rsidR="00887802" w:rsidRPr="002670B9">
        <w:rPr>
          <w:rFonts w:ascii="Garamond" w:hAnsi="Garamond"/>
        </w:rPr>
        <w:fldChar w:fldCharType="begin"/>
      </w:r>
      <w:r w:rsidR="00887802" w:rsidRPr="002670B9">
        <w:rPr>
          <w:rFonts w:ascii="Garamond" w:hAnsi="Garamond"/>
        </w:rPr>
        <w:instrText xml:space="preserve"> TA \l "Bowe v. United States" \s "Bowe v. United States" \c 1 </w:instrText>
      </w:r>
      <w:r w:rsidR="00887802" w:rsidRPr="002670B9">
        <w:rPr>
          <w:rFonts w:ascii="Garamond" w:hAnsi="Garamond"/>
        </w:rPr>
        <w:fldChar w:fldCharType="end"/>
      </w:r>
      <w:r w:rsidRPr="002670B9">
        <w:rPr>
          <w:rFonts w:ascii="Garamond" w:hAnsi="Garamond"/>
        </w:rPr>
        <w:t>. (2026), the Court held that its certiorari jurisdiction to review denials of authorization by a court of appeals is limited only for § 2254</w:t>
      </w:r>
      <w:r w:rsidR="007B7806" w:rsidRPr="002670B9">
        <w:rPr>
          <w:rFonts w:ascii="Garamond" w:hAnsi="Garamond"/>
        </w:rPr>
        <w:fldChar w:fldCharType="begin"/>
      </w:r>
      <w:r w:rsidR="007B7806" w:rsidRPr="002670B9">
        <w:rPr>
          <w:rFonts w:ascii="Garamond" w:hAnsi="Garamond"/>
        </w:rPr>
        <w:instrText xml:space="preserve"> TA \s "28 U.S.C. § 2254" </w:instrText>
      </w:r>
      <w:r w:rsidR="007B7806" w:rsidRPr="002670B9">
        <w:rPr>
          <w:rFonts w:ascii="Garamond" w:hAnsi="Garamond"/>
        </w:rPr>
        <w:fldChar w:fldCharType="end"/>
      </w:r>
      <w:r w:rsidRPr="002670B9">
        <w:rPr>
          <w:rFonts w:ascii="Garamond" w:hAnsi="Garamond"/>
        </w:rPr>
        <w:t xml:space="preserve"> petitions, </w:t>
      </w:r>
      <w:r w:rsidR="00955537" w:rsidRPr="002670B9">
        <w:rPr>
          <w:rFonts w:ascii="Garamond" w:hAnsi="Garamond"/>
        </w:rPr>
        <w:t xml:space="preserve">not </w:t>
      </w:r>
      <w:r w:rsidRPr="002670B9">
        <w:rPr>
          <w:rFonts w:ascii="Garamond" w:hAnsi="Garamond"/>
        </w:rPr>
        <w:t>§ 2255</w:t>
      </w:r>
      <w:r w:rsidR="007B7806" w:rsidRPr="002670B9">
        <w:rPr>
          <w:rFonts w:ascii="Garamond" w:hAnsi="Garamond"/>
        </w:rPr>
        <w:fldChar w:fldCharType="begin"/>
      </w:r>
      <w:r w:rsidR="007B7806" w:rsidRPr="002670B9">
        <w:rPr>
          <w:rFonts w:ascii="Garamond" w:hAnsi="Garamond"/>
        </w:rPr>
        <w:instrText xml:space="preserve"> TA \s "28 U.S.C. § 2255" </w:instrText>
      </w:r>
      <w:r w:rsidR="007B7806" w:rsidRPr="002670B9">
        <w:rPr>
          <w:rFonts w:ascii="Garamond" w:hAnsi="Garamond"/>
        </w:rPr>
        <w:fldChar w:fldCharType="end"/>
      </w:r>
      <w:r w:rsidRPr="002670B9">
        <w:rPr>
          <w:rFonts w:ascii="Garamond" w:hAnsi="Garamond"/>
        </w:rPr>
        <w:t xml:space="preserve"> motions</w:t>
      </w:r>
      <w:r w:rsidR="00955537" w:rsidRPr="002670B9">
        <w:rPr>
          <w:rFonts w:ascii="Garamond" w:hAnsi="Garamond"/>
        </w:rPr>
        <w:t>,</w:t>
      </w:r>
      <w:r w:rsidRPr="002670B9">
        <w:rPr>
          <w:rFonts w:ascii="Garamond" w:hAnsi="Garamond"/>
        </w:rPr>
        <w:t xml:space="preserve"> because limits on its jurisdiction require a clear statement and 2255(h)</w:t>
      </w:r>
      <w:r w:rsidR="00887802" w:rsidRPr="002670B9">
        <w:rPr>
          <w:rFonts w:ascii="Garamond" w:hAnsi="Garamond" w:cs="Times New Roman"/>
        </w:rPr>
        <w:t xml:space="preserve"> )</w:t>
      </w:r>
      <w:r w:rsidR="00887802" w:rsidRPr="002670B9">
        <w:rPr>
          <w:rFonts w:ascii="Garamond" w:hAnsi="Garamond" w:cs="Times New Roman"/>
        </w:rPr>
        <w:fldChar w:fldCharType="begin"/>
      </w:r>
      <w:r w:rsidR="00887802" w:rsidRPr="002670B9">
        <w:rPr>
          <w:rFonts w:ascii="Garamond" w:hAnsi="Garamond"/>
        </w:rPr>
        <w:instrText xml:space="preserve"> TA \l "</w:instrText>
      </w:r>
      <w:r w:rsidR="00887802" w:rsidRPr="002670B9">
        <w:rPr>
          <w:rFonts w:ascii="Garamond" w:hAnsi="Garamond" w:cs="Times New Roman"/>
        </w:rPr>
        <w:instrText>28 U.S.C. § 2255(h)</w:instrText>
      </w:r>
      <w:r w:rsidR="00887802" w:rsidRPr="002670B9">
        <w:rPr>
          <w:rFonts w:ascii="Garamond" w:hAnsi="Garamond"/>
        </w:rPr>
        <w:instrText xml:space="preserve">" \s "28 U.S.C. § 2255(h)" \c 2 </w:instrText>
      </w:r>
      <w:r w:rsidR="00887802" w:rsidRPr="002670B9">
        <w:rPr>
          <w:rFonts w:ascii="Garamond" w:hAnsi="Garamond" w:cs="Times New Roman"/>
        </w:rPr>
        <w:fldChar w:fldCharType="end"/>
      </w:r>
      <w:r w:rsidRPr="002670B9">
        <w:rPr>
          <w:rFonts w:ascii="Garamond" w:hAnsi="Garamond"/>
        </w:rPr>
        <w:t xml:space="preserve"> makes no reference to 22</w:t>
      </w:r>
      <w:r w:rsidR="00255A8F">
        <w:rPr>
          <w:rFonts w:ascii="Garamond" w:hAnsi="Garamond"/>
        </w:rPr>
        <w:t>4</w:t>
      </w:r>
      <w:r w:rsidRPr="002670B9">
        <w:rPr>
          <w:rFonts w:ascii="Garamond" w:hAnsi="Garamond"/>
        </w:rPr>
        <w:t>4(b)(3)(E)</w:t>
      </w:r>
      <w:r w:rsidR="002670B9" w:rsidRPr="002670B9">
        <w:rPr>
          <w:rFonts w:ascii="Garamond" w:hAnsi="Garamond"/>
        </w:rPr>
        <w:fldChar w:fldCharType="begin"/>
      </w:r>
      <w:r w:rsidR="002670B9" w:rsidRPr="002670B9">
        <w:rPr>
          <w:rFonts w:ascii="Garamond" w:hAnsi="Garamond"/>
        </w:rPr>
        <w:instrText xml:space="preserve"> TA \l "</w:instrText>
      </w:r>
      <w:r w:rsidR="002670B9" w:rsidRPr="002670B9">
        <w:rPr>
          <w:rFonts w:ascii="Garamond" w:hAnsi="Garamond" w:cs="Times New Roman"/>
        </w:rPr>
        <w:instrText xml:space="preserve">28 U.S.C. § </w:instrText>
      </w:r>
      <w:r w:rsidR="002670B9" w:rsidRPr="002670B9">
        <w:rPr>
          <w:rFonts w:ascii="Garamond" w:hAnsi="Garamond"/>
        </w:rPr>
        <w:instrText xml:space="preserve">2254(b)(3)(E)" \s "28 U.S.C. § 2254(b)(3)(E)" \c 2 </w:instrText>
      </w:r>
      <w:r w:rsidR="002670B9" w:rsidRPr="002670B9">
        <w:rPr>
          <w:rFonts w:ascii="Garamond" w:hAnsi="Garamond"/>
        </w:rPr>
        <w:fldChar w:fldCharType="end"/>
      </w:r>
      <w:r w:rsidRPr="002670B9">
        <w:rPr>
          <w:rFonts w:ascii="Garamond" w:hAnsi="Garamond"/>
        </w:rPr>
        <w:t>. “The language of the cross-reference is narrow and specific,” referring only to “the provisions in §</w:t>
      </w:r>
      <w:r w:rsidR="00F47A07" w:rsidRPr="002670B9">
        <w:rPr>
          <w:rFonts w:ascii="Garamond" w:hAnsi="Garamond"/>
        </w:rPr>
        <w:t xml:space="preserve"> </w:t>
      </w:r>
      <w:r w:rsidRPr="002670B9">
        <w:rPr>
          <w:rFonts w:ascii="Garamond" w:hAnsi="Garamond"/>
        </w:rPr>
        <w:t>2244</w:t>
      </w:r>
      <w:r w:rsidR="002670B9" w:rsidRPr="002670B9">
        <w:rPr>
          <w:rFonts w:ascii="Garamond" w:hAnsi="Garamond"/>
        </w:rPr>
        <w:fldChar w:fldCharType="begin"/>
      </w:r>
      <w:r w:rsidR="002670B9" w:rsidRPr="002670B9">
        <w:rPr>
          <w:rFonts w:ascii="Garamond" w:hAnsi="Garamond"/>
        </w:rPr>
        <w:instrText xml:space="preserve"> TA \s "28 U.S.C. § 2244" </w:instrText>
      </w:r>
      <w:r w:rsidR="002670B9" w:rsidRPr="002670B9">
        <w:rPr>
          <w:rFonts w:ascii="Garamond" w:hAnsi="Garamond"/>
        </w:rPr>
        <w:fldChar w:fldCharType="end"/>
      </w:r>
      <w:r w:rsidRPr="002670B9">
        <w:rPr>
          <w:rFonts w:ascii="Garamond" w:hAnsi="Garamond"/>
        </w:rPr>
        <w:t xml:space="preserve"> that provide for how a panel of the appropriate court of appeals certifies a second or success</w:t>
      </w:r>
      <w:r w:rsidR="008A51D7" w:rsidRPr="002670B9">
        <w:rPr>
          <w:rFonts w:ascii="Garamond" w:hAnsi="Garamond"/>
        </w:rPr>
        <w:t>ive</w:t>
      </w:r>
      <w:r w:rsidRPr="002670B9">
        <w:rPr>
          <w:rFonts w:ascii="Garamond" w:hAnsi="Garamond"/>
        </w:rPr>
        <w:t xml:space="preserve"> filing and directs that those procedures be used.” Supreme Court “review (</w:t>
      </w:r>
      <w:r w:rsidRPr="007B7806">
        <w:rPr>
          <w:rFonts w:ascii="Garamond" w:hAnsi="Garamond"/>
        </w:rPr>
        <w:t>or lack thereof) is not part of how a panel certifies a second or successive filing.”</w:t>
      </w:r>
    </w:p>
    <w:p w14:paraId="0B88063C" w14:textId="77777777" w:rsidR="00F0462B" w:rsidRPr="007B7806" w:rsidRDefault="00F0462B" w:rsidP="00F0462B">
      <w:pPr>
        <w:ind w:firstLine="720"/>
        <w:rPr>
          <w:rFonts w:ascii="Garamond" w:hAnsi="Garamond"/>
        </w:rPr>
      </w:pPr>
    </w:p>
    <w:p w14:paraId="3B9E545E" w14:textId="4198812E" w:rsidR="00F0462B" w:rsidRPr="007B7806" w:rsidRDefault="00F0462B" w:rsidP="00F47A07">
      <w:pPr>
        <w:ind w:firstLine="720"/>
        <w:rPr>
          <w:rFonts w:ascii="Garamond" w:hAnsi="Garamond" w:cs="Times New Roman"/>
        </w:rPr>
      </w:pPr>
      <w:r w:rsidRPr="007B7806">
        <w:rPr>
          <w:rFonts w:ascii="Garamond" w:hAnsi="Garamond"/>
        </w:rPr>
        <w:t>The Court also held that § 2244(b)(1)</w:t>
      </w:r>
      <w:r w:rsidR="007B7806" w:rsidRPr="007B7806">
        <w:rPr>
          <w:rFonts w:ascii="Garamond" w:hAnsi="Garamond"/>
        </w:rPr>
        <w:t xml:space="preserve"> </w:t>
      </w:r>
      <w:r w:rsidR="007B7806" w:rsidRPr="007B7806">
        <w:rPr>
          <w:rFonts w:ascii="Garamond" w:hAnsi="Garamond"/>
        </w:rPr>
        <w:fldChar w:fldCharType="begin"/>
      </w:r>
      <w:r w:rsidR="007B7806" w:rsidRPr="007B7806">
        <w:rPr>
          <w:rFonts w:ascii="Garamond" w:hAnsi="Garamond"/>
        </w:rPr>
        <w:instrText xml:space="preserve"> TA \l "</w:instrText>
      </w:r>
      <w:r w:rsidR="002670B9" w:rsidRPr="007B7806">
        <w:rPr>
          <w:rFonts w:ascii="Garamond" w:hAnsi="Garamond"/>
        </w:rPr>
        <w:instrText xml:space="preserve">28 U.S.C. </w:instrText>
      </w:r>
      <w:r w:rsidR="007B7806" w:rsidRPr="007B7806">
        <w:rPr>
          <w:rFonts w:ascii="Garamond" w:hAnsi="Garamond"/>
        </w:rPr>
        <w:instrText xml:space="preserve">§ 2244(b)(1) " \s "28 U.S.C. § 2244(b)(1)" \c 2 </w:instrText>
      </w:r>
      <w:r w:rsidR="007B7806" w:rsidRPr="007B7806">
        <w:rPr>
          <w:rFonts w:ascii="Garamond" w:hAnsi="Garamond"/>
        </w:rPr>
        <w:fldChar w:fldCharType="end"/>
      </w:r>
      <w:r w:rsidRPr="007B7806">
        <w:rPr>
          <w:rFonts w:ascii="Garamond" w:hAnsi="Garamond"/>
        </w:rPr>
        <w:t xml:space="preserve"> (barring a claim in a successive petition “under section 2254</w:t>
      </w:r>
      <w:r w:rsidR="007B7806" w:rsidRPr="007B7806">
        <w:rPr>
          <w:rFonts w:ascii="Garamond" w:hAnsi="Garamond"/>
        </w:rPr>
        <w:fldChar w:fldCharType="begin"/>
      </w:r>
      <w:r w:rsidR="007B7806" w:rsidRPr="007B7806">
        <w:rPr>
          <w:rFonts w:ascii="Garamond" w:hAnsi="Garamond"/>
        </w:rPr>
        <w:instrText xml:space="preserve"> TA \l "</w:instrText>
      </w:r>
      <w:r w:rsidR="002670B9" w:rsidRPr="007B7806">
        <w:rPr>
          <w:rFonts w:ascii="Garamond" w:hAnsi="Garamond"/>
        </w:rPr>
        <w:instrText xml:space="preserve">28 U.S.C. </w:instrText>
      </w:r>
      <w:r w:rsidR="007B7806" w:rsidRPr="007B7806">
        <w:rPr>
          <w:rFonts w:ascii="Garamond" w:hAnsi="Garamond"/>
        </w:rPr>
        <w:instrText xml:space="preserve">§ 2254" \s "28 U.S.C. § 2254" \c 2 </w:instrText>
      </w:r>
      <w:r w:rsidR="007B7806" w:rsidRPr="007B7806">
        <w:rPr>
          <w:rFonts w:ascii="Garamond" w:hAnsi="Garamond"/>
        </w:rPr>
        <w:fldChar w:fldCharType="end"/>
      </w:r>
      <w:r w:rsidRPr="007B7806">
        <w:rPr>
          <w:rFonts w:ascii="Garamond" w:hAnsi="Garamond"/>
        </w:rPr>
        <w:t xml:space="preserve"> that was presented in a prior application</w:t>
      </w:r>
      <w:r w:rsidR="00AB7617">
        <w:rPr>
          <w:rFonts w:ascii="Garamond" w:hAnsi="Garamond"/>
        </w:rPr>
        <w:t>”</w:t>
      </w:r>
      <w:r w:rsidRPr="007B7806">
        <w:rPr>
          <w:rFonts w:ascii="Garamond" w:hAnsi="Garamond"/>
        </w:rPr>
        <w:t>) does not apply to § 2255</w:t>
      </w:r>
      <w:r w:rsidR="007B7806" w:rsidRPr="007B7806">
        <w:rPr>
          <w:rFonts w:ascii="Garamond" w:hAnsi="Garamond"/>
        </w:rPr>
        <w:fldChar w:fldCharType="begin"/>
      </w:r>
      <w:r w:rsidR="007B7806" w:rsidRPr="007B7806">
        <w:rPr>
          <w:rFonts w:ascii="Garamond" w:hAnsi="Garamond"/>
        </w:rPr>
        <w:instrText xml:space="preserve"> TA \l "</w:instrText>
      </w:r>
      <w:r w:rsidR="002670B9" w:rsidRPr="007B7806">
        <w:rPr>
          <w:rFonts w:ascii="Garamond" w:hAnsi="Garamond"/>
        </w:rPr>
        <w:instrText xml:space="preserve">28 U.S.C. </w:instrText>
      </w:r>
      <w:r w:rsidR="007B7806" w:rsidRPr="007B7806">
        <w:rPr>
          <w:rFonts w:ascii="Garamond" w:hAnsi="Garamond"/>
        </w:rPr>
        <w:instrText>§ 225</w:instrText>
      </w:r>
      <w:r w:rsidR="007B7806">
        <w:rPr>
          <w:rFonts w:ascii="Garamond" w:hAnsi="Garamond"/>
        </w:rPr>
        <w:instrText>5</w:instrText>
      </w:r>
      <w:r w:rsidR="007B7806" w:rsidRPr="007B7806">
        <w:rPr>
          <w:rFonts w:ascii="Garamond" w:hAnsi="Garamond"/>
        </w:rPr>
        <w:instrText>" \s "28 U.S.C. § 225</w:instrText>
      </w:r>
      <w:r w:rsidR="007B7806">
        <w:rPr>
          <w:rFonts w:ascii="Garamond" w:hAnsi="Garamond"/>
        </w:rPr>
        <w:instrText>5</w:instrText>
      </w:r>
      <w:r w:rsidR="007B7806" w:rsidRPr="007B7806">
        <w:rPr>
          <w:rFonts w:ascii="Garamond" w:hAnsi="Garamond"/>
        </w:rPr>
        <w:instrText xml:space="preserve">" \c 2 </w:instrText>
      </w:r>
      <w:r w:rsidR="007B7806" w:rsidRPr="007B7806">
        <w:rPr>
          <w:rFonts w:ascii="Garamond" w:hAnsi="Garamond"/>
        </w:rPr>
        <w:fldChar w:fldCharType="end"/>
      </w:r>
      <w:r w:rsidRPr="007B7806">
        <w:rPr>
          <w:rFonts w:ascii="Garamond" w:hAnsi="Garamond"/>
        </w:rPr>
        <w:t xml:space="preserve"> motions because “state prisoners alone file habeas corpus applications under § 2254</w:t>
      </w:r>
      <w:r w:rsidR="007B7806" w:rsidRPr="007B7806">
        <w:rPr>
          <w:rFonts w:ascii="Garamond" w:hAnsi="Garamond"/>
        </w:rPr>
        <w:fldChar w:fldCharType="begin"/>
      </w:r>
      <w:r w:rsidR="007B7806" w:rsidRPr="007B7806">
        <w:rPr>
          <w:rFonts w:ascii="Garamond" w:hAnsi="Garamond"/>
        </w:rPr>
        <w:instrText xml:space="preserve"> TA \l "</w:instrText>
      </w:r>
      <w:r w:rsidR="002670B9" w:rsidRPr="007B7806">
        <w:rPr>
          <w:rFonts w:ascii="Garamond" w:hAnsi="Garamond"/>
        </w:rPr>
        <w:instrText xml:space="preserve">28 U.S.C. § </w:instrText>
      </w:r>
      <w:r w:rsidR="007B7806" w:rsidRPr="007B7806">
        <w:rPr>
          <w:rFonts w:ascii="Garamond" w:hAnsi="Garamond"/>
        </w:rPr>
        <w:instrText xml:space="preserve"> 2254" \s "28 U.S.C. § 2254" \c 2 </w:instrText>
      </w:r>
      <w:r w:rsidR="007B7806" w:rsidRPr="007B7806">
        <w:rPr>
          <w:rFonts w:ascii="Garamond" w:hAnsi="Garamond"/>
        </w:rPr>
        <w:fldChar w:fldCharType="end"/>
      </w:r>
      <w:r w:rsidRPr="007B7806">
        <w:rPr>
          <w:rFonts w:ascii="Garamond" w:hAnsi="Garamond"/>
        </w:rPr>
        <w:t>,” the specific reference to § 2254</w:t>
      </w:r>
      <w:r w:rsidR="007B7806" w:rsidRPr="007B7806">
        <w:rPr>
          <w:rFonts w:ascii="Garamond" w:hAnsi="Garamond"/>
        </w:rPr>
        <w:fldChar w:fldCharType="begin"/>
      </w:r>
      <w:r w:rsidR="007B7806" w:rsidRPr="007B7806">
        <w:rPr>
          <w:rFonts w:ascii="Garamond" w:hAnsi="Garamond"/>
        </w:rPr>
        <w:instrText xml:space="preserve"> TA \l "</w:instrText>
      </w:r>
      <w:r w:rsidR="002670B9" w:rsidRPr="007B7806">
        <w:rPr>
          <w:rFonts w:ascii="Garamond" w:hAnsi="Garamond"/>
        </w:rPr>
        <w:instrText xml:space="preserve">28 U.S.C. </w:instrText>
      </w:r>
      <w:r w:rsidR="007B7806" w:rsidRPr="007B7806">
        <w:rPr>
          <w:rFonts w:ascii="Garamond" w:hAnsi="Garamond"/>
        </w:rPr>
        <w:instrText xml:space="preserve">§ 2254" \s "28 U.S.C. § 2254" \c 2 </w:instrText>
      </w:r>
      <w:r w:rsidR="007B7806" w:rsidRPr="007B7806">
        <w:rPr>
          <w:rFonts w:ascii="Garamond" w:hAnsi="Garamond"/>
        </w:rPr>
        <w:fldChar w:fldCharType="end"/>
      </w:r>
      <w:r w:rsidRPr="007B7806">
        <w:rPr>
          <w:rFonts w:ascii="Garamond" w:hAnsi="Garamond"/>
        </w:rPr>
        <w:t xml:space="preserve"> “was deliberate” given that other sections of 2244</w:t>
      </w:r>
      <w:r w:rsidR="007B7806" w:rsidRPr="007B7806">
        <w:rPr>
          <w:rFonts w:ascii="Garamond" w:hAnsi="Garamond"/>
        </w:rPr>
        <w:fldChar w:fldCharType="begin"/>
      </w:r>
      <w:r w:rsidR="007B7806" w:rsidRPr="007B7806">
        <w:rPr>
          <w:rFonts w:ascii="Garamond" w:hAnsi="Garamond"/>
        </w:rPr>
        <w:instrText xml:space="preserve"> TA \l "</w:instrText>
      </w:r>
      <w:r w:rsidR="002670B9" w:rsidRPr="007B7806">
        <w:rPr>
          <w:rFonts w:ascii="Garamond" w:hAnsi="Garamond"/>
        </w:rPr>
        <w:instrText xml:space="preserve">28 U.S.C. </w:instrText>
      </w:r>
      <w:r w:rsidR="007B7806" w:rsidRPr="007B7806">
        <w:rPr>
          <w:rFonts w:ascii="Garamond" w:hAnsi="Garamond"/>
        </w:rPr>
        <w:instrText xml:space="preserve">§ 2244" \s "28 U.S.C. § 2244" \c 2 </w:instrText>
      </w:r>
      <w:r w:rsidR="007B7806" w:rsidRPr="007B7806">
        <w:rPr>
          <w:rFonts w:ascii="Garamond" w:hAnsi="Garamond"/>
        </w:rPr>
        <w:fldChar w:fldCharType="end"/>
      </w:r>
      <w:r w:rsidRPr="007B7806">
        <w:rPr>
          <w:rFonts w:ascii="Garamond" w:hAnsi="Garamond"/>
        </w:rPr>
        <w:t xml:space="preserve"> explicitly recognize 2255</w:t>
      </w:r>
      <w:r w:rsidR="007B7806" w:rsidRPr="007B7806">
        <w:rPr>
          <w:rFonts w:ascii="Garamond" w:hAnsi="Garamond"/>
        </w:rPr>
        <w:fldChar w:fldCharType="begin"/>
      </w:r>
      <w:r w:rsidR="007B7806" w:rsidRPr="007B7806">
        <w:rPr>
          <w:rFonts w:ascii="Garamond" w:hAnsi="Garamond"/>
        </w:rPr>
        <w:instrText xml:space="preserve"> TA \l "</w:instrText>
      </w:r>
      <w:r w:rsidR="002670B9" w:rsidRPr="007B7806">
        <w:rPr>
          <w:rFonts w:ascii="Garamond" w:hAnsi="Garamond"/>
        </w:rPr>
        <w:instrText xml:space="preserve">28 U.S.C. </w:instrText>
      </w:r>
      <w:r w:rsidR="007B7806" w:rsidRPr="007B7806">
        <w:rPr>
          <w:rFonts w:ascii="Garamond" w:hAnsi="Garamond"/>
        </w:rPr>
        <w:instrText>§ 225</w:instrText>
      </w:r>
      <w:r w:rsidR="007B7806">
        <w:rPr>
          <w:rFonts w:ascii="Garamond" w:hAnsi="Garamond"/>
        </w:rPr>
        <w:instrText>5</w:instrText>
      </w:r>
      <w:r w:rsidR="007B7806" w:rsidRPr="007B7806">
        <w:rPr>
          <w:rFonts w:ascii="Garamond" w:hAnsi="Garamond"/>
        </w:rPr>
        <w:instrText>" \s "28 U.S.C. § 225</w:instrText>
      </w:r>
      <w:r w:rsidR="007B7806">
        <w:rPr>
          <w:rFonts w:ascii="Garamond" w:hAnsi="Garamond"/>
        </w:rPr>
        <w:instrText>5</w:instrText>
      </w:r>
      <w:r w:rsidR="007B7806" w:rsidRPr="007B7806">
        <w:rPr>
          <w:rFonts w:ascii="Garamond" w:hAnsi="Garamond"/>
        </w:rPr>
        <w:instrText xml:space="preserve">" \c 2 </w:instrText>
      </w:r>
      <w:r w:rsidR="007B7806" w:rsidRPr="007B7806">
        <w:rPr>
          <w:rFonts w:ascii="Garamond" w:hAnsi="Garamond"/>
        </w:rPr>
        <w:fldChar w:fldCharType="end"/>
      </w:r>
      <w:r w:rsidR="007B7806" w:rsidRPr="007B7806">
        <w:rPr>
          <w:rFonts w:ascii="Garamond" w:hAnsi="Garamond"/>
        </w:rPr>
        <w:t xml:space="preserve"> </w:t>
      </w:r>
      <w:r w:rsidRPr="007B7806">
        <w:rPr>
          <w:rFonts w:ascii="Garamond" w:hAnsi="Garamond"/>
        </w:rPr>
        <w:t xml:space="preserve"> motions, and § 2255(h)</w:t>
      </w:r>
      <w:r w:rsidR="00887802" w:rsidRPr="007B7806">
        <w:rPr>
          <w:rFonts w:ascii="Garamond" w:hAnsi="Garamond" w:cs="Times New Roman"/>
        </w:rPr>
        <w:t xml:space="preserve"> )</w:t>
      </w:r>
      <w:r w:rsidR="00887802" w:rsidRPr="007B7806">
        <w:rPr>
          <w:rFonts w:ascii="Garamond" w:hAnsi="Garamond" w:cs="Times New Roman"/>
        </w:rPr>
        <w:fldChar w:fldCharType="begin"/>
      </w:r>
      <w:r w:rsidR="00887802" w:rsidRPr="007B7806">
        <w:rPr>
          <w:rFonts w:ascii="Garamond" w:hAnsi="Garamond"/>
        </w:rPr>
        <w:instrText xml:space="preserve"> TA \l "</w:instrText>
      </w:r>
      <w:r w:rsidR="00887802" w:rsidRPr="007B7806">
        <w:rPr>
          <w:rFonts w:ascii="Garamond" w:hAnsi="Garamond" w:cs="Times New Roman"/>
        </w:rPr>
        <w:instrText>28 U.S.C. § 2255(h)</w:instrText>
      </w:r>
      <w:r w:rsidR="00887802" w:rsidRPr="007B7806">
        <w:rPr>
          <w:rFonts w:ascii="Garamond" w:hAnsi="Garamond"/>
        </w:rPr>
        <w:instrText xml:space="preserve">" \s "28 U.S.C. § 2255(h)" \c 2 </w:instrText>
      </w:r>
      <w:r w:rsidR="00887802" w:rsidRPr="007B7806">
        <w:rPr>
          <w:rFonts w:ascii="Garamond" w:hAnsi="Garamond" w:cs="Times New Roman"/>
        </w:rPr>
        <w:fldChar w:fldCharType="end"/>
      </w:r>
      <w:r w:rsidRPr="007B7806">
        <w:rPr>
          <w:rFonts w:ascii="Garamond" w:hAnsi="Garamond"/>
        </w:rPr>
        <w:t xml:space="preserve"> does not incorporate anything other than the substantive conditions on successive petitions it expressly mentions.</w:t>
      </w:r>
    </w:p>
    <w:p w14:paraId="27EA38CE" w14:textId="77777777" w:rsidR="003125BF" w:rsidRPr="00C05D6B" w:rsidRDefault="003125BF" w:rsidP="003125BF">
      <w:pPr>
        <w:rPr>
          <w:rFonts w:ascii="Garamond" w:hAnsi="Garamond" w:cs="Times New Roman"/>
        </w:rPr>
      </w:pPr>
    </w:p>
    <w:p w14:paraId="5F91F147" w14:textId="77777777" w:rsidR="003125BF" w:rsidRPr="00C05D6B" w:rsidRDefault="003125BF" w:rsidP="003125BF">
      <w:pPr>
        <w:rPr>
          <w:rFonts w:ascii="Garamond" w:hAnsi="Garamond" w:cs="Times New Roman"/>
          <w:b/>
          <w:bCs/>
        </w:rPr>
      </w:pPr>
      <w:r w:rsidRPr="00C05D6B">
        <w:rPr>
          <w:rFonts w:ascii="Garamond" w:hAnsi="Garamond" w:cs="Times New Roman"/>
          <w:b/>
          <w:bCs/>
        </w:rPr>
        <w:t>(CB p. 1053, end of note)</w:t>
      </w:r>
    </w:p>
    <w:p w14:paraId="7CE224B4" w14:textId="77777777" w:rsidR="003125BF" w:rsidRPr="00C05D6B" w:rsidRDefault="003125BF" w:rsidP="003125BF">
      <w:pPr>
        <w:rPr>
          <w:rFonts w:ascii="Garamond" w:hAnsi="Garamond" w:cs="Times New Roman"/>
        </w:rPr>
      </w:pPr>
    </w:p>
    <w:p w14:paraId="0AA70D86" w14:textId="177EB33F" w:rsidR="003125BF" w:rsidRPr="00C05D6B" w:rsidRDefault="003125BF" w:rsidP="003125BF">
      <w:pPr>
        <w:rPr>
          <w:rFonts w:ascii="Garamond" w:hAnsi="Garamond" w:cs="Times New Roman"/>
        </w:rPr>
      </w:pPr>
      <w:r w:rsidRPr="00C05D6B">
        <w:rPr>
          <w:rFonts w:ascii="Garamond" w:hAnsi="Garamond" w:cs="Times New Roman"/>
        </w:rPr>
        <w:t>The Supreme Court has held that the All Writs Act</w:t>
      </w:r>
      <w:r w:rsidR="00887802" w:rsidRPr="00C05D6B">
        <w:rPr>
          <w:rFonts w:ascii="Garamond" w:hAnsi="Garamond" w:cs="Times New Roman"/>
        </w:rPr>
        <w:fldChar w:fldCharType="begin"/>
      </w:r>
      <w:r w:rsidR="00887802" w:rsidRPr="00C05D6B">
        <w:rPr>
          <w:rFonts w:ascii="Garamond" w:hAnsi="Garamond"/>
        </w:rPr>
        <w:instrText xml:space="preserve"> TA \l "</w:instrText>
      </w:r>
      <w:r w:rsidR="00887802" w:rsidRPr="00C05D6B">
        <w:rPr>
          <w:rFonts w:ascii="Garamond" w:hAnsi="Garamond" w:cs="Times New Roman"/>
        </w:rPr>
        <w:instrText>All Writs Act</w:instrText>
      </w:r>
      <w:r w:rsidR="00887802" w:rsidRPr="00C05D6B">
        <w:rPr>
          <w:rFonts w:ascii="Garamond" w:hAnsi="Garamond"/>
        </w:rPr>
        <w:instrText xml:space="preserve">" \s "All Writs Act" \c 2 </w:instrText>
      </w:r>
      <w:r w:rsidR="00887802" w:rsidRPr="00C05D6B">
        <w:rPr>
          <w:rFonts w:ascii="Garamond" w:hAnsi="Garamond" w:cs="Times New Roman"/>
        </w:rPr>
        <w:fldChar w:fldCharType="end"/>
      </w:r>
      <w:r w:rsidRPr="00C05D6B">
        <w:rPr>
          <w:rFonts w:ascii="Garamond" w:hAnsi="Garamond" w:cs="Times New Roman"/>
        </w:rPr>
        <w:t xml:space="preserve"> cannot be invoked to transfer a prisoner to a medical facility for neurological testing for evidence of a childhood head trauma not brought out at trial in order to build a record in support of a habeas claim of ineffective assistance of counsel.  Shoop v. </w:t>
      </w:r>
      <w:proofErr w:type="spellStart"/>
      <w:r w:rsidRPr="00C05D6B">
        <w:rPr>
          <w:rFonts w:ascii="Garamond" w:hAnsi="Garamond" w:cs="Times New Roman"/>
        </w:rPr>
        <w:t>Twyford</w:t>
      </w:r>
      <w:proofErr w:type="spellEnd"/>
      <w:r w:rsidR="0046680A" w:rsidRPr="00C05D6B">
        <w:rPr>
          <w:rFonts w:ascii="Garamond" w:hAnsi="Garamond" w:cs="Times New Roman"/>
        </w:rPr>
        <w:fldChar w:fldCharType="begin"/>
      </w:r>
      <w:r w:rsidR="0046680A" w:rsidRPr="00C05D6B">
        <w:rPr>
          <w:rFonts w:ascii="Garamond" w:hAnsi="Garamond"/>
        </w:rPr>
        <w:instrText xml:space="preserve"> TA \l "</w:instrText>
      </w:r>
      <w:r w:rsidR="0046680A" w:rsidRPr="00C05D6B">
        <w:rPr>
          <w:rFonts w:ascii="Garamond" w:hAnsi="Garamond" w:cs="Times New Roman"/>
        </w:rPr>
        <w:instrText>Shoop v. Twyford</w:instrText>
      </w:r>
      <w:r w:rsidR="0046680A" w:rsidRPr="00C05D6B">
        <w:rPr>
          <w:rFonts w:ascii="Garamond" w:hAnsi="Garamond"/>
        </w:rPr>
        <w:instrText xml:space="preserve">" \s "Shoop v. Twyford" \c 1 </w:instrText>
      </w:r>
      <w:r w:rsidR="0046680A" w:rsidRPr="00C05D6B">
        <w:rPr>
          <w:rFonts w:ascii="Garamond" w:hAnsi="Garamond" w:cs="Times New Roman"/>
        </w:rPr>
        <w:fldChar w:fldCharType="end"/>
      </w:r>
      <w:r w:rsidRPr="00C05D6B">
        <w:rPr>
          <w:rFonts w:ascii="Garamond" w:hAnsi="Garamond" w:cs="Times New Roman"/>
        </w:rPr>
        <w:t xml:space="preserve"> (2022). </w:t>
      </w:r>
      <w:proofErr w:type="spellStart"/>
      <w:r w:rsidRPr="00C05D6B">
        <w:rPr>
          <w:rFonts w:ascii="Garamond" w:hAnsi="Garamond" w:cs="Times New Roman"/>
        </w:rPr>
        <w:t>Pinholster</w:t>
      </w:r>
      <w:proofErr w:type="spellEnd"/>
      <w:r w:rsidRPr="00C05D6B">
        <w:rPr>
          <w:rFonts w:ascii="Garamond" w:hAnsi="Garamond" w:cs="Times New Roman"/>
        </w:rPr>
        <w:t xml:space="preserve"> holds that the record in a § 2254(d)</w:t>
      </w:r>
      <w:r w:rsidR="007B7806">
        <w:rPr>
          <w:rFonts w:ascii="Garamond" w:hAnsi="Garamond" w:cs="Times New Roman"/>
        </w:rPr>
        <w:fldChar w:fldCharType="begin"/>
      </w:r>
      <w:r w:rsidR="007B7806">
        <w:instrText xml:space="preserve"> TA \l "</w:instrText>
      </w:r>
      <w:r w:rsidR="002670B9" w:rsidRPr="007B7806">
        <w:rPr>
          <w:rFonts w:ascii="Garamond" w:hAnsi="Garamond"/>
        </w:rPr>
        <w:instrText xml:space="preserve">28 U.S.C. </w:instrText>
      </w:r>
      <w:r w:rsidR="007B7806" w:rsidRPr="002C5AE3">
        <w:rPr>
          <w:rFonts w:ascii="Garamond" w:hAnsi="Garamond" w:cs="Times New Roman"/>
        </w:rPr>
        <w:instrText>§ 2254(d)</w:instrText>
      </w:r>
      <w:r w:rsidR="007B7806">
        <w:instrText xml:space="preserve">" \s "28 U.S.C. § 2254(d)" \c 2 </w:instrText>
      </w:r>
      <w:r w:rsidR="007B7806">
        <w:rPr>
          <w:rFonts w:ascii="Garamond" w:hAnsi="Garamond" w:cs="Times New Roman"/>
        </w:rPr>
        <w:fldChar w:fldCharType="end"/>
      </w:r>
      <w:r w:rsidRPr="00C05D6B">
        <w:rPr>
          <w:rFonts w:ascii="Garamond" w:hAnsi="Garamond" w:cs="Times New Roman"/>
        </w:rPr>
        <w:t xml:space="preserve"> petition is restricted to the evidence presented to the state court, and § 2254(e)</w:t>
      </w:r>
      <w:r w:rsidR="007B7806">
        <w:rPr>
          <w:rFonts w:ascii="Garamond" w:hAnsi="Garamond" w:cs="Times New Roman"/>
        </w:rPr>
        <w:fldChar w:fldCharType="begin"/>
      </w:r>
      <w:r w:rsidR="007B7806">
        <w:instrText xml:space="preserve"> TA \l "</w:instrText>
      </w:r>
      <w:r w:rsidR="002670B9" w:rsidRPr="007B7806">
        <w:rPr>
          <w:rFonts w:ascii="Garamond" w:hAnsi="Garamond"/>
        </w:rPr>
        <w:instrText xml:space="preserve">28 U.S.C. </w:instrText>
      </w:r>
      <w:r w:rsidR="007B7806" w:rsidRPr="007C25BE">
        <w:rPr>
          <w:rFonts w:ascii="Garamond" w:hAnsi="Garamond" w:cs="Times New Roman"/>
        </w:rPr>
        <w:instrText>§ 2254(e)</w:instrText>
      </w:r>
      <w:r w:rsidR="007B7806">
        <w:instrText xml:space="preserve">" \s "28 U.S.C. § 2254(e)" \c 2 </w:instrText>
      </w:r>
      <w:r w:rsidR="007B7806">
        <w:rPr>
          <w:rFonts w:ascii="Garamond" w:hAnsi="Garamond" w:cs="Times New Roman"/>
        </w:rPr>
        <w:fldChar w:fldCharType="end"/>
      </w:r>
      <w:r w:rsidRPr="00C05D6B">
        <w:rPr>
          <w:rFonts w:ascii="Garamond" w:hAnsi="Garamond" w:cs="Times New Roman"/>
        </w:rPr>
        <w:t xml:space="preserve"> sets strict limits on the admission of new evidence before the federal habeas court. </w:t>
      </w:r>
      <w:r w:rsidRPr="00C05D6B">
        <w:rPr>
          <w:rFonts w:ascii="Garamond" w:hAnsi="Garamond" w:cs="Times New Roman"/>
          <w:i/>
          <w:iCs/>
        </w:rPr>
        <w:t>Shinn</w:t>
      </w:r>
      <w:r w:rsidRPr="00C05D6B">
        <w:rPr>
          <w:rFonts w:ascii="Garamond" w:hAnsi="Garamond" w:cs="Times New Roman"/>
        </w:rPr>
        <w:t xml:space="preserve"> further limits a federal habeas court’s power to take new evidence that would “needlessly prolong” habeas determinations.</w:t>
      </w:r>
    </w:p>
    <w:p w14:paraId="45BE722B" w14:textId="77777777" w:rsidR="003125BF" w:rsidRPr="00C05D6B" w:rsidRDefault="003125BF" w:rsidP="003125BF">
      <w:pPr>
        <w:rPr>
          <w:rFonts w:ascii="Garamond" w:hAnsi="Garamond" w:cs="Times New Roman"/>
        </w:rPr>
      </w:pPr>
    </w:p>
    <w:p w14:paraId="5756CBEB" w14:textId="27624712" w:rsidR="00F0462B" w:rsidRPr="00C05D6B" w:rsidRDefault="00F0462B" w:rsidP="003125BF">
      <w:pPr>
        <w:rPr>
          <w:rFonts w:ascii="Garamond" w:hAnsi="Garamond" w:cs="Times New Roman"/>
          <w:b/>
          <w:bCs/>
        </w:rPr>
      </w:pPr>
      <w:r w:rsidRPr="00C05D6B">
        <w:rPr>
          <w:rFonts w:ascii="Garamond" w:hAnsi="Garamond" w:cs="Times New Roman"/>
          <w:b/>
          <w:bCs/>
        </w:rPr>
        <w:t>(CB p. 1132, end of first paragraph)</w:t>
      </w:r>
    </w:p>
    <w:p w14:paraId="4FC57553" w14:textId="77777777" w:rsidR="00F0462B" w:rsidRPr="00C05D6B" w:rsidRDefault="00F0462B" w:rsidP="003125BF">
      <w:pPr>
        <w:rPr>
          <w:rFonts w:ascii="Garamond" w:hAnsi="Garamond" w:cs="Times New Roman"/>
          <w:b/>
          <w:bCs/>
        </w:rPr>
      </w:pPr>
    </w:p>
    <w:p w14:paraId="1D7B4171" w14:textId="11574C68" w:rsidR="00F0462B" w:rsidRPr="00C05D6B" w:rsidRDefault="00F0462B" w:rsidP="00F0462B">
      <w:pPr>
        <w:rPr>
          <w:rFonts w:ascii="Garamond" w:hAnsi="Garamond"/>
        </w:rPr>
      </w:pPr>
      <w:r w:rsidRPr="00C05D6B">
        <w:rPr>
          <w:rFonts w:ascii="Garamond" w:hAnsi="Garamond"/>
        </w:rPr>
        <w:t>The Court has continued to insist that under § 2254</w:t>
      </w:r>
      <w:r w:rsidR="007B7806" w:rsidRPr="007B7806">
        <w:rPr>
          <w:rFonts w:ascii="Garamond" w:hAnsi="Garamond"/>
        </w:rPr>
        <w:fldChar w:fldCharType="begin"/>
      </w:r>
      <w:r w:rsidR="007B7806" w:rsidRPr="007B7806">
        <w:rPr>
          <w:rFonts w:ascii="Garamond" w:hAnsi="Garamond"/>
        </w:rPr>
        <w:instrText xml:space="preserve"> TA \s "28 U.S.C. § 2254" </w:instrText>
      </w:r>
      <w:r w:rsidR="007B7806" w:rsidRPr="007B7806">
        <w:rPr>
          <w:rFonts w:ascii="Garamond" w:hAnsi="Garamond"/>
        </w:rPr>
        <w:fldChar w:fldCharType="end"/>
      </w:r>
      <w:r w:rsidRPr="00C05D6B">
        <w:rPr>
          <w:rFonts w:ascii="Garamond" w:hAnsi="Garamond"/>
        </w:rPr>
        <w:t xml:space="preserve"> a petitioner must show “far more than clear error” to warrant federal judicial interference with a state court conviction</w:t>
      </w:r>
      <w:r w:rsidR="00F47A07" w:rsidRPr="00C05D6B">
        <w:rPr>
          <w:rFonts w:ascii="Garamond" w:hAnsi="Garamond"/>
        </w:rPr>
        <w:t>—</w:t>
      </w:r>
      <w:r w:rsidRPr="00C05D6B">
        <w:rPr>
          <w:rFonts w:ascii="Garamond" w:hAnsi="Garamond"/>
        </w:rPr>
        <w:t xml:space="preserve">a blunder “so bad that every </w:t>
      </w:r>
      <w:proofErr w:type="spellStart"/>
      <w:r w:rsidRPr="00C05D6B">
        <w:rPr>
          <w:rFonts w:ascii="Garamond" w:hAnsi="Garamond"/>
        </w:rPr>
        <w:t>fairminded</w:t>
      </w:r>
      <w:proofErr w:type="spellEnd"/>
      <w:r w:rsidRPr="00C05D6B">
        <w:rPr>
          <w:rFonts w:ascii="Garamond" w:hAnsi="Garamond"/>
        </w:rPr>
        <w:t xml:space="preserve"> jurist would disagree” with it. Klein v. Martin</w:t>
      </w:r>
      <w:r w:rsidR="00887802" w:rsidRPr="00C05D6B">
        <w:rPr>
          <w:rFonts w:ascii="Garamond" w:hAnsi="Garamond"/>
        </w:rPr>
        <w:fldChar w:fldCharType="begin"/>
      </w:r>
      <w:r w:rsidR="00887802" w:rsidRPr="00C05D6B">
        <w:rPr>
          <w:rFonts w:ascii="Garamond" w:hAnsi="Garamond"/>
        </w:rPr>
        <w:instrText xml:space="preserve"> TA \l "Klein v. Martin" \s "Klein v. Martin" \c 1 </w:instrText>
      </w:r>
      <w:r w:rsidR="00887802" w:rsidRPr="00C05D6B">
        <w:rPr>
          <w:rFonts w:ascii="Garamond" w:hAnsi="Garamond"/>
        </w:rPr>
        <w:fldChar w:fldCharType="end"/>
      </w:r>
      <w:r w:rsidRPr="00C05D6B">
        <w:rPr>
          <w:rFonts w:ascii="Garamond" w:hAnsi="Garamond"/>
        </w:rPr>
        <w:t xml:space="preserve"> (2026) (</w:t>
      </w:r>
      <w:r w:rsidRPr="00C05D6B">
        <w:rPr>
          <w:rFonts w:ascii="Garamond" w:hAnsi="Garamond"/>
          <w:i/>
          <w:iCs/>
        </w:rPr>
        <w:t>Brady</w:t>
      </w:r>
      <w:r w:rsidRPr="00C05D6B">
        <w:rPr>
          <w:rFonts w:ascii="Garamond" w:hAnsi="Garamond"/>
        </w:rPr>
        <w:t xml:space="preserve"> error “immaterial” in light of other evidence supporting guilt of man who shot his pregnant girlfriend) (per </w:t>
      </w:r>
      <w:proofErr w:type="spellStart"/>
      <w:r w:rsidRPr="00C05D6B">
        <w:rPr>
          <w:rFonts w:ascii="Garamond" w:hAnsi="Garamond"/>
        </w:rPr>
        <w:t>curiam</w:t>
      </w:r>
      <w:proofErr w:type="spellEnd"/>
      <w:r w:rsidRPr="00C05D6B">
        <w:rPr>
          <w:rFonts w:ascii="Garamond" w:hAnsi="Garamond"/>
        </w:rPr>
        <w:t>).</w:t>
      </w:r>
    </w:p>
    <w:p w14:paraId="31CFA267" w14:textId="77777777" w:rsidR="00F0462B" w:rsidRPr="00C05D6B" w:rsidRDefault="00F0462B" w:rsidP="00F0462B">
      <w:pPr>
        <w:rPr>
          <w:rFonts w:ascii="Garamond" w:hAnsi="Garamond"/>
        </w:rPr>
      </w:pPr>
    </w:p>
    <w:p w14:paraId="07592AC7" w14:textId="229668D7" w:rsidR="00F0462B" w:rsidRPr="00C05D6B" w:rsidRDefault="00F0462B" w:rsidP="00F0462B">
      <w:pPr>
        <w:ind w:firstLine="720"/>
        <w:rPr>
          <w:rFonts w:ascii="Garamond" w:hAnsi="Garamond"/>
        </w:rPr>
      </w:pPr>
      <w:r w:rsidRPr="00C05D6B">
        <w:rPr>
          <w:rFonts w:ascii="Garamond" w:hAnsi="Garamond"/>
        </w:rPr>
        <w:t xml:space="preserve">And it continues to narrowly construe what counts as clearly established law. </w:t>
      </w:r>
      <w:r w:rsidRPr="00C05D6B">
        <w:rPr>
          <w:rFonts w:ascii="Garamond" w:hAnsi="Garamond"/>
          <w:i/>
          <w:iCs/>
        </w:rPr>
        <w:t>See</w:t>
      </w:r>
      <w:r w:rsidRPr="00C05D6B">
        <w:rPr>
          <w:rFonts w:ascii="Garamond" w:hAnsi="Garamond"/>
        </w:rPr>
        <w:t xml:space="preserve"> McCarthy v. Hernandez</w:t>
      </w:r>
      <w:r w:rsidR="00887802" w:rsidRPr="00C05D6B">
        <w:rPr>
          <w:rFonts w:ascii="Garamond" w:hAnsi="Garamond"/>
        </w:rPr>
        <w:fldChar w:fldCharType="begin"/>
      </w:r>
      <w:r w:rsidR="00887802" w:rsidRPr="00C05D6B">
        <w:rPr>
          <w:rFonts w:ascii="Garamond" w:hAnsi="Garamond"/>
        </w:rPr>
        <w:instrText xml:space="preserve"> TA \l "McCarthy v. Hernandez" \s "McCarthy v. Hernandez" \c 1 </w:instrText>
      </w:r>
      <w:r w:rsidR="00887802" w:rsidRPr="00C05D6B">
        <w:rPr>
          <w:rFonts w:ascii="Garamond" w:hAnsi="Garamond"/>
        </w:rPr>
        <w:fldChar w:fldCharType="end"/>
      </w:r>
      <w:r w:rsidRPr="00C05D6B">
        <w:rPr>
          <w:rFonts w:ascii="Garamond" w:hAnsi="Garamond"/>
        </w:rPr>
        <w:t xml:space="preserve"> (2026) (per </w:t>
      </w:r>
      <w:proofErr w:type="spellStart"/>
      <w:r w:rsidRPr="00C05D6B">
        <w:rPr>
          <w:rFonts w:ascii="Garamond" w:hAnsi="Garamond"/>
        </w:rPr>
        <w:t>curiam</w:t>
      </w:r>
      <w:proofErr w:type="spellEnd"/>
      <w:r w:rsidRPr="00C05D6B">
        <w:rPr>
          <w:rFonts w:ascii="Garamond" w:hAnsi="Garamond"/>
        </w:rPr>
        <w:t xml:space="preserve">) (holding that Missouri v. </w:t>
      </w:r>
      <w:r w:rsidR="00CE16FC" w:rsidRPr="00C05D6B">
        <w:rPr>
          <w:rFonts w:ascii="Garamond" w:hAnsi="Garamond"/>
        </w:rPr>
        <w:t>Seibert</w:t>
      </w:r>
      <w:r w:rsidR="00887802" w:rsidRPr="00C05D6B">
        <w:rPr>
          <w:rFonts w:ascii="Garamond" w:hAnsi="Garamond"/>
        </w:rPr>
        <w:fldChar w:fldCharType="begin"/>
      </w:r>
      <w:r w:rsidR="00887802" w:rsidRPr="00C05D6B">
        <w:rPr>
          <w:rFonts w:ascii="Garamond" w:hAnsi="Garamond"/>
        </w:rPr>
        <w:instrText xml:space="preserve"> TA \l "Missouri v. Seibert" \s "Missouri v. Seibert" \c 1 </w:instrText>
      </w:r>
      <w:r w:rsidR="00887802" w:rsidRPr="00C05D6B">
        <w:rPr>
          <w:rFonts w:ascii="Garamond" w:hAnsi="Garamond"/>
        </w:rPr>
        <w:fldChar w:fldCharType="end"/>
      </w:r>
      <w:r w:rsidRPr="00C05D6B">
        <w:rPr>
          <w:rFonts w:ascii="Garamond" w:hAnsi="Garamond"/>
        </w:rPr>
        <w:t xml:space="preserve"> (2004) standard for suppression of confession obtained after </w:t>
      </w:r>
      <w:r w:rsidRPr="00C05D6B">
        <w:rPr>
          <w:rFonts w:ascii="Garamond" w:hAnsi="Garamond"/>
          <w:i/>
          <w:iCs/>
        </w:rPr>
        <w:t>Miranda</w:t>
      </w:r>
      <w:r w:rsidRPr="00C05D6B">
        <w:rPr>
          <w:rFonts w:ascii="Garamond" w:hAnsi="Garamond"/>
        </w:rPr>
        <w:t xml:space="preserve"> warning, when connected to an involuntary pre-</w:t>
      </w:r>
      <w:r w:rsidRPr="00C05D6B">
        <w:rPr>
          <w:rFonts w:ascii="Garamond" w:hAnsi="Garamond"/>
          <w:i/>
          <w:iCs/>
        </w:rPr>
        <w:t>Miranda</w:t>
      </w:r>
      <w:r w:rsidRPr="00C05D6B">
        <w:rPr>
          <w:rFonts w:ascii="Garamond" w:hAnsi="Garamond"/>
        </w:rPr>
        <w:t xml:space="preserve"> confession, is not clearly established law on the question whether a jury must be instructed on relevance of involuntary confession in its deliberation on a subsequent confession; petitioner “had no federal right to have the jury evaluate the lawfulness of his confession after the trial court admitted them” because </w:t>
      </w:r>
      <w:r w:rsidR="00CE16FC" w:rsidRPr="00C05D6B">
        <w:rPr>
          <w:rFonts w:ascii="Garamond" w:hAnsi="Garamond"/>
          <w:i/>
          <w:iCs/>
        </w:rPr>
        <w:t>Seibert</w:t>
      </w:r>
      <w:r w:rsidRPr="00C05D6B">
        <w:rPr>
          <w:rFonts w:ascii="Garamond" w:hAnsi="Garamond"/>
        </w:rPr>
        <w:t xml:space="preserve"> “established nothing about a jury’s determination of a confession’s legality … [it] concerned a trial court’s ruling on a suppression motion, not a jury’s assessment of attenuation”). </w:t>
      </w:r>
      <w:r w:rsidRPr="00C05D6B">
        <w:rPr>
          <w:rFonts w:ascii="Garamond" w:hAnsi="Garamond"/>
          <w:i/>
          <w:iCs/>
        </w:rPr>
        <w:t>Cf.</w:t>
      </w:r>
      <w:r w:rsidRPr="00C05D6B">
        <w:rPr>
          <w:rFonts w:ascii="Garamond" w:hAnsi="Garamond"/>
        </w:rPr>
        <w:t xml:space="preserve"> </w:t>
      </w:r>
      <w:r w:rsidR="00887802" w:rsidRPr="00C05D6B">
        <w:rPr>
          <w:rFonts w:ascii="Garamond" w:hAnsi="Garamond"/>
        </w:rPr>
        <w:fldChar w:fldCharType="begin"/>
      </w:r>
      <w:r w:rsidR="00887802" w:rsidRPr="00C05D6B">
        <w:rPr>
          <w:rFonts w:ascii="Garamond" w:hAnsi="Garamond"/>
        </w:rPr>
        <w:instrText xml:space="preserve"> TA \l "</w:instrText>
      </w:r>
      <w:r w:rsidR="00887802" w:rsidRPr="00C05D6B">
        <w:rPr>
          <w:rFonts w:ascii="Garamond" w:hAnsi="Garamond" w:cs="Times New Roman"/>
        </w:rPr>
        <w:instrText>Andrew v. White</w:instrText>
      </w:r>
      <w:r w:rsidR="00887802" w:rsidRPr="00C05D6B">
        <w:rPr>
          <w:rFonts w:ascii="Garamond" w:hAnsi="Garamond"/>
        </w:rPr>
        <w:instrText xml:space="preserve">" \s "Andrew v. White" \c 1 </w:instrText>
      </w:r>
      <w:r w:rsidR="00887802" w:rsidRPr="00C05D6B">
        <w:rPr>
          <w:rFonts w:ascii="Garamond" w:hAnsi="Garamond"/>
        </w:rPr>
        <w:fldChar w:fldCharType="end"/>
      </w:r>
      <w:r w:rsidRPr="00C05D6B">
        <w:rPr>
          <w:rFonts w:ascii="Garamond" w:hAnsi="Garamond"/>
        </w:rPr>
        <w:t xml:space="preserve">Andrew v. White (2025) (reversing denial of habeas relief where appellate court erroneously assumed that the Court had not “established a general rule that the erroneous admission of prejudicial evidence could violate due process”; prosecutors seeking to establish that defendant participated in conspiracy to murder ex-husband with new partner “elicited testimony about </w:t>
      </w:r>
      <w:r w:rsidRPr="00C05D6B">
        <w:rPr>
          <w:rFonts w:ascii="Garamond" w:hAnsi="Garamond"/>
        </w:rPr>
        <w:lastRenderedPageBreak/>
        <w:t>Andrew’s sexual partners reaching back two decades</w:t>
      </w:r>
      <w:r w:rsidR="00F47A07" w:rsidRPr="00C05D6B">
        <w:rPr>
          <w:rFonts w:ascii="Garamond" w:hAnsi="Garamond"/>
        </w:rPr>
        <w:t xml:space="preserve"> . . . </w:t>
      </w:r>
      <w:r w:rsidRPr="00C05D6B">
        <w:rPr>
          <w:rFonts w:ascii="Garamond" w:hAnsi="Garamond"/>
        </w:rPr>
        <w:t>outfits</w:t>
      </w:r>
      <w:r w:rsidR="00F47A07" w:rsidRPr="00C05D6B">
        <w:rPr>
          <w:rFonts w:ascii="Garamond" w:hAnsi="Garamond"/>
        </w:rPr>
        <w:t xml:space="preserve"> . . . </w:t>
      </w:r>
      <w:r w:rsidRPr="00C05D6B">
        <w:rPr>
          <w:rFonts w:ascii="Garamond" w:hAnsi="Garamond"/>
        </w:rPr>
        <w:t xml:space="preserve">underwear </w:t>
      </w:r>
      <w:r w:rsidR="00F47A07" w:rsidRPr="00C05D6B">
        <w:rPr>
          <w:rFonts w:ascii="Garamond" w:hAnsi="Garamond"/>
        </w:rPr>
        <w:t xml:space="preserve">. . . </w:t>
      </w:r>
      <w:r w:rsidRPr="00C05D6B">
        <w:rPr>
          <w:rFonts w:ascii="Garamond" w:hAnsi="Garamond"/>
        </w:rPr>
        <w:t>how often she had sex in her car</w:t>
      </w:r>
      <w:r w:rsidR="00F47A07" w:rsidRPr="00C05D6B">
        <w:rPr>
          <w:rFonts w:ascii="Garamond" w:hAnsi="Garamond"/>
        </w:rPr>
        <w:t xml:space="preserve"> . . . </w:t>
      </w:r>
      <w:r w:rsidRPr="00C05D6B">
        <w:rPr>
          <w:rFonts w:ascii="Garamond" w:hAnsi="Garamond"/>
        </w:rPr>
        <w:t xml:space="preserve">whether a good mother would dress or behave the way Andrew had” and compared to her ex-husband who “had been committed to God”;  circuit court erroneously disregarded </w:t>
      </w:r>
      <w:r w:rsidR="00887802" w:rsidRPr="00C05D6B">
        <w:rPr>
          <w:rFonts w:ascii="Garamond" w:hAnsi="Garamond"/>
        </w:rPr>
        <w:fldChar w:fldCharType="begin"/>
      </w:r>
      <w:r w:rsidR="00887802" w:rsidRPr="00C05D6B">
        <w:rPr>
          <w:rFonts w:ascii="Garamond" w:hAnsi="Garamond"/>
        </w:rPr>
        <w:instrText xml:space="preserve"> TA \l "</w:instrText>
      </w:r>
      <w:r w:rsidR="00887802" w:rsidRPr="00C05D6B">
        <w:rPr>
          <w:rFonts w:ascii="Garamond" w:hAnsi="Garamond" w:cs="Times New Roman"/>
        </w:rPr>
        <w:instrText>Payne v. Tennessee</w:instrText>
      </w:r>
      <w:r w:rsidR="00887802" w:rsidRPr="00C05D6B">
        <w:rPr>
          <w:rFonts w:ascii="Garamond" w:hAnsi="Garamond"/>
        </w:rPr>
        <w:instrText xml:space="preserve">" \s "Payne v. Tennessee" \c 1 </w:instrText>
      </w:r>
      <w:r w:rsidR="00887802" w:rsidRPr="00C05D6B">
        <w:rPr>
          <w:rFonts w:ascii="Garamond" w:hAnsi="Garamond"/>
        </w:rPr>
        <w:fldChar w:fldCharType="end"/>
      </w:r>
      <w:r w:rsidRPr="00C05D6B">
        <w:rPr>
          <w:rFonts w:ascii="Garamond" w:hAnsi="Garamond"/>
        </w:rPr>
        <w:t>Payne v. Tennessee (1991) as “a pronouncement, not a holding” and failed to clearly establish the law regarding admission of prejudicial evidence; Payne lifted per se ban on victim impact statements and noted Due Process Clause protection against “unduly prejudicial” evidence that renders a trial fundamentally unfair).</w:t>
      </w:r>
    </w:p>
    <w:p w14:paraId="44C88F82" w14:textId="68DE5058" w:rsidR="00F0462B" w:rsidRPr="00C05D6B" w:rsidRDefault="00F0462B" w:rsidP="003125BF">
      <w:pPr>
        <w:rPr>
          <w:rFonts w:ascii="Garamond" w:hAnsi="Garamond" w:cs="Times New Roman"/>
          <w:b/>
          <w:bCs/>
        </w:rPr>
      </w:pPr>
      <w:r w:rsidRPr="00C05D6B">
        <w:rPr>
          <w:rFonts w:ascii="Garamond" w:hAnsi="Garamond"/>
        </w:rPr>
        <w:t xml:space="preserve">  </w:t>
      </w:r>
    </w:p>
    <w:p w14:paraId="4B6EF344" w14:textId="02D32DA3" w:rsidR="009B1076" w:rsidRPr="00C05D6B" w:rsidRDefault="007B75DE" w:rsidP="009B1076">
      <w:pPr>
        <w:rPr>
          <w:rFonts w:ascii="Garamond" w:hAnsi="Garamond" w:cs="Times New Roman"/>
          <w:b/>
          <w:bCs/>
        </w:rPr>
      </w:pPr>
      <w:r w:rsidRPr="00C05D6B">
        <w:rPr>
          <w:rFonts w:ascii="Garamond" w:hAnsi="Garamond" w:cs="Times New Roman"/>
          <w:b/>
          <w:bCs/>
        </w:rPr>
        <w:t>(CB</w:t>
      </w:r>
      <w:r w:rsidR="009B1076" w:rsidRPr="00C05D6B">
        <w:rPr>
          <w:rFonts w:ascii="Garamond" w:hAnsi="Garamond" w:cs="Times New Roman"/>
          <w:b/>
          <w:bCs/>
        </w:rPr>
        <w:t xml:space="preserve"> p. 1132, above section (</w:t>
      </w:r>
      <w:proofErr w:type="spellStart"/>
      <w:r w:rsidR="009B1076" w:rsidRPr="00C05D6B">
        <w:rPr>
          <w:rFonts w:ascii="Garamond" w:hAnsi="Garamond" w:cs="Times New Roman"/>
          <w:b/>
          <w:bCs/>
        </w:rPr>
        <w:t>i</w:t>
      </w:r>
      <w:proofErr w:type="spellEnd"/>
      <w:r w:rsidRPr="00C05D6B">
        <w:rPr>
          <w:rFonts w:ascii="Garamond" w:hAnsi="Garamond" w:cs="Times New Roman"/>
          <w:b/>
          <w:bCs/>
        </w:rPr>
        <w:t>))</w:t>
      </w:r>
    </w:p>
    <w:p w14:paraId="2881C19D" w14:textId="77777777" w:rsidR="009B1076" w:rsidRPr="00C05D6B" w:rsidRDefault="009B1076" w:rsidP="009B1076">
      <w:pPr>
        <w:rPr>
          <w:rFonts w:ascii="Garamond" w:hAnsi="Garamond" w:cstheme="majorBidi"/>
        </w:rPr>
      </w:pPr>
    </w:p>
    <w:p w14:paraId="7A77580F" w14:textId="0E20120A" w:rsidR="009B1076" w:rsidRPr="00C05D6B" w:rsidRDefault="009B1076" w:rsidP="009B1076">
      <w:pPr>
        <w:ind w:firstLine="720"/>
        <w:rPr>
          <w:rFonts w:ascii="Garamond" w:hAnsi="Garamond" w:cs="Times New Roman"/>
        </w:rPr>
      </w:pPr>
      <w:r w:rsidRPr="00C05D6B">
        <w:rPr>
          <w:rFonts w:ascii="Garamond" w:hAnsi="Garamond" w:cs="Times New Roman"/>
        </w:rPr>
        <w:t>In Andrew v. White</w:t>
      </w:r>
      <w:r w:rsidR="00887802" w:rsidRPr="00C05D6B">
        <w:rPr>
          <w:rFonts w:ascii="Garamond" w:hAnsi="Garamond" w:cs="Times New Roman"/>
        </w:rPr>
        <w:fldChar w:fldCharType="begin"/>
      </w:r>
      <w:r w:rsidR="00887802" w:rsidRPr="00C05D6B">
        <w:rPr>
          <w:rFonts w:ascii="Garamond" w:hAnsi="Garamond"/>
        </w:rPr>
        <w:instrText xml:space="preserve"> TA \s "Andrew v. White" </w:instrText>
      </w:r>
      <w:r w:rsidR="00887802" w:rsidRPr="00C05D6B">
        <w:rPr>
          <w:rFonts w:ascii="Garamond" w:hAnsi="Garamond" w:cs="Times New Roman"/>
        </w:rPr>
        <w:fldChar w:fldCharType="end"/>
      </w:r>
      <w:r w:rsidRPr="00C05D6B">
        <w:rPr>
          <w:rFonts w:ascii="Garamond" w:hAnsi="Garamond" w:cs="Times New Roman"/>
        </w:rPr>
        <w:t xml:space="preserve"> (2025) the Court considered whether the “general rule that the erroneous admission of prejudicial evidence could violate due process” was clearly established for purposes of a federal habeas petition challenging a state court capital murder conviction where the prosecution repeatedly introduced irrelevant evidence regarding the attire and sex life of a female defendant accused of killing her husband. The defendant argued that the legal standard was clearly established, pointing to Payne v. Tennessee</w:t>
      </w:r>
      <w:r w:rsidR="00887802" w:rsidRPr="00C05D6B">
        <w:rPr>
          <w:rFonts w:ascii="Garamond" w:hAnsi="Garamond" w:cs="Times New Roman"/>
        </w:rPr>
        <w:fldChar w:fldCharType="begin"/>
      </w:r>
      <w:r w:rsidR="00887802" w:rsidRPr="00C05D6B">
        <w:rPr>
          <w:rFonts w:ascii="Garamond" w:hAnsi="Garamond"/>
        </w:rPr>
        <w:instrText xml:space="preserve"> TA \s "Payne v. Tennessee" </w:instrText>
      </w:r>
      <w:r w:rsidR="00887802" w:rsidRPr="00C05D6B">
        <w:rPr>
          <w:rFonts w:ascii="Garamond" w:hAnsi="Garamond" w:cs="Times New Roman"/>
        </w:rPr>
        <w:fldChar w:fldCharType="end"/>
      </w:r>
      <w:r w:rsidR="00B35186" w:rsidRPr="00C05D6B">
        <w:rPr>
          <w:rFonts w:ascii="Garamond" w:hAnsi="Garamond" w:cs="Times New Roman"/>
        </w:rPr>
        <w:t xml:space="preserve"> </w:t>
      </w:r>
      <w:r w:rsidRPr="00C05D6B">
        <w:rPr>
          <w:rFonts w:ascii="Garamond" w:hAnsi="Garamond" w:cs="Times New Roman"/>
        </w:rPr>
        <w:t xml:space="preserve">(1991), which overturned a per se bar on victim impact statements under the Eighth Amendment on the ground that due process provides adequate protection against the admission of prejudicial evidence. The Tenth Circuit, however, held that Payne’s due process analysis was merely a “pronouncement,” not a “holding.”  </w:t>
      </w:r>
    </w:p>
    <w:p w14:paraId="10BBACC8" w14:textId="77777777" w:rsidR="009B1076" w:rsidRPr="00C05D6B" w:rsidRDefault="009B1076" w:rsidP="009B1076">
      <w:pPr>
        <w:ind w:firstLine="720"/>
        <w:rPr>
          <w:rFonts w:ascii="Garamond" w:hAnsi="Garamond" w:cs="Times New Roman"/>
        </w:rPr>
      </w:pPr>
    </w:p>
    <w:p w14:paraId="4F7A27EA" w14:textId="7CD108D8" w:rsidR="009B1076" w:rsidRPr="00C05D6B" w:rsidRDefault="009B1076" w:rsidP="009B1076">
      <w:pPr>
        <w:ind w:firstLine="720"/>
        <w:rPr>
          <w:rFonts w:ascii="Garamond" w:hAnsi="Garamond" w:cs="Times New Roman"/>
        </w:rPr>
      </w:pPr>
      <w:r w:rsidRPr="00C05D6B">
        <w:rPr>
          <w:rFonts w:ascii="Garamond" w:hAnsi="Garamond" w:cs="Times New Roman"/>
        </w:rPr>
        <w:t>The Supreme Court reversed, emphasizing that Payne’s due process analysis rested on a line of cases in which the Court had repeatedly held “that prosecutor’s prejudicial or misleading statements violate due process if they render a trial or capital sentencing fundamentally unfair.” Not all irrelevant statements introduced at trial are prejudicial enough to violate due process, as the Court held in Estelle v. McGuire</w:t>
      </w:r>
      <w:r w:rsidR="0046680A" w:rsidRPr="00C05D6B">
        <w:rPr>
          <w:rFonts w:ascii="Garamond" w:hAnsi="Garamond" w:cs="Times New Roman"/>
        </w:rPr>
        <w:fldChar w:fldCharType="begin"/>
      </w:r>
      <w:r w:rsidR="0046680A" w:rsidRPr="00C05D6B">
        <w:rPr>
          <w:rFonts w:ascii="Garamond" w:hAnsi="Garamond"/>
        </w:rPr>
        <w:instrText xml:space="preserve"> TA \l "</w:instrText>
      </w:r>
      <w:r w:rsidR="0046680A" w:rsidRPr="00C05D6B">
        <w:rPr>
          <w:rFonts w:ascii="Garamond" w:hAnsi="Garamond" w:cs="Times New Roman"/>
        </w:rPr>
        <w:instrText>Estelle v. McGuire</w:instrText>
      </w:r>
      <w:r w:rsidR="0046680A" w:rsidRPr="00C05D6B">
        <w:rPr>
          <w:rFonts w:ascii="Garamond" w:hAnsi="Garamond"/>
        </w:rPr>
        <w:instrText xml:space="preserve">" \s "Estelle v. McGuire" \c 1 </w:instrText>
      </w:r>
      <w:r w:rsidR="0046680A" w:rsidRPr="00C05D6B">
        <w:rPr>
          <w:rFonts w:ascii="Garamond" w:hAnsi="Garamond" w:cs="Times New Roman"/>
        </w:rPr>
        <w:fldChar w:fldCharType="end"/>
      </w:r>
      <w:r w:rsidRPr="00C05D6B">
        <w:rPr>
          <w:rFonts w:ascii="Garamond" w:hAnsi="Garamond" w:cs="Times New Roman"/>
        </w:rPr>
        <w:t xml:space="preserve"> (1991), but Estelle did not render either Payne or the earlier cases on which it relied unclear and in subsequent cases the Court has repeatedly relied on Payne’s due process standard, including Romano v. Oklahoma</w:t>
      </w:r>
      <w:r w:rsidR="0046680A" w:rsidRPr="00C05D6B">
        <w:rPr>
          <w:rFonts w:ascii="Garamond" w:hAnsi="Garamond" w:cs="Times New Roman"/>
        </w:rPr>
        <w:fldChar w:fldCharType="begin"/>
      </w:r>
      <w:r w:rsidR="0046680A" w:rsidRPr="00C05D6B">
        <w:rPr>
          <w:rFonts w:ascii="Garamond" w:hAnsi="Garamond"/>
        </w:rPr>
        <w:instrText xml:space="preserve"> TA \l "</w:instrText>
      </w:r>
      <w:r w:rsidR="0046680A" w:rsidRPr="00C05D6B">
        <w:rPr>
          <w:rFonts w:ascii="Garamond" w:hAnsi="Garamond" w:cs="Times New Roman"/>
        </w:rPr>
        <w:instrText>Romano v. Oklahoma</w:instrText>
      </w:r>
      <w:r w:rsidR="0046680A" w:rsidRPr="00C05D6B">
        <w:rPr>
          <w:rFonts w:ascii="Garamond" w:hAnsi="Garamond"/>
        </w:rPr>
        <w:instrText xml:space="preserve">" \s "Romano v. Oklahoma" \c 1 </w:instrText>
      </w:r>
      <w:r w:rsidR="0046680A" w:rsidRPr="00C05D6B">
        <w:rPr>
          <w:rFonts w:ascii="Garamond" w:hAnsi="Garamond" w:cs="Times New Roman"/>
        </w:rPr>
        <w:fldChar w:fldCharType="end"/>
      </w:r>
      <w:r w:rsidRPr="00C05D6B">
        <w:rPr>
          <w:rFonts w:ascii="Garamond" w:hAnsi="Garamond" w:cs="Times New Roman"/>
        </w:rPr>
        <w:t xml:space="preserve"> (1994) and Kansas v. </w:t>
      </w:r>
      <w:proofErr w:type="spellStart"/>
      <w:r w:rsidRPr="00C05D6B">
        <w:rPr>
          <w:rFonts w:ascii="Garamond" w:hAnsi="Garamond" w:cs="Times New Roman"/>
        </w:rPr>
        <w:t>Carr</w:t>
      </w:r>
      <w:proofErr w:type="spellEnd"/>
      <w:r w:rsidR="0046680A" w:rsidRPr="00C05D6B">
        <w:rPr>
          <w:rFonts w:ascii="Garamond" w:hAnsi="Garamond" w:cs="Times New Roman"/>
        </w:rPr>
        <w:fldChar w:fldCharType="begin"/>
      </w:r>
      <w:r w:rsidR="0046680A" w:rsidRPr="00C05D6B">
        <w:rPr>
          <w:rFonts w:ascii="Garamond" w:hAnsi="Garamond"/>
        </w:rPr>
        <w:instrText xml:space="preserve"> TA \l "</w:instrText>
      </w:r>
      <w:r w:rsidR="0046680A" w:rsidRPr="00C05D6B">
        <w:rPr>
          <w:rFonts w:ascii="Garamond" w:hAnsi="Garamond" w:cs="Times New Roman"/>
        </w:rPr>
        <w:instrText>Kansas v. Carr</w:instrText>
      </w:r>
      <w:r w:rsidR="0046680A" w:rsidRPr="00C05D6B">
        <w:rPr>
          <w:rFonts w:ascii="Garamond" w:hAnsi="Garamond"/>
        </w:rPr>
        <w:instrText xml:space="preserve">" \s "Kansas v. Carr" \c 1 </w:instrText>
      </w:r>
      <w:r w:rsidR="0046680A" w:rsidRPr="00C05D6B">
        <w:rPr>
          <w:rFonts w:ascii="Garamond" w:hAnsi="Garamond" w:cs="Times New Roman"/>
        </w:rPr>
        <w:fldChar w:fldCharType="end"/>
      </w:r>
      <w:r w:rsidRPr="00C05D6B">
        <w:rPr>
          <w:rFonts w:ascii="Garamond" w:hAnsi="Garamond" w:cs="Times New Roman"/>
        </w:rPr>
        <w:t xml:space="preserve"> (2016). As the Court concluded “general legal principles can constitute clearly established law for purposes of AEDPA so long as they are holdings of this Court” and it was a mistake for the Tenth Circuit to “limit Payne to it facts.” The reason is that some principles “are fundamental enough that when new factual permutations arise, the necessity to apply the earlier rule will be beyond doubt.” The majority supported this proposition by reference to a qualified immunity exception recognized in Taylor v. Riojas</w:t>
      </w:r>
      <w:r w:rsidR="0046680A" w:rsidRPr="00C05D6B">
        <w:rPr>
          <w:rFonts w:ascii="Garamond" w:hAnsi="Garamond" w:cs="Times New Roman"/>
        </w:rPr>
        <w:fldChar w:fldCharType="begin"/>
      </w:r>
      <w:r w:rsidR="0046680A" w:rsidRPr="00C05D6B">
        <w:rPr>
          <w:rFonts w:ascii="Garamond" w:hAnsi="Garamond"/>
        </w:rPr>
        <w:instrText xml:space="preserve"> TA \l "</w:instrText>
      </w:r>
      <w:r w:rsidR="0046680A" w:rsidRPr="00C05D6B">
        <w:rPr>
          <w:rFonts w:ascii="Garamond" w:hAnsi="Garamond" w:cs="Times New Roman"/>
        </w:rPr>
        <w:instrText>Taylor v. Riojas</w:instrText>
      </w:r>
      <w:r w:rsidR="0046680A" w:rsidRPr="00C05D6B">
        <w:rPr>
          <w:rFonts w:ascii="Garamond" w:hAnsi="Garamond"/>
        </w:rPr>
        <w:instrText xml:space="preserve">" \s "Taylor v. Riojas" \c 1 </w:instrText>
      </w:r>
      <w:r w:rsidR="0046680A" w:rsidRPr="00C05D6B">
        <w:rPr>
          <w:rFonts w:ascii="Garamond" w:hAnsi="Garamond" w:cs="Times New Roman"/>
        </w:rPr>
        <w:fldChar w:fldCharType="end"/>
      </w:r>
      <w:r w:rsidRPr="00C05D6B">
        <w:rPr>
          <w:rFonts w:ascii="Garamond" w:hAnsi="Garamond" w:cs="Times New Roman"/>
        </w:rPr>
        <w:t xml:space="preserve"> (2020) and Hope v. Pelzer</w:t>
      </w:r>
      <w:r w:rsidR="0046680A" w:rsidRPr="00C05D6B">
        <w:rPr>
          <w:rFonts w:ascii="Garamond" w:hAnsi="Garamond" w:cs="Times New Roman"/>
        </w:rPr>
        <w:fldChar w:fldCharType="begin"/>
      </w:r>
      <w:r w:rsidR="0046680A" w:rsidRPr="00C05D6B">
        <w:rPr>
          <w:rFonts w:ascii="Garamond" w:hAnsi="Garamond"/>
        </w:rPr>
        <w:instrText xml:space="preserve"> TA \l "</w:instrText>
      </w:r>
      <w:r w:rsidR="0046680A" w:rsidRPr="00C05D6B">
        <w:rPr>
          <w:rFonts w:ascii="Garamond" w:hAnsi="Garamond" w:cs="Times New Roman"/>
        </w:rPr>
        <w:instrText>Hope v. Pelzer</w:instrText>
      </w:r>
      <w:r w:rsidR="0046680A" w:rsidRPr="00C05D6B">
        <w:rPr>
          <w:rFonts w:ascii="Garamond" w:hAnsi="Garamond"/>
        </w:rPr>
        <w:instrText xml:space="preserve">" \s "Hope v. Pelzer" \c 1 </w:instrText>
      </w:r>
      <w:r w:rsidR="0046680A" w:rsidRPr="00C05D6B">
        <w:rPr>
          <w:rFonts w:ascii="Garamond" w:hAnsi="Garamond" w:cs="Times New Roman"/>
        </w:rPr>
        <w:fldChar w:fldCharType="end"/>
      </w:r>
      <w:r w:rsidRPr="00C05D6B">
        <w:rPr>
          <w:rFonts w:ascii="Garamond" w:hAnsi="Garamond" w:cs="Times New Roman"/>
        </w:rPr>
        <w:t xml:space="preserve"> (2002), for law that applies “with obvious clarity to the specific conduct in question.”</w:t>
      </w:r>
    </w:p>
    <w:p w14:paraId="5367FDEC" w14:textId="77777777" w:rsidR="009B1076" w:rsidRPr="00C05D6B" w:rsidRDefault="009B1076" w:rsidP="009B1076">
      <w:pPr>
        <w:ind w:firstLine="720"/>
        <w:rPr>
          <w:rFonts w:ascii="Garamond" w:hAnsi="Garamond" w:cs="Times New Roman"/>
        </w:rPr>
      </w:pPr>
    </w:p>
    <w:p w14:paraId="1C5A2E93" w14:textId="1C66900A" w:rsidR="009B1076" w:rsidRPr="00C05D6B" w:rsidRDefault="009B1076" w:rsidP="009B1076">
      <w:pPr>
        <w:rPr>
          <w:rFonts w:ascii="Garamond" w:hAnsi="Garamond" w:cs="Times New Roman"/>
        </w:rPr>
      </w:pPr>
      <w:r w:rsidRPr="00C05D6B">
        <w:rPr>
          <w:rFonts w:ascii="Garamond" w:hAnsi="Garamond" w:cs="Times New Roman"/>
        </w:rPr>
        <w:tab/>
        <w:t>Justice</w:t>
      </w:r>
      <w:r w:rsidR="00402005" w:rsidRPr="00C05D6B">
        <w:rPr>
          <w:rFonts w:ascii="Garamond" w:hAnsi="Garamond" w:cs="Times New Roman"/>
        </w:rPr>
        <w:t>s</w:t>
      </w:r>
      <w:r w:rsidRPr="00C05D6B">
        <w:rPr>
          <w:rFonts w:ascii="Garamond" w:hAnsi="Garamond" w:cs="Times New Roman"/>
        </w:rPr>
        <w:t xml:space="preserve"> Thomas and Gorsuch dissented on the ground that the Court had declared clearly established law “the broadest possible interpretation of a one-sentence aside in </w:t>
      </w:r>
      <w:r w:rsidRPr="00C05D6B">
        <w:rPr>
          <w:rFonts w:ascii="Garamond" w:hAnsi="Garamond" w:cs="Times New Roman"/>
          <w:i/>
          <w:iCs/>
        </w:rPr>
        <w:t>Payne</w:t>
      </w:r>
      <w:r w:rsidRPr="00C05D6B">
        <w:rPr>
          <w:rFonts w:ascii="Garamond" w:hAnsi="Garamond" w:cs="Times New Roman"/>
        </w:rPr>
        <w:t xml:space="preserve">,” and diminished Estelle. </w:t>
      </w:r>
    </w:p>
    <w:p w14:paraId="09270657" w14:textId="77777777" w:rsidR="009B1076" w:rsidRPr="00C05D6B" w:rsidRDefault="009B1076" w:rsidP="003125BF">
      <w:pPr>
        <w:rPr>
          <w:rFonts w:ascii="Garamond" w:hAnsi="Garamond" w:cs="Times New Roman"/>
        </w:rPr>
      </w:pPr>
    </w:p>
    <w:p w14:paraId="66063250" w14:textId="77777777" w:rsidR="00C26B66" w:rsidRPr="00C05D6B" w:rsidRDefault="00C26B66" w:rsidP="003125BF">
      <w:pPr>
        <w:rPr>
          <w:rFonts w:ascii="Garamond" w:hAnsi="Garamond" w:cs="Times New Roman"/>
        </w:rPr>
      </w:pPr>
    </w:p>
    <w:p w14:paraId="7852C248" w14:textId="77777777" w:rsidR="00002E08" w:rsidRPr="00C05D6B" w:rsidRDefault="00002E08">
      <w:pPr>
        <w:spacing w:after="160" w:line="278" w:lineRule="auto"/>
        <w:rPr>
          <w:rFonts w:ascii="Garamond" w:hAnsi="Garamond" w:cs="Times New Roman"/>
          <w:b/>
          <w:bCs/>
        </w:rPr>
      </w:pPr>
      <w:r w:rsidRPr="00C05D6B">
        <w:rPr>
          <w:rFonts w:ascii="Garamond" w:hAnsi="Garamond" w:cs="Times New Roman"/>
          <w:b/>
          <w:bCs/>
        </w:rPr>
        <w:br w:type="page"/>
      </w:r>
    </w:p>
    <w:p w14:paraId="4837AE77" w14:textId="5BB1221E" w:rsidR="00002E08" w:rsidRPr="00C05D6B" w:rsidRDefault="00002E08" w:rsidP="009F73D4">
      <w:pPr>
        <w:jc w:val="center"/>
        <w:rPr>
          <w:rFonts w:ascii="Garamond" w:hAnsi="Garamond" w:cs="Times New Roman"/>
          <w:b/>
          <w:bCs/>
        </w:rPr>
      </w:pPr>
      <w:r w:rsidRPr="00C05D6B">
        <w:rPr>
          <w:rFonts w:ascii="Garamond" w:hAnsi="Garamond" w:cs="Times New Roman"/>
          <w:b/>
          <w:bCs/>
        </w:rPr>
        <w:lastRenderedPageBreak/>
        <w:t>______________________________________________________________________________</w:t>
      </w:r>
    </w:p>
    <w:p w14:paraId="201C2AFE" w14:textId="77777777" w:rsidR="00926DEE" w:rsidRPr="00C05D6B" w:rsidRDefault="00926DEE" w:rsidP="00926DEE">
      <w:pPr>
        <w:jc w:val="center"/>
        <w:rPr>
          <w:rFonts w:ascii="Garamond" w:hAnsi="Garamond" w:cs="Times New Roman"/>
          <w:b/>
          <w:bCs/>
        </w:rPr>
      </w:pPr>
    </w:p>
    <w:p w14:paraId="73AA2897"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Chapter 9</w:t>
      </w:r>
    </w:p>
    <w:p w14:paraId="61E40C49" w14:textId="77777777" w:rsidR="00926DEE" w:rsidRPr="00C05D6B" w:rsidRDefault="00926DEE" w:rsidP="00926DEE">
      <w:pPr>
        <w:jc w:val="center"/>
        <w:rPr>
          <w:rFonts w:ascii="Garamond" w:hAnsi="Garamond" w:cs="Times New Roman"/>
          <w:b/>
          <w:bCs/>
          <w:i/>
          <w:iCs/>
          <w:sz w:val="40"/>
          <w:szCs w:val="40"/>
        </w:rPr>
      </w:pPr>
    </w:p>
    <w:p w14:paraId="04B827DC" w14:textId="77777777" w:rsidR="00926DEE" w:rsidRPr="00C05D6B" w:rsidRDefault="00926DEE" w:rsidP="00926DEE">
      <w:pPr>
        <w:jc w:val="center"/>
        <w:rPr>
          <w:rFonts w:ascii="Garamond" w:hAnsi="Garamond" w:cs="Times New Roman"/>
          <w:b/>
          <w:bCs/>
          <w:i/>
          <w:iCs/>
          <w:sz w:val="40"/>
          <w:szCs w:val="40"/>
        </w:rPr>
      </w:pPr>
      <w:r w:rsidRPr="00C05D6B">
        <w:rPr>
          <w:rFonts w:ascii="Garamond" w:hAnsi="Garamond" w:cs="Times New Roman"/>
          <w:b/>
          <w:bCs/>
          <w:i/>
          <w:iCs/>
          <w:sz w:val="40"/>
          <w:szCs w:val="40"/>
        </w:rPr>
        <w:t>Supreme Court Review</w:t>
      </w:r>
    </w:p>
    <w:p w14:paraId="2F306630" w14:textId="77777777" w:rsidR="00002E08" w:rsidRPr="00C05D6B" w:rsidRDefault="00002E08" w:rsidP="00002E08">
      <w:pPr>
        <w:jc w:val="center"/>
        <w:rPr>
          <w:rFonts w:ascii="Garamond" w:hAnsi="Garamond" w:cs="Times New Roman"/>
          <w:b/>
          <w:bCs/>
        </w:rPr>
      </w:pPr>
      <w:r w:rsidRPr="00C05D6B">
        <w:rPr>
          <w:rFonts w:ascii="Garamond" w:hAnsi="Garamond" w:cs="Times New Roman"/>
          <w:b/>
          <w:bCs/>
        </w:rPr>
        <w:t>______________________________________________________________________________</w:t>
      </w:r>
    </w:p>
    <w:p w14:paraId="25CEC330" w14:textId="77777777" w:rsidR="00F9074C" w:rsidRPr="00C05D6B" w:rsidRDefault="00F9074C" w:rsidP="003125BF">
      <w:pPr>
        <w:rPr>
          <w:rFonts w:ascii="Garamond" w:hAnsi="Garamond" w:cs="Times New Roman"/>
          <w:b/>
          <w:bCs/>
        </w:rPr>
      </w:pPr>
    </w:p>
    <w:p w14:paraId="3C9D577C" w14:textId="40AB8B7F" w:rsidR="00F9074C" w:rsidRPr="00C05D6B" w:rsidRDefault="00F9074C" w:rsidP="003125BF">
      <w:pPr>
        <w:rPr>
          <w:rFonts w:ascii="Garamond" w:hAnsi="Garamond" w:cs="Times New Roman"/>
          <w:b/>
          <w:bCs/>
          <w:i/>
          <w:iCs/>
        </w:rPr>
      </w:pPr>
      <w:r w:rsidRPr="00C05D6B">
        <w:rPr>
          <w:rFonts w:ascii="Garamond" w:hAnsi="Garamond" w:cs="Times New Roman"/>
          <w:b/>
          <w:bCs/>
          <w:i/>
          <w:iCs/>
        </w:rPr>
        <w:t>C.</w:t>
      </w:r>
      <w:r w:rsidRPr="00C05D6B">
        <w:rPr>
          <w:rFonts w:ascii="Garamond" w:hAnsi="Garamond" w:cs="Times New Roman"/>
          <w:b/>
          <w:bCs/>
          <w:i/>
          <w:iCs/>
        </w:rPr>
        <w:tab/>
        <w:t>Appellate Review of State Courts</w:t>
      </w:r>
    </w:p>
    <w:p w14:paraId="4FB34890" w14:textId="77777777" w:rsidR="00F9074C" w:rsidRPr="00C05D6B" w:rsidRDefault="00F9074C" w:rsidP="003125BF">
      <w:pPr>
        <w:rPr>
          <w:rFonts w:ascii="Garamond" w:hAnsi="Garamond" w:cs="Times New Roman"/>
          <w:b/>
          <w:bCs/>
          <w:i/>
          <w:iCs/>
        </w:rPr>
      </w:pPr>
    </w:p>
    <w:p w14:paraId="3E71BE33" w14:textId="59A5D657" w:rsidR="00F9074C" w:rsidRPr="00C05D6B" w:rsidRDefault="00F9074C" w:rsidP="00F9074C">
      <w:pPr>
        <w:rPr>
          <w:rFonts w:ascii="Garamond" w:hAnsi="Garamond" w:cs="Times New Roman"/>
          <w:b/>
          <w:bCs/>
        </w:rPr>
      </w:pPr>
      <w:r w:rsidRPr="00C05D6B">
        <w:rPr>
          <w:rFonts w:ascii="Garamond" w:hAnsi="Garamond" w:cs="Times New Roman"/>
          <w:b/>
          <w:bCs/>
        </w:rPr>
        <w:tab/>
        <w:t>3.</w:t>
      </w:r>
      <w:r w:rsidRPr="00C05D6B">
        <w:rPr>
          <w:rFonts w:ascii="Garamond" w:hAnsi="Garamond" w:cs="Times New Roman"/>
          <w:b/>
          <w:bCs/>
        </w:rPr>
        <w:tab/>
        <w:t>The Independent and Adequate State Ground Doctrine</w:t>
      </w:r>
    </w:p>
    <w:p w14:paraId="4BDCB0DF" w14:textId="77777777" w:rsidR="00F9074C" w:rsidRPr="00C05D6B" w:rsidRDefault="00F9074C" w:rsidP="00F9074C">
      <w:pPr>
        <w:rPr>
          <w:rFonts w:ascii="Garamond" w:hAnsi="Garamond" w:cs="Times New Roman"/>
          <w:b/>
          <w:bCs/>
        </w:rPr>
      </w:pPr>
    </w:p>
    <w:p w14:paraId="4CE93D4B" w14:textId="33BD22BA" w:rsidR="00F9074C" w:rsidRPr="00C05D6B" w:rsidRDefault="00F9074C" w:rsidP="003125BF">
      <w:pPr>
        <w:rPr>
          <w:rFonts w:ascii="Garamond" w:hAnsi="Garamond" w:cs="Times New Roman"/>
        </w:rPr>
      </w:pPr>
      <w:r w:rsidRPr="00C05D6B">
        <w:rPr>
          <w:rFonts w:ascii="Garamond" w:hAnsi="Garamond" w:cs="Times New Roman"/>
          <w:b/>
          <w:bCs/>
        </w:rPr>
        <w:tab/>
      </w:r>
      <w:r w:rsidRPr="00C05D6B">
        <w:rPr>
          <w:rFonts w:ascii="Garamond" w:hAnsi="Garamond" w:cs="Times New Roman"/>
          <w:b/>
          <w:bCs/>
        </w:rPr>
        <w:tab/>
        <w:t>c.</w:t>
      </w:r>
      <w:r w:rsidRPr="00C05D6B">
        <w:rPr>
          <w:rFonts w:ascii="Garamond" w:hAnsi="Garamond" w:cs="Times New Roman"/>
          <w:b/>
          <w:bCs/>
        </w:rPr>
        <w:tab/>
      </w:r>
      <w:r w:rsidR="003125BF" w:rsidRPr="00C05D6B">
        <w:rPr>
          <w:rFonts w:ascii="Garamond" w:hAnsi="Garamond" w:cs="Times New Roman"/>
          <w:b/>
          <w:bCs/>
        </w:rPr>
        <w:t>When is There an “Independent” and “Adequate” State Ground</w:t>
      </w:r>
      <w:r w:rsidRPr="00C05D6B">
        <w:rPr>
          <w:rFonts w:ascii="Garamond" w:hAnsi="Garamond" w:cs="Times New Roman"/>
          <w:b/>
          <w:bCs/>
        </w:rPr>
        <w:t>?</w:t>
      </w:r>
    </w:p>
    <w:p w14:paraId="2D254DE9" w14:textId="77777777" w:rsidR="002D42A8" w:rsidRPr="00C05D6B" w:rsidRDefault="002D42A8" w:rsidP="002D42A8">
      <w:pPr>
        <w:pStyle w:val="whitespace-normal"/>
        <w:rPr>
          <w:rFonts w:ascii="Garamond" w:hAnsi="Garamond"/>
          <w:b/>
          <w:bCs/>
        </w:rPr>
      </w:pPr>
      <w:r w:rsidRPr="00C05D6B">
        <w:rPr>
          <w:rFonts w:ascii="Garamond" w:hAnsi="Garamond"/>
          <w:b/>
          <w:bCs/>
        </w:rPr>
        <w:t>(CB p. 1213, after end of fifth full paragraph)</w:t>
      </w:r>
    </w:p>
    <w:p w14:paraId="0B2ABAF1" w14:textId="08CE5D51" w:rsidR="002D42A8" w:rsidRPr="00C05D6B" w:rsidRDefault="002D42A8" w:rsidP="002D42A8">
      <w:pPr>
        <w:pStyle w:val="whitespace-normal"/>
        <w:ind w:firstLine="720"/>
        <w:rPr>
          <w:rFonts w:ascii="Garamond" w:hAnsi="Garamond"/>
        </w:rPr>
      </w:pPr>
      <w:r w:rsidRPr="00C05D6B">
        <w:rPr>
          <w:rFonts w:ascii="Garamond" w:hAnsi="Garamond"/>
        </w:rPr>
        <w:t xml:space="preserve">The Court also confronted the meaning of “independence” in </w:t>
      </w:r>
      <w:r w:rsidRPr="00C05D6B">
        <w:rPr>
          <w:rStyle w:val="Strong"/>
          <w:rFonts w:ascii="Garamond" w:eastAsiaTheme="majorEastAsia" w:hAnsi="Garamond"/>
          <w:b w:val="0"/>
          <w:bCs w:val="0"/>
        </w:rPr>
        <w:t>Glossip v. Oklahoma</w:t>
      </w:r>
      <w:r w:rsidR="00681F71" w:rsidRPr="00C05D6B">
        <w:rPr>
          <w:rStyle w:val="Strong"/>
          <w:rFonts w:ascii="Garamond" w:eastAsiaTheme="majorEastAsia" w:hAnsi="Garamond"/>
          <w:b w:val="0"/>
          <w:bCs w:val="0"/>
        </w:rPr>
        <w:fldChar w:fldCharType="begin"/>
      </w:r>
      <w:r w:rsidR="00681F71" w:rsidRPr="00C05D6B">
        <w:rPr>
          <w:rFonts w:ascii="Garamond" w:hAnsi="Garamond"/>
        </w:rPr>
        <w:instrText xml:space="preserve"> TA \l "</w:instrText>
      </w:r>
      <w:r w:rsidR="00681F71" w:rsidRPr="00C05D6B">
        <w:rPr>
          <w:rStyle w:val="Strong"/>
          <w:rFonts w:ascii="Garamond" w:eastAsiaTheme="majorEastAsia" w:hAnsi="Garamond"/>
          <w:b w:val="0"/>
          <w:bCs w:val="0"/>
        </w:rPr>
        <w:instrText>Glossip v. Oklahoma</w:instrText>
      </w:r>
      <w:r w:rsidR="00681F71" w:rsidRPr="00C05D6B">
        <w:rPr>
          <w:rFonts w:ascii="Garamond" w:hAnsi="Garamond"/>
        </w:rPr>
        <w:instrText xml:space="preserve">" \s "Glossip v. Oklahoma" \c 1 </w:instrText>
      </w:r>
      <w:r w:rsidR="00681F71" w:rsidRPr="00C05D6B">
        <w:rPr>
          <w:rStyle w:val="Strong"/>
          <w:rFonts w:ascii="Garamond" w:eastAsiaTheme="majorEastAsia" w:hAnsi="Garamond"/>
          <w:b w:val="0"/>
          <w:bCs w:val="0"/>
        </w:rPr>
        <w:fldChar w:fldCharType="end"/>
      </w:r>
      <w:r w:rsidR="00A92A6F" w:rsidRPr="00C05D6B">
        <w:rPr>
          <w:rFonts w:ascii="Garamond" w:hAnsi="Garamond"/>
        </w:rPr>
        <w:t xml:space="preserve"> (</w:t>
      </w:r>
      <w:r w:rsidRPr="00C05D6B">
        <w:rPr>
          <w:rFonts w:ascii="Garamond" w:hAnsi="Garamond"/>
        </w:rPr>
        <w:t xml:space="preserve">2025). In that capital case, Oklahoma’s Attorney General conceded that the petitioner’s trial was undermined by a federal constitutional error—specifically, that prosecutors knowingly failed to correct false testimony in violation of </w:t>
      </w:r>
      <w:proofErr w:type="spellStart"/>
      <w:r w:rsidRPr="00C05D6B">
        <w:rPr>
          <w:rStyle w:val="Emphasis"/>
          <w:rFonts w:ascii="Garamond" w:eastAsiaTheme="majorEastAsia" w:hAnsi="Garamond"/>
          <w:i w:val="0"/>
          <w:iCs w:val="0"/>
        </w:rPr>
        <w:t>Napue</w:t>
      </w:r>
      <w:proofErr w:type="spellEnd"/>
      <w:r w:rsidRPr="00C05D6B">
        <w:rPr>
          <w:rStyle w:val="Emphasis"/>
          <w:rFonts w:ascii="Garamond" w:eastAsiaTheme="majorEastAsia" w:hAnsi="Garamond"/>
          <w:i w:val="0"/>
          <w:iCs w:val="0"/>
        </w:rPr>
        <w:t xml:space="preserve"> v. Illinois</w:t>
      </w:r>
      <w:r w:rsidR="00681F71" w:rsidRPr="00C05D6B">
        <w:rPr>
          <w:rStyle w:val="Emphasis"/>
          <w:rFonts w:ascii="Garamond" w:eastAsiaTheme="majorEastAsia" w:hAnsi="Garamond"/>
          <w:i w:val="0"/>
          <w:iCs w:val="0"/>
        </w:rPr>
        <w:fldChar w:fldCharType="begin"/>
      </w:r>
      <w:r w:rsidR="00681F71" w:rsidRPr="00C05D6B">
        <w:rPr>
          <w:rFonts w:ascii="Garamond" w:hAnsi="Garamond"/>
          <w:i/>
          <w:iCs/>
        </w:rPr>
        <w:instrText xml:space="preserve"> TA \l "</w:instrText>
      </w:r>
      <w:r w:rsidR="00681F71" w:rsidRPr="00C05D6B">
        <w:rPr>
          <w:rStyle w:val="Emphasis"/>
          <w:rFonts w:ascii="Garamond" w:eastAsiaTheme="majorEastAsia" w:hAnsi="Garamond"/>
          <w:i w:val="0"/>
          <w:iCs w:val="0"/>
        </w:rPr>
        <w:instrText>Napue v. Illinois</w:instrText>
      </w:r>
      <w:r w:rsidR="00681F71" w:rsidRPr="00C05D6B">
        <w:rPr>
          <w:rFonts w:ascii="Garamond" w:hAnsi="Garamond"/>
          <w:i/>
          <w:iCs/>
        </w:rPr>
        <w:instrText xml:space="preserve">" \s "Napue v. Illinois" \c 1 </w:instrText>
      </w:r>
      <w:r w:rsidR="00681F71" w:rsidRPr="00C05D6B">
        <w:rPr>
          <w:rStyle w:val="Emphasis"/>
          <w:rFonts w:ascii="Garamond" w:eastAsiaTheme="majorEastAsia" w:hAnsi="Garamond"/>
          <w:i w:val="0"/>
          <w:iCs w:val="0"/>
        </w:rPr>
        <w:fldChar w:fldCharType="end"/>
      </w:r>
      <w:r w:rsidR="00A92A6F" w:rsidRPr="00C05D6B">
        <w:rPr>
          <w:rFonts w:ascii="Garamond" w:hAnsi="Garamond"/>
        </w:rPr>
        <w:t xml:space="preserve"> </w:t>
      </w:r>
      <w:r w:rsidRPr="00C05D6B">
        <w:rPr>
          <w:rFonts w:ascii="Garamond" w:hAnsi="Garamond"/>
        </w:rPr>
        <w:t>(1959)—but the Oklahoma Court of Criminal Appeals denied relief on procedural grounds. The state court held that the attorney general's concession could not “overcome the limitations on successive post-conviction review” under the state's Post-Conviction Procedures Act because it was “not based in law or fact.”</w:t>
      </w:r>
    </w:p>
    <w:p w14:paraId="25085B1E" w14:textId="33D76E52" w:rsidR="002D42A8" w:rsidRPr="00C05D6B" w:rsidRDefault="002D42A8" w:rsidP="009B1076">
      <w:pPr>
        <w:pStyle w:val="whitespace-normal"/>
        <w:ind w:firstLine="720"/>
        <w:rPr>
          <w:rFonts w:ascii="Garamond" w:hAnsi="Garamond"/>
        </w:rPr>
      </w:pPr>
      <w:r w:rsidRPr="00C05D6B">
        <w:rPr>
          <w:rFonts w:ascii="Garamond" w:hAnsi="Garamond"/>
        </w:rPr>
        <w:t>The Supreme Court, per Justice Sotomayor, held that the adequate and independent state grounds doctrine did not prevent it from reviewing Richard Glossip</w:t>
      </w:r>
      <w:r w:rsidR="00DD16D0" w:rsidRPr="00C05D6B">
        <w:rPr>
          <w:rFonts w:ascii="Garamond" w:hAnsi="Garamond"/>
        </w:rPr>
        <w:t>’</w:t>
      </w:r>
      <w:r w:rsidRPr="00C05D6B">
        <w:rPr>
          <w:rFonts w:ascii="Garamond" w:hAnsi="Garamond"/>
        </w:rPr>
        <w:t xml:space="preserve">s constitutional claim. The Court explained that the state procedural ruling was not truly independent of federal law. In concluding that the attorney general’s confession of error was “not based in law or fact,” the state appellate court necessarily made an antecedent determination that no federal constitutional violation had occurred. As such, the state court’s application of its procedural bar depended on its assessment of the federal </w:t>
      </w:r>
      <w:proofErr w:type="spellStart"/>
      <w:r w:rsidRPr="00C05D6B">
        <w:rPr>
          <w:rStyle w:val="Emphasis"/>
          <w:rFonts w:ascii="Garamond" w:eastAsiaTheme="majorEastAsia" w:hAnsi="Garamond"/>
        </w:rPr>
        <w:t>Napue</w:t>
      </w:r>
      <w:proofErr w:type="spellEnd"/>
      <w:r w:rsidR="00733D63" w:rsidRPr="00C05D6B">
        <w:rPr>
          <w:rStyle w:val="Emphasis"/>
          <w:rFonts w:ascii="Garamond" w:eastAsiaTheme="majorEastAsia" w:hAnsi="Garamond"/>
        </w:rPr>
        <w:fldChar w:fldCharType="begin"/>
      </w:r>
      <w:r w:rsidR="00733D63" w:rsidRPr="00C05D6B">
        <w:rPr>
          <w:rFonts w:ascii="Garamond" w:hAnsi="Garamond"/>
        </w:rPr>
        <w:instrText xml:space="preserve"> TA \s "Napue v. Illinois" </w:instrText>
      </w:r>
      <w:r w:rsidR="00733D63" w:rsidRPr="00C05D6B">
        <w:rPr>
          <w:rStyle w:val="Emphasis"/>
          <w:rFonts w:ascii="Garamond" w:eastAsiaTheme="majorEastAsia" w:hAnsi="Garamond"/>
        </w:rPr>
        <w:fldChar w:fldCharType="end"/>
      </w:r>
      <w:r w:rsidRPr="00C05D6B">
        <w:rPr>
          <w:rFonts w:ascii="Garamond" w:hAnsi="Garamond"/>
        </w:rPr>
        <w:t xml:space="preserve"> question. The Court went on to find a </w:t>
      </w:r>
      <w:r w:rsidR="00733D63" w:rsidRPr="00C05D6B">
        <w:rPr>
          <w:rStyle w:val="Emphasis"/>
          <w:rFonts w:ascii="Garamond" w:eastAsiaTheme="majorEastAsia" w:hAnsi="Garamond"/>
        </w:rPr>
        <w:fldChar w:fldCharType="begin"/>
      </w:r>
      <w:r w:rsidR="00733D63" w:rsidRPr="00C05D6B">
        <w:rPr>
          <w:rFonts w:ascii="Garamond" w:hAnsi="Garamond"/>
        </w:rPr>
        <w:instrText xml:space="preserve"> TA \s "Napue v. Illinois" </w:instrText>
      </w:r>
      <w:r w:rsidR="00733D63" w:rsidRPr="00C05D6B">
        <w:rPr>
          <w:rStyle w:val="Emphasis"/>
          <w:rFonts w:ascii="Garamond" w:eastAsiaTheme="majorEastAsia" w:hAnsi="Garamond"/>
        </w:rPr>
        <w:fldChar w:fldCharType="end"/>
      </w:r>
      <w:proofErr w:type="spellStart"/>
      <w:r w:rsidRPr="00C05D6B">
        <w:rPr>
          <w:rStyle w:val="Emphasis"/>
          <w:rFonts w:ascii="Garamond" w:eastAsiaTheme="majorEastAsia" w:hAnsi="Garamond"/>
        </w:rPr>
        <w:t>Napue</w:t>
      </w:r>
      <w:proofErr w:type="spellEnd"/>
      <w:r w:rsidRPr="00C05D6B">
        <w:rPr>
          <w:rFonts w:ascii="Garamond" w:hAnsi="Garamond"/>
        </w:rPr>
        <w:t xml:space="preserve"> violation and ordered a new trial. Justice Thomas, joined by Justice Alito, dissented, arguing that the state court had clearly relied on state procedural requirements that were independent of any federal determination, and that the majority’s approach improperly allowed federal courts to override legitimate state procedural bars whenever state executives confess federal error.</w:t>
      </w:r>
    </w:p>
    <w:p w14:paraId="333E147F" w14:textId="0F5881D6" w:rsidR="00266441" w:rsidRPr="00C05D6B" w:rsidRDefault="00266441" w:rsidP="00266441">
      <w:pPr>
        <w:pStyle w:val="whitespace-normal"/>
        <w:rPr>
          <w:rFonts w:ascii="Garamond" w:hAnsi="Garamond"/>
        </w:rPr>
      </w:pPr>
      <w:r w:rsidRPr="00C05D6B">
        <w:rPr>
          <w:rFonts w:ascii="Garamond" w:hAnsi="Garamond"/>
        </w:rPr>
        <w:t>(CB, p. 1165, after top paragraph)</w:t>
      </w:r>
    </w:p>
    <w:p w14:paraId="58EA4FAF" w14:textId="468DF136" w:rsidR="00266441" w:rsidRPr="00C05D6B" w:rsidRDefault="00266441" w:rsidP="000B38A4">
      <w:pPr>
        <w:pStyle w:val="FootnoteText"/>
        <w:ind w:firstLine="720"/>
        <w:rPr>
          <w:rFonts w:ascii="Garamond" w:hAnsi="Garamond" w:cs="Times New Roman"/>
        </w:rPr>
      </w:pPr>
      <w:r w:rsidRPr="00C05D6B">
        <w:rPr>
          <w:rFonts w:ascii="Garamond" w:hAnsi="Garamond"/>
          <w:sz w:val="24"/>
          <w:szCs w:val="24"/>
        </w:rPr>
        <w:t xml:space="preserve">As the casebook explains, the </w:t>
      </w:r>
      <w:proofErr w:type="spellStart"/>
      <w:r w:rsidRPr="00C05D6B">
        <w:rPr>
          <w:rFonts w:ascii="Garamond" w:hAnsi="Garamond"/>
          <w:sz w:val="24"/>
          <w:szCs w:val="24"/>
        </w:rPr>
        <w:t>Rooker</w:t>
      </w:r>
      <w:proofErr w:type="spellEnd"/>
      <w:r w:rsidRPr="00C05D6B">
        <w:rPr>
          <w:rFonts w:ascii="Garamond" w:hAnsi="Garamond"/>
          <w:sz w:val="24"/>
          <w:szCs w:val="24"/>
        </w:rPr>
        <w:t xml:space="preserve">-Feldman doctrine provides that federal district courts cannot review state court decisions.  </w:t>
      </w:r>
      <w:r w:rsidRPr="00C05D6B">
        <w:rPr>
          <w:rFonts w:ascii="Garamond" w:hAnsi="Garamond" w:cs="Times New Roman"/>
          <w:sz w:val="24"/>
          <w:szCs w:val="24"/>
        </w:rPr>
        <w:t xml:space="preserve">In </w:t>
      </w:r>
      <w:r w:rsidRPr="00C05D6B">
        <w:rPr>
          <w:rFonts w:ascii="Garamond" w:hAnsi="Garamond" w:cs="Times New Roman"/>
          <w:i/>
          <w:iCs/>
          <w:sz w:val="24"/>
          <w:szCs w:val="24"/>
        </w:rPr>
        <w:t>T.M. v. Univ. of Md. Med. Sys. Corp.</w:t>
      </w:r>
      <w:r w:rsidR="00733D63" w:rsidRPr="00372F61">
        <w:rPr>
          <w:rFonts w:ascii="Garamond" w:hAnsi="Garamond" w:cs="Times New Roman"/>
          <w:sz w:val="24"/>
          <w:szCs w:val="24"/>
        </w:rPr>
        <w:fldChar w:fldCharType="begin"/>
      </w:r>
      <w:r w:rsidR="00733D63" w:rsidRPr="00372F61">
        <w:rPr>
          <w:rFonts w:ascii="Garamond" w:hAnsi="Garamond"/>
        </w:rPr>
        <w:instrText xml:space="preserve"> TA \l "</w:instrText>
      </w:r>
      <w:r w:rsidR="00733D63" w:rsidRPr="00372F61">
        <w:rPr>
          <w:rFonts w:ascii="Garamond" w:hAnsi="Garamond" w:cs="Times New Roman"/>
          <w:sz w:val="24"/>
          <w:szCs w:val="24"/>
        </w:rPr>
        <w:instrText>T.M. v. Univ. of Md. Med. Sys. Corp.</w:instrText>
      </w:r>
      <w:r w:rsidR="00733D63" w:rsidRPr="00372F61">
        <w:rPr>
          <w:rFonts w:ascii="Garamond" w:hAnsi="Garamond"/>
        </w:rPr>
        <w:instrText xml:space="preserve">" \s "T.M. v. Univ. of Md. Med. Sys. Corp." \c 1 </w:instrText>
      </w:r>
      <w:r w:rsidR="00733D63" w:rsidRPr="00372F61">
        <w:rPr>
          <w:rFonts w:ascii="Garamond" w:hAnsi="Garamond" w:cs="Times New Roman"/>
          <w:sz w:val="24"/>
          <w:szCs w:val="24"/>
        </w:rPr>
        <w:fldChar w:fldCharType="end"/>
      </w:r>
      <w:r w:rsidRPr="00C05D6B">
        <w:rPr>
          <w:rFonts w:ascii="Garamond" w:hAnsi="Garamond" w:cs="Times New Roman"/>
          <w:sz w:val="24"/>
          <w:szCs w:val="24"/>
        </w:rPr>
        <w:t xml:space="preserve">, 146 </w:t>
      </w:r>
      <w:proofErr w:type="spellStart"/>
      <w:r w:rsidRPr="00C05D6B">
        <w:rPr>
          <w:rFonts w:ascii="Garamond" w:hAnsi="Garamond" w:cs="Times New Roman"/>
          <w:sz w:val="24"/>
          <w:szCs w:val="24"/>
        </w:rPr>
        <w:t>S.Ct</w:t>
      </w:r>
      <w:proofErr w:type="spellEnd"/>
      <w:r w:rsidRPr="00C05D6B">
        <w:rPr>
          <w:rFonts w:ascii="Garamond" w:hAnsi="Garamond" w:cs="Times New Roman"/>
          <w:sz w:val="24"/>
          <w:szCs w:val="24"/>
        </w:rPr>
        <w:t xml:space="preserve">. 1739 (2026), the Supreme Court found that the </w:t>
      </w:r>
      <w:proofErr w:type="spellStart"/>
      <w:r w:rsidRPr="00C05D6B">
        <w:rPr>
          <w:rFonts w:ascii="Garamond" w:hAnsi="Garamond" w:cs="Times New Roman"/>
          <w:sz w:val="24"/>
          <w:szCs w:val="24"/>
        </w:rPr>
        <w:t>Rooker</w:t>
      </w:r>
      <w:proofErr w:type="spellEnd"/>
      <w:r w:rsidRPr="00C05D6B">
        <w:rPr>
          <w:rFonts w:ascii="Garamond" w:hAnsi="Garamond" w:cs="Times New Roman"/>
          <w:sz w:val="24"/>
          <w:szCs w:val="24"/>
        </w:rPr>
        <w:t>-Feldman doctrine applies even though the state appellate process was not completed.  T.M. was involuntarily committed to a Maryland medical facility and became subject to authorization for antipsychotic medication over her objection. She and her parents pursued several proceedings concerning her commitment, treatment, and release. The parties ultimately negotiated a state-court consent order requiring T.M.'s release subject to specified conditions and dismissal of pending matters.</w:t>
      </w:r>
    </w:p>
    <w:p w14:paraId="2FFFC8D0" w14:textId="77777777" w:rsidR="00266441" w:rsidRPr="00C05D6B" w:rsidRDefault="00266441" w:rsidP="000B38A4">
      <w:pPr>
        <w:pStyle w:val="Text"/>
        <w:spacing w:line="240" w:lineRule="auto"/>
        <w:ind w:firstLine="720"/>
        <w:jc w:val="left"/>
        <w:rPr>
          <w:rFonts w:ascii="Garamond" w:hAnsi="Garamond" w:cs="Times New Roman"/>
          <w:sz w:val="24"/>
          <w:szCs w:val="24"/>
        </w:rPr>
      </w:pPr>
      <w:r w:rsidRPr="00C05D6B">
        <w:rPr>
          <w:rFonts w:ascii="Garamond" w:hAnsi="Garamond" w:cs="Times New Roman"/>
          <w:sz w:val="24"/>
          <w:szCs w:val="24"/>
        </w:rPr>
        <w:lastRenderedPageBreak/>
        <w:t xml:space="preserve">After obtaining new counsel, T.M. and her parents filed a federal action seeking declarations that the consent order violated due process and was procured under duress, as well as an injunction against its enforcement. T.M. also pursued an appeal in the Maryland courts. The federal district court dismissed the case, </w:t>
      </w:r>
      <w:proofErr w:type="spellStart"/>
      <w:r w:rsidRPr="00C05D6B">
        <w:rPr>
          <w:rFonts w:ascii="Garamond" w:hAnsi="Garamond" w:cs="Times New Roman"/>
          <w:i/>
          <w:iCs/>
          <w:sz w:val="24"/>
          <w:szCs w:val="24"/>
        </w:rPr>
        <w:t>sua</w:t>
      </w:r>
      <w:proofErr w:type="spellEnd"/>
      <w:r w:rsidRPr="00C05D6B">
        <w:rPr>
          <w:rFonts w:ascii="Garamond" w:hAnsi="Garamond" w:cs="Times New Roman"/>
          <w:i/>
          <w:iCs/>
          <w:sz w:val="24"/>
          <w:szCs w:val="24"/>
        </w:rPr>
        <w:t xml:space="preserve"> sponte</w:t>
      </w:r>
      <w:r w:rsidRPr="00C05D6B">
        <w:rPr>
          <w:rFonts w:ascii="Garamond" w:hAnsi="Garamond" w:cs="Times New Roman"/>
          <w:sz w:val="24"/>
          <w:szCs w:val="24"/>
        </w:rPr>
        <w:t xml:space="preserve">, under the </w:t>
      </w:r>
      <w:proofErr w:type="spellStart"/>
      <w:r w:rsidRPr="00C05D6B">
        <w:rPr>
          <w:rFonts w:ascii="Garamond" w:hAnsi="Garamond" w:cs="Times New Roman"/>
          <w:sz w:val="24"/>
          <w:szCs w:val="24"/>
        </w:rPr>
        <w:t>Rooker</w:t>
      </w:r>
      <w:proofErr w:type="spellEnd"/>
      <w:r w:rsidRPr="00C05D6B">
        <w:rPr>
          <w:rFonts w:ascii="Garamond" w:hAnsi="Garamond" w:cs="Times New Roman"/>
          <w:sz w:val="24"/>
          <w:szCs w:val="24"/>
        </w:rPr>
        <w:t>-Feldman doctrine, and the Fourth Circuit affirmed.</w:t>
      </w:r>
    </w:p>
    <w:p w14:paraId="02C79E0C" w14:textId="716A4C79" w:rsidR="00266441" w:rsidRPr="00C05D6B" w:rsidRDefault="00266441" w:rsidP="000B38A4">
      <w:pPr>
        <w:pStyle w:val="Text"/>
        <w:spacing w:line="240" w:lineRule="auto"/>
        <w:ind w:firstLine="720"/>
        <w:jc w:val="left"/>
        <w:rPr>
          <w:rFonts w:ascii="Garamond" w:hAnsi="Garamond" w:cs="Times New Roman"/>
          <w:sz w:val="24"/>
          <w:szCs w:val="24"/>
          <w:shd w:val="clear" w:color="auto" w:fill="FAFAFA"/>
        </w:rPr>
      </w:pPr>
      <w:r w:rsidRPr="00C05D6B">
        <w:rPr>
          <w:rFonts w:ascii="Garamond" w:hAnsi="Garamond" w:cs="Times New Roman"/>
          <w:sz w:val="24"/>
          <w:szCs w:val="24"/>
        </w:rPr>
        <w:t>The Supreme Court, in a 5-4 decision</w:t>
      </w:r>
      <w:r w:rsidRPr="00C05D6B">
        <w:rPr>
          <w:rFonts w:ascii="Garamond" w:hAnsi="Garamond" w:cs="Times New Roman"/>
          <w:sz w:val="24"/>
          <w:szCs w:val="24"/>
          <w:shd w:val="clear" w:color="auto" w:fill="FFFFFF" w:themeFill="background1"/>
        </w:rPr>
        <w:t xml:space="preserve">, held that the </w:t>
      </w:r>
      <w:proofErr w:type="spellStart"/>
      <w:r w:rsidRPr="00C05D6B">
        <w:rPr>
          <w:rFonts w:ascii="Garamond" w:hAnsi="Garamond" w:cs="Times New Roman"/>
          <w:sz w:val="24"/>
          <w:szCs w:val="24"/>
          <w:shd w:val="clear" w:color="auto" w:fill="FFFFFF" w:themeFill="background1"/>
        </w:rPr>
        <w:t>Rooker</w:t>
      </w:r>
      <w:proofErr w:type="spellEnd"/>
      <w:r w:rsidRPr="00C05D6B">
        <w:rPr>
          <w:rFonts w:ascii="Garamond" w:hAnsi="Garamond" w:cs="Times New Roman"/>
          <w:sz w:val="24"/>
          <w:szCs w:val="24"/>
          <w:shd w:val="clear" w:color="auto" w:fill="FFFFFF" w:themeFill="background1"/>
        </w:rPr>
        <w:t xml:space="preserve">-Feldman doctrine applies regardless of whether the state court judgment remains subject to further review in state appellate proceedings.  It was an unusual split among the justices:  Justice Sonia Sotomayor wrote the opinion for the Court, which was joined by Justices Clarence Thomas, Samuel Alito, Brett Kavanaugh, and </w:t>
      </w:r>
      <w:proofErr w:type="spellStart"/>
      <w:r w:rsidRPr="00C05D6B">
        <w:rPr>
          <w:rFonts w:ascii="Garamond" w:hAnsi="Garamond" w:cs="Times New Roman"/>
          <w:sz w:val="24"/>
          <w:szCs w:val="24"/>
          <w:shd w:val="clear" w:color="auto" w:fill="FFFFFF" w:themeFill="background1"/>
        </w:rPr>
        <w:t>Ketanji</w:t>
      </w:r>
      <w:proofErr w:type="spellEnd"/>
      <w:r w:rsidRPr="00C05D6B">
        <w:rPr>
          <w:rFonts w:ascii="Garamond" w:hAnsi="Garamond" w:cs="Times New Roman"/>
          <w:sz w:val="24"/>
          <w:szCs w:val="24"/>
          <w:shd w:val="clear" w:color="auto" w:fill="FFFFFF" w:themeFill="background1"/>
        </w:rPr>
        <w:t xml:space="preserve"> Brown Jackson.  Justice Amy Coney Barrett wrote the dissent, which was joined by Chief Justice John Roberts and Justices Elena Kagan and Neil Gorsuch.  This was one of the rare instances in the term in which Chief Justice Roberts was in dissent.</w:t>
      </w:r>
    </w:p>
    <w:p w14:paraId="3F06D49A" w14:textId="3B6401F0" w:rsidR="00266441" w:rsidRPr="00C05D6B" w:rsidRDefault="00266441" w:rsidP="000B38A4">
      <w:pPr>
        <w:pStyle w:val="Text"/>
        <w:spacing w:line="240" w:lineRule="auto"/>
        <w:ind w:firstLine="720"/>
        <w:jc w:val="left"/>
        <w:rPr>
          <w:rFonts w:ascii="Garamond" w:hAnsi="Garamond" w:cs="Times New Roman"/>
          <w:color w:val="000000" w:themeColor="text1"/>
          <w:sz w:val="24"/>
          <w:szCs w:val="24"/>
        </w:rPr>
      </w:pPr>
      <w:r w:rsidRPr="00C05D6B">
        <w:rPr>
          <w:rFonts w:ascii="Garamond" w:hAnsi="Garamond" w:cs="Times New Roman"/>
          <w:sz w:val="24"/>
          <w:szCs w:val="24"/>
          <w:shd w:val="clear" w:color="auto" w:fill="FFFFFF" w:themeFill="background1"/>
        </w:rPr>
        <w:t xml:space="preserve">The Court found that this case was controlled by the </w:t>
      </w:r>
      <w:proofErr w:type="spellStart"/>
      <w:r w:rsidRPr="00C05D6B">
        <w:rPr>
          <w:rFonts w:ascii="Garamond" w:hAnsi="Garamond" w:cs="Times New Roman"/>
          <w:sz w:val="24"/>
          <w:szCs w:val="24"/>
          <w:shd w:val="clear" w:color="auto" w:fill="FFFFFF" w:themeFill="background1"/>
        </w:rPr>
        <w:t>Rooker</w:t>
      </w:r>
      <w:proofErr w:type="spellEnd"/>
      <w:r w:rsidRPr="00C05D6B">
        <w:rPr>
          <w:rFonts w:ascii="Garamond" w:hAnsi="Garamond" w:cs="Times New Roman"/>
          <w:sz w:val="24"/>
          <w:szCs w:val="24"/>
          <w:shd w:val="clear" w:color="auto" w:fill="FFFFFF" w:themeFill="background1"/>
        </w:rPr>
        <w:t>-Feldman doctrine because the plaintiff was seeking federal court review of the state court’s rulings.  Justice Sotomayor wrote:  “</w:t>
      </w:r>
      <w:r w:rsidRPr="00C05D6B">
        <w:rPr>
          <w:rFonts w:ascii="Garamond" w:hAnsi="Garamond" w:cs="Times New Roman"/>
          <w:sz w:val="24"/>
          <w:szCs w:val="24"/>
          <w:shd w:val="clear" w:color="auto" w:fill="FFFFFF"/>
        </w:rPr>
        <w:t>T. M.’s case falls within ‘the narrow ground occupied by </w:t>
      </w:r>
      <w:proofErr w:type="spellStart"/>
      <w:r w:rsidR="00B77300">
        <w:fldChar w:fldCharType="begin"/>
      </w:r>
      <w:r w:rsidR="00B77300">
        <w:instrText xml:space="preserve"> HYPERLINK "https://1.next.westlaw.com/Lin</w:instrText>
      </w:r>
      <w:r w:rsidR="00B77300">
        <w:instrText xml:space="preserve">k/Document/FullText?findType=Y&amp;serNum=1923120656&amp;originatingDoc=I253f136ab6f242ec9b8c6e40293979bd&amp;refType=RP&amp;originationContext=document&amp;transitionType=DocumentItem&amp;ppcid=06959f5b815e4308bde3158b44ef13bb&amp;contextData=(sc.Search)" </w:instrText>
      </w:r>
      <w:r w:rsidR="00B77300">
        <w:fldChar w:fldCharType="separate"/>
      </w:r>
      <w:r w:rsidRPr="00C05D6B">
        <w:rPr>
          <w:rStyle w:val="Emphasis"/>
          <w:rFonts w:ascii="Garamond" w:hAnsi="Garamond" w:cs="Times New Roman"/>
          <w:sz w:val="24"/>
          <w:szCs w:val="24"/>
          <w:bdr w:val="none" w:sz="0" w:space="0" w:color="auto" w:frame="1"/>
          <w:shd w:val="clear" w:color="auto" w:fill="FFFFFF"/>
        </w:rPr>
        <w:t>Rooker</w:t>
      </w:r>
      <w:proofErr w:type="spellEnd"/>
      <w:r w:rsidR="00B77300">
        <w:rPr>
          <w:rStyle w:val="Emphasis"/>
          <w:rFonts w:ascii="Garamond" w:hAnsi="Garamond" w:cs="Times New Roman"/>
          <w:sz w:val="24"/>
          <w:szCs w:val="24"/>
          <w:bdr w:val="none" w:sz="0" w:space="0" w:color="auto" w:frame="1"/>
          <w:shd w:val="clear" w:color="auto" w:fill="FFFFFF"/>
        </w:rPr>
        <w:fldChar w:fldCharType="end"/>
      </w:r>
      <w:r w:rsidRPr="00C05D6B">
        <w:rPr>
          <w:rStyle w:val="Emphasis"/>
          <w:rFonts w:ascii="Garamond" w:hAnsi="Garamond" w:cs="Times New Roman"/>
          <w:sz w:val="24"/>
          <w:szCs w:val="24"/>
          <w:bdr w:val="none" w:sz="0" w:space="0" w:color="auto" w:frame="1"/>
          <w:shd w:val="clear" w:color="auto" w:fill="FFFFFF"/>
        </w:rPr>
        <w:t>-</w:t>
      </w:r>
      <w:hyperlink r:id="rId39" w:history="1">
        <w:r w:rsidRPr="00C05D6B">
          <w:rPr>
            <w:rStyle w:val="Emphasis"/>
            <w:rFonts w:ascii="Garamond" w:hAnsi="Garamond" w:cs="Times New Roman"/>
            <w:sz w:val="24"/>
            <w:szCs w:val="24"/>
            <w:bdr w:val="none" w:sz="0" w:space="0" w:color="auto" w:frame="1"/>
            <w:shd w:val="clear" w:color="auto" w:fill="FFFFFF"/>
          </w:rPr>
          <w:t>Feldman</w:t>
        </w:r>
      </w:hyperlink>
      <w:r w:rsidRPr="00C05D6B">
        <w:rPr>
          <w:rFonts w:ascii="Garamond" w:hAnsi="Garamond" w:cs="Times New Roman"/>
          <w:sz w:val="24"/>
          <w:szCs w:val="24"/>
          <w:shd w:val="clear" w:color="auto" w:fill="FFFFFF"/>
        </w:rPr>
        <w:t>.’  T. M. is complaining of injuries caused by, and is seeking relief from, the state-court judgment itself, arguing that the consent order violates her federal and state due process rights and was entered into under duress. . . .  T. M. plainly seeks ‘review and rejection’ of the [state court] consent order by asking the District Court to ‘[d]</w:t>
      </w:r>
      <w:proofErr w:type="spellStart"/>
      <w:r w:rsidRPr="00C05D6B">
        <w:rPr>
          <w:rFonts w:ascii="Garamond" w:hAnsi="Garamond" w:cs="Times New Roman"/>
          <w:sz w:val="24"/>
          <w:szCs w:val="24"/>
          <w:shd w:val="clear" w:color="auto" w:fill="FFFFFF"/>
        </w:rPr>
        <w:t>eclare</w:t>
      </w:r>
      <w:proofErr w:type="spellEnd"/>
      <w:r w:rsidRPr="00C05D6B">
        <w:rPr>
          <w:rFonts w:ascii="Garamond" w:hAnsi="Garamond" w:cs="Times New Roman"/>
          <w:sz w:val="24"/>
          <w:szCs w:val="24"/>
          <w:shd w:val="clear" w:color="auto" w:fill="FFFFFF"/>
        </w:rPr>
        <w:t xml:space="preserve"> that the ‘Consent Order’  is ‘unconstitutional, unenforceable, and void </w:t>
      </w:r>
      <w:r w:rsidRPr="00C05D6B">
        <w:rPr>
          <w:rStyle w:val="Emphasis"/>
          <w:rFonts w:ascii="Garamond" w:hAnsi="Garamond" w:cs="Times New Roman"/>
          <w:sz w:val="24"/>
          <w:szCs w:val="24"/>
          <w:bdr w:val="none" w:sz="0" w:space="0" w:color="auto" w:frame="1"/>
          <w:shd w:val="clear" w:color="auto" w:fill="FFFFFF"/>
        </w:rPr>
        <w:t>ab initio</w:t>
      </w:r>
      <w:r w:rsidRPr="00C05D6B">
        <w:rPr>
          <w:rFonts w:ascii="Garamond" w:hAnsi="Garamond" w:cs="Times New Roman"/>
          <w:sz w:val="24"/>
          <w:szCs w:val="24"/>
          <w:shd w:val="clear" w:color="auto" w:fill="FFFFFF"/>
        </w:rPr>
        <w:t>’ and to enjoin ‘enforcement of the ‘Consent Order</w:t>
      </w:r>
      <w:r w:rsidRPr="00C05D6B">
        <w:rPr>
          <w:rFonts w:ascii="Garamond" w:hAnsi="Garamond" w:cs="Times New Roman"/>
          <w:color w:val="000000" w:themeColor="text1"/>
          <w:sz w:val="24"/>
          <w:szCs w:val="24"/>
          <w:shd w:val="clear" w:color="auto" w:fill="FFFFFF"/>
        </w:rPr>
        <w:t>.’ Thus, T. M.’s case is the  ‘paradigm situation in which </w:t>
      </w:r>
      <w:proofErr w:type="spellStart"/>
      <w:r w:rsidR="00B77300">
        <w:fldChar w:fldCharType="begin"/>
      </w:r>
      <w:r w:rsidR="00B77300">
        <w:instrText xml:space="preserve"> HYPERLINK "https://1.next.westlaw.com/Link/Document/FullText?findType=Y&amp;serNum=1923120656&amp;originatingDoc=I253f136ab6f242ec9b8c6e40293979bd&amp;refType=RP&amp;originationContext=document&amp;transitionType=DocumentItem&amp;ppcid=0695</w:instrText>
      </w:r>
      <w:r w:rsidR="00B77300">
        <w:instrText xml:space="preserve">9f5b815e4308bde3158b44ef13bb&amp;contextData=(sc.Search)" </w:instrText>
      </w:r>
      <w:r w:rsidR="00B77300">
        <w:fldChar w:fldCharType="separate"/>
      </w:r>
      <w:r w:rsidRPr="00C05D6B">
        <w:rPr>
          <w:rStyle w:val="Emphasis"/>
          <w:rFonts w:ascii="Garamond" w:hAnsi="Garamond" w:cs="Times New Roman"/>
          <w:color w:val="000000" w:themeColor="text1"/>
          <w:sz w:val="24"/>
          <w:szCs w:val="24"/>
          <w:bdr w:val="none" w:sz="0" w:space="0" w:color="auto" w:frame="1"/>
          <w:shd w:val="clear" w:color="auto" w:fill="FFFFFF"/>
        </w:rPr>
        <w:t>Rooker</w:t>
      </w:r>
      <w:proofErr w:type="spellEnd"/>
      <w:r w:rsidR="00B77300">
        <w:rPr>
          <w:rStyle w:val="Emphasis"/>
          <w:rFonts w:ascii="Garamond" w:hAnsi="Garamond" w:cs="Times New Roman"/>
          <w:color w:val="000000" w:themeColor="text1"/>
          <w:sz w:val="24"/>
          <w:szCs w:val="24"/>
          <w:bdr w:val="none" w:sz="0" w:space="0" w:color="auto" w:frame="1"/>
          <w:shd w:val="clear" w:color="auto" w:fill="FFFFFF"/>
        </w:rPr>
        <w:fldChar w:fldCharType="end"/>
      </w:r>
      <w:r w:rsidRPr="00C05D6B">
        <w:rPr>
          <w:rStyle w:val="Emphasis"/>
          <w:rFonts w:ascii="Garamond" w:hAnsi="Garamond" w:cs="Times New Roman"/>
          <w:color w:val="000000" w:themeColor="text1"/>
          <w:sz w:val="24"/>
          <w:szCs w:val="24"/>
          <w:bdr w:val="none" w:sz="0" w:space="0" w:color="auto" w:frame="1"/>
          <w:shd w:val="clear" w:color="auto" w:fill="FFFFFF"/>
        </w:rPr>
        <w:t>-</w:t>
      </w:r>
      <w:hyperlink r:id="rId40" w:history="1">
        <w:r w:rsidRPr="00C05D6B">
          <w:rPr>
            <w:rStyle w:val="Emphasis"/>
            <w:rFonts w:ascii="Garamond" w:hAnsi="Garamond" w:cs="Times New Roman"/>
            <w:color w:val="000000" w:themeColor="text1"/>
            <w:sz w:val="24"/>
            <w:szCs w:val="24"/>
            <w:bdr w:val="none" w:sz="0" w:space="0" w:color="auto" w:frame="1"/>
            <w:shd w:val="clear" w:color="auto" w:fill="FFFFFF"/>
          </w:rPr>
          <w:t>Feldman</w:t>
        </w:r>
      </w:hyperlink>
      <w:r w:rsidRPr="00C05D6B">
        <w:rPr>
          <w:rStyle w:val="Emphasis"/>
          <w:rFonts w:ascii="Garamond" w:hAnsi="Garamond" w:cs="Times New Roman"/>
          <w:color w:val="000000" w:themeColor="text1"/>
          <w:sz w:val="24"/>
          <w:szCs w:val="24"/>
          <w:bdr w:val="none" w:sz="0" w:space="0" w:color="auto" w:frame="1"/>
          <w:shd w:val="clear" w:color="auto" w:fill="FFFFFF"/>
        </w:rPr>
        <w:t> </w:t>
      </w:r>
      <w:r w:rsidRPr="00C05D6B">
        <w:rPr>
          <w:rFonts w:ascii="Garamond" w:hAnsi="Garamond" w:cs="Times New Roman"/>
          <w:color w:val="000000" w:themeColor="text1"/>
          <w:sz w:val="24"/>
          <w:szCs w:val="24"/>
          <w:shd w:val="clear" w:color="auto" w:fill="FFFFFF"/>
        </w:rPr>
        <w:t>precludes a federal district court from proceeding’: She does not like the result reached in state court and ‘repaired to federal court to undo the [state] judgment in [her] favor.’”</w:t>
      </w:r>
    </w:p>
    <w:p w14:paraId="7F54F40B" w14:textId="79ABAD32" w:rsidR="00266441" w:rsidRPr="00C05D6B" w:rsidRDefault="00266441" w:rsidP="000B38A4">
      <w:pPr>
        <w:rPr>
          <w:rFonts w:ascii="Garamond" w:hAnsi="Garamond" w:cs="Times New Roman"/>
          <w:color w:val="1F1F1F"/>
          <w:shd w:val="clear" w:color="auto" w:fill="FFFFFF"/>
        </w:rPr>
      </w:pPr>
      <w:r w:rsidRPr="00C05D6B">
        <w:rPr>
          <w:rFonts w:ascii="Garamond" w:hAnsi="Garamond" w:cs="Times New Roman"/>
        </w:rPr>
        <w:tab/>
        <w:t>Simply put, the Supreme Court saw the federal court lawsuit as being an attempt to review what had occurred in state court.  Justice Sotomayor stressed the narrowness of the Court’s decision:  “</w:t>
      </w:r>
      <w:r w:rsidRPr="00C05D6B">
        <w:rPr>
          <w:rFonts w:ascii="Garamond" w:hAnsi="Garamond" w:cs="Times New Roman"/>
          <w:color w:val="1F1F1F"/>
          <w:shd w:val="clear" w:color="auto" w:fill="FFFFFF"/>
        </w:rPr>
        <w:t xml:space="preserve">The Court today neither expands nor </w:t>
      </w:r>
      <w:r w:rsidRPr="00C05D6B">
        <w:rPr>
          <w:rFonts w:ascii="Garamond" w:hAnsi="Garamond" w:cs="Times New Roman"/>
          <w:color w:val="000000" w:themeColor="text1"/>
          <w:shd w:val="clear" w:color="auto" w:fill="FFFFFF"/>
        </w:rPr>
        <w:t>constrains </w:t>
      </w:r>
      <w:proofErr w:type="spellStart"/>
      <w:r w:rsidR="00B77300">
        <w:fldChar w:fldCharType="begin"/>
      </w:r>
      <w:r w:rsidR="00B77300">
        <w:instrText xml:space="preserve"> HYPERLINK "https://1.next.westlaw.com/Link/Document/FullText</w:instrText>
      </w:r>
      <w:r w:rsidR="00B77300">
        <w:instrText xml:space="preserve">?findType=Y&amp;serNum=1923120656&amp;originatingDoc=I253f136ab6f242ec9b8c6e40293979bd&amp;refType=RP&amp;originationContext=document&amp;transitionType=DocumentItem&amp;ppcid=06959f5b815e4308bde3158b44ef13bb&amp;contextData=(sc.Search)" </w:instrText>
      </w:r>
      <w:r w:rsidR="00B77300">
        <w:fldChar w:fldCharType="separate"/>
      </w:r>
      <w:r w:rsidRPr="00C05D6B">
        <w:rPr>
          <w:rStyle w:val="Emphasis"/>
          <w:rFonts w:ascii="Garamond" w:hAnsi="Garamond" w:cs="Times New Roman"/>
          <w:color w:val="000000" w:themeColor="text1"/>
          <w:bdr w:val="none" w:sz="0" w:space="0" w:color="auto" w:frame="1"/>
          <w:shd w:val="clear" w:color="auto" w:fill="FFFFFF"/>
        </w:rPr>
        <w:t>Rooker</w:t>
      </w:r>
      <w:proofErr w:type="spellEnd"/>
      <w:r w:rsidR="00B77300">
        <w:rPr>
          <w:rStyle w:val="Emphasis"/>
          <w:rFonts w:ascii="Garamond" w:hAnsi="Garamond" w:cs="Times New Roman"/>
          <w:color w:val="000000" w:themeColor="text1"/>
          <w:bdr w:val="none" w:sz="0" w:space="0" w:color="auto" w:frame="1"/>
          <w:shd w:val="clear" w:color="auto" w:fill="FFFFFF"/>
        </w:rPr>
        <w:fldChar w:fldCharType="end"/>
      </w:r>
      <w:r w:rsidRPr="00C05D6B">
        <w:rPr>
          <w:rStyle w:val="Emphasis"/>
          <w:rFonts w:ascii="Garamond" w:hAnsi="Garamond" w:cs="Times New Roman"/>
          <w:color w:val="000000" w:themeColor="text1"/>
          <w:bdr w:val="none" w:sz="0" w:space="0" w:color="auto" w:frame="1"/>
          <w:shd w:val="clear" w:color="auto" w:fill="FFFFFF"/>
        </w:rPr>
        <w:t>-</w:t>
      </w:r>
      <w:hyperlink r:id="rId41" w:history="1">
        <w:r w:rsidRPr="00C05D6B">
          <w:rPr>
            <w:rStyle w:val="Emphasis"/>
            <w:rFonts w:ascii="Garamond" w:hAnsi="Garamond" w:cs="Times New Roman"/>
            <w:color w:val="000000" w:themeColor="text1"/>
            <w:bdr w:val="none" w:sz="0" w:space="0" w:color="auto" w:frame="1"/>
            <w:shd w:val="clear" w:color="auto" w:fill="FFFFFF"/>
          </w:rPr>
          <w:t>Feldman</w:t>
        </w:r>
      </w:hyperlink>
      <w:r w:rsidRPr="00C05D6B">
        <w:rPr>
          <w:rFonts w:ascii="Garamond" w:hAnsi="Garamond" w:cs="Times New Roman"/>
          <w:color w:val="1F1F1F"/>
          <w:shd w:val="clear" w:color="auto" w:fill="FFFFFF"/>
        </w:rPr>
        <w:t>. Instead, the Court leaves the doctrine as it found it: narrowly confined to ‘cases brought by state-court losers complaining of injuries caused by state-court judgments rendered before the district court proceedings commenced and inviting district court review and rejection of those judgments.’”</w:t>
      </w:r>
    </w:p>
    <w:p w14:paraId="5B1E8A0C" w14:textId="1DBF7294" w:rsidR="00266441" w:rsidRPr="00C05D6B" w:rsidRDefault="00266441" w:rsidP="00733D63">
      <w:pPr>
        <w:shd w:val="clear" w:color="auto" w:fill="FFFFFF" w:themeFill="background1"/>
        <w:rPr>
          <w:rFonts w:ascii="Garamond" w:hAnsi="Garamond" w:cs="Times New Roman"/>
          <w:color w:val="000000" w:themeColor="text1"/>
          <w:shd w:val="clear" w:color="auto" w:fill="FFF8F7"/>
        </w:rPr>
      </w:pPr>
      <w:r w:rsidRPr="00C05D6B">
        <w:rPr>
          <w:rFonts w:ascii="Garamond" w:hAnsi="Garamond" w:cs="Times New Roman"/>
          <w:color w:val="1F1F1F"/>
          <w:shd w:val="clear" w:color="auto" w:fill="FAFAFD"/>
        </w:rPr>
        <w:tab/>
        <w:t xml:space="preserve">Justice Barrett, in dissent, argued that </w:t>
      </w:r>
      <w:proofErr w:type="spellStart"/>
      <w:r w:rsidRPr="00C05D6B">
        <w:rPr>
          <w:rFonts w:ascii="Garamond" w:hAnsi="Garamond" w:cs="Times New Roman"/>
          <w:i/>
          <w:color w:val="1F1F1F"/>
          <w:shd w:val="clear" w:color="auto" w:fill="FAFAFD"/>
        </w:rPr>
        <w:t>Rooker</w:t>
      </w:r>
      <w:proofErr w:type="spellEnd"/>
      <w:r w:rsidRPr="00C05D6B">
        <w:rPr>
          <w:rFonts w:ascii="Garamond" w:hAnsi="Garamond" w:cs="Times New Roman"/>
          <w:i/>
          <w:color w:val="1F1F1F"/>
          <w:shd w:val="clear" w:color="auto" w:fill="FAFAFD"/>
        </w:rPr>
        <w:t xml:space="preserve">-Feldman </w:t>
      </w:r>
      <w:r w:rsidRPr="00C05D6B">
        <w:rPr>
          <w:rFonts w:ascii="Garamond" w:hAnsi="Garamond" w:cs="Times New Roman"/>
          <w:iCs/>
          <w:color w:val="1F1F1F"/>
          <w:shd w:val="clear" w:color="auto" w:fill="FAFAFD"/>
        </w:rPr>
        <w:t xml:space="preserve">does not apply while state court proceedings are still pending; in such circumstances federal courts should be able to hear the matter and provide relief.  She questioned the basis for the </w:t>
      </w:r>
      <w:proofErr w:type="spellStart"/>
      <w:r w:rsidRPr="00C05D6B">
        <w:rPr>
          <w:rFonts w:ascii="Garamond" w:hAnsi="Garamond" w:cs="Times New Roman"/>
          <w:i/>
          <w:color w:val="1F1F1F"/>
          <w:shd w:val="clear" w:color="auto" w:fill="FAFAFD"/>
        </w:rPr>
        <w:t>Rooker</w:t>
      </w:r>
      <w:proofErr w:type="spellEnd"/>
      <w:r w:rsidRPr="00C05D6B">
        <w:rPr>
          <w:rFonts w:ascii="Garamond" w:hAnsi="Garamond" w:cs="Times New Roman"/>
          <w:i/>
          <w:color w:val="1F1F1F"/>
          <w:shd w:val="clear" w:color="auto" w:fill="FAFAFD"/>
        </w:rPr>
        <w:t xml:space="preserve">-Feldman </w:t>
      </w:r>
      <w:r w:rsidRPr="00C05D6B">
        <w:rPr>
          <w:rFonts w:ascii="Garamond" w:hAnsi="Garamond" w:cs="Times New Roman"/>
          <w:iCs/>
          <w:color w:val="1F1F1F"/>
          <w:shd w:val="clear" w:color="auto" w:fill="FAFAFD"/>
        </w:rPr>
        <w:t xml:space="preserve">doctrine and stressed that it should be narrow in its application.  </w:t>
      </w:r>
    </w:p>
    <w:p w14:paraId="4A85CF10" w14:textId="3DA2D5D6" w:rsidR="00266441" w:rsidRPr="00C05D6B" w:rsidRDefault="00266441" w:rsidP="000B38A4">
      <w:pPr>
        <w:pStyle w:val="whitespace-normal"/>
        <w:rPr>
          <w:rFonts w:ascii="Garamond" w:hAnsi="Garamond"/>
        </w:rPr>
      </w:pPr>
    </w:p>
    <w:p w14:paraId="482658D4" w14:textId="19BDE509" w:rsidR="003125BF" w:rsidRPr="00C05D6B" w:rsidRDefault="00F9074C" w:rsidP="003125BF">
      <w:pPr>
        <w:rPr>
          <w:rFonts w:ascii="Garamond" w:hAnsi="Garamond" w:cs="Times New Roman"/>
          <w:b/>
          <w:bCs/>
        </w:rPr>
      </w:pPr>
      <w:r w:rsidRPr="00C05D6B">
        <w:rPr>
          <w:rFonts w:ascii="Garamond" w:hAnsi="Garamond" w:cs="Times New Roman"/>
          <w:b/>
          <w:bCs/>
        </w:rPr>
        <w:t>(</w:t>
      </w:r>
      <w:r w:rsidR="003125BF" w:rsidRPr="00C05D6B">
        <w:rPr>
          <w:rFonts w:ascii="Garamond" w:hAnsi="Garamond" w:cs="Times New Roman"/>
          <w:b/>
          <w:bCs/>
        </w:rPr>
        <w:t>CB p. 121</w:t>
      </w:r>
      <w:r w:rsidR="00080FBD" w:rsidRPr="00C05D6B">
        <w:rPr>
          <w:rFonts w:ascii="Garamond" w:hAnsi="Garamond" w:cs="Times New Roman"/>
          <w:b/>
          <w:bCs/>
        </w:rPr>
        <w:t>4</w:t>
      </w:r>
      <w:r w:rsidR="003125BF" w:rsidRPr="00C05D6B">
        <w:rPr>
          <w:rFonts w:ascii="Garamond" w:hAnsi="Garamond" w:cs="Times New Roman"/>
          <w:b/>
          <w:bCs/>
        </w:rPr>
        <w:t xml:space="preserve">, after </w:t>
      </w:r>
      <w:r w:rsidR="00080FBD" w:rsidRPr="00C05D6B">
        <w:rPr>
          <w:rFonts w:ascii="Garamond" w:hAnsi="Garamond" w:cs="Times New Roman"/>
          <w:b/>
          <w:bCs/>
        </w:rPr>
        <w:t>first paragraph</w:t>
      </w:r>
      <w:r w:rsidR="003125BF" w:rsidRPr="00C05D6B">
        <w:rPr>
          <w:rFonts w:ascii="Garamond" w:hAnsi="Garamond" w:cs="Times New Roman"/>
          <w:b/>
          <w:bCs/>
        </w:rPr>
        <w:t>)</w:t>
      </w:r>
    </w:p>
    <w:p w14:paraId="022A968F" w14:textId="77777777" w:rsidR="003125BF" w:rsidRPr="00C05D6B" w:rsidRDefault="003125BF" w:rsidP="003125BF">
      <w:pPr>
        <w:rPr>
          <w:rFonts w:ascii="Garamond" w:hAnsi="Garamond" w:cs="Times New Roman"/>
        </w:rPr>
      </w:pPr>
    </w:p>
    <w:p w14:paraId="36DEA1C0" w14:textId="4BDEB7F8" w:rsidR="003125BF" w:rsidRPr="00C05D6B" w:rsidRDefault="003125BF" w:rsidP="002E331E">
      <w:pPr>
        <w:ind w:firstLine="720"/>
        <w:rPr>
          <w:rFonts w:ascii="Garamond" w:hAnsi="Garamond" w:cs="Times New Roman"/>
        </w:rPr>
      </w:pPr>
      <w:r w:rsidRPr="00C05D6B">
        <w:rPr>
          <w:rFonts w:ascii="Garamond" w:hAnsi="Garamond" w:cs="Times New Roman"/>
        </w:rPr>
        <w:t>In Cruz v. Arizona</w:t>
      </w:r>
      <w:r w:rsidR="00681F71" w:rsidRPr="00C05D6B">
        <w:rPr>
          <w:rFonts w:ascii="Garamond" w:hAnsi="Garamond" w:cs="Times New Roman"/>
        </w:rPr>
        <w:fldChar w:fldCharType="begin"/>
      </w:r>
      <w:r w:rsidR="00681F71" w:rsidRPr="00C05D6B">
        <w:rPr>
          <w:rFonts w:ascii="Garamond" w:hAnsi="Garamond"/>
        </w:rPr>
        <w:instrText xml:space="preserve"> TA \l "</w:instrText>
      </w:r>
      <w:r w:rsidR="00681F71" w:rsidRPr="00C05D6B">
        <w:rPr>
          <w:rFonts w:ascii="Garamond" w:hAnsi="Garamond" w:cs="Times New Roman"/>
        </w:rPr>
        <w:instrText>Cruz v. Arizona</w:instrText>
      </w:r>
      <w:r w:rsidR="00681F71" w:rsidRPr="00C05D6B">
        <w:rPr>
          <w:rFonts w:ascii="Garamond" w:hAnsi="Garamond"/>
        </w:rPr>
        <w:instrText xml:space="preserve">" \s "Cruz v. Arizona" \c 1 </w:instrText>
      </w:r>
      <w:r w:rsidR="00681F71" w:rsidRPr="00C05D6B">
        <w:rPr>
          <w:rFonts w:ascii="Garamond" w:hAnsi="Garamond" w:cs="Times New Roman"/>
        </w:rPr>
        <w:fldChar w:fldCharType="end"/>
      </w:r>
      <w:r w:rsidRPr="00C05D6B">
        <w:rPr>
          <w:rFonts w:ascii="Garamond" w:hAnsi="Garamond" w:cs="Times New Roman"/>
        </w:rPr>
        <w:t xml:space="preserve"> (2023)</w:t>
      </w:r>
      <w:r w:rsidR="00DD16D0" w:rsidRPr="00C05D6B">
        <w:rPr>
          <w:rFonts w:ascii="Garamond" w:hAnsi="Garamond" w:cs="Times New Roman"/>
        </w:rPr>
        <w:t>,</w:t>
      </w:r>
      <w:r w:rsidRPr="00C05D6B">
        <w:rPr>
          <w:rFonts w:ascii="Garamond" w:hAnsi="Garamond" w:cs="Times New Roman"/>
        </w:rPr>
        <w:t xml:space="preserve"> the defendant in a capital case repeatedly raised the failure of Arizona courts to apply Simmons v. South Carolina</w:t>
      </w:r>
      <w:r w:rsidR="00681F71" w:rsidRPr="00C05D6B">
        <w:rPr>
          <w:rFonts w:ascii="Garamond" w:hAnsi="Garamond" w:cs="Times New Roman"/>
        </w:rPr>
        <w:fldChar w:fldCharType="begin"/>
      </w:r>
      <w:r w:rsidR="00681F71" w:rsidRPr="00C05D6B">
        <w:rPr>
          <w:rFonts w:ascii="Garamond" w:hAnsi="Garamond"/>
        </w:rPr>
        <w:instrText xml:space="preserve"> TA \l "</w:instrText>
      </w:r>
      <w:r w:rsidR="00681F71" w:rsidRPr="00C05D6B">
        <w:rPr>
          <w:rFonts w:ascii="Garamond" w:hAnsi="Garamond" w:cs="Times New Roman"/>
        </w:rPr>
        <w:instrText>Simmons v. South Carolina</w:instrText>
      </w:r>
      <w:r w:rsidR="00681F71" w:rsidRPr="00C05D6B">
        <w:rPr>
          <w:rFonts w:ascii="Garamond" w:hAnsi="Garamond"/>
        </w:rPr>
        <w:instrText xml:space="preserve">" \s "Simmons v. South Carolina" \c 1 </w:instrText>
      </w:r>
      <w:r w:rsidR="00681F71" w:rsidRPr="00C05D6B">
        <w:rPr>
          <w:rFonts w:ascii="Garamond" w:hAnsi="Garamond" w:cs="Times New Roman"/>
        </w:rPr>
        <w:fldChar w:fldCharType="end"/>
      </w:r>
      <w:r w:rsidRPr="00C05D6B">
        <w:rPr>
          <w:rFonts w:ascii="Garamond" w:hAnsi="Garamond" w:cs="Times New Roman"/>
        </w:rPr>
        <w:t xml:space="preserve"> (1994), which recognized the due process right of a defendant in a capital case to inform</w:t>
      </w:r>
      <w:r w:rsidR="001B192E" w:rsidRPr="00C05D6B">
        <w:rPr>
          <w:rFonts w:ascii="Garamond" w:hAnsi="Garamond" w:cs="Times New Roman"/>
        </w:rPr>
        <w:t xml:space="preserve"> the</w:t>
      </w:r>
      <w:r w:rsidRPr="00C05D6B">
        <w:rPr>
          <w:rFonts w:ascii="Garamond" w:hAnsi="Garamond" w:cs="Times New Roman"/>
        </w:rPr>
        <w:t xml:space="preserve"> jury that he is ineligible for parole if convicted and sentenced to life in prison. After the jury imposed the death penalty, several jurors issued a press release emphasizing that “they would rather have voted for life without the possibility of parole, but that they were not given that option,” having been incorrectly instructed by the judge that even a life sentence would carry the possibility of parole. Cruz lost his direct appeal. Invoking a state procedural rule limiting successive habeas petitions to “significant changes in the law,” the Arizona Supreme Court dismissed his petition without considering the </w:t>
      </w:r>
      <w:r w:rsidRPr="00C05D6B">
        <w:rPr>
          <w:rFonts w:ascii="Garamond" w:hAnsi="Garamond" w:cs="Times New Roman"/>
          <w:i/>
          <w:iCs/>
        </w:rPr>
        <w:t>Simmons</w:t>
      </w:r>
      <w:r w:rsidR="00681F71" w:rsidRPr="00C05D6B">
        <w:rPr>
          <w:rFonts w:ascii="Garamond" w:hAnsi="Garamond" w:cs="Times New Roman"/>
          <w:i/>
          <w:iCs/>
        </w:rPr>
        <w:fldChar w:fldCharType="begin"/>
      </w:r>
      <w:r w:rsidR="00681F71" w:rsidRPr="00C05D6B">
        <w:rPr>
          <w:rFonts w:ascii="Garamond" w:hAnsi="Garamond"/>
        </w:rPr>
        <w:instrText xml:space="preserve"> TA \s "Simmons v. South Carolina" </w:instrText>
      </w:r>
      <w:r w:rsidR="00681F71" w:rsidRPr="00C05D6B">
        <w:rPr>
          <w:rFonts w:ascii="Garamond" w:hAnsi="Garamond" w:cs="Times New Roman"/>
          <w:i/>
          <w:iCs/>
        </w:rPr>
        <w:fldChar w:fldCharType="end"/>
      </w:r>
      <w:r w:rsidRPr="00C05D6B">
        <w:rPr>
          <w:rFonts w:ascii="Garamond" w:hAnsi="Garamond" w:cs="Times New Roman"/>
        </w:rPr>
        <w:t xml:space="preserve"> claim even though Cruz</w:t>
      </w:r>
      <w:r w:rsidR="00681F71" w:rsidRPr="00C05D6B">
        <w:rPr>
          <w:rFonts w:ascii="Garamond" w:hAnsi="Garamond" w:cs="Times New Roman"/>
        </w:rPr>
        <w:fldChar w:fldCharType="begin"/>
      </w:r>
      <w:r w:rsidR="00681F71" w:rsidRPr="00C05D6B">
        <w:rPr>
          <w:rFonts w:ascii="Garamond" w:hAnsi="Garamond"/>
        </w:rPr>
        <w:instrText xml:space="preserve"> TA \s "Cruz v. Arizona" </w:instrText>
      </w:r>
      <w:r w:rsidR="00681F71" w:rsidRPr="00C05D6B">
        <w:rPr>
          <w:rFonts w:ascii="Garamond" w:hAnsi="Garamond" w:cs="Times New Roman"/>
        </w:rPr>
        <w:fldChar w:fldCharType="end"/>
      </w:r>
      <w:r w:rsidRPr="00C05D6B">
        <w:rPr>
          <w:rFonts w:ascii="Garamond" w:hAnsi="Garamond" w:cs="Times New Roman"/>
        </w:rPr>
        <w:t xml:space="preserve"> cited a recent U.S. Supreme Court case reaffirming </w:t>
      </w:r>
      <w:r w:rsidRPr="00C05D6B">
        <w:rPr>
          <w:rFonts w:ascii="Garamond" w:hAnsi="Garamond" w:cs="Times New Roman"/>
          <w:i/>
          <w:iCs/>
        </w:rPr>
        <w:t>Simmons</w:t>
      </w:r>
      <w:r w:rsidR="00681F71" w:rsidRPr="00C05D6B">
        <w:rPr>
          <w:rFonts w:ascii="Garamond" w:hAnsi="Garamond" w:cs="Times New Roman"/>
          <w:i/>
          <w:iCs/>
        </w:rPr>
        <w:fldChar w:fldCharType="begin"/>
      </w:r>
      <w:r w:rsidR="00681F71" w:rsidRPr="00C05D6B">
        <w:rPr>
          <w:rFonts w:ascii="Garamond" w:hAnsi="Garamond"/>
        </w:rPr>
        <w:instrText xml:space="preserve"> TA \s "Simmons v. South Carolina" </w:instrText>
      </w:r>
      <w:r w:rsidR="00681F71" w:rsidRPr="00C05D6B">
        <w:rPr>
          <w:rFonts w:ascii="Garamond" w:hAnsi="Garamond" w:cs="Times New Roman"/>
          <w:i/>
          <w:iCs/>
        </w:rPr>
        <w:fldChar w:fldCharType="end"/>
      </w:r>
      <w:r w:rsidRPr="00C05D6B">
        <w:rPr>
          <w:rFonts w:ascii="Garamond" w:hAnsi="Garamond" w:cs="Times New Roman"/>
        </w:rPr>
        <w:t xml:space="preserve">, summarily reversing an Arizona conviction in </w:t>
      </w:r>
      <w:r w:rsidRPr="00C05D6B">
        <w:rPr>
          <w:rFonts w:ascii="Garamond" w:hAnsi="Garamond" w:cs="Times New Roman"/>
        </w:rPr>
        <w:lastRenderedPageBreak/>
        <w:t xml:space="preserve">a factually similar Arizona case, and overruling prior Arizona cases that attempted to render </w:t>
      </w:r>
      <w:r w:rsidRPr="00C05D6B">
        <w:rPr>
          <w:rFonts w:ascii="Garamond" w:hAnsi="Garamond" w:cs="Times New Roman"/>
          <w:i/>
          <w:iCs/>
        </w:rPr>
        <w:t>Simmons</w:t>
      </w:r>
      <w:r w:rsidR="00DA6C7B" w:rsidRPr="00C05D6B">
        <w:rPr>
          <w:rFonts w:ascii="Garamond" w:hAnsi="Garamond" w:cs="Times New Roman"/>
          <w:i/>
          <w:iCs/>
        </w:rPr>
        <w:fldChar w:fldCharType="begin"/>
      </w:r>
      <w:r w:rsidR="00DA6C7B" w:rsidRPr="00C05D6B">
        <w:rPr>
          <w:rFonts w:ascii="Garamond" w:hAnsi="Garamond"/>
        </w:rPr>
        <w:instrText xml:space="preserve"> TA \s "Simmons v. South Carolina" </w:instrText>
      </w:r>
      <w:r w:rsidR="00DA6C7B" w:rsidRPr="00C05D6B">
        <w:rPr>
          <w:rFonts w:ascii="Garamond" w:hAnsi="Garamond" w:cs="Times New Roman"/>
          <w:i/>
          <w:iCs/>
        </w:rPr>
        <w:fldChar w:fldCharType="end"/>
      </w:r>
      <w:r w:rsidRPr="00C05D6B">
        <w:rPr>
          <w:rFonts w:ascii="Garamond" w:hAnsi="Garamond" w:cs="Times New Roman"/>
        </w:rPr>
        <w:t xml:space="preserve"> inapplicable to capital cases in the state. The U.S. Supreme Court held that a state court rule must be “firmly established and regularly followed” to be “adequate to foreclose review of a federal claim.” The Arizona Supreme Court had previously held that the “archetype” of a change in the law that is “significant” is “when an appellate court overrules previously binding case law,” thus creating “a clear break from the past.” In view of this state precedent interpreting the state’s successive petition procedure, the U.S. Supreme Court concluded “it is hard to imagine a clearer break from the past” than a U.S. Supreme Court decision overruling Arizona cases denying the applicability of </w:t>
      </w:r>
      <w:r w:rsidRPr="00C05D6B">
        <w:rPr>
          <w:rFonts w:ascii="Garamond" w:hAnsi="Garamond" w:cs="Times New Roman"/>
          <w:i/>
          <w:iCs/>
        </w:rPr>
        <w:t>Simmons</w:t>
      </w:r>
      <w:r w:rsidR="00681F71" w:rsidRPr="00C05D6B">
        <w:rPr>
          <w:rFonts w:ascii="Garamond" w:hAnsi="Garamond" w:cs="Times New Roman"/>
          <w:i/>
          <w:iCs/>
        </w:rPr>
        <w:fldChar w:fldCharType="begin"/>
      </w:r>
      <w:r w:rsidR="00681F71" w:rsidRPr="00C05D6B">
        <w:rPr>
          <w:rFonts w:ascii="Garamond" w:hAnsi="Garamond"/>
        </w:rPr>
        <w:instrText xml:space="preserve"> TA \s "Simmons v. South Carolina" </w:instrText>
      </w:r>
      <w:r w:rsidR="00681F71" w:rsidRPr="00C05D6B">
        <w:rPr>
          <w:rFonts w:ascii="Garamond" w:hAnsi="Garamond" w:cs="Times New Roman"/>
          <w:i/>
          <w:iCs/>
        </w:rPr>
        <w:fldChar w:fldCharType="end"/>
      </w:r>
      <w:r w:rsidRPr="00C05D6B">
        <w:rPr>
          <w:rFonts w:ascii="Garamond" w:hAnsi="Garamond" w:cs="Times New Roman"/>
        </w:rPr>
        <w:t xml:space="preserve">. The different construction of the successive petition rule given in Cruz’s case (denying that reversal of Arizona’s </w:t>
      </w:r>
      <w:r w:rsidRPr="00C05D6B">
        <w:rPr>
          <w:rFonts w:ascii="Garamond" w:hAnsi="Garamond" w:cs="Times New Roman"/>
          <w:i/>
          <w:iCs/>
        </w:rPr>
        <w:t>Simmons</w:t>
      </w:r>
      <w:r w:rsidR="00681F71" w:rsidRPr="00C05D6B">
        <w:rPr>
          <w:rFonts w:ascii="Garamond" w:hAnsi="Garamond" w:cs="Times New Roman"/>
          <w:i/>
          <w:iCs/>
        </w:rPr>
        <w:fldChar w:fldCharType="begin"/>
      </w:r>
      <w:r w:rsidR="00681F71" w:rsidRPr="00C05D6B">
        <w:rPr>
          <w:rFonts w:ascii="Garamond" w:hAnsi="Garamond"/>
        </w:rPr>
        <w:instrText xml:space="preserve"> TA \s "Simmons v. South Carolina" </w:instrText>
      </w:r>
      <w:r w:rsidR="00681F71" w:rsidRPr="00C05D6B">
        <w:rPr>
          <w:rFonts w:ascii="Garamond" w:hAnsi="Garamond" w:cs="Times New Roman"/>
          <w:i/>
          <w:iCs/>
        </w:rPr>
        <w:fldChar w:fldCharType="end"/>
      </w:r>
      <w:r w:rsidR="00681F71" w:rsidRPr="00C05D6B">
        <w:rPr>
          <w:rFonts w:ascii="Garamond" w:hAnsi="Garamond" w:cs="Times New Roman"/>
        </w:rPr>
        <w:t xml:space="preserve"> </w:t>
      </w:r>
      <w:r w:rsidRPr="00C05D6B">
        <w:rPr>
          <w:rFonts w:ascii="Garamond" w:hAnsi="Garamond" w:cs="Times New Roman"/>
        </w:rPr>
        <w:t xml:space="preserve"> jurisprudence made a clear break from the past), “is entirely new </w:t>
      </w:r>
      <w:r w:rsidR="00DD16D0" w:rsidRPr="00C05D6B">
        <w:rPr>
          <w:rFonts w:ascii="Garamond" w:hAnsi="Garamond" w:cs="Times New Roman"/>
        </w:rPr>
        <w:t>. . .</w:t>
      </w:r>
      <w:r w:rsidRPr="00C05D6B">
        <w:rPr>
          <w:rFonts w:ascii="Garamond" w:hAnsi="Garamond" w:cs="Times New Roman"/>
        </w:rPr>
        <w:t xml:space="preserve"> in conflict with prior Arizona case law” on the rule, and therefore cannot constitute an adequate state procedural ground. The Court vacated the state court judgment and remanded the case for the state courts to reconsider Cruz’s petition on the merits.</w:t>
      </w:r>
    </w:p>
    <w:p w14:paraId="6DB2D723" w14:textId="77777777" w:rsidR="000F73A9" w:rsidRPr="00C05D6B" w:rsidRDefault="000F73A9" w:rsidP="002E331E">
      <w:pPr>
        <w:ind w:firstLine="720"/>
        <w:rPr>
          <w:rFonts w:ascii="Garamond" w:hAnsi="Garamond" w:cs="Times New Roman"/>
        </w:rPr>
      </w:pPr>
    </w:p>
    <w:p w14:paraId="0C5E423E" w14:textId="77777777" w:rsidR="000F73A9" w:rsidRPr="00C05D6B" w:rsidRDefault="000F73A9" w:rsidP="000F73A9">
      <w:pPr>
        <w:rPr>
          <w:rFonts w:ascii="Garamond" w:hAnsi="Garamond" w:cs="Times New Roman"/>
          <w:b/>
          <w:bCs/>
        </w:rPr>
      </w:pPr>
      <w:r w:rsidRPr="00C05D6B">
        <w:rPr>
          <w:rFonts w:ascii="Garamond" w:hAnsi="Garamond" w:cs="Times New Roman"/>
          <w:b/>
          <w:bCs/>
        </w:rPr>
        <w:t>(CB p. 1224, after fourth full paragraph)</w:t>
      </w:r>
    </w:p>
    <w:p w14:paraId="17200A96" w14:textId="77777777" w:rsidR="000F73A9" w:rsidRPr="00C05D6B" w:rsidRDefault="000F73A9" w:rsidP="000F73A9">
      <w:pPr>
        <w:spacing w:before="100" w:beforeAutospacing="1" w:after="100" w:afterAutospacing="1"/>
        <w:rPr>
          <w:rFonts w:ascii="Garamond" w:eastAsia="Times New Roman" w:hAnsi="Garamond" w:cs="Times New Roman"/>
          <w:b/>
          <w:bCs/>
          <w:i/>
          <w:iCs/>
        </w:rPr>
      </w:pPr>
      <w:r w:rsidRPr="00C05D6B">
        <w:rPr>
          <w:rFonts w:ascii="Garamond" w:eastAsia="Times New Roman" w:hAnsi="Garamond" w:cs="Times New Roman"/>
          <w:b/>
          <w:bCs/>
          <w:i/>
          <w:iCs/>
        </w:rPr>
        <w:t>The Rising Role of the Emergency Docket</w:t>
      </w:r>
    </w:p>
    <w:p w14:paraId="4342C999" w14:textId="37F345BC"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 xml:space="preserve">The Supreme Court long has had an emergency docket. These are matters where a party comes to the </w:t>
      </w:r>
      <w:r w:rsidR="003B6492" w:rsidRPr="00C05D6B">
        <w:rPr>
          <w:rFonts w:ascii="Garamond" w:eastAsia="Times New Roman" w:hAnsi="Garamond" w:cs="Times New Roman"/>
        </w:rPr>
        <w:t>C</w:t>
      </w:r>
      <w:r w:rsidRPr="00C05D6B">
        <w:rPr>
          <w:rFonts w:ascii="Garamond" w:eastAsia="Times New Roman" w:hAnsi="Garamond" w:cs="Times New Roman"/>
        </w:rPr>
        <w:t xml:space="preserve">ourt for an order on an emergency </w:t>
      </w:r>
      <w:r w:rsidR="00C05D6B" w:rsidRPr="00C05D6B">
        <w:rPr>
          <w:rFonts w:ascii="Garamond" w:eastAsia="Times New Roman" w:hAnsi="Garamond" w:cs="Times New Roman"/>
        </w:rPr>
        <w:t>order</w:t>
      </w:r>
      <w:r w:rsidRPr="00C05D6B">
        <w:rPr>
          <w:rFonts w:ascii="Garamond" w:eastAsia="Times New Roman" w:hAnsi="Garamond" w:cs="Times New Roman"/>
        </w:rPr>
        <w:t xml:space="preserve">, generally without full briefing and oral argument. For example, those facing the death penalty often have gone to the </w:t>
      </w:r>
      <w:r w:rsidR="003B6492" w:rsidRPr="00C05D6B">
        <w:rPr>
          <w:rFonts w:ascii="Garamond" w:eastAsia="Times New Roman" w:hAnsi="Garamond" w:cs="Times New Roman"/>
        </w:rPr>
        <w:t>C</w:t>
      </w:r>
      <w:r w:rsidRPr="00C05D6B">
        <w:rPr>
          <w:rFonts w:ascii="Garamond" w:eastAsia="Times New Roman" w:hAnsi="Garamond" w:cs="Times New Roman"/>
        </w:rPr>
        <w:t xml:space="preserve">ourt seeking a last-minute, emergency stay of execution. But as Stephen Vladeck documented in his excellent book, </w:t>
      </w:r>
      <w:r w:rsidRPr="00C05D6B">
        <w:rPr>
          <w:rFonts w:ascii="Garamond" w:eastAsia="Times New Roman" w:hAnsi="Garamond" w:cs="Times New Roman"/>
          <w:i/>
          <w:iCs/>
        </w:rPr>
        <w:t>The Shadow Docket</w:t>
      </w:r>
      <w:r w:rsidR="00DA6C7B" w:rsidRPr="00C05D6B">
        <w:rPr>
          <w:rFonts w:ascii="Garamond" w:eastAsia="Times New Roman" w:hAnsi="Garamond" w:cs="Times New Roman"/>
          <w:i/>
          <w:iCs/>
        </w:rPr>
        <w:fldChar w:fldCharType="begin"/>
      </w:r>
      <w:r w:rsidR="00DA6C7B" w:rsidRPr="00C05D6B">
        <w:rPr>
          <w:rFonts w:ascii="Garamond" w:hAnsi="Garamond"/>
        </w:rPr>
        <w:instrText xml:space="preserve"> TA \l "Stephen Vladeck, </w:instrText>
      </w:r>
      <w:r w:rsidR="00DA6C7B" w:rsidRPr="00C05D6B">
        <w:rPr>
          <w:rFonts w:ascii="Garamond" w:eastAsia="Times New Roman" w:hAnsi="Garamond" w:cs="Times New Roman"/>
          <w:i/>
          <w:iCs/>
        </w:rPr>
        <w:instrText>The Shadow Docket</w:instrText>
      </w:r>
      <w:r w:rsidR="00DA6C7B" w:rsidRPr="00C05D6B">
        <w:rPr>
          <w:rFonts w:ascii="Garamond" w:hAnsi="Garamond"/>
        </w:rPr>
        <w:instrText xml:space="preserve">" \s " Stephen Vladeck, The Shadow Docket" \c 3 </w:instrText>
      </w:r>
      <w:r w:rsidR="00DA6C7B" w:rsidRPr="00C05D6B">
        <w:rPr>
          <w:rFonts w:ascii="Garamond" w:eastAsia="Times New Roman" w:hAnsi="Garamond" w:cs="Times New Roman"/>
          <w:i/>
          <w:iCs/>
        </w:rPr>
        <w:fldChar w:fldCharType="end"/>
      </w:r>
      <w:r w:rsidR="00F47A07" w:rsidRPr="00C05D6B">
        <w:rPr>
          <w:rFonts w:ascii="Garamond" w:eastAsia="Times New Roman" w:hAnsi="Garamond" w:cs="Times New Roman"/>
          <w:i/>
          <w:iCs/>
        </w:rPr>
        <w:t xml:space="preserve"> </w:t>
      </w:r>
      <w:r w:rsidR="00F47A07" w:rsidRPr="00C05D6B">
        <w:rPr>
          <w:rFonts w:ascii="Garamond" w:eastAsia="Times New Roman" w:hAnsi="Garamond" w:cs="Times New Roman"/>
        </w:rPr>
        <w:t>(2023)</w:t>
      </w:r>
      <w:r w:rsidRPr="00C05D6B">
        <w:rPr>
          <w:rFonts w:ascii="Garamond" w:eastAsia="Times New Roman" w:hAnsi="Garamond" w:cs="Times New Roman"/>
        </w:rPr>
        <w:t>, over the past decade there was a notable growth in matters decided by the court on its emergency docket.</w:t>
      </w:r>
    </w:p>
    <w:p w14:paraId="743CD9C1" w14:textId="77777777"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Since Professor Vladeck’s book was published in 2023, the emergency docket has taken on even greater significance. In the 2023-24 term, there were 44 matters on the emergency docket. In the 2024-25 term, through June 27 (the last day decisions were released), there were 113 matters on the emergency docket.</w:t>
      </w:r>
    </w:p>
    <w:p w14:paraId="5D7AC5E2" w14:textId="5FF78589" w:rsidR="000F73A9" w:rsidRPr="00C05D6B" w:rsidRDefault="000F73A9" w:rsidP="00DD16D0">
      <w:pPr>
        <w:ind w:firstLine="360"/>
        <w:rPr>
          <w:rFonts w:ascii="Garamond" w:eastAsia="Times New Roman" w:hAnsi="Garamond" w:cs="Times New Roman"/>
        </w:rPr>
      </w:pPr>
      <w:r w:rsidRPr="00C05D6B">
        <w:rPr>
          <w:rFonts w:ascii="Garamond" w:eastAsia="Times New Roman" w:hAnsi="Garamond" w:cs="Times New Roman"/>
        </w:rPr>
        <w:t xml:space="preserve">The </w:t>
      </w:r>
      <w:r w:rsidR="003B6492" w:rsidRPr="00C05D6B">
        <w:rPr>
          <w:rFonts w:ascii="Garamond" w:eastAsia="Times New Roman" w:hAnsi="Garamond" w:cs="Times New Roman"/>
        </w:rPr>
        <w:t>C</w:t>
      </w:r>
      <w:r w:rsidRPr="00C05D6B">
        <w:rPr>
          <w:rFonts w:ascii="Garamond" w:eastAsia="Times New Roman" w:hAnsi="Garamond" w:cs="Times New Roman"/>
        </w:rPr>
        <w:t xml:space="preserve">ourt has issued a number of important rulings on its emergency docket concerning the legality of actions by President Donald Trump. Virtually all have been 6-3 rulings, with Justices Sonia Sotomayor, Elena Kagan, and </w:t>
      </w:r>
      <w:proofErr w:type="spellStart"/>
      <w:r w:rsidRPr="00C05D6B">
        <w:rPr>
          <w:rFonts w:ascii="Garamond" w:eastAsia="Times New Roman" w:hAnsi="Garamond" w:cs="Times New Roman"/>
        </w:rPr>
        <w:t>Ketanji</w:t>
      </w:r>
      <w:proofErr w:type="spellEnd"/>
      <w:r w:rsidRPr="00C05D6B">
        <w:rPr>
          <w:rFonts w:ascii="Garamond" w:eastAsia="Times New Roman" w:hAnsi="Garamond" w:cs="Times New Roman"/>
        </w:rPr>
        <w:t xml:space="preserve"> Brown Jackson dissenting.</w:t>
      </w:r>
    </w:p>
    <w:p w14:paraId="4A066A35" w14:textId="77777777" w:rsidR="000F73A9" w:rsidRPr="00C05D6B" w:rsidRDefault="000F73A9" w:rsidP="000F73A9">
      <w:pPr>
        <w:rPr>
          <w:rFonts w:ascii="Garamond" w:eastAsia="Times New Roman" w:hAnsi="Garamond" w:cs="Times New Roman"/>
        </w:rPr>
      </w:pPr>
    </w:p>
    <w:p w14:paraId="73255DCD" w14:textId="3FD63271" w:rsidR="000F73A9" w:rsidRPr="00C05D6B" w:rsidRDefault="000F73A9" w:rsidP="000F73A9">
      <w:pPr>
        <w:numPr>
          <w:ilvl w:val="0"/>
          <w:numId w:val="8"/>
        </w:numPr>
        <w:rPr>
          <w:rFonts w:ascii="Garamond" w:eastAsia="Times New Roman" w:hAnsi="Garamond" w:cs="Times New Roman"/>
        </w:rPr>
      </w:pPr>
      <w:r w:rsidRPr="00C05D6B">
        <w:rPr>
          <w:rFonts w:ascii="Garamond" w:eastAsia="Times New Roman" w:hAnsi="Garamond" w:cs="Times New Roman"/>
          <w:b/>
          <w:bCs/>
        </w:rPr>
        <w:t>May 22, Trump v. Wilcox</w:t>
      </w:r>
      <w:r w:rsidR="00681F71" w:rsidRPr="00C05D6B">
        <w:rPr>
          <w:rFonts w:ascii="Garamond" w:eastAsia="Times New Roman" w:hAnsi="Garamond" w:cs="Times New Roman"/>
          <w:b/>
          <w:bCs/>
        </w:rPr>
        <w:fldChar w:fldCharType="begin"/>
      </w:r>
      <w:r w:rsidR="00681F71" w:rsidRPr="00C05D6B">
        <w:rPr>
          <w:rFonts w:ascii="Garamond" w:hAnsi="Garamond"/>
        </w:rPr>
        <w:instrText xml:space="preserve"> TA \l "</w:instrText>
      </w:r>
      <w:r w:rsidR="00681F71" w:rsidRPr="00372F61">
        <w:rPr>
          <w:rFonts w:ascii="Garamond" w:eastAsia="Times New Roman" w:hAnsi="Garamond" w:cs="Times New Roman"/>
        </w:rPr>
        <w:instrText>Trump v. Wilcox</w:instrText>
      </w:r>
      <w:r w:rsidR="00681F71" w:rsidRPr="00372F61">
        <w:rPr>
          <w:rFonts w:ascii="Garamond" w:hAnsi="Garamond"/>
        </w:rPr>
        <w:instrText>"</w:instrText>
      </w:r>
      <w:r w:rsidR="00681F71" w:rsidRPr="00C05D6B">
        <w:rPr>
          <w:rFonts w:ascii="Garamond" w:hAnsi="Garamond"/>
        </w:rPr>
        <w:instrText xml:space="preserve"> \s "Trump v. Wilcox" \c 1 </w:instrText>
      </w:r>
      <w:r w:rsidR="00681F71" w:rsidRPr="00C05D6B">
        <w:rPr>
          <w:rFonts w:ascii="Garamond" w:eastAsia="Times New Roman" w:hAnsi="Garamond" w:cs="Times New Roman"/>
          <w:b/>
          <w:bCs/>
        </w:rPr>
        <w:fldChar w:fldCharType="end"/>
      </w:r>
      <w:r w:rsidRPr="00C05D6B">
        <w:rPr>
          <w:rFonts w:ascii="Garamond" w:eastAsia="Times New Roman" w:hAnsi="Garamond" w:cs="Times New Roman"/>
        </w:rPr>
        <w:t xml:space="preserve">: The </w:t>
      </w:r>
      <w:r w:rsidR="003B6492" w:rsidRPr="00C05D6B">
        <w:rPr>
          <w:rFonts w:ascii="Garamond" w:eastAsia="Times New Roman" w:hAnsi="Garamond" w:cs="Times New Roman"/>
        </w:rPr>
        <w:t>C</w:t>
      </w:r>
      <w:r w:rsidRPr="00C05D6B">
        <w:rPr>
          <w:rFonts w:ascii="Garamond" w:eastAsia="Times New Roman" w:hAnsi="Garamond" w:cs="Times New Roman"/>
        </w:rPr>
        <w:t xml:space="preserve">ourt overturned a preliminary injunction by a district court that prevented Trump from removing Gwynne Wilcox from serving as a commissioner on the National Labor Relations Board and Cathy Harris from the Merit Systems Protection Board. Long-standing Supreme Court precedents allow Congress to limit the firing of heads of federal agencies. Federal laws prohibited them from being fired without “cause,” and there was no claim that standard was met. Nonetheless, the </w:t>
      </w:r>
      <w:r w:rsidR="003B6492" w:rsidRPr="00C05D6B">
        <w:rPr>
          <w:rFonts w:ascii="Garamond" w:eastAsia="Times New Roman" w:hAnsi="Garamond" w:cs="Times New Roman"/>
        </w:rPr>
        <w:t>C</w:t>
      </w:r>
      <w:r w:rsidRPr="00C05D6B">
        <w:rPr>
          <w:rFonts w:ascii="Garamond" w:eastAsia="Times New Roman" w:hAnsi="Garamond" w:cs="Times New Roman"/>
        </w:rPr>
        <w:t>ourt allowed their removals while their cases are litigated.</w:t>
      </w:r>
    </w:p>
    <w:p w14:paraId="7B8C668C" w14:textId="77777777" w:rsidR="000F73A9" w:rsidRPr="00C05D6B" w:rsidRDefault="000F73A9" w:rsidP="000F73A9">
      <w:pPr>
        <w:ind w:left="720"/>
        <w:rPr>
          <w:rFonts w:ascii="Garamond" w:eastAsia="Times New Roman" w:hAnsi="Garamond" w:cs="Times New Roman"/>
        </w:rPr>
      </w:pPr>
    </w:p>
    <w:p w14:paraId="54470A69" w14:textId="0799C3F3" w:rsidR="000F73A9" w:rsidRPr="00C05D6B" w:rsidRDefault="000F73A9" w:rsidP="000F73A9">
      <w:pPr>
        <w:numPr>
          <w:ilvl w:val="0"/>
          <w:numId w:val="8"/>
        </w:numPr>
        <w:rPr>
          <w:rFonts w:ascii="Garamond" w:eastAsia="Times New Roman" w:hAnsi="Garamond" w:cs="Times New Roman"/>
        </w:rPr>
      </w:pPr>
      <w:r w:rsidRPr="00C05D6B">
        <w:rPr>
          <w:rFonts w:ascii="Garamond" w:eastAsia="Times New Roman" w:hAnsi="Garamond" w:cs="Times New Roman"/>
          <w:b/>
          <w:bCs/>
        </w:rPr>
        <w:t>June 6, Social Security Administration v. American Federation of State, County, and Municipal Employees</w:t>
      </w:r>
      <w:r w:rsidR="00681F71" w:rsidRPr="00C05D6B">
        <w:rPr>
          <w:rFonts w:ascii="Garamond" w:eastAsia="Times New Roman" w:hAnsi="Garamond" w:cs="Times New Roman"/>
          <w:b/>
          <w:bCs/>
        </w:rPr>
        <w:fldChar w:fldCharType="begin"/>
      </w:r>
      <w:r w:rsidR="00681F71" w:rsidRPr="00C05D6B">
        <w:rPr>
          <w:rFonts w:ascii="Garamond" w:hAnsi="Garamond"/>
        </w:rPr>
        <w:instrText xml:space="preserve"> TA \l "</w:instrText>
      </w:r>
      <w:r w:rsidR="00681F71" w:rsidRPr="00F5595D">
        <w:rPr>
          <w:rFonts w:ascii="Garamond" w:eastAsia="Times New Roman" w:hAnsi="Garamond" w:cs="Times New Roman"/>
        </w:rPr>
        <w:instrText>Social Security Administration v. American Federation of State, County, and Municipal Employees</w:instrText>
      </w:r>
      <w:r w:rsidR="00681F71" w:rsidRPr="00F5595D">
        <w:rPr>
          <w:rFonts w:ascii="Garamond" w:hAnsi="Garamond"/>
        </w:rPr>
        <w:instrText>"</w:instrText>
      </w:r>
      <w:r w:rsidR="00681F71" w:rsidRPr="00C05D6B">
        <w:rPr>
          <w:rFonts w:ascii="Garamond" w:hAnsi="Garamond"/>
        </w:rPr>
        <w:instrText xml:space="preserve"> \s "Social Security Administration v. American Federation of State, County, and Municipal Employees" \c 1 </w:instrText>
      </w:r>
      <w:r w:rsidR="00681F71" w:rsidRPr="00C05D6B">
        <w:rPr>
          <w:rFonts w:ascii="Garamond" w:eastAsia="Times New Roman" w:hAnsi="Garamond" w:cs="Times New Roman"/>
          <w:b/>
          <w:bCs/>
        </w:rPr>
        <w:fldChar w:fldCharType="end"/>
      </w:r>
      <w:r w:rsidRPr="00C05D6B">
        <w:rPr>
          <w:rFonts w:ascii="Garamond" w:eastAsia="Times New Roman" w:hAnsi="Garamond" w:cs="Times New Roman"/>
        </w:rPr>
        <w:t>: The Supreme Court paused the district court’s preliminary injunction blocking Department of Government Efficiency team members and affiliates from accessing Social Security Administration record systems.</w:t>
      </w:r>
    </w:p>
    <w:p w14:paraId="44673A3B" w14:textId="77777777" w:rsidR="000F73A9" w:rsidRPr="00C05D6B" w:rsidRDefault="000F73A9" w:rsidP="000F73A9">
      <w:pPr>
        <w:rPr>
          <w:rFonts w:ascii="Garamond" w:eastAsia="Times New Roman" w:hAnsi="Garamond" w:cs="Times New Roman"/>
        </w:rPr>
      </w:pPr>
    </w:p>
    <w:p w14:paraId="4731CC57" w14:textId="71D61A57" w:rsidR="000F73A9" w:rsidRPr="00C05D6B" w:rsidRDefault="000F73A9" w:rsidP="000F73A9">
      <w:pPr>
        <w:numPr>
          <w:ilvl w:val="0"/>
          <w:numId w:val="8"/>
        </w:numPr>
        <w:rPr>
          <w:rFonts w:ascii="Garamond" w:eastAsia="Times New Roman" w:hAnsi="Garamond" w:cs="Times New Roman"/>
        </w:rPr>
      </w:pPr>
      <w:r w:rsidRPr="00C05D6B">
        <w:rPr>
          <w:rFonts w:ascii="Garamond" w:eastAsia="Times New Roman" w:hAnsi="Garamond" w:cs="Times New Roman"/>
          <w:b/>
          <w:bCs/>
        </w:rPr>
        <w:lastRenderedPageBreak/>
        <w:t>June 23, Department of Homeland Security v. D.V.D</w:t>
      </w:r>
      <w:r w:rsidRPr="00F5595D">
        <w:rPr>
          <w:rFonts w:ascii="Garamond" w:eastAsia="Times New Roman" w:hAnsi="Garamond" w:cs="Times New Roman"/>
        </w:rPr>
        <w:t>.</w:t>
      </w:r>
      <w:r w:rsidR="00681F71" w:rsidRPr="00F5595D">
        <w:rPr>
          <w:rFonts w:ascii="Garamond" w:eastAsia="Times New Roman" w:hAnsi="Garamond" w:cs="Times New Roman"/>
        </w:rPr>
        <w:fldChar w:fldCharType="begin"/>
      </w:r>
      <w:r w:rsidR="00681F71" w:rsidRPr="00F5595D">
        <w:rPr>
          <w:rFonts w:ascii="Garamond" w:hAnsi="Garamond"/>
        </w:rPr>
        <w:instrText xml:space="preserve"> TA \l "</w:instrText>
      </w:r>
      <w:r w:rsidR="00681F71" w:rsidRPr="00F5595D">
        <w:rPr>
          <w:rFonts w:ascii="Garamond" w:eastAsia="Times New Roman" w:hAnsi="Garamond" w:cs="Times New Roman"/>
        </w:rPr>
        <w:instrText>Department of Homeland Security v. D.V.D.</w:instrText>
      </w:r>
      <w:r w:rsidR="00681F71" w:rsidRPr="00F5595D">
        <w:rPr>
          <w:rFonts w:ascii="Garamond" w:hAnsi="Garamond"/>
        </w:rPr>
        <w:instrText xml:space="preserve">" \s "Department of Homeland Security v. D.V.D." \c 1 </w:instrText>
      </w:r>
      <w:r w:rsidR="00681F71" w:rsidRPr="00F5595D">
        <w:rPr>
          <w:rFonts w:ascii="Garamond" w:eastAsia="Times New Roman" w:hAnsi="Garamond" w:cs="Times New Roman"/>
        </w:rPr>
        <w:fldChar w:fldCharType="end"/>
      </w:r>
      <w:r w:rsidRPr="00C05D6B">
        <w:rPr>
          <w:rFonts w:ascii="Garamond" w:eastAsia="Times New Roman" w:hAnsi="Garamond" w:cs="Times New Roman"/>
        </w:rPr>
        <w:t xml:space="preserve">: The </w:t>
      </w:r>
      <w:r w:rsidR="003B6492" w:rsidRPr="00C05D6B">
        <w:rPr>
          <w:rFonts w:ascii="Garamond" w:eastAsia="Times New Roman" w:hAnsi="Garamond" w:cs="Times New Roman"/>
        </w:rPr>
        <w:t>C</w:t>
      </w:r>
      <w:r w:rsidRPr="00C05D6B">
        <w:rPr>
          <w:rFonts w:ascii="Garamond" w:eastAsia="Times New Roman" w:hAnsi="Garamond" w:cs="Times New Roman"/>
        </w:rPr>
        <w:t xml:space="preserve">ourt lifted a district court order that prevented immigrants from being deported to countries not listed on their removal orders. The district court had found that the individuals were not given due process. Specifically, they were not given sufficient notice or a meaningful opportunity to challenge their deportation based on their fears for their safety, and the judge was concerned the individuals could be subjected to torture or death upon arrival. Without explanation, the Supreme Court allowed the deportations to go forward while the case winds its way through the justice system, which could take years. On July 3, the </w:t>
      </w:r>
      <w:r w:rsidR="003B6492" w:rsidRPr="00C05D6B">
        <w:rPr>
          <w:rFonts w:ascii="Garamond" w:eastAsia="Times New Roman" w:hAnsi="Garamond" w:cs="Times New Roman"/>
        </w:rPr>
        <w:t>C</w:t>
      </w:r>
      <w:r w:rsidRPr="00C05D6B">
        <w:rPr>
          <w:rFonts w:ascii="Garamond" w:eastAsia="Times New Roman" w:hAnsi="Garamond" w:cs="Times New Roman"/>
        </w:rPr>
        <w:t>ourt reaffirmed this, allowing the individuals to be sent to South Sudan even though they had no contact with this country.</w:t>
      </w:r>
    </w:p>
    <w:p w14:paraId="6478A480" w14:textId="77777777" w:rsidR="000F73A9" w:rsidRPr="00C05D6B" w:rsidRDefault="000F73A9" w:rsidP="000F73A9">
      <w:pPr>
        <w:rPr>
          <w:rFonts w:ascii="Garamond" w:eastAsia="Times New Roman" w:hAnsi="Garamond" w:cs="Times New Roman"/>
        </w:rPr>
      </w:pPr>
    </w:p>
    <w:p w14:paraId="034BB080" w14:textId="77777777" w:rsidR="000F73A9" w:rsidRPr="00C05D6B" w:rsidRDefault="000F73A9" w:rsidP="00DD16D0">
      <w:pPr>
        <w:ind w:firstLine="360"/>
        <w:rPr>
          <w:rFonts w:ascii="Garamond" w:eastAsia="Times New Roman" w:hAnsi="Garamond" w:cs="Times New Roman"/>
        </w:rPr>
      </w:pPr>
      <w:r w:rsidRPr="00C05D6B">
        <w:rPr>
          <w:rFonts w:ascii="Garamond" w:eastAsia="Times New Roman" w:hAnsi="Garamond" w:cs="Times New Roman"/>
        </w:rPr>
        <w:t>Several recent Supreme Court orders have lifted decisions limiting firings:</w:t>
      </w:r>
    </w:p>
    <w:p w14:paraId="09BEC47E" w14:textId="77777777" w:rsidR="000F73A9" w:rsidRPr="00C05D6B" w:rsidRDefault="000F73A9" w:rsidP="000F73A9">
      <w:pPr>
        <w:rPr>
          <w:rFonts w:ascii="Garamond" w:eastAsia="Times New Roman" w:hAnsi="Garamond" w:cs="Times New Roman"/>
        </w:rPr>
      </w:pPr>
    </w:p>
    <w:p w14:paraId="7684CCC5" w14:textId="3DBD779D" w:rsidR="000F73A9" w:rsidRPr="00C05D6B" w:rsidRDefault="000F73A9" w:rsidP="000F73A9">
      <w:pPr>
        <w:numPr>
          <w:ilvl w:val="0"/>
          <w:numId w:val="9"/>
        </w:numPr>
        <w:rPr>
          <w:rFonts w:ascii="Garamond" w:eastAsia="Times New Roman" w:hAnsi="Garamond" w:cs="Times New Roman"/>
        </w:rPr>
      </w:pPr>
      <w:r w:rsidRPr="00C05D6B">
        <w:rPr>
          <w:rFonts w:ascii="Garamond" w:eastAsia="Times New Roman" w:hAnsi="Garamond" w:cs="Times New Roman"/>
          <w:b/>
          <w:bCs/>
        </w:rPr>
        <w:t>July 8, Trump v. American Federation of Government Employees</w:t>
      </w:r>
      <w:r w:rsidR="00681F71" w:rsidRPr="00C05D6B">
        <w:rPr>
          <w:rFonts w:ascii="Garamond" w:eastAsia="Times New Roman" w:hAnsi="Garamond" w:cs="Times New Roman"/>
          <w:b/>
          <w:bCs/>
        </w:rPr>
        <w:fldChar w:fldCharType="begin"/>
      </w:r>
      <w:r w:rsidR="00681F71" w:rsidRPr="00C05D6B">
        <w:rPr>
          <w:rFonts w:ascii="Garamond" w:hAnsi="Garamond"/>
        </w:rPr>
        <w:instrText xml:space="preserve"> TA \l </w:instrText>
      </w:r>
      <w:r w:rsidR="00681F71" w:rsidRPr="00F5595D">
        <w:rPr>
          <w:rFonts w:ascii="Garamond" w:hAnsi="Garamond"/>
        </w:rPr>
        <w:instrText>"</w:instrText>
      </w:r>
      <w:r w:rsidR="00681F71" w:rsidRPr="00F5595D">
        <w:rPr>
          <w:rFonts w:ascii="Garamond" w:eastAsia="Times New Roman" w:hAnsi="Garamond" w:cs="Times New Roman"/>
        </w:rPr>
        <w:instrText>Trump v. American Federation of Government Employees</w:instrText>
      </w:r>
      <w:r w:rsidR="00681F71" w:rsidRPr="00F5595D">
        <w:rPr>
          <w:rFonts w:ascii="Garamond" w:hAnsi="Garamond"/>
        </w:rPr>
        <w:instrText>"</w:instrText>
      </w:r>
      <w:r w:rsidR="00681F71" w:rsidRPr="00C05D6B">
        <w:rPr>
          <w:rFonts w:ascii="Garamond" w:hAnsi="Garamond"/>
        </w:rPr>
        <w:instrText xml:space="preserve"> \s "Trump v. American Federation of Government Employees" \c 1 </w:instrText>
      </w:r>
      <w:r w:rsidR="00681F71" w:rsidRPr="00C05D6B">
        <w:rPr>
          <w:rFonts w:ascii="Garamond" w:eastAsia="Times New Roman" w:hAnsi="Garamond" w:cs="Times New Roman"/>
          <w:b/>
          <w:bCs/>
        </w:rPr>
        <w:fldChar w:fldCharType="end"/>
      </w:r>
      <w:r w:rsidRPr="00C05D6B">
        <w:rPr>
          <w:rFonts w:ascii="Garamond" w:eastAsia="Times New Roman" w:hAnsi="Garamond" w:cs="Times New Roman"/>
        </w:rPr>
        <w:t xml:space="preserve">: The </w:t>
      </w:r>
      <w:r w:rsidR="003B6492" w:rsidRPr="00C05D6B">
        <w:rPr>
          <w:rFonts w:ascii="Garamond" w:eastAsia="Times New Roman" w:hAnsi="Garamond" w:cs="Times New Roman"/>
        </w:rPr>
        <w:t>C</w:t>
      </w:r>
      <w:r w:rsidRPr="00C05D6B">
        <w:rPr>
          <w:rFonts w:ascii="Garamond" w:eastAsia="Times New Roman" w:hAnsi="Garamond" w:cs="Times New Roman"/>
        </w:rPr>
        <w:t>ourt issued a stay of a district court’s preliminary injunction preventing firings of government employees in many federal agencies.</w:t>
      </w:r>
    </w:p>
    <w:p w14:paraId="5FB09ED6" w14:textId="77777777" w:rsidR="000F73A9" w:rsidRPr="00C05D6B" w:rsidRDefault="000F73A9" w:rsidP="000F73A9">
      <w:pPr>
        <w:ind w:left="720"/>
        <w:rPr>
          <w:rFonts w:ascii="Garamond" w:eastAsia="Times New Roman" w:hAnsi="Garamond" w:cs="Times New Roman"/>
        </w:rPr>
      </w:pPr>
    </w:p>
    <w:p w14:paraId="15CA5D46" w14:textId="28A28D31" w:rsidR="000F73A9" w:rsidRPr="00C05D6B" w:rsidRDefault="000F73A9" w:rsidP="000F73A9">
      <w:pPr>
        <w:numPr>
          <w:ilvl w:val="0"/>
          <w:numId w:val="9"/>
        </w:numPr>
        <w:rPr>
          <w:rFonts w:ascii="Garamond" w:eastAsia="Times New Roman" w:hAnsi="Garamond" w:cs="Times New Roman"/>
        </w:rPr>
      </w:pPr>
      <w:r w:rsidRPr="00C05D6B">
        <w:rPr>
          <w:rFonts w:ascii="Garamond" w:eastAsia="Times New Roman" w:hAnsi="Garamond" w:cs="Times New Roman"/>
          <w:b/>
          <w:bCs/>
        </w:rPr>
        <w:t>July 14, McMahon v. New York</w:t>
      </w:r>
      <w:r w:rsidR="00681F71" w:rsidRPr="00C05D6B">
        <w:rPr>
          <w:rFonts w:ascii="Garamond" w:eastAsia="Times New Roman" w:hAnsi="Garamond" w:cs="Times New Roman"/>
          <w:b/>
          <w:bCs/>
        </w:rPr>
        <w:fldChar w:fldCharType="begin"/>
      </w:r>
      <w:r w:rsidR="00681F71" w:rsidRPr="00C05D6B">
        <w:rPr>
          <w:rFonts w:ascii="Garamond" w:hAnsi="Garamond"/>
        </w:rPr>
        <w:instrText xml:space="preserve"> TA \l "</w:instrText>
      </w:r>
      <w:r w:rsidR="00681F71" w:rsidRPr="00F5595D">
        <w:rPr>
          <w:rFonts w:ascii="Garamond" w:eastAsia="Times New Roman" w:hAnsi="Garamond" w:cs="Times New Roman"/>
        </w:rPr>
        <w:instrText>McMahon v. New York</w:instrText>
      </w:r>
      <w:r w:rsidR="00681F71" w:rsidRPr="00F5595D">
        <w:rPr>
          <w:rFonts w:ascii="Garamond" w:hAnsi="Garamond"/>
        </w:rPr>
        <w:instrText>"</w:instrText>
      </w:r>
      <w:r w:rsidR="00681F71" w:rsidRPr="00C05D6B">
        <w:rPr>
          <w:rFonts w:ascii="Garamond" w:hAnsi="Garamond"/>
        </w:rPr>
        <w:instrText xml:space="preserve"> \s "McMahon v. New York" \c 1 </w:instrText>
      </w:r>
      <w:r w:rsidR="00681F71" w:rsidRPr="00C05D6B">
        <w:rPr>
          <w:rFonts w:ascii="Garamond" w:eastAsia="Times New Roman" w:hAnsi="Garamond" w:cs="Times New Roman"/>
          <w:b/>
          <w:bCs/>
        </w:rPr>
        <w:fldChar w:fldCharType="end"/>
      </w:r>
      <w:r w:rsidRPr="00C05D6B">
        <w:rPr>
          <w:rFonts w:ascii="Garamond" w:eastAsia="Times New Roman" w:hAnsi="Garamond" w:cs="Times New Roman"/>
        </w:rPr>
        <w:t xml:space="preserve">: The </w:t>
      </w:r>
      <w:r w:rsidR="003B6492" w:rsidRPr="00C05D6B">
        <w:rPr>
          <w:rFonts w:ascii="Garamond" w:eastAsia="Times New Roman" w:hAnsi="Garamond" w:cs="Times New Roman"/>
        </w:rPr>
        <w:t>C</w:t>
      </w:r>
      <w:r w:rsidRPr="00C05D6B">
        <w:rPr>
          <w:rFonts w:ascii="Garamond" w:eastAsia="Times New Roman" w:hAnsi="Garamond" w:cs="Times New Roman"/>
        </w:rPr>
        <w:t>ourt lifted a district court’s preliminary injunction against mass firings at the Department of Education with the stated goal of eliminating that department.</w:t>
      </w:r>
    </w:p>
    <w:p w14:paraId="0F68FEA1" w14:textId="77777777" w:rsidR="000F73A9" w:rsidRPr="00C05D6B" w:rsidRDefault="000F73A9" w:rsidP="000F73A9">
      <w:pPr>
        <w:rPr>
          <w:rFonts w:ascii="Garamond" w:eastAsia="Times New Roman" w:hAnsi="Garamond" w:cs="Times New Roman"/>
        </w:rPr>
      </w:pPr>
    </w:p>
    <w:p w14:paraId="49FD22CE" w14:textId="10431D98" w:rsidR="000F73A9" w:rsidRPr="00C05D6B" w:rsidRDefault="000F73A9" w:rsidP="000F73A9">
      <w:pPr>
        <w:numPr>
          <w:ilvl w:val="0"/>
          <w:numId w:val="9"/>
        </w:numPr>
        <w:rPr>
          <w:rFonts w:ascii="Garamond" w:eastAsia="Times New Roman" w:hAnsi="Garamond" w:cs="Times New Roman"/>
        </w:rPr>
      </w:pPr>
      <w:r w:rsidRPr="00C05D6B">
        <w:rPr>
          <w:rFonts w:ascii="Garamond" w:eastAsia="Times New Roman" w:hAnsi="Garamond" w:cs="Times New Roman"/>
          <w:b/>
          <w:bCs/>
        </w:rPr>
        <w:t>July 23, Trump v. Boyle</w:t>
      </w:r>
      <w:r w:rsidR="00681F71" w:rsidRPr="00C05D6B">
        <w:rPr>
          <w:rFonts w:ascii="Garamond" w:eastAsia="Times New Roman" w:hAnsi="Garamond" w:cs="Times New Roman"/>
          <w:b/>
          <w:bCs/>
        </w:rPr>
        <w:fldChar w:fldCharType="begin"/>
      </w:r>
      <w:r w:rsidR="00681F71" w:rsidRPr="00C05D6B">
        <w:rPr>
          <w:rFonts w:ascii="Garamond" w:hAnsi="Garamond"/>
        </w:rPr>
        <w:instrText xml:space="preserve"> TA \l </w:instrText>
      </w:r>
      <w:r w:rsidR="00681F71" w:rsidRPr="00F5595D">
        <w:rPr>
          <w:rFonts w:ascii="Garamond" w:hAnsi="Garamond"/>
        </w:rPr>
        <w:instrText>"</w:instrText>
      </w:r>
      <w:r w:rsidR="00681F71" w:rsidRPr="00F5595D">
        <w:rPr>
          <w:rFonts w:ascii="Garamond" w:eastAsia="Times New Roman" w:hAnsi="Garamond" w:cs="Times New Roman"/>
        </w:rPr>
        <w:instrText>Trump v. Boyle</w:instrText>
      </w:r>
      <w:r w:rsidR="00681F71" w:rsidRPr="00F5595D">
        <w:rPr>
          <w:rFonts w:ascii="Garamond" w:hAnsi="Garamond"/>
        </w:rPr>
        <w:instrText>"</w:instrText>
      </w:r>
      <w:r w:rsidR="00681F71" w:rsidRPr="00C05D6B">
        <w:rPr>
          <w:rFonts w:ascii="Garamond" w:hAnsi="Garamond"/>
        </w:rPr>
        <w:instrText xml:space="preserve"> \s "Trump v. Boyle" \c 1 </w:instrText>
      </w:r>
      <w:r w:rsidR="00681F71" w:rsidRPr="00C05D6B">
        <w:rPr>
          <w:rFonts w:ascii="Garamond" w:eastAsia="Times New Roman" w:hAnsi="Garamond" w:cs="Times New Roman"/>
          <w:b/>
          <w:bCs/>
        </w:rPr>
        <w:fldChar w:fldCharType="end"/>
      </w:r>
      <w:r w:rsidRPr="00C05D6B">
        <w:rPr>
          <w:rFonts w:ascii="Garamond" w:eastAsia="Times New Roman" w:hAnsi="Garamond" w:cs="Times New Roman"/>
        </w:rPr>
        <w:t>: The Supreme Court overturned a preliminary injunction preventing the firing of three members of the Consumer Product Safety Commission who were protected from removal except when there was “cause” for firing.</w:t>
      </w:r>
    </w:p>
    <w:p w14:paraId="658D5923" w14:textId="77777777" w:rsidR="005A7FEA" w:rsidRPr="00C05D6B" w:rsidRDefault="005A7FEA" w:rsidP="005A7FEA">
      <w:pPr>
        <w:rPr>
          <w:rFonts w:ascii="Garamond" w:eastAsia="Times New Roman" w:hAnsi="Garamond" w:cs="Times New Roman"/>
        </w:rPr>
      </w:pPr>
    </w:p>
    <w:p w14:paraId="0F2D1B25" w14:textId="77777777" w:rsidR="000F73A9" w:rsidRPr="00C05D6B" w:rsidRDefault="000F73A9" w:rsidP="005A7FEA">
      <w:pPr>
        <w:rPr>
          <w:rFonts w:ascii="Garamond" w:eastAsia="Times New Roman" w:hAnsi="Garamond" w:cs="Times New Roman"/>
          <w:b/>
          <w:bCs/>
          <w:i/>
          <w:iCs/>
        </w:rPr>
      </w:pPr>
      <w:r w:rsidRPr="00C05D6B">
        <w:rPr>
          <w:rFonts w:ascii="Garamond" w:eastAsia="Times New Roman" w:hAnsi="Garamond" w:cs="Times New Roman"/>
          <w:b/>
          <w:bCs/>
          <w:i/>
          <w:iCs/>
        </w:rPr>
        <w:t>Process Questions</w:t>
      </w:r>
    </w:p>
    <w:p w14:paraId="507719E8" w14:textId="5818F76A"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 xml:space="preserve">When the </w:t>
      </w:r>
      <w:r w:rsidR="003B6492" w:rsidRPr="00C05D6B">
        <w:rPr>
          <w:rFonts w:ascii="Garamond" w:eastAsia="Times New Roman" w:hAnsi="Garamond" w:cs="Times New Roman"/>
        </w:rPr>
        <w:t>C</w:t>
      </w:r>
      <w:r w:rsidRPr="00C05D6B">
        <w:rPr>
          <w:rFonts w:ascii="Garamond" w:eastAsia="Times New Roman" w:hAnsi="Garamond" w:cs="Times New Roman"/>
        </w:rPr>
        <w:t xml:space="preserve">ourt issues emergency rulings in a case </w:t>
      </w:r>
      <w:r w:rsidR="00557D66">
        <w:rPr>
          <w:rFonts w:ascii="Garamond" w:eastAsia="Times New Roman" w:hAnsi="Garamond" w:cs="Times New Roman"/>
        </w:rPr>
        <w:t xml:space="preserve">in </w:t>
      </w:r>
      <w:r w:rsidRPr="00C05D6B">
        <w:rPr>
          <w:rFonts w:ascii="Garamond" w:eastAsia="Times New Roman" w:hAnsi="Garamond" w:cs="Times New Roman"/>
        </w:rPr>
        <w:t xml:space="preserve">an interlocutory posture, it often </w:t>
      </w:r>
      <w:r w:rsidR="002E1335">
        <w:rPr>
          <w:rFonts w:ascii="Garamond" w:eastAsia="Times New Roman" w:hAnsi="Garamond" w:cs="Times New Roman"/>
        </w:rPr>
        <w:t>issues</w:t>
      </w:r>
      <w:r w:rsidRPr="00C05D6B">
        <w:rPr>
          <w:rFonts w:ascii="Garamond" w:eastAsia="Times New Roman" w:hAnsi="Garamond" w:cs="Times New Roman"/>
        </w:rPr>
        <w:t xml:space="preserve"> major decisions without the benefit of full briefing, oral argument, and deliberation among the justices. The briefs in cases on the emergency docket are less developed as those in cases on the merits, and there often is no oral argument. Nor do the justices even meet to discuss these cases before issuing rulings on them. If one believes that briefing, arguing, and deliberating matters are essential to a system of law, the absence of these elements when the </w:t>
      </w:r>
      <w:r w:rsidR="003B6492" w:rsidRPr="00C05D6B">
        <w:rPr>
          <w:rFonts w:ascii="Garamond" w:eastAsia="Times New Roman" w:hAnsi="Garamond" w:cs="Times New Roman"/>
        </w:rPr>
        <w:t>C</w:t>
      </w:r>
      <w:r w:rsidRPr="00C05D6B">
        <w:rPr>
          <w:rFonts w:ascii="Garamond" w:eastAsia="Times New Roman" w:hAnsi="Garamond" w:cs="Times New Roman"/>
        </w:rPr>
        <w:t xml:space="preserve">ourt issues major rulings is concerning. In recent years, the Court has responded to this concern by granting oral argument in some significant cases including in </w:t>
      </w:r>
      <w:r w:rsidR="00681F71" w:rsidRPr="00C05D6B">
        <w:rPr>
          <w:rFonts w:ascii="Garamond" w:eastAsia="Times New Roman" w:hAnsi="Garamond" w:cs="Times New Roman"/>
        </w:rPr>
        <w:fldChar w:fldCharType="begin"/>
      </w:r>
      <w:r w:rsidR="00681F71" w:rsidRPr="00C05D6B">
        <w:rPr>
          <w:rFonts w:ascii="Garamond" w:hAnsi="Garamond"/>
        </w:rPr>
        <w:instrText xml:space="preserve"> TA \l </w:instrText>
      </w:r>
      <w:r w:rsidR="00681F71" w:rsidRPr="00F5595D">
        <w:rPr>
          <w:rFonts w:ascii="Garamond" w:hAnsi="Garamond"/>
        </w:rPr>
        <w:instrText>"</w:instrText>
      </w:r>
      <w:r w:rsidR="00681F71" w:rsidRPr="00F5595D">
        <w:rPr>
          <w:rFonts w:ascii="Garamond" w:eastAsia="Times New Roman" w:hAnsi="Garamond" w:cs="Times New Roman"/>
          <w:smallCaps/>
        </w:rPr>
        <w:instrText>Trump v. CASA</w:instrText>
      </w:r>
      <w:r w:rsidR="00681F71" w:rsidRPr="00F5595D">
        <w:rPr>
          <w:rFonts w:ascii="Garamond" w:hAnsi="Garamond"/>
        </w:rPr>
        <w:instrText>"</w:instrText>
      </w:r>
      <w:r w:rsidR="00681F71" w:rsidRPr="00C05D6B">
        <w:rPr>
          <w:rFonts w:ascii="Garamond" w:hAnsi="Garamond"/>
        </w:rPr>
        <w:instrText xml:space="preserve"> \s "Trump v. CASA" \c 1 </w:instrText>
      </w:r>
      <w:r w:rsidR="00681F71" w:rsidRPr="00C05D6B">
        <w:rPr>
          <w:rFonts w:ascii="Garamond" w:eastAsia="Times New Roman" w:hAnsi="Garamond" w:cs="Times New Roman"/>
        </w:rPr>
        <w:fldChar w:fldCharType="end"/>
      </w:r>
      <w:r w:rsidRPr="00C05D6B">
        <w:rPr>
          <w:rFonts w:ascii="Garamond" w:eastAsia="Times New Roman" w:hAnsi="Garamond" w:cs="Times New Roman"/>
        </w:rPr>
        <w:t>Trump v. CASA</w:t>
      </w:r>
      <w:r w:rsidR="00DD16D0" w:rsidRPr="00C05D6B">
        <w:rPr>
          <w:rFonts w:ascii="Garamond" w:eastAsia="Times New Roman" w:hAnsi="Garamond" w:cs="Times New Roman"/>
        </w:rPr>
        <w:t xml:space="preserve"> (2025)</w:t>
      </w:r>
      <w:r w:rsidRPr="00C05D6B">
        <w:rPr>
          <w:rFonts w:ascii="Garamond" w:eastAsia="Times New Roman" w:hAnsi="Garamond" w:cs="Times New Roman"/>
        </w:rPr>
        <w:t>.</w:t>
      </w:r>
      <w:r w:rsidR="00DD16D0" w:rsidRPr="00C05D6B">
        <w:rPr>
          <w:rFonts w:ascii="Garamond" w:eastAsia="Times New Roman" w:hAnsi="Garamond" w:cs="Times New Roman"/>
        </w:rPr>
        <w:t xml:space="preserve"> </w:t>
      </w:r>
      <w:r w:rsidRPr="00C05D6B">
        <w:rPr>
          <w:rFonts w:ascii="Garamond" w:eastAsia="Times New Roman" w:hAnsi="Garamond" w:cs="Times New Roman"/>
        </w:rPr>
        <w:t>But in many more it does not.</w:t>
      </w:r>
    </w:p>
    <w:p w14:paraId="0429AD5B" w14:textId="1E53DF4F"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A related process question is whether the Supreme Court should issue rulings on significant issues without a substantial written opinion.  In many cases</w:t>
      </w:r>
      <w:r w:rsidR="00DD16D0" w:rsidRPr="00C05D6B">
        <w:rPr>
          <w:rFonts w:ascii="Garamond" w:eastAsia="Times New Roman" w:hAnsi="Garamond" w:cs="Times New Roman"/>
        </w:rPr>
        <w:t>—</w:t>
      </w:r>
      <w:r w:rsidRPr="00C05D6B">
        <w:rPr>
          <w:rFonts w:ascii="Garamond" w:eastAsia="Times New Roman" w:hAnsi="Garamond" w:cs="Times New Roman"/>
        </w:rPr>
        <w:t>such as Department of Homeland Security v. D.V.D</w:t>
      </w:r>
      <w:r w:rsidR="00681F71" w:rsidRPr="00C05D6B">
        <w:rPr>
          <w:rFonts w:ascii="Garamond" w:eastAsia="Times New Roman" w:hAnsi="Garamond" w:cs="Times New Roman"/>
        </w:rPr>
        <w:fldChar w:fldCharType="begin"/>
      </w:r>
      <w:r w:rsidR="00681F71" w:rsidRPr="00C05D6B">
        <w:rPr>
          <w:rFonts w:ascii="Garamond" w:hAnsi="Garamond"/>
        </w:rPr>
        <w:instrText xml:space="preserve"> TA \s "Department of Homeland Security v. D.V.D." </w:instrText>
      </w:r>
      <w:r w:rsidR="00681F71" w:rsidRPr="00C05D6B">
        <w:rPr>
          <w:rFonts w:ascii="Garamond" w:eastAsia="Times New Roman" w:hAnsi="Garamond" w:cs="Times New Roman"/>
        </w:rPr>
        <w:fldChar w:fldCharType="end"/>
      </w:r>
      <w:r w:rsidRPr="00C05D6B">
        <w:rPr>
          <w:rFonts w:ascii="Garamond" w:eastAsia="Times New Roman" w:hAnsi="Garamond" w:cs="Times New Roman"/>
        </w:rPr>
        <w:t>.</w:t>
      </w:r>
      <w:r w:rsidR="00DD16D0" w:rsidRPr="00C05D6B">
        <w:rPr>
          <w:rFonts w:ascii="Garamond" w:eastAsia="Times New Roman" w:hAnsi="Garamond" w:cs="Times New Roman"/>
        </w:rPr>
        <w:t xml:space="preserve"> (2025)</w:t>
      </w:r>
      <w:r w:rsidRPr="00C05D6B">
        <w:rPr>
          <w:rFonts w:ascii="Garamond" w:eastAsia="Times New Roman" w:hAnsi="Garamond" w:cs="Times New Roman"/>
        </w:rPr>
        <w:t>, and McMahon v. New York</w:t>
      </w:r>
      <w:r w:rsidR="00681F71" w:rsidRPr="00C05D6B">
        <w:rPr>
          <w:rFonts w:ascii="Garamond" w:eastAsia="Times New Roman" w:hAnsi="Garamond" w:cs="Times New Roman"/>
        </w:rPr>
        <w:fldChar w:fldCharType="begin"/>
      </w:r>
      <w:r w:rsidR="00681F71" w:rsidRPr="00C05D6B">
        <w:rPr>
          <w:rFonts w:ascii="Garamond" w:hAnsi="Garamond"/>
        </w:rPr>
        <w:instrText xml:space="preserve"> TA \s "McMahon v. New York" </w:instrText>
      </w:r>
      <w:r w:rsidR="00681F71" w:rsidRPr="00C05D6B">
        <w:rPr>
          <w:rFonts w:ascii="Garamond" w:eastAsia="Times New Roman" w:hAnsi="Garamond" w:cs="Times New Roman"/>
        </w:rPr>
        <w:fldChar w:fldCharType="end"/>
      </w:r>
      <w:r w:rsidRPr="00C05D6B">
        <w:rPr>
          <w:rFonts w:ascii="Garamond" w:eastAsia="Times New Roman" w:hAnsi="Garamond" w:cs="Times New Roman"/>
        </w:rPr>
        <w:t xml:space="preserve"> </w:t>
      </w:r>
      <w:r w:rsidR="00DD16D0" w:rsidRPr="00C05D6B">
        <w:rPr>
          <w:rFonts w:ascii="Garamond" w:eastAsia="Times New Roman" w:hAnsi="Garamond" w:cs="Times New Roman"/>
        </w:rPr>
        <w:t>(2025)—</w:t>
      </w:r>
      <w:r w:rsidRPr="00C05D6B">
        <w:rPr>
          <w:rFonts w:ascii="Garamond" w:eastAsia="Times New Roman" w:hAnsi="Garamond" w:cs="Times New Roman"/>
        </w:rPr>
        <w:t xml:space="preserve">the </w:t>
      </w:r>
      <w:r w:rsidR="003B6492" w:rsidRPr="00C05D6B">
        <w:rPr>
          <w:rFonts w:ascii="Garamond" w:eastAsia="Times New Roman" w:hAnsi="Garamond" w:cs="Times New Roman"/>
        </w:rPr>
        <w:t>C</w:t>
      </w:r>
      <w:r w:rsidRPr="00C05D6B">
        <w:rPr>
          <w:rFonts w:ascii="Garamond" w:eastAsia="Times New Roman" w:hAnsi="Garamond" w:cs="Times New Roman"/>
        </w:rPr>
        <w:t>ourt offered no explanation for its rulings. These are enormously consequential decisions: They allow people to be deported to countries where they have no connection and could face torture and death, and they permit Trump to effectively eliminate an agency created by Congress.</w:t>
      </w:r>
    </w:p>
    <w:p w14:paraId="4DEC27E4" w14:textId="61D4519A"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 xml:space="preserve">The question of whether the Justices should write more reasoned opinions on the emergency-docket invites competing considerations. On the one hand, the public’s acceptance </w:t>
      </w:r>
      <w:r w:rsidR="00DD16D0" w:rsidRPr="00C05D6B">
        <w:rPr>
          <w:rFonts w:ascii="Garamond" w:eastAsia="Times New Roman" w:hAnsi="Garamond" w:cs="Times New Roman"/>
        </w:rPr>
        <w:t xml:space="preserve">of the </w:t>
      </w:r>
      <w:r w:rsidRPr="00C05D6B">
        <w:rPr>
          <w:rFonts w:ascii="Garamond" w:eastAsia="Times New Roman" w:hAnsi="Garamond" w:cs="Times New Roman"/>
        </w:rPr>
        <w:t xml:space="preserve">Supreme Court’s power comes, in part, from the view that the Court is applying legal principles in a reasoned way.  When justices do not show their work, it is more difficult to discern the degree to which they are doing so. Moreover, the explanations are important for the parties in the litigation, </w:t>
      </w:r>
      <w:r w:rsidRPr="00C05D6B">
        <w:rPr>
          <w:rFonts w:ascii="Garamond" w:eastAsia="Times New Roman" w:hAnsi="Garamond" w:cs="Times New Roman"/>
        </w:rPr>
        <w:lastRenderedPageBreak/>
        <w:t>as well as to lower courts looking for guidance. On the other hand, issuing opinions at an emergency posture could theoretically have the effect of locking justices into legal positions before those issues have yet had a full airing.</w:t>
      </w:r>
    </w:p>
    <w:p w14:paraId="77C339A1" w14:textId="77777777" w:rsidR="000F73A9" w:rsidRPr="00C05D6B" w:rsidRDefault="000F73A9" w:rsidP="005A7FEA">
      <w:pPr>
        <w:rPr>
          <w:rFonts w:ascii="Garamond" w:eastAsia="Times New Roman" w:hAnsi="Garamond" w:cs="Times New Roman"/>
          <w:b/>
          <w:bCs/>
          <w:i/>
          <w:iCs/>
        </w:rPr>
      </w:pPr>
      <w:r w:rsidRPr="00C05D6B">
        <w:rPr>
          <w:rFonts w:ascii="Garamond" w:eastAsia="Times New Roman" w:hAnsi="Garamond" w:cs="Times New Roman"/>
          <w:b/>
          <w:bCs/>
          <w:i/>
          <w:iCs/>
        </w:rPr>
        <w:t>Precedent</w:t>
      </w:r>
    </w:p>
    <w:p w14:paraId="1786D398" w14:textId="77777777"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Questions around the relationship between the emergency docket and precedent take two forms.  First, should the shadow docket be used to overturn longstanding precedent? Second, should orders from the emergency docket themselves be taken as precedential? There is sound reason to believe that the Court’s current answer to both questions is “yes.”</w:t>
      </w:r>
    </w:p>
    <w:p w14:paraId="2A703CAC" w14:textId="2D3BB190"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On the first point, the emergency docket has played a major role recently in winnowing, if not overruling, Humphrey’s Executor v. United States</w:t>
      </w:r>
      <w:r w:rsidR="00DD16D0" w:rsidRPr="00C05D6B">
        <w:rPr>
          <w:rFonts w:ascii="Garamond" w:eastAsia="Times New Roman" w:hAnsi="Garamond" w:cs="Times New Roman"/>
          <w:i/>
          <w:iCs/>
        </w:rPr>
        <w:t xml:space="preserve"> </w:t>
      </w:r>
      <w:r w:rsidR="00DD16D0" w:rsidRPr="00C05D6B">
        <w:rPr>
          <w:rFonts w:ascii="Garamond" w:eastAsia="Times New Roman" w:hAnsi="Garamond" w:cs="Times New Roman"/>
        </w:rPr>
        <w:t>(1935)</w:t>
      </w:r>
      <w:r w:rsidR="009B1B78" w:rsidRPr="00C05D6B">
        <w:rPr>
          <w:rFonts w:ascii="Garamond" w:eastAsia="Times New Roman" w:hAnsi="Garamond" w:cs="Times New Roman"/>
        </w:rPr>
        <w:fldChar w:fldCharType="begin"/>
      </w:r>
      <w:r w:rsidR="009B1B78" w:rsidRPr="00C05D6B">
        <w:rPr>
          <w:rFonts w:ascii="Garamond" w:hAnsi="Garamond"/>
        </w:rPr>
        <w:instrText xml:space="preserve"> TA \s "Humphrey’s Executor v. United States" </w:instrText>
      </w:r>
      <w:r w:rsidR="009B1B78" w:rsidRPr="00C05D6B">
        <w:rPr>
          <w:rFonts w:ascii="Garamond" w:eastAsia="Times New Roman" w:hAnsi="Garamond" w:cs="Times New Roman"/>
        </w:rPr>
        <w:fldChar w:fldCharType="end"/>
      </w:r>
      <w:r w:rsidRPr="00C05D6B">
        <w:rPr>
          <w:rFonts w:ascii="Garamond" w:eastAsia="Times New Roman" w:hAnsi="Garamond" w:cs="Times New Roman"/>
        </w:rPr>
        <w:t>. In that case, decided in 1935, the Court unanimously upheld the ability of Congress to limit the removal of members of federal agencies. Under the Federal Trade Commission Act</w:t>
      </w:r>
      <w:r w:rsidR="00DA6C7B" w:rsidRPr="00C05D6B">
        <w:rPr>
          <w:rFonts w:ascii="Garamond" w:eastAsia="Times New Roman" w:hAnsi="Garamond" w:cs="Times New Roman"/>
        </w:rPr>
        <w:fldChar w:fldCharType="begin"/>
      </w:r>
      <w:r w:rsidR="00DA6C7B" w:rsidRPr="00C05D6B">
        <w:rPr>
          <w:rFonts w:ascii="Garamond" w:hAnsi="Garamond"/>
        </w:rPr>
        <w:instrText xml:space="preserve"> TA \s "Federal Trade Commission Act" </w:instrText>
      </w:r>
      <w:r w:rsidR="00DA6C7B" w:rsidRPr="00C05D6B">
        <w:rPr>
          <w:rFonts w:ascii="Garamond" w:eastAsia="Times New Roman" w:hAnsi="Garamond" w:cs="Times New Roman"/>
        </w:rPr>
        <w:fldChar w:fldCharType="end"/>
      </w:r>
      <w:r w:rsidRPr="00C05D6B">
        <w:rPr>
          <w:rFonts w:ascii="Garamond" w:eastAsia="Times New Roman" w:hAnsi="Garamond" w:cs="Times New Roman"/>
        </w:rPr>
        <w:t xml:space="preserve">, the president could fire a commissioner only for “inefficiency, neglect of duty, or malfeasance in office.” The </w:t>
      </w:r>
      <w:r w:rsidR="003B6492" w:rsidRPr="00C05D6B">
        <w:rPr>
          <w:rFonts w:ascii="Garamond" w:eastAsia="Times New Roman" w:hAnsi="Garamond" w:cs="Times New Roman"/>
        </w:rPr>
        <w:t>C</w:t>
      </w:r>
      <w:r w:rsidRPr="00C05D6B">
        <w:rPr>
          <w:rFonts w:ascii="Garamond" w:eastAsia="Times New Roman" w:hAnsi="Garamond" w:cs="Times New Roman"/>
        </w:rPr>
        <w:t xml:space="preserve">ourt explained that Congress, pursuant to its powers under Article I, could create independent agencies and insulate their members from presidential removal unless good cause for firing existed. The </w:t>
      </w:r>
      <w:r w:rsidR="003B6492" w:rsidRPr="00C05D6B">
        <w:rPr>
          <w:rFonts w:ascii="Garamond" w:eastAsia="Times New Roman" w:hAnsi="Garamond" w:cs="Times New Roman"/>
        </w:rPr>
        <w:t>C</w:t>
      </w:r>
      <w:r w:rsidRPr="00C05D6B">
        <w:rPr>
          <w:rFonts w:ascii="Garamond" w:eastAsia="Times New Roman" w:hAnsi="Garamond" w:cs="Times New Roman"/>
        </w:rPr>
        <w:t>ourt declared: “The authority of Congress . . . includes, as an appropriate incident, power to fix the period during which they shall continue in office, and to forbid their removal except for cause in the meantime.”</w:t>
      </w:r>
    </w:p>
    <w:p w14:paraId="2ED44CC8" w14:textId="210E4CAB"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Several of the recent rulings by the Supreme Court have involved Trump firing individuals</w:t>
      </w:r>
      <w:r w:rsidR="00DD16D0" w:rsidRPr="00C05D6B">
        <w:rPr>
          <w:rFonts w:ascii="Garamond" w:eastAsia="Times New Roman" w:hAnsi="Garamond" w:cs="Times New Roman"/>
        </w:rPr>
        <w:t>—</w:t>
      </w:r>
      <w:r w:rsidRPr="00C05D6B">
        <w:rPr>
          <w:rFonts w:ascii="Garamond" w:eastAsia="Times New Roman" w:hAnsi="Garamond" w:cs="Times New Roman"/>
        </w:rPr>
        <w:t>members of the National Labor Relations Board, the Merit Systems Protection Board, and the Consumer Product Safety Commission</w:t>
      </w:r>
      <w:r w:rsidR="00DD16D0" w:rsidRPr="00C05D6B">
        <w:rPr>
          <w:rFonts w:ascii="Garamond" w:eastAsia="Times New Roman" w:hAnsi="Garamond" w:cs="Times New Roman"/>
        </w:rPr>
        <w:t>—</w:t>
      </w:r>
      <w:r w:rsidRPr="00C05D6B">
        <w:rPr>
          <w:rFonts w:ascii="Garamond" w:eastAsia="Times New Roman" w:hAnsi="Garamond" w:cs="Times New Roman"/>
        </w:rPr>
        <w:t>who enjoy similar protections from removal as in Humphrey’s Executor. Nonetheless, the Supreme Court has allowed these individuals to be fired, concluding that the Trump administration had a substantial likelihood of prevailing on the merits.</w:t>
      </w:r>
    </w:p>
    <w:p w14:paraId="21925446" w14:textId="6BD6C7F0"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Justice Kagan wrote a dissent in Trump v. Wilcox</w:t>
      </w:r>
      <w:r w:rsidR="00DD16D0" w:rsidRPr="00C05D6B">
        <w:rPr>
          <w:rFonts w:ascii="Garamond" w:eastAsia="Times New Roman" w:hAnsi="Garamond" w:cs="Times New Roman"/>
        </w:rPr>
        <w:t xml:space="preserve"> (2025)</w:t>
      </w:r>
      <w:r w:rsidR="00681F71" w:rsidRPr="00C05D6B">
        <w:rPr>
          <w:rFonts w:ascii="Garamond" w:eastAsia="Times New Roman" w:hAnsi="Garamond" w:cs="Times New Roman"/>
        </w:rPr>
        <w:fldChar w:fldCharType="begin"/>
      </w:r>
      <w:r w:rsidR="00681F71" w:rsidRPr="00C05D6B">
        <w:rPr>
          <w:rFonts w:ascii="Garamond" w:hAnsi="Garamond"/>
        </w:rPr>
        <w:instrText xml:space="preserve"> TA \s "Trump v. Wilcox" </w:instrText>
      </w:r>
      <w:r w:rsidR="00681F71" w:rsidRPr="00C05D6B">
        <w:rPr>
          <w:rFonts w:ascii="Garamond" w:eastAsia="Times New Roman" w:hAnsi="Garamond" w:cs="Times New Roman"/>
        </w:rPr>
        <w:fldChar w:fldCharType="end"/>
      </w:r>
      <w:r w:rsidRPr="00C05D6B">
        <w:rPr>
          <w:rFonts w:ascii="Garamond" w:eastAsia="Times New Roman" w:hAnsi="Garamond" w:cs="Times New Roman"/>
        </w:rPr>
        <w:t>, joined by Justices Sotomayor and Jackson, lamenting that “[o]</w:t>
      </w:r>
      <w:proofErr w:type="spellStart"/>
      <w:r w:rsidRPr="00C05D6B">
        <w:rPr>
          <w:rFonts w:ascii="Garamond" w:eastAsia="Times New Roman" w:hAnsi="Garamond" w:cs="Times New Roman"/>
        </w:rPr>
        <w:t>ur</w:t>
      </w:r>
      <w:proofErr w:type="spellEnd"/>
      <w:r w:rsidRPr="00C05D6B">
        <w:rPr>
          <w:rFonts w:ascii="Garamond" w:eastAsia="Times New Roman" w:hAnsi="Garamond" w:cs="Times New Roman"/>
        </w:rPr>
        <w:t xml:space="preserve"> emergency docket, while fit for some things, should not be used to overrule or revise existing law.” She explained that the court’s ruling “allows the President to overrule </w:t>
      </w:r>
      <w:r w:rsidRPr="00C05D6B">
        <w:rPr>
          <w:rFonts w:ascii="Garamond" w:eastAsia="Times New Roman" w:hAnsi="Garamond" w:cs="Times New Roman"/>
          <w:i/>
          <w:iCs/>
        </w:rPr>
        <w:t xml:space="preserve">Humphrey’s </w:t>
      </w:r>
      <w:r w:rsidRPr="00C05D6B">
        <w:rPr>
          <w:rFonts w:ascii="Garamond" w:eastAsia="Times New Roman" w:hAnsi="Garamond" w:cs="Times New Roman"/>
        </w:rPr>
        <w:t>by fiat”</w:t>
      </w:r>
      <w:r w:rsidR="00F47A07" w:rsidRPr="00C05D6B">
        <w:rPr>
          <w:rFonts w:ascii="Garamond" w:eastAsia="Times New Roman" w:hAnsi="Garamond" w:cs="Times New Roman"/>
        </w:rPr>
        <w:t>—which the Court ultimately did in Trump v. Slaughter</w:t>
      </w:r>
      <w:r w:rsidR="00DA6C7B" w:rsidRPr="00C05D6B">
        <w:rPr>
          <w:rFonts w:ascii="Garamond" w:eastAsia="Times New Roman" w:hAnsi="Garamond" w:cs="Times New Roman"/>
        </w:rPr>
        <w:fldChar w:fldCharType="begin"/>
      </w:r>
      <w:r w:rsidR="00DA6C7B" w:rsidRPr="00C05D6B">
        <w:rPr>
          <w:rFonts w:ascii="Garamond" w:hAnsi="Garamond"/>
        </w:rPr>
        <w:instrText xml:space="preserve"> TA \s "Trump v. Slaughter" </w:instrText>
      </w:r>
      <w:r w:rsidR="00DA6C7B" w:rsidRPr="00C05D6B">
        <w:rPr>
          <w:rFonts w:ascii="Garamond" w:eastAsia="Times New Roman" w:hAnsi="Garamond" w:cs="Times New Roman"/>
        </w:rPr>
        <w:fldChar w:fldCharType="end"/>
      </w:r>
      <w:r w:rsidR="00F47A07" w:rsidRPr="00C05D6B">
        <w:rPr>
          <w:rFonts w:ascii="Garamond" w:eastAsia="Times New Roman" w:hAnsi="Garamond" w:cs="Times New Roman"/>
        </w:rPr>
        <w:t xml:space="preserve"> (2026).</w:t>
      </w:r>
    </w:p>
    <w:p w14:paraId="05B7BD14" w14:textId="77777777"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The use of the emergency docket to effectively overrule long-standing precedent represents a significant departure from traditional judicial practice.</w:t>
      </w:r>
    </w:p>
    <w:p w14:paraId="74DD4BDB" w14:textId="4A3BD9E6" w:rsidR="000F73A9"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Second, and relatedly, the Court’s actions have sometimes strongly suggested that rulings from the emergency docket have precedential weight.  As noted by the Brennan Center, “The Court has sent mixed signals, suggesting that such decisions are of little precedential value, while also rebuking the Ninth Circuit Court of Appeals for not following four prior Supreme Court rulings involving California Covid-19 restrictions</w:t>
      </w:r>
      <w:r w:rsidR="00DD16D0" w:rsidRPr="00C05D6B">
        <w:rPr>
          <w:rFonts w:ascii="Garamond" w:eastAsia="Times New Roman" w:hAnsi="Garamond" w:cs="Times New Roman"/>
        </w:rPr>
        <w:t>—</w:t>
      </w:r>
      <w:r w:rsidRPr="00C05D6B">
        <w:rPr>
          <w:rFonts w:ascii="Garamond" w:eastAsia="Times New Roman" w:hAnsi="Garamond" w:cs="Times New Roman"/>
        </w:rPr>
        <w:t xml:space="preserve">all of which were shadow docket orders.”   </w:t>
      </w:r>
    </w:p>
    <w:p w14:paraId="578A6B4F" w14:textId="60C3FF84" w:rsidR="00A92A6F" w:rsidRPr="00C05D6B" w:rsidRDefault="000F73A9" w:rsidP="00DD16D0">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More recently, the Court’s decision in Trump v. Boyle</w:t>
      </w:r>
      <w:r w:rsidR="00681F71" w:rsidRPr="00C05D6B">
        <w:rPr>
          <w:rFonts w:ascii="Garamond" w:eastAsia="Times New Roman" w:hAnsi="Garamond" w:cs="Times New Roman"/>
        </w:rPr>
        <w:fldChar w:fldCharType="begin"/>
      </w:r>
      <w:r w:rsidR="00681F71" w:rsidRPr="00C05D6B">
        <w:rPr>
          <w:rFonts w:ascii="Garamond" w:hAnsi="Garamond"/>
        </w:rPr>
        <w:instrText xml:space="preserve"> TA \s "Trump v. Boyle" </w:instrText>
      </w:r>
      <w:r w:rsidR="00681F71" w:rsidRPr="00C05D6B">
        <w:rPr>
          <w:rFonts w:ascii="Garamond" w:eastAsia="Times New Roman" w:hAnsi="Garamond" w:cs="Times New Roman"/>
        </w:rPr>
        <w:fldChar w:fldCharType="end"/>
      </w:r>
      <w:r w:rsidRPr="00C05D6B">
        <w:rPr>
          <w:rFonts w:ascii="Garamond" w:eastAsia="Times New Roman" w:hAnsi="Garamond" w:cs="Times New Roman"/>
        </w:rPr>
        <w:t xml:space="preserve"> (2025) exemplifies this precedential treatment of emergency docket rulings. In </w:t>
      </w:r>
      <w:r w:rsidRPr="00C05D6B">
        <w:rPr>
          <w:rFonts w:ascii="Garamond" w:eastAsia="Times New Roman" w:hAnsi="Garamond" w:cs="Times New Roman"/>
          <w:i/>
          <w:iCs/>
        </w:rPr>
        <w:t>Boyle</w:t>
      </w:r>
      <w:r w:rsidR="00681F71" w:rsidRPr="00C05D6B">
        <w:rPr>
          <w:rFonts w:ascii="Garamond" w:eastAsia="Times New Roman" w:hAnsi="Garamond" w:cs="Times New Roman"/>
          <w:i/>
          <w:iCs/>
        </w:rPr>
        <w:fldChar w:fldCharType="begin"/>
      </w:r>
      <w:r w:rsidR="00681F71" w:rsidRPr="00C05D6B">
        <w:rPr>
          <w:rFonts w:ascii="Garamond" w:hAnsi="Garamond"/>
        </w:rPr>
        <w:instrText xml:space="preserve"> TA \s "Trump v. Boyle" </w:instrText>
      </w:r>
      <w:r w:rsidR="00681F71" w:rsidRPr="00C05D6B">
        <w:rPr>
          <w:rFonts w:ascii="Garamond" w:eastAsia="Times New Roman" w:hAnsi="Garamond" w:cs="Times New Roman"/>
          <w:i/>
          <w:iCs/>
        </w:rPr>
        <w:fldChar w:fldCharType="end"/>
      </w:r>
      <w:r w:rsidRPr="00C05D6B">
        <w:rPr>
          <w:rFonts w:ascii="Garamond" w:eastAsia="Times New Roman" w:hAnsi="Garamond" w:cs="Times New Roman"/>
        </w:rPr>
        <w:t xml:space="preserve">, the majority’s entire analysis consisted of declaring that “[t]he application is squarely controlled by </w:t>
      </w:r>
      <w:r w:rsidRPr="00C05D6B">
        <w:rPr>
          <w:rFonts w:ascii="Garamond" w:eastAsia="Times New Roman" w:hAnsi="Garamond" w:cs="Times New Roman"/>
          <w:i/>
          <w:iCs/>
        </w:rPr>
        <w:t>Trump v. Wilcox</w:t>
      </w:r>
      <w:r w:rsidR="00681F71" w:rsidRPr="00C05D6B">
        <w:rPr>
          <w:rFonts w:ascii="Garamond" w:eastAsia="Times New Roman" w:hAnsi="Garamond" w:cs="Times New Roman"/>
          <w:i/>
          <w:iCs/>
        </w:rPr>
        <w:fldChar w:fldCharType="begin"/>
      </w:r>
      <w:r w:rsidR="00681F71" w:rsidRPr="00C05D6B">
        <w:rPr>
          <w:rFonts w:ascii="Garamond" w:hAnsi="Garamond"/>
        </w:rPr>
        <w:instrText xml:space="preserve"> TA \s "Trump v. Wilcox" </w:instrText>
      </w:r>
      <w:r w:rsidR="00681F71" w:rsidRPr="00C05D6B">
        <w:rPr>
          <w:rFonts w:ascii="Garamond" w:eastAsia="Times New Roman" w:hAnsi="Garamond" w:cs="Times New Roman"/>
          <w:i/>
          <w:iCs/>
        </w:rPr>
        <w:fldChar w:fldCharType="end"/>
      </w:r>
      <w:r w:rsidRPr="00C05D6B">
        <w:rPr>
          <w:rFonts w:ascii="Garamond" w:eastAsia="Times New Roman" w:hAnsi="Garamond" w:cs="Times New Roman"/>
        </w:rPr>
        <w:t xml:space="preserve">,” treating the earlier emergency order as binding precedent. The Court stated that </w:t>
      </w:r>
      <w:r w:rsidRPr="00C05D6B">
        <w:rPr>
          <w:rFonts w:ascii="Garamond" w:eastAsia="Times New Roman" w:hAnsi="Garamond" w:cs="Times New Roman"/>
          <w:i/>
          <w:iCs/>
        </w:rPr>
        <w:t>Wilcox</w:t>
      </w:r>
      <w:r w:rsidR="00681F71" w:rsidRPr="00C05D6B">
        <w:rPr>
          <w:rFonts w:ascii="Garamond" w:eastAsia="Times New Roman" w:hAnsi="Garamond" w:cs="Times New Roman"/>
          <w:i/>
          <w:iCs/>
        </w:rPr>
        <w:fldChar w:fldCharType="begin"/>
      </w:r>
      <w:r w:rsidR="00681F71" w:rsidRPr="00C05D6B">
        <w:rPr>
          <w:rFonts w:ascii="Garamond" w:hAnsi="Garamond"/>
        </w:rPr>
        <w:instrText xml:space="preserve"> TA \s "Trump v. Wilcox" </w:instrText>
      </w:r>
      <w:r w:rsidR="00681F71" w:rsidRPr="00C05D6B">
        <w:rPr>
          <w:rFonts w:ascii="Garamond" w:eastAsia="Times New Roman" w:hAnsi="Garamond" w:cs="Times New Roman"/>
          <w:i/>
          <w:iCs/>
        </w:rPr>
        <w:fldChar w:fldCharType="end"/>
      </w:r>
      <w:r w:rsidR="00681F71" w:rsidRPr="00C05D6B">
        <w:rPr>
          <w:rFonts w:ascii="Garamond" w:eastAsia="Times New Roman" w:hAnsi="Garamond" w:cs="Times New Roman"/>
        </w:rPr>
        <w:t xml:space="preserve">, </w:t>
      </w:r>
      <w:r w:rsidRPr="00C05D6B">
        <w:rPr>
          <w:rFonts w:ascii="Garamond" w:eastAsia="Times New Roman" w:hAnsi="Garamond" w:cs="Times New Roman"/>
        </w:rPr>
        <w:t xml:space="preserve">“reflected ‘our judgment that the Government faces greater risk of harm from an order allowing a removed officer to continue exercising the executive power than a wrongfully removed officer faces from being unable to perform her statutory </w:t>
      </w:r>
      <w:r w:rsidRPr="00C05D6B">
        <w:rPr>
          <w:rFonts w:ascii="Garamond" w:eastAsia="Times New Roman" w:hAnsi="Garamond" w:cs="Times New Roman"/>
        </w:rPr>
        <w:lastRenderedPageBreak/>
        <w:t xml:space="preserve">duty,’” and found “the case does not otherwise differ from Wilcox in any pertinent respect.” As Justice Kagan observed in her </w:t>
      </w:r>
      <w:r w:rsidRPr="00C05D6B">
        <w:rPr>
          <w:rFonts w:ascii="Garamond" w:eastAsia="Times New Roman" w:hAnsi="Garamond" w:cs="Times New Roman"/>
          <w:i/>
          <w:iCs/>
        </w:rPr>
        <w:t>Boyle</w:t>
      </w:r>
      <w:r w:rsidR="00681F71" w:rsidRPr="00C05D6B">
        <w:rPr>
          <w:rFonts w:ascii="Garamond" w:eastAsia="Times New Roman" w:hAnsi="Garamond" w:cs="Times New Roman"/>
          <w:i/>
          <w:iCs/>
        </w:rPr>
        <w:fldChar w:fldCharType="begin"/>
      </w:r>
      <w:r w:rsidR="00681F71" w:rsidRPr="00C05D6B">
        <w:rPr>
          <w:rFonts w:ascii="Garamond" w:hAnsi="Garamond"/>
        </w:rPr>
        <w:instrText xml:space="preserve"> TA \s "Trump v. Boyle" </w:instrText>
      </w:r>
      <w:r w:rsidR="00681F71" w:rsidRPr="00C05D6B">
        <w:rPr>
          <w:rFonts w:ascii="Garamond" w:eastAsia="Times New Roman" w:hAnsi="Garamond" w:cs="Times New Roman"/>
          <w:i/>
          <w:iCs/>
        </w:rPr>
        <w:fldChar w:fldCharType="end"/>
      </w:r>
      <w:r w:rsidR="00681F71" w:rsidRPr="00C05D6B">
        <w:rPr>
          <w:rFonts w:ascii="Garamond" w:eastAsia="Times New Roman" w:hAnsi="Garamond" w:cs="Times New Roman"/>
        </w:rPr>
        <w:t xml:space="preserve"> </w:t>
      </w:r>
      <w:r w:rsidRPr="00C05D6B">
        <w:rPr>
          <w:rFonts w:ascii="Garamond" w:eastAsia="Times New Roman" w:hAnsi="Garamond" w:cs="Times New Roman"/>
        </w:rPr>
        <w:t xml:space="preserve"> dissent, the majority built its reasoning on “only another under-reasoned emergency order,” warning that “[n]</w:t>
      </w:r>
      <w:proofErr w:type="spellStart"/>
      <w:r w:rsidRPr="00C05D6B">
        <w:rPr>
          <w:rFonts w:ascii="Garamond" w:eastAsia="Times New Roman" w:hAnsi="Garamond" w:cs="Times New Roman"/>
        </w:rPr>
        <w:t>ext</w:t>
      </w:r>
      <w:proofErr w:type="spellEnd"/>
      <w:r w:rsidRPr="00C05D6B">
        <w:rPr>
          <w:rFonts w:ascii="Garamond" w:eastAsia="Times New Roman" w:hAnsi="Garamond" w:cs="Times New Roman"/>
        </w:rPr>
        <w:t xml:space="preserve"> time, though, the majority will have two (if still under-reasoned) orders to cite. ‘Truly, this is ‘turtles all the way down.’” This pattern suggests the Court is constructing a body of precedent through successive emergency orders, with each citing the previous one as authority, all without the benefit of full briefing, oral argument, or reasoned opinions that typically accompany precedential decisions.</w:t>
      </w:r>
    </w:p>
    <w:p w14:paraId="36D69FC3" w14:textId="48EA4B03" w:rsidR="00A92A6F" w:rsidRPr="00C05D6B" w:rsidRDefault="00A92A6F" w:rsidP="00A92A6F">
      <w:pPr>
        <w:rPr>
          <w:rFonts w:ascii="Garamond" w:hAnsi="Garamond" w:cs="Times New Roman"/>
          <w:b/>
          <w:bCs/>
        </w:rPr>
      </w:pPr>
      <w:r w:rsidRPr="00C05D6B">
        <w:rPr>
          <w:rFonts w:ascii="Garamond" w:hAnsi="Garamond" w:cs="Times New Roman"/>
          <w:b/>
          <w:bCs/>
        </w:rPr>
        <w:t>(CB p. 1229, after final paragraph)</w:t>
      </w:r>
    </w:p>
    <w:p w14:paraId="55BE7810" w14:textId="77777777" w:rsidR="00A92A6F" w:rsidRPr="00C05D6B" w:rsidRDefault="00A92A6F" w:rsidP="00A92A6F">
      <w:pPr>
        <w:rPr>
          <w:rFonts w:ascii="Garamond" w:hAnsi="Garamond" w:cs="Times New Roman"/>
          <w:b/>
          <w:bCs/>
        </w:rPr>
      </w:pPr>
    </w:p>
    <w:p w14:paraId="2E1F7C33" w14:textId="42470BEE" w:rsidR="00A92A6F" w:rsidRPr="00C05D6B" w:rsidRDefault="00A92A6F" w:rsidP="009B1076">
      <w:pPr>
        <w:rPr>
          <w:rFonts w:ascii="Garamond" w:hAnsi="Garamond" w:cs="Times New Roman"/>
        </w:rPr>
      </w:pPr>
      <w:r w:rsidRPr="00C05D6B">
        <w:rPr>
          <w:rFonts w:ascii="Garamond" w:hAnsi="Garamond" w:cs="Times New Roman"/>
          <w:b/>
          <w:bCs/>
        </w:rPr>
        <w:tab/>
      </w:r>
      <w:r w:rsidRPr="00C05D6B">
        <w:rPr>
          <w:rFonts w:ascii="Garamond" w:hAnsi="Garamond" w:cs="Times New Roman"/>
        </w:rPr>
        <w:t xml:space="preserve">The Court confronted the question of </w:t>
      </w:r>
      <w:r w:rsidR="00DD16D0" w:rsidRPr="00C05D6B">
        <w:rPr>
          <w:rFonts w:ascii="Garamond" w:hAnsi="Garamond" w:cs="Times New Roman"/>
        </w:rPr>
        <w:t>universal</w:t>
      </w:r>
      <w:r w:rsidRPr="00C05D6B">
        <w:rPr>
          <w:rFonts w:ascii="Garamond" w:hAnsi="Garamond" w:cs="Times New Roman"/>
        </w:rPr>
        <w:t xml:space="preserve"> injunctions when the federal government filed emergency applications in suits challenging President Trump’s birthright-citizenship executive order that flew in the face of the Fourteenth Amendment’s Citizenship Clause and the Nationality Act of 1940</w:t>
      </w:r>
      <w:r w:rsidR="00681F71" w:rsidRPr="00C05D6B">
        <w:rPr>
          <w:rFonts w:ascii="Garamond" w:hAnsi="Garamond" w:cs="Times New Roman"/>
        </w:rPr>
        <w:fldChar w:fldCharType="begin"/>
      </w:r>
      <w:r w:rsidR="00681F71" w:rsidRPr="00C05D6B">
        <w:rPr>
          <w:rFonts w:ascii="Garamond" w:hAnsi="Garamond"/>
        </w:rPr>
        <w:instrText xml:space="preserve"> TA \l "</w:instrText>
      </w:r>
      <w:r w:rsidR="00681F71" w:rsidRPr="00C05D6B">
        <w:rPr>
          <w:rFonts w:ascii="Garamond" w:hAnsi="Garamond" w:cs="Times New Roman"/>
        </w:rPr>
        <w:instrText>Nationality Act of 1940</w:instrText>
      </w:r>
      <w:r w:rsidR="00681F71" w:rsidRPr="00C05D6B">
        <w:rPr>
          <w:rFonts w:ascii="Garamond" w:hAnsi="Garamond"/>
        </w:rPr>
        <w:instrText xml:space="preserve">" \s "Nationality Act of 1940" \c 2 </w:instrText>
      </w:r>
      <w:r w:rsidR="00681F71" w:rsidRPr="00C05D6B">
        <w:rPr>
          <w:rFonts w:ascii="Garamond" w:hAnsi="Garamond" w:cs="Times New Roman"/>
        </w:rPr>
        <w:fldChar w:fldCharType="end"/>
      </w:r>
      <w:r w:rsidRPr="00C05D6B">
        <w:rPr>
          <w:rFonts w:ascii="Garamond" w:hAnsi="Garamond" w:cs="Times New Roman"/>
        </w:rPr>
        <w:t>. Without reaching the merits of the birthright citizenship question, the Court used the case as an opportunity to hold that federal courts do not have general authority to issue nationwide injunctions.</w:t>
      </w:r>
    </w:p>
    <w:p w14:paraId="4A4D569C" w14:textId="77777777" w:rsidR="00A92A6F" w:rsidRPr="00C05D6B" w:rsidRDefault="00A92A6F" w:rsidP="00A92A6F">
      <w:pPr>
        <w:rPr>
          <w:rFonts w:ascii="Garamond" w:eastAsia="Times New Roman" w:hAnsi="Garamond" w:cs="Times New Roman"/>
        </w:rPr>
      </w:pPr>
    </w:p>
    <w:p w14:paraId="14007152" w14:textId="3D2B9967" w:rsidR="00A92A6F" w:rsidRPr="00C05D6B" w:rsidRDefault="00A92A6F" w:rsidP="00A92A6F">
      <w:pPr>
        <w:rPr>
          <w:rFonts w:ascii="Garamond" w:eastAsia="Times New Roman" w:hAnsi="Garamond" w:cs="Times New Roman"/>
          <w:b/>
          <w:bCs/>
          <w:smallCaps/>
          <w:lang w:val="it-IT"/>
        </w:rPr>
      </w:pPr>
      <w:r w:rsidRPr="00C05D6B">
        <w:rPr>
          <w:rFonts w:ascii="Garamond" w:eastAsia="Times New Roman" w:hAnsi="Garamond" w:cs="Times New Roman"/>
          <w:b/>
          <w:bCs/>
          <w:smallCaps/>
          <w:lang w:val="it-IT"/>
        </w:rPr>
        <w:t>Trump v. CASA</w:t>
      </w:r>
      <w:r w:rsidR="00681F71" w:rsidRPr="00C05D6B">
        <w:rPr>
          <w:rFonts w:ascii="Garamond" w:eastAsia="Times New Roman" w:hAnsi="Garamond" w:cs="Times New Roman"/>
          <w:b/>
          <w:bCs/>
          <w:smallCaps/>
          <w:lang w:val="it-IT"/>
        </w:rPr>
        <w:fldChar w:fldCharType="begin"/>
      </w:r>
      <w:r w:rsidR="00681F71" w:rsidRPr="00C05D6B">
        <w:rPr>
          <w:rFonts w:ascii="Garamond" w:hAnsi="Garamond"/>
          <w:lang w:val="it-IT"/>
        </w:rPr>
        <w:instrText xml:space="preserve"> TA \s "Trump v. CASA" </w:instrText>
      </w:r>
      <w:r w:rsidR="00681F71" w:rsidRPr="00C05D6B">
        <w:rPr>
          <w:rFonts w:ascii="Garamond" w:eastAsia="Times New Roman" w:hAnsi="Garamond" w:cs="Times New Roman"/>
          <w:b/>
          <w:bCs/>
          <w:smallCaps/>
          <w:lang w:val="it-IT"/>
        </w:rPr>
        <w:fldChar w:fldCharType="end"/>
      </w:r>
    </w:p>
    <w:p w14:paraId="700817AD" w14:textId="171EBCC6" w:rsidR="00A92A6F" w:rsidRPr="00364403" w:rsidRDefault="00A92A6F" w:rsidP="00A92A6F">
      <w:pPr>
        <w:rPr>
          <w:rFonts w:ascii="Garamond" w:eastAsia="Times New Roman" w:hAnsi="Garamond" w:cs="Times New Roman"/>
          <w:lang w:val="it-IT"/>
        </w:rPr>
      </w:pPr>
      <w:r w:rsidRPr="00C05D6B">
        <w:rPr>
          <w:rFonts w:ascii="Garamond" w:eastAsia="Times New Roman" w:hAnsi="Garamond" w:cs="Times New Roman"/>
          <w:lang w:val="it-IT"/>
        </w:rPr>
        <w:t>14</w:t>
      </w:r>
      <w:r w:rsidR="005A71CA" w:rsidRPr="00C05D6B">
        <w:rPr>
          <w:rFonts w:ascii="Garamond" w:eastAsia="Times New Roman" w:hAnsi="Garamond" w:cs="Times New Roman"/>
          <w:lang w:val="it-IT"/>
        </w:rPr>
        <w:t>5</w:t>
      </w:r>
      <w:r w:rsidRPr="00C05D6B">
        <w:rPr>
          <w:rFonts w:ascii="Garamond" w:eastAsia="Times New Roman" w:hAnsi="Garamond" w:cs="Times New Roman"/>
          <w:lang w:val="it-IT"/>
        </w:rPr>
        <w:t xml:space="preserve"> S. Ct. </w:t>
      </w:r>
      <w:r w:rsidR="005A71CA" w:rsidRPr="00364403">
        <w:rPr>
          <w:rFonts w:ascii="Garamond" w:eastAsia="Times New Roman" w:hAnsi="Garamond" w:cs="Times New Roman"/>
          <w:lang w:val="it-IT"/>
        </w:rPr>
        <w:t xml:space="preserve">2540 </w:t>
      </w:r>
      <w:r w:rsidRPr="00364403">
        <w:rPr>
          <w:rFonts w:ascii="Garamond" w:eastAsia="Times New Roman" w:hAnsi="Garamond" w:cs="Times New Roman"/>
          <w:lang w:val="it-IT"/>
        </w:rPr>
        <w:t>(2025)</w:t>
      </w:r>
    </w:p>
    <w:p w14:paraId="45021AC6" w14:textId="77777777" w:rsidR="00A92A6F" w:rsidRPr="00364403" w:rsidRDefault="00A92A6F" w:rsidP="00A92A6F">
      <w:pPr>
        <w:shd w:val="clear" w:color="auto" w:fill="FFFFFF"/>
        <w:textAlignment w:val="baseline"/>
        <w:rPr>
          <w:rFonts w:ascii="Garamond" w:eastAsia="Times New Roman" w:hAnsi="Garamond" w:cs="Times New Roman"/>
          <w:lang w:val="it-IT"/>
        </w:rPr>
      </w:pPr>
    </w:p>
    <w:p w14:paraId="1B436D3D" w14:textId="296CE0AD" w:rsidR="00E73149" w:rsidRPr="00C05D6B" w:rsidRDefault="00E73149" w:rsidP="00E73149">
      <w:pPr>
        <w:shd w:val="clear" w:color="auto" w:fill="FFFFFF"/>
        <w:textAlignment w:val="baseline"/>
        <w:rPr>
          <w:rFonts w:ascii="Garamond" w:hAnsi="Garamond" w:cs="Times New Roman"/>
        </w:rPr>
      </w:pPr>
      <w:r w:rsidRPr="00364403">
        <w:rPr>
          <w:rFonts w:ascii="Garamond" w:hAnsi="Garamond" w:cs="Times New Roman"/>
          <w:lang w:val="it-IT"/>
        </w:rPr>
        <w:tab/>
      </w:r>
      <w:r w:rsidRPr="00C05D6B">
        <w:rPr>
          <w:rFonts w:ascii="Garamond" w:hAnsi="Garamond" w:cs="Times New Roman"/>
        </w:rPr>
        <w:t>Justice Barrett delivered the opinion of the Court.</w:t>
      </w:r>
    </w:p>
    <w:p w14:paraId="66E45279" w14:textId="77777777" w:rsidR="00E73149" w:rsidRPr="00C05D6B" w:rsidRDefault="00E73149" w:rsidP="00E73149">
      <w:pPr>
        <w:shd w:val="clear" w:color="auto" w:fill="FFFFFF"/>
        <w:textAlignment w:val="baseline"/>
        <w:rPr>
          <w:rFonts w:ascii="Garamond" w:hAnsi="Garamond" w:cs="Times New Roman"/>
        </w:rPr>
      </w:pPr>
    </w:p>
    <w:p w14:paraId="04C2823F" w14:textId="57B8FD97"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The United States has filed three emergency applications challenging the scope of a federal court's authority to enjoin Government officials from enforcing an executive order. Traditionally, courts issued injunctions prohibiting executive officials from enforcing a challenged law or policy only against the plaintiffs in the lawsuit. The injunctions before us today reflect a more recent development: district courts asserting the power to prohibit enforcement of a law or policy against anyone. These injunctions—known as “universal injunctions”—likely exceed the equitable authority that Congress has granted to federal courts. We therefore grant the Government’s applications to partially stay the injunctions entered below.</w:t>
      </w:r>
    </w:p>
    <w:p w14:paraId="15523B63" w14:textId="77777777" w:rsidR="00E73149" w:rsidRPr="00C05D6B" w:rsidRDefault="00E73149" w:rsidP="009B1076">
      <w:pPr>
        <w:shd w:val="clear" w:color="auto" w:fill="FFFFFF"/>
        <w:ind w:firstLine="720"/>
        <w:textAlignment w:val="baseline"/>
        <w:rPr>
          <w:rFonts w:ascii="Garamond" w:hAnsi="Garamond" w:cs="Times New Roman"/>
        </w:rPr>
      </w:pPr>
    </w:p>
    <w:p w14:paraId="350B707F"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I</w:t>
      </w:r>
    </w:p>
    <w:p w14:paraId="3158D2C0" w14:textId="77777777" w:rsidR="00E73149" w:rsidRPr="00C05D6B" w:rsidRDefault="00E73149" w:rsidP="00E73149">
      <w:pPr>
        <w:shd w:val="clear" w:color="auto" w:fill="FFFFFF"/>
        <w:textAlignment w:val="baseline"/>
        <w:rPr>
          <w:rFonts w:ascii="Garamond" w:hAnsi="Garamond" w:cs="Times New Roman"/>
        </w:rPr>
      </w:pPr>
    </w:p>
    <w:p w14:paraId="12E7882A" w14:textId="50C5F155"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applications before us concern three overlapping, universal preliminary injunctions entered by three different District Courts. The plaintiffs—individuals, organizations, and States—sought to enjoin the implementation and enforcement of President Trump</w:t>
      </w:r>
      <w:r w:rsidR="00BE59E1" w:rsidRPr="00C05D6B">
        <w:rPr>
          <w:rFonts w:ascii="Garamond" w:hAnsi="Garamond" w:cs="Times New Roman"/>
        </w:rPr>
        <w:t>’</w:t>
      </w:r>
      <w:r w:rsidRPr="00C05D6B">
        <w:rPr>
          <w:rFonts w:ascii="Garamond" w:hAnsi="Garamond" w:cs="Times New Roman"/>
        </w:rPr>
        <w:t>s Executive Order No. 14160. The Executive Order identifies circumstances in which a person born in the United States is not “subject to the jurisdiction thereof” and is thus not recognized as an American citizen. Specifically, it sets forth the “policy of the United States” to no longer issue or accept documentation of citizenship in two scenarios: “(1) when [a] person</w:t>
      </w:r>
      <w:r w:rsidR="00BE59E1" w:rsidRPr="00C05D6B">
        <w:rPr>
          <w:rFonts w:ascii="Garamond" w:hAnsi="Garamond" w:cs="Times New Roman"/>
        </w:rPr>
        <w:t>’</w:t>
      </w:r>
      <w:r w:rsidRPr="00C05D6B">
        <w:rPr>
          <w:rFonts w:ascii="Garamond" w:hAnsi="Garamond" w:cs="Times New Roman"/>
        </w:rPr>
        <w:t>s mother was unlawfully present in the United States and the person</w:t>
      </w:r>
      <w:r w:rsidR="00BE59E1" w:rsidRPr="00C05D6B">
        <w:rPr>
          <w:rFonts w:ascii="Garamond" w:hAnsi="Garamond" w:cs="Times New Roman"/>
        </w:rPr>
        <w:t>’</w:t>
      </w:r>
      <w:r w:rsidRPr="00C05D6B">
        <w:rPr>
          <w:rFonts w:ascii="Garamond" w:hAnsi="Garamond" w:cs="Times New Roman"/>
        </w:rPr>
        <w:t>s father was not a United States citizen or lawful permanent resident at the time of said person</w:t>
      </w:r>
      <w:r w:rsidR="00BE59E1" w:rsidRPr="00C05D6B">
        <w:rPr>
          <w:rFonts w:ascii="Garamond" w:hAnsi="Garamond" w:cs="Times New Roman"/>
        </w:rPr>
        <w:t>’</w:t>
      </w:r>
      <w:r w:rsidRPr="00C05D6B">
        <w:rPr>
          <w:rFonts w:ascii="Garamond" w:hAnsi="Garamond" w:cs="Times New Roman"/>
        </w:rPr>
        <w:t>s birth, or (2) when [a] person</w:t>
      </w:r>
      <w:r w:rsidR="00BE59E1" w:rsidRPr="00C05D6B">
        <w:rPr>
          <w:rFonts w:ascii="Garamond" w:hAnsi="Garamond" w:cs="Times New Roman"/>
        </w:rPr>
        <w:t>’</w:t>
      </w:r>
      <w:r w:rsidRPr="00C05D6B">
        <w:rPr>
          <w:rFonts w:ascii="Garamond" w:hAnsi="Garamond" w:cs="Times New Roman"/>
        </w:rPr>
        <w:t>s mother</w:t>
      </w:r>
      <w:r w:rsidR="00BE59E1" w:rsidRPr="00C05D6B">
        <w:rPr>
          <w:rFonts w:ascii="Garamond" w:hAnsi="Garamond" w:cs="Times New Roman"/>
        </w:rPr>
        <w:t>’</w:t>
      </w:r>
      <w:r w:rsidRPr="00C05D6B">
        <w:rPr>
          <w:rFonts w:ascii="Garamond" w:hAnsi="Garamond" w:cs="Times New Roman"/>
        </w:rPr>
        <w:t>s presence in the United States was lawful but temporary, and the person</w:t>
      </w:r>
      <w:r w:rsidR="00BE59E1" w:rsidRPr="00C05D6B">
        <w:rPr>
          <w:rFonts w:ascii="Garamond" w:hAnsi="Garamond" w:cs="Times New Roman"/>
        </w:rPr>
        <w:t>’</w:t>
      </w:r>
      <w:r w:rsidRPr="00C05D6B">
        <w:rPr>
          <w:rFonts w:ascii="Garamond" w:hAnsi="Garamond" w:cs="Times New Roman"/>
        </w:rPr>
        <w:t>s father was not a United States citizen or lawful permanent resident at the time of said person</w:t>
      </w:r>
      <w:r w:rsidR="00BE59E1" w:rsidRPr="00C05D6B">
        <w:rPr>
          <w:rFonts w:ascii="Garamond" w:hAnsi="Garamond" w:cs="Times New Roman"/>
        </w:rPr>
        <w:t>’</w:t>
      </w:r>
      <w:r w:rsidRPr="00C05D6B">
        <w:rPr>
          <w:rFonts w:ascii="Garamond" w:hAnsi="Garamond" w:cs="Times New Roman"/>
        </w:rPr>
        <w:t xml:space="preserve">s birth.” </w:t>
      </w:r>
    </w:p>
    <w:p w14:paraId="5ACC6E8B" w14:textId="77777777" w:rsidR="00E73149" w:rsidRPr="00C05D6B" w:rsidRDefault="00E73149" w:rsidP="00E73149">
      <w:pPr>
        <w:shd w:val="clear" w:color="auto" w:fill="FFFFFF"/>
        <w:textAlignment w:val="baseline"/>
        <w:rPr>
          <w:rFonts w:ascii="Garamond" w:hAnsi="Garamond" w:cs="Times New Roman"/>
        </w:rPr>
      </w:pPr>
    </w:p>
    <w:p w14:paraId="575F666F" w14:textId="5DA08798"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plaintiffs filed suit, alleging that the Executive Order violates the Fourteenth Amendment's Citizenship Clause, § 1, as well as § 201 of the Nationality Act of 1940. In each case, </w:t>
      </w:r>
      <w:r w:rsidRPr="00C05D6B">
        <w:rPr>
          <w:rFonts w:ascii="Garamond" w:hAnsi="Garamond" w:cs="Times New Roman"/>
        </w:rPr>
        <w:lastRenderedPageBreak/>
        <w:t>the District Court concluded that the Executive Order is likely unlawful and entered a universal preliminary injunction barring various executive officials from applying the policy to anyone in the country. And in each case, the Court of Appeals denied the Government</w:t>
      </w:r>
      <w:r w:rsidR="00BE59E1" w:rsidRPr="00C05D6B">
        <w:rPr>
          <w:rFonts w:ascii="Garamond" w:hAnsi="Garamond" w:cs="Times New Roman"/>
        </w:rPr>
        <w:t>’</w:t>
      </w:r>
      <w:r w:rsidRPr="00C05D6B">
        <w:rPr>
          <w:rFonts w:ascii="Garamond" w:hAnsi="Garamond" w:cs="Times New Roman"/>
        </w:rPr>
        <w:t xml:space="preserve">s request to stay the sweeping relief. </w:t>
      </w:r>
    </w:p>
    <w:p w14:paraId="60A7F4C8" w14:textId="77777777" w:rsidR="00E73149" w:rsidRPr="00C05D6B" w:rsidRDefault="00E73149" w:rsidP="00E73149">
      <w:pPr>
        <w:shd w:val="clear" w:color="auto" w:fill="FFFFFF"/>
        <w:textAlignment w:val="baseline"/>
        <w:rPr>
          <w:rFonts w:ascii="Garamond" w:hAnsi="Garamond" w:cs="Times New Roman"/>
        </w:rPr>
      </w:pPr>
    </w:p>
    <w:p w14:paraId="01E98C7D" w14:textId="73E50EF0"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Government has now filed three nearly identical applications seeking to partially stay the universal preliminary injunctions and limit them to the parties. The applications do not raise—and thus we do not address—the question whether the Executive Order violates the Citizenship Clause or Nationality Act. The issue before us is one of remedy: whether, under the Judiciary Act of 1789, federal courts have equitable authority to issue universal injunctions.</w:t>
      </w:r>
    </w:p>
    <w:p w14:paraId="00AC796B" w14:textId="77777777" w:rsidR="00E73149" w:rsidRPr="00C05D6B" w:rsidRDefault="00E73149" w:rsidP="00E73149">
      <w:pPr>
        <w:shd w:val="clear" w:color="auto" w:fill="FFFFFF"/>
        <w:textAlignment w:val="baseline"/>
        <w:rPr>
          <w:rFonts w:ascii="Garamond" w:hAnsi="Garamond" w:cs="Times New Roman"/>
        </w:rPr>
      </w:pPr>
    </w:p>
    <w:p w14:paraId="77BF5AEB" w14:textId="5CDF6181"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II</w:t>
      </w:r>
    </w:p>
    <w:p w14:paraId="24DD6683" w14:textId="77777777" w:rsidR="00E73149" w:rsidRPr="00C05D6B" w:rsidRDefault="00E73149" w:rsidP="00E73149">
      <w:pPr>
        <w:shd w:val="clear" w:color="auto" w:fill="FFFFFF"/>
        <w:textAlignment w:val="baseline"/>
        <w:rPr>
          <w:rFonts w:ascii="Garamond" w:hAnsi="Garamond" w:cs="Times New Roman"/>
        </w:rPr>
      </w:pPr>
    </w:p>
    <w:p w14:paraId="030FDC78" w14:textId="60AE96D5"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question whether Congress has granted federal courts the authority to universally enjoin the enforcement of an executive or legislative policy plainly warrants our review, as Members of this Court have repeatedly emphasized. On multiple occasions, and across administrations, the Solicitor General has asked us to consider the propriety of this expansive remedy. </w:t>
      </w:r>
    </w:p>
    <w:p w14:paraId="6DFF56DC" w14:textId="77777777" w:rsidR="00E73149" w:rsidRPr="00C05D6B" w:rsidRDefault="00E73149" w:rsidP="00E73149">
      <w:pPr>
        <w:shd w:val="clear" w:color="auto" w:fill="FFFFFF"/>
        <w:ind w:firstLine="720"/>
        <w:textAlignment w:val="baseline"/>
        <w:rPr>
          <w:rFonts w:ascii="Garamond" w:hAnsi="Garamond" w:cs="Times New Roman"/>
        </w:rPr>
      </w:pPr>
    </w:p>
    <w:p w14:paraId="12898BCA" w14:textId="2E437C2B"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It is easy to see why. By the end of the Biden administration, we had reached “a state of affairs where almost every major presidential act [was] immediately frozen by a federal district court.” The trend has continued: During the first 100 days of the second Trump administration, district courts issued approximately 25 universal injunctions. </w:t>
      </w:r>
    </w:p>
    <w:p w14:paraId="7E3DB9C5" w14:textId="77777777" w:rsidR="00E73149" w:rsidRPr="00C05D6B" w:rsidRDefault="00E73149" w:rsidP="00E73149">
      <w:pPr>
        <w:shd w:val="clear" w:color="auto" w:fill="FFFFFF"/>
        <w:textAlignment w:val="baseline"/>
        <w:rPr>
          <w:rFonts w:ascii="Garamond" w:hAnsi="Garamond" w:cs="Times New Roman"/>
        </w:rPr>
      </w:pPr>
    </w:p>
    <w:p w14:paraId="41C46D99" w14:textId="29CED13C"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III</w:t>
      </w:r>
    </w:p>
    <w:p w14:paraId="741C8F73" w14:textId="77777777" w:rsidR="00E73149" w:rsidRPr="00C05D6B" w:rsidRDefault="00E73149" w:rsidP="00E73149">
      <w:pPr>
        <w:shd w:val="clear" w:color="auto" w:fill="FFFFFF"/>
        <w:textAlignment w:val="baseline"/>
        <w:rPr>
          <w:rFonts w:ascii="Garamond" w:hAnsi="Garamond" w:cs="Times New Roman"/>
        </w:rPr>
      </w:pPr>
    </w:p>
    <w:p w14:paraId="27AD4D51" w14:textId="573A56B0"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Government is likely to succeed on the merits of its argument regarding the scope of relief. A universal injunction can be justified only as an exercise of equitable authority, yet Congress has granted federal courts no such power. </w:t>
      </w:r>
    </w:p>
    <w:p w14:paraId="3B3BE53C" w14:textId="77777777" w:rsidR="00E73149" w:rsidRPr="00C05D6B" w:rsidRDefault="00E73149" w:rsidP="00E73149">
      <w:pPr>
        <w:shd w:val="clear" w:color="auto" w:fill="FFFFFF"/>
        <w:textAlignment w:val="baseline"/>
        <w:rPr>
          <w:rFonts w:ascii="Garamond" w:hAnsi="Garamond" w:cs="Times New Roman"/>
        </w:rPr>
      </w:pPr>
    </w:p>
    <w:p w14:paraId="3E7BE1E2" w14:textId="72B5AC4A"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Judiciary Act of 1789 endowed federal courts with jurisdiction over “all suits </w:t>
      </w:r>
      <w:r w:rsidR="00BE59E1" w:rsidRPr="00C05D6B">
        <w:rPr>
          <w:rFonts w:ascii="Garamond" w:hAnsi="Garamond" w:cs="Times New Roman"/>
        </w:rPr>
        <w:t>. . .</w:t>
      </w:r>
      <w:r w:rsidRPr="00C05D6B">
        <w:rPr>
          <w:rFonts w:ascii="Garamond" w:hAnsi="Garamond" w:cs="Times New Roman"/>
        </w:rPr>
        <w:t xml:space="preserve"> in equity,” and still today, this statute “is what authorizes the federal courts to issue equitable remedies.” Though flexible, this equitable authority is not freewheeling. We have held that the statutory grant encompasses only those sorts of equitable remedies “traditionally accorded by courts of equity” at our country</w:t>
      </w:r>
      <w:r w:rsidR="00BE59E1" w:rsidRPr="00C05D6B">
        <w:rPr>
          <w:rFonts w:ascii="Garamond" w:hAnsi="Garamond" w:cs="Times New Roman"/>
        </w:rPr>
        <w:t>’</w:t>
      </w:r>
      <w:r w:rsidRPr="00C05D6B">
        <w:rPr>
          <w:rFonts w:ascii="Garamond" w:hAnsi="Garamond" w:cs="Times New Roman"/>
        </w:rPr>
        <w:t xml:space="preserve">s inception.  We must therefore ask whether universal injunctions are sufficiently “analogous” to the relief issued “by the High Court of Chancery in England at the time of the adoption of the Constitution and the enactment of the original Judiciary Act.” </w:t>
      </w:r>
    </w:p>
    <w:p w14:paraId="43384382" w14:textId="77777777" w:rsidR="00E73149" w:rsidRPr="00C05D6B" w:rsidRDefault="00E73149" w:rsidP="00E73149">
      <w:pPr>
        <w:shd w:val="clear" w:color="auto" w:fill="FFFFFF"/>
        <w:textAlignment w:val="baseline"/>
        <w:rPr>
          <w:rFonts w:ascii="Garamond" w:hAnsi="Garamond" w:cs="Times New Roman"/>
        </w:rPr>
      </w:pPr>
    </w:p>
    <w:p w14:paraId="3195838E" w14:textId="36179EEA"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 xml:space="preserve">The answer is no: Neither the universal injunction nor any analogous form of relief was available in the High Court of Chancery in England at the time of the founding. Equity offered a mechanism for the Crown “to secure justice where it would not be secured by the ordinary and existing processes of law.” This “judicial prerogative of the King” thus extended to “those causes which the ordinary judges were incapable of determining.” Eventually, the Crown instituted the “practice of delegating the cases” that “came before” the judicial prerogative “to the chancellor for his sole decision.”  This “became the common mode of dealing with such controversies.” </w:t>
      </w:r>
    </w:p>
    <w:p w14:paraId="109251C4" w14:textId="77777777" w:rsidR="00E73149" w:rsidRPr="00C05D6B" w:rsidRDefault="00E73149" w:rsidP="009B1076">
      <w:pPr>
        <w:shd w:val="clear" w:color="auto" w:fill="FFFFFF"/>
        <w:ind w:firstLine="720"/>
        <w:textAlignment w:val="baseline"/>
        <w:rPr>
          <w:rFonts w:ascii="Garamond" w:hAnsi="Garamond" w:cs="Times New Roman"/>
        </w:rPr>
      </w:pPr>
    </w:p>
    <w:p w14:paraId="4FE49A01" w14:textId="11546E74"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Of importance here, suits in equity were brought by and against individual parties. Indeed, the “general rule in Equity [was] that all persons materially interested [in the suit] [were] to be made parties to it.” Injunctions were no exception; there were “sometimes suits to restrain the actions of </w:t>
      </w:r>
      <w:r w:rsidRPr="00C05D6B">
        <w:rPr>
          <w:rFonts w:ascii="Garamond" w:hAnsi="Garamond" w:cs="Times New Roman"/>
        </w:rPr>
        <w:lastRenderedPageBreak/>
        <w:t>particular officers against particular plaintiffs.” And in certain cases, the “Attorney General could be a defendant.”  The Chancellor</w:t>
      </w:r>
      <w:r w:rsidR="00BE59E1" w:rsidRPr="00C05D6B">
        <w:rPr>
          <w:rFonts w:ascii="Garamond" w:hAnsi="Garamond" w:cs="Times New Roman"/>
        </w:rPr>
        <w:t>’</w:t>
      </w:r>
      <w:r w:rsidRPr="00C05D6B">
        <w:rPr>
          <w:rFonts w:ascii="Garamond" w:hAnsi="Garamond" w:cs="Times New Roman"/>
        </w:rPr>
        <w:t xml:space="preserve">s remedies were also typically party specific. “As a general rule, an injunction” could not bind one who was not a “party to the cause.” Suffice it to say, then, under longstanding equity practice in England, there was no remedy “remotely like a national injunction.” </w:t>
      </w:r>
    </w:p>
    <w:p w14:paraId="2AA68722" w14:textId="77777777" w:rsidR="00E73149" w:rsidRPr="00C05D6B" w:rsidRDefault="00E73149" w:rsidP="00E73149">
      <w:pPr>
        <w:shd w:val="clear" w:color="auto" w:fill="FFFFFF"/>
        <w:textAlignment w:val="baseline"/>
        <w:rPr>
          <w:rFonts w:ascii="Garamond" w:hAnsi="Garamond" w:cs="Times New Roman"/>
        </w:rPr>
      </w:pPr>
    </w:p>
    <w:p w14:paraId="0FF4F3C7" w14:textId="411701A2"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Nor did founding-era courts of equity in the United States chart a different course. If anything, the approach traditionally taken by federal courts cuts against the existence of such a sweeping remedy. In the ensuing decades, we consistently rebuffed requests for relief that extended beyond the parties. </w:t>
      </w:r>
    </w:p>
    <w:p w14:paraId="0A92A80D" w14:textId="77777777" w:rsidR="00BE59E1" w:rsidRPr="00C05D6B" w:rsidRDefault="00BE59E1" w:rsidP="00E73149">
      <w:pPr>
        <w:shd w:val="clear" w:color="auto" w:fill="FFFFFF"/>
        <w:textAlignment w:val="baseline"/>
        <w:rPr>
          <w:rFonts w:ascii="Garamond" w:hAnsi="Garamond" w:cs="Times New Roman"/>
        </w:rPr>
      </w:pPr>
    </w:p>
    <w:p w14:paraId="4338E3D9" w14:textId="3E9F9136" w:rsidR="00E73149" w:rsidRPr="00C05D6B" w:rsidRDefault="00E73149" w:rsidP="00BE59E1">
      <w:pPr>
        <w:shd w:val="clear" w:color="auto" w:fill="FFFFFF"/>
        <w:ind w:firstLine="720"/>
        <w:textAlignment w:val="baseline"/>
        <w:rPr>
          <w:rFonts w:ascii="Garamond" w:hAnsi="Garamond" w:cs="Times New Roman"/>
        </w:rPr>
      </w:pPr>
      <w:r w:rsidRPr="00C05D6B">
        <w:rPr>
          <w:rFonts w:ascii="Garamond" w:hAnsi="Garamond" w:cs="Times New Roman"/>
        </w:rPr>
        <w:t xml:space="preserve">Our early refusals to grant relief to nonparties are consistent with the party-specific principles that permeate our understanding of equity. “[N]either declaratory nor injunctive relief,” we have said, “can directly interfere with enforcement of contested statutes or ordinances except with respect to the particular federal plaintiffs.” </w:t>
      </w:r>
    </w:p>
    <w:p w14:paraId="668B53AC" w14:textId="77777777" w:rsidR="00E73149" w:rsidRPr="00C05D6B" w:rsidRDefault="00E73149" w:rsidP="00E73149">
      <w:pPr>
        <w:shd w:val="clear" w:color="auto" w:fill="FFFFFF"/>
        <w:textAlignment w:val="baseline"/>
        <w:rPr>
          <w:rFonts w:ascii="Garamond" w:hAnsi="Garamond" w:cs="Times New Roman"/>
        </w:rPr>
      </w:pPr>
    </w:p>
    <w:p w14:paraId="7889CB67" w14:textId="113CC69C"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 xml:space="preserve">In fact, universal injunctions were not a feature of federal-court litigation until sometime in the 20th century. The D.C. Circuit issued what some regard as the first universal injunction in 1963. Yet such injunctions remained rare until the turn of the 21st century, when their use gradually accelerated. One study identified approximately 127 universal injunctions issued between 1963 and 2023. Ninety-six of them—over three quarters—were issued during the administrations of President George W. Bush, President Obama, President Trump, and President Biden. </w:t>
      </w:r>
    </w:p>
    <w:p w14:paraId="5260EF76" w14:textId="77777777" w:rsidR="00E73149" w:rsidRPr="00C05D6B" w:rsidRDefault="00E73149" w:rsidP="009B1076">
      <w:pPr>
        <w:shd w:val="clear" w:color="auto" w:fill="FFFFFF"/>
        <w:ind w:firstLine="720"/>
        <w:textAlignment w:val="baseline"/>
        <w:rPr>
          <w:rFonts w:ascii="Garamond" w:hAnsi="Garamond" w:cs="Times New Roman"/>
        </w:rPr>
      </w:pPr>
    </w:p>
    <w:p w14:paraId="594D2ADF" w14:textId="6F1E0758"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bottom line? The universal injunction was conspicuously nonexistent for most of our Nation's history. Its absence from 18th- and 19th-century equity practice settles the question of judicial authority. That the absence continued into the 20th century renders any claim of historical pedigree still more implausible. Even during the “deluge of constitutional litigation that occurred in the wake of </w:t>
      </w:r>
      <w:r w:rsidRPr="00C05D6B">
        <w:rPr>
          <w:rFonts w:ascii="Garamond" w:hAnsi="Garamond" w:cs="Times New Roman"/>
          <w:i/>
          <w:iCs/>
        </w:rPr>
        <w:t xml:space="preserve">Ex </w:t>
      </w:r>
      <w:proofErr w:type="spellStart"/>
      <w:r w:rsidRPr="00C05D6B">
        <w:rPr>
          <w:rFonts w:ascii="Garamond" w:hAnsi="Garamond" w:cs="Times New Roman"/>
          <w:i/>
          <w:iCs/>
        </w:rPr>
        <w:t>parte</w:t>
      </w:r>
      <w:proofErr w:type="spellEnd"/>
      <w:r w:rsidRPr="00C05D6B">
        <w:rPr>
          <w:rFonts w:ascii="Garamond" w:hAnsi="Garamond" w:cs="Times New Roman"/>
          <w:i/>
          <w:iCs/>
        </w:rPr>
        <w:t xml:space="preserve"> Young</w:t>
      </w:r>
      <w:r w:rsidRPr="00C05D6B">
        <w:rPr>
          <w:rFonts w:ascii="Garamond" w:hAnsi="Garamond" w:cs="Times New Roman"/>
        </w:rPr>
        <w:t>, throughout the Lochner Era, and at the dawn of the New Deal,” universal injunctions were nowhere to be found. Had federal courts believed themselves to possess the tool, surely they would not have let it lie idle. Because the universal injunction lacks a historical pedigree, it falls outside the bounds of a federal court's equitable authority under the Judiciary Act.</w:t>
      </w:r>
    </w:p>
    <w:p w14:paraId="5D10D709" w14:textId="77777777" w:rsidR="00E73149" w:rsidRPr="00C05D6B" w:rsidRDefault="00E73149" w:rsidP="00E73149">
      <w:pPr>
        <w:shd w:val="clear" w:color="auto" w:fill="FFFFFF"/>
        <w:textAlignment w:val="baseline"/>
        <w:rPr>
          <w:rFonts w:ascii="Garamond" w:hAnsi="Garamond" w:cs="Times New Roman"/>
        </w:rPr>
      </w:pPr>
    </w:p>
    <w:p w14:paraId="0072A1FB" w14:textId="7B71EFFE"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Respondents raise several counterarguments, which the principal dissent echoes. First, they insist that the universal injunction has a sufficient historical analogue: a decree resulting from a bill of peace. Second, they maintain that universal injunctions are consistent with the principle that a court of equity may fashion complete relief for the parties. Third, they argue that universal injunctions serve important policy objectives.</w:t>
      </w:r>
    </w:p>
    <w:p w14:paraId="65EF7CB4" w14:textId="77777777" w:rsidR="00E73149" w:rsidRPr="00C05D6B" w:rsidRDefault="00E73149" w:rsidP="00E73149">
      <w:pPr>
        <w:shd w:val="clear" w:color="auto" w:fill="FFFFFF"/>
        <w:textAlignment w:val="baseline"/>
        <w:rPr>
          <w:rFonts w:ascii="Garamond" w:hAnsi="Garamond" w:cs="Times New Roman"/>
        </w:rPr>
      </w:pPr>
    </w:p>
    <w:p w14:paraId="48BCBC0D" w14:textId="060AC335"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In an effort to satisfy [the] historical test, respondents claim that universal injunctive relief does have a founding-era forebear: the decree obtained on a “bill of peace,” which was a form of group litigation permitted in English courts. This bill allowed the Chancellor to consolidate multiple suits that involved a “common claim the plaintiff could have against multiple defendants” or “some kind of common claim that multiple plaintiffs could have against a single defendant.” </w:t>
      </w:r>
    </w:p>
    <w:p w14:paraId="06D869E6" w14:textId="77777777" w:rsidR="00E73149" w:rsidRPr="00C05D6B" w:rsidRDefault="00E73149" w:rsidP="00E73149">
      <w:pPr>
        <w:shd w:val="clear" w:color="auto" w:fill="FFFFFF"/>
        <w:textAlignment w:val="baseline"/>
        <w:rPr>
          <w:rFonts w:ascii="Garamond" w:hAnsi="Garamond" w:cs="Times New Roman"/>
        </w:rPr>
      </w:pPr>
    </w:p>
    <w:p w14:paraId="0B871C76" w14:textId="5073D5A8"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analogy does not work. True, “bills of peace allowed [courts of equity] to adjudicate the rights of members of dispersed groups without formally joining them to a lawsuit through the usual procedures.”  Unlike universal injunctions, which reach anyone affected by legislative or executive action—no matter how large the group or how tangential the effect—a bill of peace involved a “group [that] was small and cohesive,” and the suit did not “resolve a question of legal interpretation </w:t>
      </w:r>
      <w:r w:rsidRPr="00C05D6B">
        <w:rPr>
          <w:rFonts w:ascii="Garamond" w:hAnsi="Garamond" w:cs="Times New Roman"/>
        </w:rPr>
        <w:lastRenderedPageBreak/>
        <w:t xml:space="preserve">for the entire realm.” And unlike universal injunctions, which bind only the parties to the suit, decrees obtained on a bill of peace “would bind all members of the group, whether they were present in the action or not.”  As Chief Judge Sutton aptly put it, “[t]he domesticated animal known as a bill of peace looks nothing like the dragon of nationwide injunctions.” </w:t>
      </w:r>
    </w:p>
    <w:p w14:paraId="37F01FC3" w14:textId="77777777" w:rsidR="00E73149" w:rsidRPr="00C05D6B" w:rsidRDefault="00E73149" w:rsidP="00E73149">
      <w:pPr>
        <w:shd w:val="clear" w:color="auto" w:fill="FFFFFF"/>
        <w:textAlignment w:val="baseline"/>
        <w:rPr>
          <w:rFonts w:ascii="Garamond" w:hAnsi="Garamond" w:cs="Times New Roman"/>
        </w:rPr>
      </w:pPr>
    </w:p>
    <w:p w14:paraId="595BA2B9" w14:textId="6E0CA570"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bill of peace lives in modern form, but not as the universal injunction. It evolved into the modern class action, which is governed in federal court by Rule 23 of the Federal Rules of Civil Procedure. And while Rule 23 is in some ways “more restrictive of representative suits than the original bills of peace,” it would still be recognizable to an English Chancellor. Rule 23 requires numerosity (such that joinder is impracticable), common questions of law or fact, typicality, and representative parties who adequately protect the interests of the class.  The requirements for a bill of peace were virtually identical. None of these requirements is a prerequisite for a universal injunction.</w:t>
      </w:r>
    </w:p>
    <w:p w14:paraId="12ED8C57" w14:textId="77777777" w:rsidR="00E73149" w:rsidRPr="00C05D6B" w:rsidRDefault="00E73149" w:rsidP="00E73149">
      <w:pPr>
        <w:shd w:val="clear" w:color="auto" w:fill="FFFFFF"/>
        <w:textAlignment w:val="baseline"/>
        <w:rPr>
          <w:rFonts w:ascii="Garamond" w:hAnsi="Garamond" w:cs="Times New Roman"/>
        </w:rPr>
      </w:pPr>
    </w:p>
    <w:p w14:paraId="2B7E7477" w14:textId="12A09137"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Rule 23’s limits on class actions underscore a significant problem with universal injunctions. Yet by forging a shortcut to relief that benefits parties and nonparties alike, universal injunctions circumvent Rule 23’s procedural protections and allow courts to “create de facto class actions at will.”  Why bother with a Rule 23 class action when the quick fix of a universal injunction is on the table? </w:t>
      </w:r>
    </w:p>
    <w:p w14:paraId="3B4A3E99" w14:textId="77777777" w:rsidR="00E73149" w:rsidRPr="00C05D6B" w:rsidRDefault="00E73149" w:rsidP="00E73149">
      <w:pPr>
        <w:shd w:val="clear" w:color="auto" w:fill="FFFFFF"/>
        <w:textAlignment w:val="baseline"/>
        <w:rPr>
          <w:rFonts w:ascii="Garamond" w:hAnsi="Garamond" w:cs="Times New Roman"/>
        </w:rPr>
      </w:pPr>
    </w:p>
    <w:p w14:paraId="2D46CA3B" w14:textId="62C5047E"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Respondents contend that universal injunctions—or at least these universal injunctions—are consistent with the principle that a court of equity may fashion a remedy that awards complete relief. We agree that the complete-relief principle has deep roots in equity. But to the extent respondents argue that it justifies the award of relief to nonparties, they are mistaken. </w:t>
      </w:r>
    </w:p>
    <w:p w14:paraId="6B10A921" w14:textId="77777777" w:rsidR="00E73149" w:rsidRPr="00C05D6B" w:rsidRDefault="00E73149" w:rsidP="00E73149">
      <w:pPr>
        <w:shd w:val="clear" w:color="auto" w:fill="FFFFFF"/>
        <w:textAlignment w:val="baseline"/>
        <w:rPr>
          <w:rFonts w:ascii="Garamond" w:hAnsi="Garamond" w:cs="Times New Roman"/>
        </w:rPr>
      </w:pPr>
    </w:p>
    <w:p w14:paraId="0FC8FA7A" w14:textId="7633BE3C"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“Complete relief” is not synonymous with “universal relief.” It is a narrower concept: The equitable tradition has long embraced the rule that courts generally “may administer complete relief between the parties.”  While party-specific injunctions sometimes “</w:t>
      </w:r>
      <w:proofErr w:type="spellStart"/>
      <w:r w:rsidRPr="00C05D6B">
        <w:rPr>
          <w:rFonts w:ascii="Garamond" w:hAnsi="Garamond" w:cs="Times New Roman"/>
        </w:rPr>
        <w:t>advantag</w:t>
      </w:r>
      <w:proofErr w:type="spellEnd"/>
      <w:r w:rsidRPr="00C05D6B">
        <w:rPr>
          <w:rFonts w:ascii="Garamond" w:hAnsi="Garamond" w:cs="Times New Roman"/>
        </w:rPr>
        <w:t>[e] nonparties,” they do so only incidentally.</w:t>
      </w:r>
    </w:p>
    <w:p w14:paraId="2C64E98A" w14:textId="77777777" w:rsidR="00E73149" w:rsidRPr="00C05D6B" w:rsidRDefault="00E73149" w:rsidP="00E73149">
      <w:pPr>
        <w:shd w:val="clear" w:color="auto" w:fill="FFFFFF"/>
        <w:textAlignment w:val="baseline"/>
        <w:rPr>
          <w:rFonts w:ascii="Garamond" w:hAnsi="Garamond" w:cs="Times New Roman"/>
        </w:rPr>
      </w:pPr>
    </w:p>
    <w:p w14:paraId="2C3DC0E9" w14:textId="45C8334D"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complete-relief inquiry is more complicated for the state respondents, because the relevant injunction does not purport to directly benefit nonparties. Instead, the District Court for the District of Massachusetts decided that a universal injunction was necessary to provide the States themselves with complete relief. The Government—unsurprisingly—sees matters differently. It retorts that even if the injunction is designed to benefit only the States, it is “more burdensome than necessary to redress” their asserted harms. We decline to take up these arguments in the first instance. The lower courts should determine whether a narrower injunction is appropriate; we therefore leave it to them to consider these and any related arguments.</w:t>
      </w:r>
    </w:p>
    <w:p w14:paraId="2ED492EF" w14:textId="77777777" w:rsidR="00E73149" w:rsidRPr="00C05D6B" w:rsidRDefault="00E73149" w:rsidP="00E73149">
      <w:pPr>
        <w:shd w:val="clear" w:color="auto" w:fill="FFFFFF"/>
        <w:textAlignment w:val="baseline"/>
        <w:rPr>
          <w:rFonts w:ascii="Garamond" w:hAnsi="Garamond" w:cs="Times New Roman"/>
        </w:rPr>
      </w:pPr>
    </w:p>
    <w:p w14:paraId="581E7306" w14:textId="79543726"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Respondents also defend universal injunctions as a matter of policy. They argue that a universal injunction is sometimes the only practical way to quickly protect groups from unlawful government action.  So, they insist, universal injunctions must be permitted for the good of the system.</w:t>
      </w:r>
    </w:p>
    <w:p w14:paraId="5967AFA2" w14:textId="77777777" w:rsidR="00E73149" w:rsidRPr="00C05D6B" w:rsidRDefault="00E73149" w:rsidP="00E73149">
      <w:pPr>
        <w:shd w:val="clear" w:color="auto" w:fill="FFFFFF"/>
        <w:textAlignment w:val="baseline"/>
        <w:rPr>
          <w:rFonts w:ascii="Garamond" w:hAnsi="Garamond" w:cs="Times New Roman"/>
        </w:rPr>
      </w:pPr>
    </w:p>
    <w:p w14:paraId="232F98DB" w14:textId="71730FD7"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Government advances policy arguments running the other way. Echoing Chief Judge Sutton, the Government asserts that avoiding a patchwork enforcement system is a justification that “lacks a limiting principle and would make nationwide injunctions the rule rather than the exception” for challenges to many kinds of federal law. It stresses—as the principal dissent also </w:t>
      </w:r>
      <w:r w:rsidRPr="00C05D6B">
        <w:rPr>
          <w:rFonts w:ascii="Garamond" w:hAnsi="Garamond" w:cs="Times New Roman"/>
        </w:rPr>
        <w:lastRenderedPageBreak/>
        <w:t xml:space="preserve">observes—that universal injunctions incentivize forum shopping, since a successful challenge in one jurisdiction entails relief nationwide. In a similar vein, the Government observes that universal injunctions operate asymmetrically: A plaintiff must win just one suit to secure sweeping relief. But to fend off such an injunction, the Government must win everywhere. Moreover, the Government contends, the practice of universal injunctions means that highly consequential cases are often decided in a “fast and furious” process of “rushed, high-stakes, [and] low-information” </w:t>
      </w:r>
      <w:proofErr w:type="spellStart"/>
      <w:r w:rsidRPr="00C05D6B">
        <w:rPr>
          <w:rFonts w:ascii="Garamond" w:hAnsi="Garamond" w:cs="Times New Roman"/>
        </w:rPr>
        <w:t>decisionmaking</w:t>
      </w:r>
      <w:proofErr w:type="spellEnd"/>
      <w:r w:rsidRPr="00C05D6B">
        <w:rPr>
          <w:rFonts w:ascii="Garamond" w:hAnsi="Garamond" w:cs="Times New Roman"/>
        </w:rPr>
        <w:t xml:space="preserve">. When a district court issues a universal injunction, thereby halting the enforcement of federal policy, the Government says that it has little recourse but to proceed to the court of appeals for an emergency stay. The loser in the court of appeals will then seek a stay from this Court. This process forces courts to resolve significant and difficult questions of law on a highly expedited basis and without full briefing. </w:t>
      </w:r>
    </w:p>
    <w:p w14:paraId="323DA166" w14:textId="77777777" w:rsidR="00E73149" w:rsidRPr="00C05D6B" w:rsidRDefault="00E73149" w:rsidP="00E73149">
      <w:pPr>
        <w:shd w:val="clear" w:color="auto" w:fill="FFFFFF"/>
        <w:textAlignment w:val="baseline"/>
        <w:rPr>
          <w:rFonts w:ascii="Garamond" w:hAnsi="Garamond" w:cs="Times New Roman"/>
        </w:rPr>
      </w:pPr>
    </w:p>
    <w:p w14:paraId="7407BDB5" w14:textId="7D7951A2"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upshot: As with most disputed issues, there are arguments on both sides. But as with most questions of law, the policy pros and cons are beside the point. Under our well-established precedent, the equitable relief available in the federal courts is that “traditionally accorded by courts of equity” at the time of our founding. Nothing like a universal injunction was available at the founding, or for that matter, for more than a century thereafter. Thus, under the Judiciary Act, federal courts lack authority to issue them.</w:t>
      </w:r>
    </w:p>
    <w:p w14:paraId="4ADA4FCB" w14:textId="77777777" w:rsidR="00E73149" w:rsidRPr="00C05D6B" w:rsidRDefault="00E73149" w:rsidP="00E73149">
      <w:pPr>
        <w:shd w:val="clear" w:color="auto" w:fill="FFFFFF"/>
        <w:textAlignment w:val="baseline"/>
        <w:rPr>
          <w:rFonts w:ascii="Garamond" w:hAnsi="Garamond" w:cs="Times New Roman"/>
        </w:rPr>
      </w:pPr>
    </w:p>
    <w:p w14:paraId="6805B2C6" w14:textId="27CEFD5B"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principal dissent focuses on conventional legal terrain, like the Judiciary Act of 1789 and our cases on equity. Justice Jackson, however, chooses a startling line of attack that is tethered neither to these sources nor, frankly, to any doctrine whatsoever. </w:t>
      </w:r>
    </w:p>
    <w:p w14:paraId="51EF5611" w14:textId="77777777" w:rsidR="00E73149" w:rsidRPr="00C05D6B" w:rsidRDefault="00E73149" w:rsidP="00E73149">
      <w:pPr>
        <w:shd w:val="clear" w:color="auto" w:fill="FFFFFF"/>
        <w:textAlignment w:val="baseline"/>
        <w:rPr>
          <w:rFonts w:ascii="Garamond" w:hAnsi="Garamond" w:cs="Times New Roman"/>
        </w:rPr>
      </w:pPr>
    </w:p>
    <w:p w14:paraId="3DA85708" w14:textId="77CB6BB1"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As best we can tell, though, her argument is more extreme still, because its logic does not depend on the entry of a universal injunction: Justice Jackson appears to believe that the reasoning behind any court order demands “universal adherence,” at least where the Executive is concerned.  In her law-declaring vision of the judicial function, a district court's opinion is not just persuasive, but has the legal force of a judgment. </w:t>
      </w:r>
    </w:p>
    <w:p w14:paraId="175DDC57" w14:textId="77777777" w:rsidR="00E73149" w:rsidRPr="00C05D6B" w:rsidRDefault="00E73149" w:rsidP="00E73149">
      <w:pPr>
        <w:shd w:val="clear" w:color="auto" w:fill="FFFFFF"/>
        <w:textAlignment w:val="baseline"/>
        <w:rPr>
          <w:rFonts w:ascii="Garamond" w:hAnsi="Garamond" w:cs="Times New Roman"/>
        </w:rPr>
      </w:pPr>
    </w:p>
    <w:p w14:paraId="7E1FA678" w14:textId="70DD5355"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We will not dwell on Justice Jackson</w:t>
      </w:r>
      <w:r w:rsidR="00BE59E1" w:rsidRPr="00C05D6B">
        <w:rPr>
          <w:rFonts w:ascii="Garamond" w:hAnsi="Garamond" w:cs="Times New Roman"/>
        </w:rPr>
        <w:t>’</w:t>
      </w:r>
      <w:r w:rsidRPr="00C05D6B">
        <w:rPr>
          <w:rFonts w:ascii="Garamond" w:hAnsi="Garamond" w:cs="Times New Roman"/>
        </w:rPr>
        <w:t>s argument, which is at odds with more than two centuries’ worth of precedent, not to mention the Constitution itself. We observe only this: Justice Jackson decries an imperial Executive while embracing an imperial Judiciary.</w:t>
      </w:r>
    </w:p>
    <w:p w14:paraId="18E03EF5" w14:textId="77777777" w:rsidR="00E73149" w:rsidRPr="00C05D6B" w:rsidRDefault="00E73149" w:rsidP="00E73149">
      <w:pPr>
        <w:shd w:val="clear" w:color="auto" w:fill="FFFFFF"/>
        <w:textAlignment w:val="baseline"/>
        <w:rPr>
          <w:rFonts w:ascii="Garamond" w:hAnsi="Garamond" w:cs="Times New Roman"/>
        </w:rPr>
      </w:pPr>
    </w:p>
    <w:p w14:paraId="1F423E42" w14:textId="66338E3C"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No one disputes that the Executive has a duty to follow the law. But the Judiciary does not have unbridled authority to enforce this obligation—in fact, sometimes the law prohibits the Judiciary from doing so. Observing the limits on judicial authority—including, as relevant here, the boundaries of the Judiciary Act of 1789—is required by a judge</w:t>
      </w:r>
      <w:r w:rsidR="005A71CA" w:rsidRPr="00C05D6B">
        <w:rPr>
          <w:rFonts w:ascii="Garamond" w:hAnsi="Garamond" w:cs="Times New Roman"/>
        </w:rPr>
        <w:t>’</w:t>
      </w:r>
      <w:r w:rsidRPr="00C05D6B">
        <w:rPr>
          <w:rFonts w:ascii="Garamond" w:hAnsi="Garamond" w:cs="Times New Roman"/>
        </w:rPr>
        <w:t>s oath to follow the law.</w:t>
      </w:r>
    </w:p>
    <w:p w14:paraId="4B5B3CC6" w14:textId="75D2CD3A"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Justice Jackson skips over that part. Because analyzing the governing statute involves boring “legalese,” she seeks to answer “a far more basic question of enormous practical significance: May a federal court in the United States of America order the Executive to follow the law?” In other words, it is unnecessary to consider whether Congress has constrained the Judiciary; what matters is how the Judiciary may constrain the Executive. Justice Jackson would do well to heed her own admonition: “[E]</w:t>
      </w:r>
      <w:proofErr w:type="spellStart"/>
      <w:r w:rsidRPr="00C05D6B">
        <w:rPr>
          <w:rFonts w:ascii="Garamond" w:hAnsi="Garamond" w:cs="Times New Roman"/>
        </w:rPr>
        <w:t>veryone</w:t>
      </w:r>
      <w:proofErr w:type="spellEnd"/>
      <w:r w:rsidRPr="00C05D6B">
        <w:rPr>
          <w:rFonts w:ascii="Garamond" w:hAnsi="Garamond" w:cs="Times New Roman"/>
        </w:rPr>
        <w:t>, from the President on down, is bound by law.” That goes for judges too.</w:t>
      </w:r>
    </w:p>
    <w:p w14:paraId="51F27D74" w14:textId="77777777" w:rsidR="00E73149" w:rsidRPr="00C05D6B" w:rsidRDefault="00E73149" w:rsidP="00E73149">
      <w:pPr>
        <w:shd w:val="clear" w:color="auto" w:fill="FFFFFF"/>
        <w:textAlignment w:val="baseline"/>
        <w:rPr>
          <w:rFonts w:ascii="Garamond" w:hAnsi="Garamond" w:cs="Times New Roman"/>
        </w:rPr>
      </w:pPr>
    </w:p>
    <w:p w14:paraId="063746C2"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IV</w:t>
      </w:r>
    </w:p>
    <w:p w14:paraId="42875452" w14:textId="77777777" w:rsidR="00E73149" w:rsidRPr="00C05D6B" w:rsidRDefault="00E73149" w:rsidP="00E73149">
      <w:pPr>
        <w:shd w:val="clear" w:color="auto" w:fill="FFFFFF"/>
        <w:textAlignment w:val="baseline"/>
        <w:rPr>
          <w:rFonts w:ascii="Garamond" w:hAnsi="Garamond" w:cs="Times New Roman"/>
        </w:rPr>
      </w:pPr>
    </w:p>
    <w:p w14:paraId="11A23741" w14:textId="3559CC5F"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Finally, the Government must show a likelihood that it will suffer irreparable harm absent a stay.</w:t>
      </w:r>
      <w:r w:rsidR="00BE59E1" w:rsidRPr="00C05D6B">
        <w:rPr>
          <w:rFonts w:ascii="Garamond" w:hAnsi="Garamond" w:cs="Times New Roman"/>
        </w:rPr>
        <w:t xml:space="preserve"> </w:t>
      </w:r>
      <w:r w:rsidRPr="00C05D6B">
        <w:rPr>
          <w:rFonts w:ascii="Garamond" w:hAnsi="Garamond" w:cs="Times New Roman"/>
        </w:rPr>
        <w:t>When a federal court enters a universal injunction against the Government, it “improper[</w:t>
      </w:r>
      <w:proofErr w:type="spellStart"/>
      <w:r w:rsidRPr="00C05D6B">
        <w:rPr>
          <w:rFonts w:ascii="Garamond" w:hAnsi="Garamond" w:cs="Times New Roman"/>
        </w:rPr>
        <w:t>ly</w:t>
      </w:r>
      <w:proofErr w:type="spellEnd"/>
      <w:r w:rsidRPr="00C05D6B">
        <w:rPr>
          <w:rFonts w:ascii="Garamond" w:hAnsi="Garamond" w:cs="Times New Roman"/>
        </w:rPr>
        <w:t xml:space="preserve">] </w:t>
      </w:r>
      <w:proofErr w:type="spellStart"/>
      <w:r w:rsidRPr="00C05D6B">
        <w:rPr>
          <w:rFonts w:ascii="Garamond" w:hAnsi="Garamond" w:cs="Times New Roman"/>
        </w:rPr>
        <w:lastRenderedPageBreak/>
        <w:t>intru</w:t>
      </w:r>
      <w:proofErr w:type="spellEnd"/>
      <w:r w:rsidRPr="00C05D6B">
        <w:rPr>
          <w:rFonts w:ascii="Garamond" w:hAnsi="Garamond" w:cs="Times New Roman"/>
        </w:rPr>
        <w:t>[des]” on “a coordinate branch of the Government” and prevents the Government from enforcing its policies against nonparties. That is enough to justify interim relief.</w:t>
      </w:r>
    </w:p>
    <w:p w14:paraId="2AB0799A" w14:textId="77777777" w:rsidR="00E73149" w:rsidRPr="00C05D6B" w:rsidRDefault="00E73149" w:rsidP="00E73149">
      <w:pPr>
        <w:shd w:val="clear" w:color="auto" w:fill="FFFFFF"/>
        <w:textAlignment w:val="baseline"/>
        <w:rPr>
          <w:rFonts w:ascii="Garamond" w:hAnsi="Garamond" w:cs="Times New Roman"/>
        </w:rPr>
      </w:pPr>
    </w:p>
    <w:p w14:paraId="172E63A0" w14:textId="285C7057"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principal dissent disagrees, insisting that “it strains credulity to treat the Executive Branch as irreparably harmed” by these injunctions, even if they are overly broad. That is so, the principal dissent argues, because the Executive Order is unconstitutional. Thus, “the Executive Branch has no right to enforce [it] against anyone.”</w:t>
      </w:r>
    </w:p>
    <w:p w14:paraId="4AB0AE5F" w14:textId="77777777" w:rsidR="00E73149" w:rsidRPr="00C05D6B" w:rsidRDefault="00E73149" w:rsidP="00E73149">
      <w:pPr>
        <w:shd w:val="clear" w:color="auto" w:fill="FFFFFF"/>
        <w:textAlignment w:val="baseline"/>
        <w:rPr>
          <w:rFonts w:ascii="Garamond" w:hAnsi="Garamond" w:cs="Times New Roman"/>
        </w:rPr>
      </w:pPr>
    </w:p>
    <w:p w14:paraId="69B0AEA4" w14:textId="62E4799F"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principal dissent</w:t>
      </w:r>
      <w:r w:rsidR="00BE59E1" w:rsidRPr="00C05D6B">
        <w:rPr>
          <w:rFonts w:ascii="Garamond" w:hAnsi="Garamond" w:cs="Times New Roman"/>
        </w:rPr>
        <w:t>’</w:t>
      </w:r>
      <w:r w:rsidRPr="00C05D6B">
        <w:rPr>
          <w:rFonts w:ascii="Garamond" w:hAnsi="Garamond" w:cs="Times New Roman"/>
        </w:rPr>
        <w:t>s analysis of the Executive Order is premature because the birthright citizenship issue is not before us. And because the birthright citizenship issue is not before us, we take no position on whether the dissent</w:t>
      </w:r>
      <w:r w:rsidR="005A71CA" w:rsidRPr="00C05D6B">
        <w:rPr>
          <w:rFonts w:ascii="Garamond" w:hAnsi="Garamond" w:cs="Times New Roman"/>
        </w:rPr>
        <w:t>’</w:t>
      </w:r>
      <w:r w:rsidRPr="00C05D6B">
        <w:rPr>
          <w:rFonts w:ascii="Garamond" w:hAnsi="Garamond" w:cs="Times New Roman"/>
        </w:rPr>
        <w:t xml:space="preserve">s analysis is right. </w:t>
      </w:r>
    </w:p>
    <w:p w14:paraId="3A28A84A" w14:textId="77777777" w:rsidR="00E73149" w:rsidRPr="00C05D6B" w:rsidRDefault="00E73149" w:rsidP="00E73149">
      <w:pPr>
        <w:shd w:val="clear" w:color="auto" w:fill="FFFFFF"/>
        <w:textAlignment w:val="baseline"/>
        <w:rPr>
          <w:rFonts w:ascii="Garamond" w:hAnsi="Garamond" w:cs="Times New Roman"/>
        </w:rPr>
      </w:pPr>
    </w:p>
    <w:p w14:paraId="44CCE923" w14:textId="77777777"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question before us is whether the Government is likely to suffer irreparable harm from the District Courts’ entry of injunctions that likely exceed the authority conferred by the Judiciary Act. The answer to that question is yes.</w:t>
      </w:r>
    </w:p>
    <w:p w14:paraId="01F128D7" w14:textId="77777777" w:rsidR="00E73149" w:rsidRPr="00C05D6B" w:rsidRDefault="00E73149" w:rsidP="00E73149">
      <w:pPr>
        <w:shd w:val="clear" w:color="auto" w:fill="FFFFFF"/>
        <w:textAlignment w:val="baseline"/>
        <w:rPr>
          <w:rFonts w:ascii="Garamond" w:hAnsi="Garamond" w:cs="Times New Roman"/>
        </w:rPr>
      </w:pPr>
    </w:p>
    <w:p w14:paraId="0418BDC8" w14:textId="3B8FD9C0"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Some say that the universal injunction “give[s] the Judiciary a powerful tool to check the Executive Branch.” But federal courts do not exercise general oversight of the Executive Branch; they resolve cases and controversies consistent with the authority Congress has given them. When a court concludes that the Executive Branch has acted unlawfully, the answer is not for the court to exceed its power, too.</w:t>
      </w:r>
    </w:p>
    <w:p w14:paraId="2B41273E" w14:textId="77777777" w:rsidR="00E73149" w:rsidRPr="00C05D6B" w:rsidRDefault="00E73149" w:rsidP="009B1076">
      <w:pPr>
        <w:shd w:val="clear" w:color="auto" w:fill="FFFFFF"/>
        <w:ind w:firstLine="720"/>
        <w:textAlignment w:val="baseline"/>
        <w:rPr>
          <w:rFonts w:ascii="Garamond" w:hAnsi="Garamond" w:cs="Times New Roman"/>
        </w:rPr>
      </w:pPr>
    </w:p>
    <w:p w14:paraId="443561DF"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Justice Thomas, with whom Justice Gorsuch joins, concurring.</w:t>
      </w:r>
    </w:p>
    <w:p w14:paraId="1953CB0E" w14:textId="77777777" w:rsidR="00E73149" w:rsidRPr="00C05D6B" w:rsidRDefault="00E73149" w:rsidP="00E73149">
      <w:pPr>
        <w:shd w:val="clear" w:color="auto" w:fill="FFFFFF"/>
        <w:textAlignment w:val="baseline"/>
        <w:rPr>
          <w:rFonts w:ascii="Garamond" w:hAnsi="Garamond" w:cs="Times New Roman"/>
        </w:rPr>
      </w:pPr>
    </w:p>
    <w:p w14:paraId="4EF8750A" w14:textId="4371CD1D"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Court today holds that federal courts may not issue so-called universal injunctions. I agree and join in full. As the Court explains, the Judiciary Act of 1789—the statute that “authorizes the federal courts to issue equitable remedies”—does not permit universal injunctions. It authorizes only those remedies traditionally available in equity, and there is no historical tradition allowing courts to provide “relief that extend[s] beyond the parties.” That conclusion is dispositive: As I have previously explained, “[</w:t>
      </w:r>
      <w:proofErr w:type="spellStart"/>
      <w:r w:rsidRPr="00C05D6B">
        <w:rPr>
          <w:rFonts w:ascii="Garamond" w:hAnsi="Garamond" w:cs="Times New Roman"/>
        </w:rPr>
        <w:t>i</w:t>
      </w:r>
      <w:proofErr w:type="spellEnd"/>
      <w:r w:rsidRPr="00C05D6B">
        <w:rPr>
          <w:rFonts w:ascii="Garamond" w:hAnsi="Garamond" w:cs="Times New Roman"/>
        </w:rPr>
        <w:t xml:space="preserve">]f district courts have any authority to issue universal injunctions,” it must come from some specific statutory or constitutional grant. But, the Judiciary Act is the only real possibility, and serious constitutional questions would arise even if Congress purported to one day allow universal injunctions. </w:t>
      </w:r>
    </w:p>
    <w:p w14:paraId="2752A25B" w14:textId="77777777" w:rsidR="00E73149" w:rsidRPr="00C05D6B" w:rsidRDefault="00E73149" w:rsidP="00E73149">
      <w:pPr>
        <w:shd w:val="clear" w:color="auto" w:fill="FFFFFF"/>
        <w:textAlignment w:val="baseline"/>
        <w:rPr>
          <w:rFonts w:ascii="Garamond" w:hAnsi="Garamond" w:cs="Times New Roman"/>
        </w:rPr>
      </w:pPr>
    </w:p>
    <w:p w14:paraId="2CAECFFC" w14:textId="02CAB101"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I write separately to emphasize the majority</w:t>
      </w:r>
      <w:r w:rsidR="00BE59E1" w:rsidRPr="00C05D6B">
        <w:rPr>
          <w:rFonts w:ascii="Garamond" w:hAnsi="Garamond" w:cs="Times New Roman"/>
        </w:rPr>
        <w:t>’</w:t>
      </w:r>
      <w:r w:rsidRPr="00C05D6B">
        <w:rPr>
          <w:rFonts w:ascii="Garamond" w:hAnsi="Garamond" w:cs="Times New Roman"/>
        </w:rPr>
        <w:t>s guidance regarding how courts should tailor remedies specific to the parties. Courts must not distort “the rule that injunctive relief should be no more burdensome to the defendant than necessary to provide complete relief to the plaintiffs.”  Otherwise, they risk replicating the problems of universal injunctions under the guise of granting complete relief.</w:t>
      </w:r>
    </w:p>
    <w:p w14:paraId="3BCE988E" w14:textId="77777777" w:rsidR="00BE59E1" w:rsidRPr="00C05D6B" w:rsidRDefault="00BE59E1" w:rsidP="009B1076">
      <w:pPr>
        <w:shd w:val="clear" w:color="auto" w:fill="FFFFFF"/>
        <w:ind w:firstLine="720"/>
        <w:textAlignment w:val="baseline"/>
        <w:rPr>
          <w:rFonts w:ascii="Garamond" w:hAnsi="Garamond" w:cs="Times New Roman"/>
        </w:rPr>
      </w:pPr>
    </w:p>
    <w:p w14:paraId="496DB7BC" w14:textId="0817FA60"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As the Court recognizes, the complete-relief principle operates as a ceiling: In no circumstance can a court award relief beyond that necessary to redress the plaintiffs’ injuries. This limitation follows from both Article III and traditional equitable practice. Because Article III limits courts to resolving specific “Cases” and “Controversies,” it requires that any remedy “be tailored to redress the plaintiff’s particular injury.” And, equitable remedies historically operated on a plaintiff-specific basis. Accordingly, any “remedy must of course be limited to the inadequacy that produced the injury in fact that the plaintiff has established</w:t>
      </w:r>
      <w:r w:rsidR="00344ED6" w:rsidRPr="00C05D6B">
        <w:rPr>
          <w:rFonts w:ascii="Garamond" w:hAnsi="Garamond" w:cs="Times New Roman"/>
        </w:rPr>
        <w:t>.</w:t>
      </w:r>
      <w:r w:rsidR="00476364">
        <w:rPr>
          <w:rFonts w:ascii="Garamond" w:hAnsi="Garamond" w:cs="Times New Roman"/>
        </w:rPr>
        <w:t>”</w:t>
      </w:r>
    </w:p>
    <w:p w14:paraId="75CB9CED" w14:textId="77777777" w:rsidR="00E73149" w:rsidRPr="00C05D6B" w:rsidRDefault="00E73149" w:rsidP="00E73149">
      <w:pPr>
        <w:shd w:val="clear" w:color="auto" w:fill="FFFFFF"/>
        <w:textAlignment w:val="baseline"/>
        <w:rPr>
          <w:rFonts w:ascii="Garamond" w:hAnsi="Garamond" w:cs="Times New Roman"/>
        </w:rPr>
      </w:pPr>
    </w:p>
    <w:p w14:paraId="112E8230" w14:textId="04257586"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lastRenderedPageBreak/>
        <w:t xml:space="preserve">Courts therefore err insofar as they treat complete relief as a mandate. But “to say that a court can award complete relief is not to say that it should do so.” And, in some circumstances, a court cannot award complete relief. </w:t>
      </w:r>
    </w:p>
    <w:p w14:paraId="58C8C34D" w14:textId="77777777" w:rsidR="00E73149" w:rsidRPr="00C05D6B" w:rsidRDefault="00E73149" w:rsidP="00E73149">
      <w:pPr>
        <w:shd w:val="clear" w:color="auto" w:fill="FFFFFF"/>
        <w:textAlignment w:val="baseline"/>
        <w:rPr>
          <w:rFonts w:ascii="Garamond" w:hAnsi="Garamond" w:cs="Times New Roman"/>
        </w:rPr>
      </w:pPr>
    </w:p>
    <w:p w14:paraId="40452B94" w14:textId="305ECDD8"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For good reason, the Court today puts an end to the “increasingly common” practice of federal courts issuing universal injunctions. Lower courts should carefully heed this Court</w:t>
      </w:r>
      <w:r w:rsidR="00BE59E1" w:rsidRPr="00C05D6B">
        <w:rPr>
          <w:rFonts w:ascii="Garamond" w:hAnsi="Garamond" w:cs="Times New Roman"/>
        </w:rPr>
        <w:t>’</w:t>
      </w:r>
      <w:r w:rsidRPr="00C05D6B">
        <w:rPr>
          <w:rFonts w:ascii="Garamond" w:hAnsi="Garamond" w:cs="Times New Roman"/>
        </w:rPr>
        <w:t>s guidance and cabin their grants of injunctive relief in light of historical equitable limits. If they cannot do so, this Court will continue to be “dutybound” to intervene.</w:t>
      </w:r>
    </w:p>
    <w:p w14:paraId="2C848F70" w14:textId="77777777" w:rsidR="00E73149" w:rsidRPr="00C05D6B" w:rsidRDefault="00E73149" w:rsidP="009B1076">
      <w:pPr>
        <w:shd w:val="clear" w:color="auto" w:fill="FFFFFF"/>
        <w:ind w:firstLine="720"/>
        <w:textAlignment w:val="baseline"/>
        <w:rPr>
          <w:rFonts w:ascii="Garamond" w:hAnsi="Garamond" w:cs="Times New Roman"/>
        </w:rPr>
      </w:pPr>
    </w:p>
    <w:p w14:paraId="38A592D3"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Justice Alito, with whom Justice Thomas joins, concurring.</w:t>
      </w:r>
    </w:p>
    <w:p w14:paraId="5251E98F" w14:textId="77777777" w:rsidR="00E73149" w:rsidRPr="00C05D6B" w:rsidRDefault="00E73149" w:rsidP="00E73149">
      <w:pPr>
        <w:shd w:val="clear" w:color="auto" w:fill="FFFFFF"/>
        <w:textAlignment w:val="baseline"/>
        <w:rPr>
          <w:rFonts w:ascii="Garamond" w:hAnsi="Garamond" w:cs="Times New Roman"/>
        </w:rPr>
      </w:pPr>
    </w:p>
    <w:p w14:paraId="42FE7C1F" w14:textId="2BBED083"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I join the opinion of the Court but write separately to note two related issues that are left unresolved and potentially threaten the practical significance of today's decision: the availability of third-party standing and class certification.</w:t>
      </w:r>
    </w:p>
    <w:p w14:paraId="3084570E" w14:textId="77777777" w:rsidR="00E73149" w:rsidRPr="00C05D6B" w:rsidRDefault="00E73149" w:rsidP="00E73149">
      <w:pPr>
        <w:shd w:val="clear" w:color="auto" w:fill="FFFFFF"/>
        <w:textAlignment w:val="baseline"/>
        <w:rPr>
          <w:rFonts w:ascii="Garamond" w:hAnsi="Garamond" w:cs="Times New Roman"/>
        </w:rPr>
      </w:pPr>
    </w:p>
    <w:p w14:paraId="37EC9870" w14:textId="37304622"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First, the Court does not address the weighty issue whether the state plaintiffs have third-party standing to assert the Citizenship Clause claims of their individual residents. Today</w:t>
      </w:r>
      <w:r w:rsidR="00BE59E1" w:rsidRPr="00C05D6B">
        <w:rPr>
          <w:rFonts w:ascii="Garamond" w:hAnsi="Garamond" w:cs="Times New Roman"/>
        </w:rPr>
        <w:t>’</w:t>
      </w:r>
      <w:r w:rsidRPr="00C05D6B">
        <w:rPr>
          <w:rFonts w:ascii="Garamond" w:hAnsi="Garamond" w:cs="Times New Roman"/>
        </w:rPr>
        <w:t>s decision only underscores the need for rigorous and evenhanded enforcement of third-party-standing limitations. The Court holds today that injunctive relief should generally extend only to the suing plaintiff. That will have the salutary effect of bringing an end to the practice of runaway “universal” injunctions, but it leaves other questions unanswered. Perhaps most important, when a State brings a suit to vindicate the rights of individual residents and then procures injunctive relief, does the injunction bind the defendant with respect to all residents of that State? If so, States will have every incentive to bring third-party suits on behalf of their residents to obtain a broader scope of equitable relief than any individual resident could procure in his own suit. Left unchecked, the practice of reflexive state third-party standing will undermine today's decision as a practical matter.</w:t>
      </w:r>
    </w:p>
    <w:p w14:paraId="4D3A2D76" w14:textId="77777777" w:rsidR="00E73149" w:rsidRPr="00C05D6B" w:rsidRDefault="00E73149" w:rsidP="00E73149">
      <w:pPr>
        <w:shd w:val="clear" w:color="auto" w:fill="FFFFFF"/>
        <w:textAlignment w:val="baseline"/>
        <w:rPr>
          <w:rFonts w:ascii="Garamond" w:hAnsi="Garamond" w:cs="Times New Roman"/>
        </w:rPr>
      </w:pPr>
    </w:p>
    <w:p w14:paraId="0AA0DF1A" w14:textId="59BFAA31"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Second, today</w:t>
      </w:r>
      <w:r w:rsidR="00BE59E1" w:rsidRPr="00C05D6B">
        <w:rPr>
          <w:rFonts w:ascii="Garamond" w:hAnsi="Garamond" w:cs="Times New Roman"/>
        </w:rPr>
        <w:t>’</w:t>
      </w:r>
      <w:r w:rsidRPr="00C05D6B">
        <w:rPr>
          <w:rFonts w:ascii="Garamond" w:hAnsi="Garamond" w:cs="Times New Roman"/>
        </w:rPr>
        <w:t xml:space="preserve">s decision will have very little value if district courts award relief to broadly defined classes without following “Rule 23’s procedural protections” for class certification. The class action is a powerful tool, and we have accordingly held that class “certification is proper only if the trial court is satisfied, after a rigorous analysis, that the prerequisites of Rule 23(a) have been satisfied.” These requirements are more than “a mere pleading standard,” and a hasty application of Rule 23 of the Federal Rules of Civil Procedure can have drastic consequences, creating “potential unfairness” for absent class members and confusion (and pressure to settle) for defendants.  Recognizing these effects, Congress took the exceptional step of authorizing interlocutory review of class certification. </w:t>
      </w:r>
    </w:p>
    <w:p w14:paraId="5FF7E7CE" w14:textId="77777777" w:rsidR="00E73149" w:rsidRPr="00C05D6B" w:rsidRDefault="00E73149" w:rsidP="00E73149">
      <w:pPr>
        <w:shd w:val="clear" w:color="auto" w:fill="FFFFFF"/>
        <w:textAlignment w:val="baseline"/>
        <w:rPr>
          <w:rFonts w:ascii="Garamond" w:hAnsi="Garamond" w:cs="Times New Roman"/>
        </w:rPr>
      </w:pPr>
    </w:p>
    <w:p w14:paraId="589B96D3" w14:textId="6C003B82"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Putting the kibosh on universal injunctions does nothing to disrupt Rule 23’s requirements. Of course, Rule 23 may permit the certification of nationwide classes in some discrete scenarios. But district courts should not view today's decision as an invitation to certify nationwide classes without scrupulous adherence to the rigors of Rule 23. Otherwise, the universal injunction will return from the grave under the guise of “nationwide class relief,” and today's decision will be of little more than minor academic interest.</w:t>
      </w:r>
    </w:p>
    <w:p w14:paraId="06A32F40" w14:textId="77777777" w:rsidR="00E73149" w:rsidRPr="00C05D6B" w:rsidRDefault="00E73149" w:rsidP="009B1076">
      <w:pPr>
        <w:shd w:val="clear" w:color="auto" w:fill="FFFFFF"/>
        <w:ind w:firstLine="720"/>
        <w:textAlignment w:val="baseline"/>
        <w:rPr>
          <w:rFonts w:ascii="Garamond" w:hAnsi="Garamond" w:cs="Times New Roman"/>
        </w:rPr>
      </w:pPr>
    </w:p>
    <w:p w14:paraId="63F60733"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Justice Kavanaugh, concurring.</w:t>
      </w:r>
    </w:p>
    <w:p w14:paraId="271C93AE" w14:textId="77777777" w:rsidR="00E73149" w:rsidRPr="00C05D6B" w:rsidRDefault="00E73149" w:rsidP="00E73149">
      <w:pPr>
        <w:shd w:val="clear" w:color="auto" w:fill="FFFFFF"/>
        <w:textAlignment w:val="baseline"/>
        <w:rPr>
          <w:rFonts w:ascii="Garamond" w:hAnsi="Garamond" w:cs="Times New Roman"/>
        </w:rPr>
      </w:pPr>
    </w:p>
    <w:p w14:paraId="707F149A" w14:textId="57E92AD2"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I write separately simply to underscore that this case focuses on only one discrete aspect of the preliminary litigation relating to major new federal statutes and executive actions—namely, what </w:t>
      </w:r>
      <w:r w:rsidRPr="00C05D6B">
        <w:rPr>
          <w:rFonts w:ascii="Garamond" w:hAnsi="Garamond" w:cs="Times New Roman"/>
        </w:rPr>
        <w:lastRenderedPageBreak/>
        <w:t xml:space="preserve">district courts may do with respect to those new statutes and executive actions in what might be called “the interim before the interim.” Although district courts have received much of the attention (and criticism) in debates over the universal-injunction issue, those courts generally do not have the last word when they grant or deny preliminary injunctions. The courts of appeals and this Court can (and regularly do) expeditiously review district court decisions awarding or denying preliminary injunctive relief. The losing party in the district court—the defendant against whom an injunction is granted, or the plaintiff who is denied an injunction—will often go to the court of appeals to seek a temporary stay or injunction. And then the losing party in the court of appeals may promptly come to this Court with an application for a stay or injunction. This Court has therefore often acted as the ultimate decider of the interim legal status of major new federal statutes and executive actions. </w:t>
      </w:r>
    </w:p>
    <w:p w14:paraId="5646596C"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After today's decision, that order of operations will not change. In justiciable cases, this Court, not the district courts or courts of appeals, will often still be the ultimate decisionmaker as to the interim legal status of major new federal statutes and executive actions—that is, the interim legal status for the several-year period before a final decision on the merits.</w:t>
      </w:r>
    </w:p>
    <w:p w14:paraId="4B556F76" w14:textId="77777777" w:rsidR="00E73149" w:rsidRPr="00C05D6B" w:rsidRDefault="00E73149" w:rsidP="00E73149">
      <w:pPr>
        <w:shd w:val="clear" w:color="auto" w:fill="FFFFFF"/>
        <w:textAlignment w:val="baseline"/>
        <w:rPr>
          <w:rFonts w:ascii="Garamond" w:hAnsi="Garamond" w:cs="Times New Roman"/>
        </w:rPr>
      </w:pPr>
    </w:p>
    <w:p w14:paraId="63E15947" w14:textId="383B7A3A"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Court</w:t>
      </w:r>
      <w:r w:rsidR="00BE59E1" w:rsidRPr="00C05D6B">
        <w:rPr>
          <w:rFonts w:ascii="Garamond" w:hAnsi="Garamond" w:cs="Times New Roman"/>
        </w:rPr>
        <w:t>’</w:t>
      </w:r>
      <w:r w:rsidRPr="00C05D6B">
        <w:rPr>
          <w:rFonts w:ascii="Garamond" w:hAnsi="Garamond" w:cs="Times New Roman"/>
        </w:rPr>
        <w:t xml:space="preserve">s decision today focuses on the “interim before the interim”—the preliminary relief that district courts can award (and courts of appeals can approve) for the generally weeks-long interim before this Court can assess and settle the matter for the often years-long interim before a final decision on the merits. </w:t>
      </w:r>
    </w:p>
    <w:p w14:paraId="29E5165A" w14:textId="77777777" w:rsidR="00E73149" w:rsidRPr="00C05D6B" w:rsidRDefault="00E73149" w:rsidP="00E73149">
      <w:pPr>
        <w:shd w:val="clear" w:color="auto" w:fill="FFFFFF"/>
        <w:textAlignment w:val="baseline"/>
        <w:rPr>
          <w:rFonts w:ascii="Garamond" w:hAnsi="Garamond" w:cs="Times New Roman"/>
        </w:rPr>
      </w:pPr>
    </w:p>
    <w:p w14:paraId="572AD8DA" w14:textId="07BF275D"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That preliminary-injunction litigation—which typically takes place at a rapid-fire pace long before the merits litigation culminates several years down the road—raises a question: What should the interim legal status of the significant new federal statute or executive action at issue be during the several-year period before this Court</w:t>
      </w:r>
      <w:r w:rsidR="005A71CA" w:rsidRPr="00C05D6B">
        <w:rPr>
          <w:rFonts w:ascii="Garamond" w:hAnsi="Garamond" w:cs="Times New Roman"/>
        </w:rPr>
        <w:t>’</w:t>
      </w:r>
      <w:r w:rsidRPr="00C05D6B">
        <w:rPr>
          <w:rFonts w:ascii="Garamond" w:hAnsi="Garamond" w:cs="Times New Roman"/>
        </w:rPr>
        <w:t>s final ruling on the merits?</w:t>
      </w:r>
    </w:p>
    <w:p w14:paraId="664C9904" w14:textId="77777777" w:rsidR="00E73149" w:rsidRPr="00C05D6B" w:rsidRDefault="00E73149" w:rsidP="009B1076">
      <w:pPr>
        <w:shd w:val="clear" w:color="auto" w:fill="FFFFFF"/>
        <w:ind w:firstLine="720"/>
        <w:textAlignment w:val="baseline"/>
        <w:rPr>
          <w:rFonts w:ascii="Garamond" w:hAnsi="Garamond" w:cs="Times New Roman"/>
        </w:rPr>
      </w:pPr>
    </w:p>
    <w:p w14:paraId="21CDF7CB" w14:textId="1DB4BF02"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 xml:space="preserve">That interim-status question is itself immensely important. The issue of whether a major new federal statute or executive action “is enforceable during the several years while the parties wait for a final merits ruling </w:t>
      </w:r>
      <w:r w:rsidR="00BE59E1" w:rsidRPr="00C05D6B">
        <w:rPr>
          <w:rFonts w:ascii="Garamond" w:hAnsi="Garamond" w:cs="Times New Roman"/>
        </w:rPr>
        <w:t>. . .</w:t>
      </w:r>
      <w:r w:rsidRPr="00C05D6B">
        <w:rPr>
          <w:rFonts w:ascii="Garamond" w:hAnsi="Garamond" w:cs="Times New Roman"/>
        </w:rPr>
        <w:t xml:space="preserve"> raises a separate question of extraordinary significance to the parties and the American people.” </w:t>
      </w:r>
    </w:p>
    <w:p w14:paraId="31D59615" w14:textId="77777777" w:rsidR="00E73149" w:rsidRPr="00C05D6B" w:rsidRDefault="00E73149" w:rsidP="009B1076">
      <w:pPr>
        <w:shd w:val="clear" w:color="auto" w:fill="FFFFFF"/>
        <w:ind w:firstLine="720"/>
        <w:textAlignment w:val="baseline"/>
        <w:rPr>
          <w:rFonts w:ascii="Garamond" w:hAnsi="Garamond" w:cs="Times New Roman"/>
        </w:rPr>
      </w:pPr>
    </w:p>
    <w:p w14:paraId="75A7DCFE" w14:textId="77777777"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The interim-status issue in turn raises two other critical questions: Should there be a nationally uniform answer on the question of whether a major new federal statute or executive action can be legally enforced in the often years-long interim period until this Court reaches a final decision on the merits? If so, who decides what the nationally uniform interim answer is?</w:t>
      </w:r>
    </w:p>
    <w:p w14:paraId="5B3B5EB8" w14:textId="77777777" w:rsidR="00E73149" w:rsidRPr="00C05D6B" w:rsidRDefault="00E73149" w:rsidP="009B1076">
      <w:pPr>
        <w:shd w:val="clear" w:color="auto" w:fill="FFFFFF"/>
        <w:ind w:firstLine="720"/>
        <w:textAlignment w:val="baseline"/>
        <w:rPr>
          <w:rFonts w:ascii="Garamond" w:hAnsi="Garamond" w:cs="Times New Roman"/>
        </w:rPr>
      </w:pPr>
    </w:p>
    <w:p w14:paraId="43D5E998" w14:textId="77777777"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First, in my view, there often (perhaps not always, but often) should be a nationally uniform answer on whether a major new federal statute, rule, or executive order can be enforced throughout the United States during the several-year interim period until its legality is finally decided on the merits.</w:t>
      </w:r>
    </w:p>
    <w:p w14:paraId="23CB7BC5" w14:textId="77777777" w:rsidR="00BE59E1" w:rsidRPr="00C05D6B" w:rsidRDefault="00BE59E1" w:rsidP="009B1076">
      <w:pPr>
        <w:shd w:val="clear" w:color="auto" w:fill="FFFFFF"/>
        <w:ind w:firstLine="720"/>
        <w:textAlignment w:val="baseline"/>
        <w:rPr>
          <w:rFonts w:ascii="Garamond" w:hAnsi="Garamond" w:cs="Times New Roman"/>
        </w:rPr>
      </w:pPr>
    </w:p>
    <w:p w14:paraId="006F46A9" w14:textId="77777777"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Often, it is not especially workable or sustainable or desirable to have a patchwork scheme, potentially for several years, in which a major new federal statute or executive action of that kind applies to some people or organizations in certain States or regions, but not to others. The national reach of many businesses and government programs, as well as the regular movement of the American people into and out of different States and regions, would make it difficult to sensibly maintain such a scattershot system of federal law.</w:t>
      </w:r>
    </w:p>
    <w:p w14:paraId="2A389ADC" w14:textId="77777777" w:rsidR="00E73149" w:rsidRPr="00C05D6B" w:rsidRDefault="00E73149" w:rsidP="00E73149">
      <w:pPr>
        <w:shd w:val="clear" w:color="auto" w:fill="FFFFFF"/>
        <w:textAlignment w:val="baseline"/>
        <w:rPr>
          <w:rFonts w:ascii="Garamond" w:hAnsi="Garamond" w:cs="Times New Roman"/>
        </w:rPr>
      </w:pPr>
    </w:p>
    <w:p w14:paraId="47F67E16" w14:textId="4041752A"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lastRenderedPageBreak/>
        <w:t>Second, if one agrees that the years-long interim status of a highly significant new federal statute or executive action should often be uniform throughout the United States, who decides what the interim status is?  The answer typically will be this Court, as has been the case both traditionally and recently. This Court's actions in resolving applications for interim relief help provide clarity and uniformity as to the interim legal status of major new federal statutes, rules, and executive orders. In particular, the Court's disposition of applications for interim relief often will effectively settle, de jure or de facto, the interim legal status of those statutes or executive actions nationwide.</w:t>
      </w:r>
    </w:p>
    <w:p w14:paraId="648FC0E8" w14:textId="77777777" w:rsidR="00E73149" w:rsidRPr="00C05D6B" w:rsidRDefault="00E73149" w:rsidP="00E73149">
      <w:pPr>
        <w:shd w:val="clear" w:color="auto" w:fill="FFFFFF"/>
        <w:textAlignment w:val="baseline"/>
        <w:rPr>
          <w:rFonts w:ascii="Garamond" w:hAnsi="Garamond" w:cs="Times New Roman"/>
        </w:rPr>
      </w:pPr>
    </w:p>
    <w:p w14:paraId="564FF0C7" w14:textId="523A12EE"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decision today will not alter this Court</w:t>
      </w:r>
      <w:r w:rsidR="00BE59E1" w:rsidRPr="00C05D6B">
        <w:rPr>
          <w:rFonts w:ascii="Garamond" w:hAnsi="Garamond" w:cs="Times New Roman"/>
        </w:rPr>
        <w:t>’</w:t>
      </w:r>
      <w:r w:rsidRPr="00C05D6B">
        <w:rPr>
          <w:rFonts w:ascii="Garamond" w:hAnsi="Garamond" w:cs="Times New Roman"/>
        </w:rPr>
        <w:t>s traditional role in those matters. Going forward, in the wake of a major new federal statute or executive action, different district courts may enter a slew of preliminary rulings on the legality of that statute or executive action. Or alternatively, perhaps a district court (or courts) will grant or deny the functional equivalent of a universal injunction—for example, by granting or denying a preliminary injunction to a putative nationwide class under Rule 23(b)(2), or by preliminarily setting aside or declining to set aside an agency rule under the APA.</w:t>
      </w:r>
    </w:p>
    <w:p w14:paraId="011E08A6" w14:textId="77777777" w:rsidR="00E73149" w:rsidRPr="00C05D6B" w:rsidRDefault="00E73149" w:rsidP="00E73149">
      <w:pPr>
        <w:shd w:val="clear" w:color="auto" w:fill="FFFFFF"/>
        <w:textAlignment w:val="baseline"/>
        <w:rPr>
          <w:rFonts w:ascii="Garamond" w:hAnsi="Garamond" w:cs="Times New Roman"/>
        </w:rPr>
      </w:pPr>
    </w:p>
    <w:p w14:paraId="53D4DEFA" w14:textId="23C96B17"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No matter how the preliminary-injunction litigation on those kinds of significant matters transpires in the district courts, the courts of appeals in turn will undoubtedly be called upon to promptly grant or deny temporary stays or temporary injunctions in many cases.</w:t>
      </w:r>
    </w:p>
    <w:p w14:paraId="4196A913" w14:textId="77777777" w:rsidR="00E73149" w:rsidRPr="00C05D6B" w:rsidRDefault="00E73149" w:rsidP="00E73149">
      <w:pPr>
        <w:shd w:val="clear" w:color="auto" w:fill="FFFFFF"/>
        <w:textAlignment w:val="baseline"/>
        <w:rPr>
          <w:rFonts w:ascii="Garamond" w:hAnsi="Garamond" w:cs="Times New Roman"/>
        </w:rPr>
      </w:pPr>
    </w:p>
    <w:p w14:paraId="287B111C" w14:textId="4070C732"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And regardless of whether the district courts have issued a series of individual preliminary rulings, or instead have issued one or more broader </w:t>
      </w:r>
      <w:proofErr w:type="spellStart"/>
      <w:r w:rsidRPr="00C05D6B">
        <w:rPr>
          <w:rFonts w:ascii="Garamond" w:hAnsi="Garamond" w:cs="Times New Roman"/>
        </w:rPr>
        <w:t>classwide</w:t>
      </w:r>
      <w:proofErr w:type="spellEnd"/>
      <w:r w:rsidRPr="00C05D6B">
        <w:rPr>
          <w:rFonts w:ascii="Garamond" w:hAnsi="Garamond" w:cs="Times New Roman"/>
        </w:rPr>
        <w:t xml:space="preserve"> or set-aside preliminary rulings, the losing parties in the courts of appeals will regularly come to this Court in matters involving major new federal statutes and executive actions. </w:t>
      </w:r>
    </w:p>
    <w:p w14:paraId="04D5B7B1" w14:textId="77777777" w:rsidR="00E73149" w:rsidRPr="00C05D6B" w:rsidRDefault="00E73149" w:rsidP="00E73149">
      <w:pPr>
        <w:shd w:val="clear" w:color="auto" w:fill="FFFFFF"/>
        <w:textAlignment w:val="baseline"/>
        <w:rPr>
          <w:rFonts w:ascii="Garamond" w:hAnsi="Garamond" w:cs="Times New Roman"/>
        </w:rPr>
      </w:pPr>
    </w:p>
    <w:p w14:paraId="144C356B" w14:textId="1FE73B2C"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If there is no </w:t>
      </w:r>
      <w:proofErr w:type="spellStart"/>
      <w:r w:rsidRPr="00C05D6B">
        <w:rPr>
          <w:rFonts w:ascii="Garamond" w:hAnsi="Garamond" w:cs="Times New Roman"/>
        </w:rPr>
        <w:t>classwide</w:t>
      </w:r>
      <w:proofErr w:type="spellEnd"/>
      <w:r w:rsidRPr="00C05D6B">
        <w:rPr>
          <w:rFonts w:ascii="Garamond" w:hAnsi="Garamond" w:cs="Times New Roman"/>
        </w:rPr>
        <w:t xml:space="preserve"> or set-aside relief in those kinds of nationally significant matters, then one would expect a flood of decisions from lower courts, after which the losing parties on both sides will probably inundate this Court with applications for stays or injunctions. And in cases where </w:t>
      </w:r>
      <w:proofErr w:type="spellStart"/>
      <w:r w:rsidRPr="00C05D6B">
        <w:rPr>
          <w:rFonts w:ascii="Garamond" w:hAnsi="Garamond" w:cs="Times New Roman"/>
        </w:rPr>
        <w:t>classwide</w:t>
      </w:r>
      <w:proofErr w:type="spellEnd"/>
      <w:r w:rsidRPr="00C05D6B">
        <w:rPr>
          <w:rFonts w:ascii="Garamond" w:hAnsi="Garamond" w:cs="Times New Roman"/>
        </w:rPr>
        <w:t xml:space="preserve"> or set-aside relief has been awarded, the losing side in the lower courts will likewise regularly come to this Court if the matter is sufficiently important.</w:t>
      </w:r>
    </w:p>
    <w:p w14:paraId="025201FF" w14:textId="77777777" w:rsidR="00E73149" w:rsidRPr="00C05D6B" w:rsidRDefault="00E73149" w:rsidP="00E73149">
      <w:pPr>
        <w:shd w:val="clear" w:color="auto" w:fill="FFFFFF"/>
        <w:textAlignment w:val="baseline"/>
        <w:rPr>
          <w:rFonts w:ascii="Garamond" w:hAnsi="Garamond" w:cs="Times New Roman"/>
        </w:rPr>
      </w:pPr>
    </w:p>
    <w:p w14:paraId="4AA9FFF8" w14:textId="6FCF6491"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When a stay or injunction application arrives here, this Court should not and cannot hide in the tall grass. When we receive such an application, we must grant or deny. And when we do—that is, when this Court makes a decision on the interim legal status of a major new federal statute or executive action—that decision will often constitute a form of precedent (de jure or de facto) that provides guidance throughout the United States during the years-long interim period until a final decision on the merits.</w:t>
      </w:r>
    </w:p>
    <w:p w14:paraId="1C808F9A" w14:textId="77777777" w:rsidR="00E73149" w:rsidRPr="00C05D6B" w:rsidRDefault="00E73149" w:rsidP="00E73149">
      <w:pPr>
        <w:shd w:val="clear" w:color="auto" w:fill="FFFFFF"/>
        <w:textAlignment w:val="baseline"/>
        <w:rPr>
          <w:rFonts w:ascii="Garamond" w:hAnsi="Garamond" w:cs="Times New Roman"/>
        </w:rPr>
      </w:pPr>
    </w:p>
    <w:p w14:paraId="76CDAC79" w14:textId="3838341C"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One of this Court</w:t>
      </w:r>
      <w:r w:rsidR="00BE59E1" w:rsidRPr="00C05D6B">
        <w:rPr>
          <w:rFonts w:ascii="Garamond" w:hAnsi="Garamond" w:cs="Times New Roman"/>
        </w:rPr>
        <w:t>’</w:t>
      </w:r>
      <w:r w:rsidRPr="00C05D6B">
        <w:rPr>
          <w:rFonts w:ascii="Garamond" w:hAnsi="Garamond" w:cs="Times New Roman"/>
        </w:rPr>
        <w:t>s roles, in justiciable cases, is to resolve major legal questions of national importance and ensure uniformity of federal law. So a default policy of off-loading to lower courts the final word on whether to green-light or block major new federal statutes and executive actions for the several-year interim until a final ruling on the merits would seem to amount to an abdication of this Court</w:t>
      </w:r>
      <w:r w:rsidR="00BE59E1" w:rsidRPr="00C05D6B">
        <w:rPr>
          <w:rFonts w:ascii="Garamond" w:hAnsi="Garamond" w:cs="Times New Roman"/>
        </w:rPr>
        <w:t>’</w:t>
      </w:r>
      <w:r w:rsidRPr="00C05D6B">
        <w:rPr>
          <w:rFonts w:ascii="Garamond" w:hAnsi="Garamond" w:cs="Times New Roman"/>
        </w:rPr>
        <w:t>s proper role.</w:t>
      </w:r>
    </w:p>
    <w:p w14:paraId="4D843734" w14:textId="77777777" w:rsidR="00E73149" w:rsidRPr="00C05D6B" w:rsidRDefault="00E73149" w:rsidP="00E73149">
      <w:pPr>
        <w:shd w:val="clear" w:color="auto" w:fill="FFFFFF"/>
        <w:textAlignment w:val="baseline"/>
        <w:rPr>
          <w:rFonts w:ascii="Garamond" w:hAnsi="Garamond" w:cs="Times New Roman"/>
        </w:rPr>
      </w:pPr>
    </w:p>
    <w:p w14:paraId="4B5EA6ED" w14:textId="634447D2"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Some might object that this Court is not well equipped to make those significant decisions—namely, decisions about the interim status of a major new federal statute or executive action—on an expedited basis. But district courts and courts of appeals are likewise not perfectly equipped to make expedited preliminary judgments on important matters of this kind. Yet they have to do so, and so </w:t>
      </w:r>
      <w:r w:rsidRPr="00C05D6B">
        <w:rPr>
          <w:rFonts w:ascii="Garamond" w:hAnsi="Garamond" w:cs="Times New Roman"/>
        </w:rPr>
        <w:lastRenderedPageBreak/>
        <w:t>do we. By law, federal courts are open and can receive and review applications for relief 24/7/365. And this Court has procedural tools that can help us make the best possible interim decision in the limited time available—administrative stays, additional briefing, amicus briefs, oral argument, certiorari before judgment, and the like. On top of that, this Court has nine Justices, each of whom can (and does) consult and deliberate with the other eight to help the Court determine the best answer, unlike a smaller three-judge court of appeals panel or one-judge district court. And this Court also will have the benefit of the prior decisions in the case at hand from the court of appeals and the district court.</w:t>
      </w:r>
    </w:p>
    <w:p w14:paraId="1B107A45" w14:textId="77777777" w:rsidR="00E73149" w:rsidRPr="00C05D6B" w:rsidRDefault="00E73149" w:rsidP="00E73149">
      <w:pPr>
        <w:shd w:val="clear" w:color="auto" w:fill="FFFFFF"/>
        <w:textAlignment w:val="baseline"/>
        <w:rPr>
          <w:rFonts w:ascii="Garamond" w:hAnsi="Garamond" w:cs="Times New Roman"/>
        </w:rPr>
      </w:pPr>
    </w:p>
    <w:p w14:paraId="0936AD70" w14:textId="5C4D4302"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Some might argue that preliminary disputes over the legality of major new statutes and executive actions can draw this Court into difficult or controversial matters earlier than we might like, as distinct from what happens on our slower-moving merits docket. That is an understandable concern. But when it comes to the interim status of major new federal statutes and executive actions, it is often important for reasons of clarity, stability, and uniformity that this Court be the decider. And Members of the Court have life tenure so that we can make tough calls without fear or favor. As with the merits docket, the Court's role in resolving applications for interim relief is to neutrally referee each matter based on the relevant legal standard. Avoiding controversial or difficult decisions on those applications is neither feasible nor appropriate.</w:t>
      </w:r>
    </w:p>
    <w:p w14:paraId="7B334D91" w14:textId="77777777" w:rsidR="00E73149" w:rsidRPr="00C05D6B" w:rsidRDefault="00E73149" w:rsidP="00E73149">
      <w:pPr>
        <w:shd w:val="clear" w:color="auto" w:fill="FFFFFF"/>
        <w:textAlignment w:val="baseline"/>
        <w:rPr>
          <w:rFonts w:ascii="Garamond" w:hAnsi="Garamond" w:cs="Times New Roman"/>
        </w:rPr>
      </w:pPr>
    </w:p>
    <w:p w14:paraId="11A86547" w14:textId="4C099CC4"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Some might also worry that an early or rushed decision on an application could “lock in” the Court</w:t>
      </w:r>
      <w:r w:rsidR="00BE59E1" w:rsidRPr="00C05D6B">
        <w:rPr>
          <w:rFonts w:ascii="Garamond" w:hAnsi="Garamond" w:cs="Times New Roman"/>
        </w:rPr>
        <w:t>’</w:t>
      </w:r>
      <w:r w:rsidRPr="00C05D6B">
        <w:rPr>
          <w:rFonts w:ascii="Garamond" w:hAnsi="Garamond" w:cs="Times New Roman"/>
        </w:rPr>
        <w:t xml:space="preserve">s assessment of the merits and subtly deter the Court from later making a different final decision. But in deciding applications for interim relief involving major new statutes or executive actions, we often have no choice but to make a preliminary assessment of likelihood of success on the merits; after all, in cases of that sort, the other relevant factors (irreparable harm and the equities) are often very weighty on both sides. Moreover, judges strive to make the correct decision based on current information notwithstanding any previous assessment of the merits earlier in the litigation. It is not uncommon to think and decide differently when one knows more. </w:t>
      </w:r>
    </w:p>
    <w:p w14:paraId="5B7C7C7D" w14:textId="77777777" w:rsidR="00E73149" w:rsidRPr="00C05D6B" w:rsidRDefault="00E73149" w:rsidP="00E73149">
      <w:pPr>
        <w:shd w:val="clear" w:color="auto" w:fill="FFFFFF"/>
        <w:textAlignment w:val="baseline"/>
        <w:rPr>
          <w:rFonts w:ascii="Garamond" w:hAnsi="Garamond" w:cs="Times New Roman"/>
        </w:rPr>
      </w:pPr>
    </w:p>
    <w:p w14:paraId="04420221" w14:textId="0523730E"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Today</w:t>
      </w:r>
      <w:r w:rsidR="00BE59E1" w:rsidRPr="00C05D6B">
        <w:rPr>
          <w:rFonts w:ascii="Garamond" w:hAnsi="Garamond" w:cs="Times New Roman"/>
        </w:rPr>
        <w:t>’</w:t>
      </w:r>
      <w:r w:rsidRPr="00C05D6B">
        <w:rPr>
          <w:rFonts w:ascii="Garamond" w:hAnsi="Garamond" w:cs="Times New Roman"/>
        </w:rPr>
        <w:t>s decision on district court injunctions will not affect this Court</w:t>
      </w:r>
      <w:r w:rsidR="00BE59E1" w:rsidRPr="00C05D6B">
        <w:rPr>
          <w:rFonts w:ascii="Garamond" w:hAnsi="Garamond" w:cs="Times New Roman"/>
        </w:rPr>
        <w:t>’</w:t>
      </w:r>
      <w:r w:rsidRPr="00C05D6B">
        <w:rPr>
          <w:rFonts w:ascii="Garamond" w:hAnsi="Garamond" w:cs="Times New Roman"/>
        </w:rPr>
        <w:t xml:space="preserve">s vitally important responsibility to resolve applications for stays or injunctions with respect to major new federal statutes and executive actions. Deciding those applications is not a distraction from our job. It is a critical part of our job. </w:t>
      </w:r>
    </w:p>
    <w:p w14:paraId="3C193A3A" w14:textId="77777777" w:rsidR="00E73149" w:rsidRPr="00C05D6B" w:rsidRDefault="00E73149" w:rsidP="009B1076">
      <w:pPr>
        <w:shd w:val="clear" w:color="auto" w:fill="FFFFFF"/>
        <w:ind w:firstLine="720"/>
        <w:textAlignment w:val="baseline"/>
        <w:rPr>
          <w:rFonts w:ascii="Garamond" w:hAnsi="Garamond" w:cs="Times New Roman"/>
        </w:rPr>
      </w:pPr>
    </w:p>
    <w:p w14:paraId="73585B57"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Justice Sotomayor, with whom Justice Kagan and Justice Jackson join, dissenting.</w:t>
      </w:r>
    </w:p>
    <w:p w14:paraId="63D6C607" w14:textId="77777777" w:rsidR="00E73149" w:rsidRPr="00C05D6B" w:rsidRDefault="00E73149" w:rsidP="00E73149">
      <w:pPr>
        <w:shd w:val="clear" w:color="auto" w:fill="FFFFFF"/>
        <w:textAlignment w:val="baseline"/>
        <w:rPr>
          <w:rFonts w:ascii="Garamond" w:hAnsi="Garamond" w:cs="Times New Roman"/>
        </w:rPr>
      </w:pPr>
    </w:p>
    <w:p w14:paraId="1FB51104" w14:textId="6394F062"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Children born in the United States and subject to its laws are United States citizens. That has been the legal rule since the founding, and it was the English rule well before then. This Court once attempted to repudiate it, holding in Dred Scott v. Sandford (1857), that the children of enslaved black Americans were not citizens. To remedy that grievous error, Congress passed in 1866 and the States ratified in 1868 the Fourteenth Amendment's Citizenship Clause, which enshrined birthright citizenship in the Constitution. There it has remained, accepted and respected by Congress, by the Executive, and by this Court. Until today.</w:t>
      </w:r>
    </w:p>
    <w:p w14:paraId="5AB99599" w14:textId="77777777" w:rsidR="00E73149" w:rsidRPr="00C05D6B" w:rsidRDefault="00E73149" w:rsidP="00E73149">
      <w:pPr>
        <w:shd w:val="clear" w:color="auto" w:fill="FFFFFF"/>
        <w:textAlignment w:val="baseline"/>
        <w:rPr>
          <w:rFonts w:ascii="Garamond" w:hAnsi="Garamond" w:cs="Times New Roman"/>
        </w:rPr>
      </w:pPr>
    </w:p>
    <w:p w14:paraId="005A9C66" w14:textId="284784AC"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It is now the President who attempts, in an Executive Order (Order or Citizenship Order), to repudiate birthright citizenship. Every court to evaluate the Order has deemed it patently unconstitutional and, for that reason, has enjoined the Federal Government from enforcing it. Undeterred, the Government now asks this Court to grant emergency relief, insisting it will suffer irreparable harm unless it can deprive at least some children born in the United States of citizenship.</w:t>
      </w:r>
    </w:p>
    <w:p w14:paraId="2F2EB5A5" w14:textId="372B6EC3"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lastRenderedPageBreak/>
        <w:t>The Government does not ask for complete stays of the injunctions, as it ordinarily does before this Court. Why? The answer is obvious: To get such relief, the Government would have to show that the Order is likely constitutional, an impossible task in light of the Constitution</w:t>
      </w:r>
      <w:r w:rsidR="00BE59E1" w:rsidRPr="00C05D6B">
        <w:rPr>
          <w:rFonts w:ascii="Garamond" w:hAnsi="Garamond" w:cs="Times New Roman"/>
        </w:rPr>
        <w:t>’</w:t>
      </w:r>
      <w:r w:rsidRPr="00C05D6B">
        <w:rPr>
          <w:rFonts w:ascii="Garamond" w:hAnsi="Garamond" w:cs="Times New Roman"/>
        </w:rPr>
        <w:t>s text, history, this Court's precedents, federal law, and Executive Branch practice. So the Government instead tries its hand at a different game. It asks this Court to hold that, no matter how illegal a law or policy, courts can never simply tell the Executive to stop enforcing it against anyone. Instead, the Government says, it should be able to apply the Citizenship Order (whose legality it does not defend) to everyone except the plaintiffs who filed this lawsuit.</w:t>
      </w:r>
    </w:p>
    <w:p w14:paraId="4CAC5C75" w14:textId="77777777" w:rsidR="00E73149" w:rsidRPr="00C05D6B" w:rsidRDefault="00E73149" w:rsidP="00E73149">
      <w:pPr>
        <w:shd w:val="clear" w:color="auto" w:fill="FFFFFF"/>
        <w:textAlignment w:val="baseline"/>
        <w:rPr>
          <w:rFonts w:ascii="Garamond" w:hAnsi="Garamond" w:cs="Times New Roman"/>
        </w:rPr>
      </w:pPr>
    </w:p>
    <w:p w14:paraId="2DFB4473" w14:textId="22DB2879"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gamesmanship in this request is apparent and the Government makes no attempt to hide it. Yet, shamefully, this Court plays along. A majority of this Court decides that these applications, of all cases, provide the appropriate occasion to resolve the question of universal injunctions and end the centuries-old practice once and for all. In its rush to do so the Court disregards basic principles of equity as well as the long history of injunctive relief granted to nonparties.</w:t>
      </w:r>
    </w:p>
    <w:p w14:paraId="3141BD54" w14:textId="77777777" w:rsidR="00E73149" w:rsidRPr="00C05D6B" w:rsidRDefault="00E73149" w:rsidP="00E73149">
      <w:pPr>
        <w:shd w:val="clear" w:color="auto" w:fill="FFFFFF"/>
        <w:textAlignment w:val="baseline"/>
        <w:rPr>
          <w:rFonts w:ascii="Garamond" w:hAnsi="Garamond" w:cs="Times New Roman"/>
        </w:rPr>
      </w:pPr>
    </w:p>
    <w:p w14:paraId="1B7DB8E9" w14:textId="217F71E9"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No right is safe in the new legal regime the Court creates. Today, the threat is to birthright citizenship. Tomorrow, a different administration may try to seize firearms from law-abiding citizens or prevent people of certain faiths from gathering to worship. The majority holds that, absent cumbersome class-action litigation, courts cannot completely enjoin even such plainly unlawful policies unless doing so is necessary to afford the formal parties complete relief. That holding renders constitutional guarantees meaningful in name only for any individuals who are not parties to a lawsuit. Because I will not be complicit in so grave an attack on our system of law, I dissent.</w:t>
      </w:r>
    </w:p>
    <w:p w14:paraId="5D338666" w14:textId="77777777" w:rsidR="00E73149" w:rsidRPr="00C05D6B" w:rsidRDefault="00E73149" w:rsidP="00E73149">
      <w:pPr>
        <w:shd w:val="clear" w:color="auto" w:fill="FFFFFF"/>
        <w:textAlignment w:val="baseline"/>
        <w:rPr>
          <w:rFonts w:ascii="Garamond" w:hAnsi="Garamond" w:cs="Times New Roman"/>
        </w:rPr>
      </w:pPr>
    </w:p>
    <w:p w14:paraId="412B80E9" w14:textId="74F45A2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I</w:t>
      </w:r>
    </w:p>
    <w:p w14:paraId="01E181C6" w14:textId="77777777" w:rsidR="00E73149" w:rsidRPr="00C05D6B" w:rsidRDefault="00E73149" w:rsidP="00E73149">
      <w:pPr>
        <w:shd w:val="clear" w:color="auto" w:fill="FFFFFF"/>
        <w:textAlignment w:val="baseline"/>
        <w:rPr>
          <w:rFonts w:ascii="Garamond" w:hAnsi="Garamond" w:cs="Times New Roman"/>
        </w:rPr>
      </w:pPr>
    </w:p>
    <w:p w14:paraId="3CFD4250" w14:textId="4B55D84D"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majority ignores entirely whether the President</w:t>
      </w:r>
      <w:r w:rsidR="005A71CA" w:rsidRPr="00C05D6B">
        <w:rPr>
          <w:rFonts w:ascii="Garamond" w:hAnsi="Garamond" w:cs="Times New Roman"/>
        </w:rPr>
        <w:t>’</w:t>
      </w:r>
      <w:r w:rsidRPr="00C05D6B">
        <w:rPr>
          <w:rFonts w:ascii="Garamond" w:hAnsi="Garamond" w:cs="Times New Roman"/>
        </w:rPr>
        <w:t>s Executive Order is constitutional, instead focusing only on the question whether federal courts have the equitable authority to issue universal injunctions. Yet the Order</w:t>
      </w:r>
      <w:r w:rsidR="00BE59E1" w:rsidRPr="00C05D6B">
        <w:rPr>
          <w:rFonts w:ascii="Garamond" w:hAnsi="Garamond" w:cs="Times New Roman"/>
        </w:rPr>
        <w:t>’</w:t>
      </w:r>
      <w:r w:rsidRPr="00C05D6B">
        <w:rPr>
          <w:rFonts w:ascii="Garamond" w:hAnsi="Garamond" w:cs="Times New Roman"/>
        </w:rPr>
        <w:t>s patent unlawfulness reveals the gravity of the majority's error and underscores why equity supports universal injunctions as appropriate remedies in this kind of case. As every conceivable source of law confirms, birthright citizenship is the law of the land.</w:t>
      </w:r>
    </w:p>
    <w:p w14:paraId="5AE5BE78"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The Citizenship Clause provides that “[a]</w:t>
      </w:r>
      <w:proofErr w:type="spellStart"/>
      <w:r w:rsidRPr="00C05D6B">
        <w:rPr>
          <w:rFonts w:ascii="Garamond" w:hAnsi="Garamond" w:cs="Times New Roman"/>
        </w:rPr>
        <w:t>ll</w:t>
      </w:r>
      <w:proofErr w:type="spellEnd"/>
      <w:r w:rsidRPr="00C05D6B">
        <w:rPr>
          <w:rFonts w:ascii="Garamond" w:hAnsi="Garamond" w:cs="Times New Roman"/>
        </w:rPr>
        <w:t xml:space="preserve"> persons born or naturalized in the United States and subject to the jurisdiction thereof, are citizens of the United States and of the State wherein they reside.” That means what it says. </w:t>
      </w:r>
    </w:p>
    <w:p w14:paraId="236F83E4" w14:textId="77777777" w:rsidR="00E73149" w:rsidRPr="00C05D6B" w:rsidRDefault="00E73149" w:rsidP="00E73149">
      <w:pPr>
        <w:shd w:val="clear" w:color="auto" w:fill="FFFFFF"/>
        <w:textAlignment w:val="baseline"/>
        <w:rPr>
          <w:rFonts w:ascii="Garamond" w:hAnsi="Garamond" w:cs="Times New Roman"/>
        </w:rPr>
      </w:pPr>
    </w:p>
    <w:p w14:paraId="3AC8DF68" w14:textId="70A5CB27"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Besides birth, there is only one condition: that one be “subject to the jurisdiction” of the United States. Yet that condition too leaves no room for ambiguity. To be “subject to the jurisdiction” of the United States means simply to be bound to its authority and its laws. </w:t>
      </w:r>
    </w:p>
    <w:p w14:paraId="44BC8E6D" w14:textId="77777777" w:rsidR="00E73149" w:rsidRPr="00C05D6B" w:rsidRDefault="00E73149" w:rsidP="00E73149">
      <w:pPr>
        <w:shd w:val="clear" w:color="auto" w:fill="FFFFFF"/>
        <w:textAlignment w:val="baseline"/>
        <w:rPr>
          <w:rFonts w:ascii="Garamond" w:hAnsi="Garamond" w:cs="Times New Roman"/>
        </w:rPr>
      </w:pPr>
    </w:p>
    <w:p w14:paraId="472F5C24" w14:textId="5CFBD8E4"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Few constitutional questions can be answered by resort to the text of the Constitution alone, but this is one. The Fourteenth Amendment guarantees birthright citizenship.</w:t>
      </w:r>
    </w:p>
    <w:p w14:paraId="3776B712" w14:textId="77777777" w:rsidR="00E73149" w:rsidRPr="00C05D6B" w:rsidRDefault="00E73149" w:rsidP="00E73149">
      <w:pPr>
        <w:shd w:val="clear" w:color="auto" w:fill="FFFFFF"/>
        <w:textAlignment w:val="baseline"/>
        <w:rPr>
          <w:rFonts w:ascii="Garamond" w:hAnsi="Garamond" w:cs="Times New Roman"/>
        </w:rPr>
      </w:pPr>
    </w:p>
    <w:p w14:paraId="7EEEB63A" w14:textId="74505BC1"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Unsurprisingly given the clarity of the Citizenship Clause</w:t>
      </w:r>
      <w:r w:rsidR="00BE59E1" w:rsidRPr="00C05D6B">
        <w:rPr>
          <w:rFonts w:ascii="Garamond" w:hAnsi="Garamond" w:cs="Times New Roman"/>
        </w:rPr>
        <w:t>’</w:t>
      </w:r>
      <w:r w:rsidRPr="00C05D6B">
        <w:rPr>
          <w:rFonts w:ascii="Garamond" w:hAnsi="Garamond" w:cs="Times New Roman"/>
        </w:rPr>
        <w:t xml:space="preserve">s text, every other source of interpretation confirms this conclusion. The lawmakers who ratified the Fourteenth Amendment understood that it would extend citizenship to all children born here, regardless of parental citizenship. Indeed, some objected to its passage on those grounds, complaining that it would permanently extend citizenship to immigrants who “invade [state] borders” and “settle as </w:t>
      </w:r>
      <w:r w:rsidRPr="00C05D6B">
        <w:rPr>
          <w:rFonts w:ascii="Garamond" w:hAnsi="Garamond" w:cs="Times New Roman"/>
        </w:rPr>
        <w:lastRenderedPageBreak/>
        <w:t>trespassers.”  Following the ratification of the Fourteenth Amendment, this Court confirmed the Amendment</w:t>
      </w:r>
      <w:r w:rsidR="00BE59E1" w:rsidRPr="00C05D6B">
        <w:rPr>
          <w:rFonts w:ascii="Garamond" w:hAnsi="Garamond" w:cs="Times New Roman"/>
        </w:rPr>
        <w:t>’</w:t>
      </w:r>
      <w:r w:rsidRPr="00C05D6B">
        <w:rPr>
          <w:rFonts w:ascii="Garamond" w:hAnsi="Garamond" w:cs="Times New Roman"/>
        </w:rPr>
        <w:t xml:space="preserve">s plain meaning in United States v. Wong Kim Ark (1898). </w:t>
      </w:r>
    </w:p>
    <w:p w14:paraId="1F9E7050" w14:textId="77777777" w:rsidR="00E73149" w:rsidRPr="00C05D6B" w:rsidRDefault="00E73149" w:rsidP="00E73149">
      <w:pPr>
        <w:shd w:val="clear" w:color="auto" w:fill="FFFFFF"/>
        <w:textAlignment w:val="baseline"/>
        <w:rPr>
          <w:rFonts w:ascii="Garamond" w:hAnsi="Garamond" w:cs="Times New Roman"/>
        </w:rPr>
      </w:pPr>
    </w:p>
    <w:p w14:paraId="26D1D784" w14:textId="2CBE67BC"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 xml:space="preserve">Some decades ago, the Office of Legal Counsel was asked to respond to a House bill that would have denied birthright citizenship to “children born in the United States to parents who are not citizens or permanent resident aliens.” The answer well summed up the state of the law: This “office grapples with many difficult and close issues of constitutional law. The lawfulness of this bill is not among them. This legislation is unquestionably unconstitutional.” </w:t>
      </w:r>
    </w:p>
    <w:p w14:paraId="22E949F6" w14:textId="77777777" w:rsidR="00E73149" w:rsidRPr="00C05D6B" w:rsidRDefault="00E73149" w:rsidP="009B1076">
      <w:pPr>
        <w:shd w:val="clear" w:color="auto" w:fill="FFFFFF"/>
        <w:ind w:firstLine="720"/>
        <w:textAlignment w:val="baseline"/>
        <w:rPr>
          <w:rFonts w:ascii="Garamond" w:hAnsi="Garamond" w:cs="Times New Roman"/>
        </w:rPr>
      </w:pPr>
    </w:p>
    <w:p w14:paraId="5B45B3F3"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II</w:t>
      </w:r>
    </w:p>
    <w:p w14:paraId="5CF7723D" w14:textId="77777777" w:rsidR="00E73149" w:rsidRPr="00C05D6B" w:rsidRDefault="00E73149" w:rsidP="00E73149">
      <w:pPr>
        <w:shd w:val="clear" w:color="auto" w:fill="FFFFFF"/>
        <w:textAlignment w:val="baseline"/>
        <w:rPr>
          <w:rFonts w:ascii="Garamond" w:hAnsi="Garamond" w:cs="Times New Roman"/>
        </w:rPr>
      </w:pPr>
    </w:p>
    <w:p w14:paraId="1C1558AE" w14:textId="474FD6FD"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Undeterred by the Constitution, history, Supreme Court precedent, federal law, and longstanding Executive Branch practice, President Donald J. Trump issued Executive Order No. 14160 on the day of his inauguration that purported to redefine American citizenship. </w:t>
      </w:r>
    </w:p>
    <w:p w14:paraId="66519DA3" w14:textId="77777777" w:rsidR="00E73149" w:rsidRPr="00C05D6B" w:rsidRDefault="00E73149" w:rsidP="00E73149">
      <w:pPr>
        <w:shd w:val="clear" w:color="auto" w:fill="FFFFFF"/>
        <w:textAlignment w:val="baseline"/>
        <w:rPr>
          <w:rFonts w:ascii="Garamond" w:hAnsi="Garamond" w:cs="Times New Roman"/>
        </w:rPr>
      </w:pPr>
    </w:p>
    <w:p w14:paraId="79F7D829" w14:textId="76D1B675"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Shortly after the President issued the Citizenship Order, several groups of plaintiffs (together, respondents) challenged the Order in Federal District Courts in Maryland, Massachusetts, and Washington. Respondents include: a group of pregnant women whose children will not be United States citizens under the terms of the Citizenship Order; two immigrants-rights organizations with thousands of members across the country who are likely to give birth to children who would also be denied citizenship under the Order; and 22 States, the District of Columbia, and the city of San Francisco. In their respective suits, respondents asserted that the Citizenship Order violates the Fourteenth Amendment and § 1401(a).</w:t>
      </w:r>
    </w:p>
    <w:p w14:paraId="138F400C" w14:textId="77777777" w:rsidR="00E73149" w:rsidRPr="00C05D6B" w:rsidRDefault="00E73149" w:rsidP="00E73149">
      <w:pPr>
        <w:shd w:val="clear" w:color="auto" w:fill="FFFFFF"/>
        <w:textAlignment w:val="baseline"/>
        <w:rPr>
          <w:rFonts w:ascii="Garamond" w:hAnsi="Garamond" w:cs="Times New Roman"/>
        </w:rPr>
      </w:pPr>
    </w:p>
    <w:p w14:paraId="342C8BA4" w14:textId="53C5941A"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Respondents also sought a preliminary injunction barring enforcement of the Citizenship Order during the pendency of the litigation. If allowed to go into effect, they said, the policy would inflict irreparable harm on their children (and their members’ children) by denying them “enjoyment of the full privileges, rights, and benefits that come with U.S. citizenship,” and rendering them vulnerable to unlawful deportation before the Courts could adjudicate their constitutional claim. </w:t>
      </w:r>
    </w:p>
    <w:p w14:paraId="2BF5D80A"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 xml:space="preserve">As for the States, they attested that enforcement of the Citizenship Order would cost them millions of dollars in federal funding and impose significant administrative burdens. The States “administer numerous programs for the benefit of their residents, including for newborns and young children, some of whom are wards of the plaintiff States who are entitled to care by statute.” </w:t>
      </w:r>
    </w:p>
    <w:p w14:paraId="637F82C1" w14:textId="77777777" w:rsidR="00E73149" w:rsidRPr="00C05D6B" w:rsidRDefault="00E73149" w:rsidP="00E73149">
      <w:pPr>
        <w:shd w:val="clear" w:color="auto" w:fill="FFFFFF"/>
        <w:textAlignment w:val="baseline"/>
        <w:rPr>
          <w:rFonts w:ascii="Garamond" w:hAnsi="Garamond" w:cs="Times New Roman"/>
        </w:rPr>
      </w:pPr>
    </w:p>
    <w:p w14:paraId="397AA9A0" w14:textId="40B6F960"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All three District Courts preliminarily enjoined enforcement of the Citizenship Order. The District Courts further determined that only injunctions blocking the Citizenship Order</w:t>
      </w:r>
      <w:r w:rsidR="00BE59E1" w:rsidRPr="00C05D6B">
        <w:rPr>
          <w:rFonts w:ascii="Garamond" w:hAnsi="Garamond" w:cs="Times New Roman"/>
        </w:rPr>
        <w:t>’</w:t>
      </w:r>
      <w:r w:rsidRPr="00C05D6B">
        <w:rPr>
          <w:rFonts w:ascii="Garamond" w:hAnsi="Garamond" w:cs="Times New Roman"/>
        </w:rPr>
        <w:t xml:space="preserve">s enforcement nationwide would completely redress respondents’ injuries. All three appellate courts denied the Government's request and left the preliminary injunctions intact. </w:t>
      </w:r>
    </w:p>
    <w:p w14:paraId="1EECDB4B" w14:textId="77777777" w:rsidR="00E73149" w:rsidRPr="00C05D6B" w:rsidRDefault="00E73149" w:rsidP="009B1076">
      <w:pPr>
        <w:shd w:val="clear" w:color="auto" w:fill="FFFFFF"/>
        <w:ind w:firstLine="720"/>
        <w:textAlignment w:val="baseline"/>
        <w:rPr>
          <w:rFonts w:ascii="Garamond" w:hAnsi="Garamond" w:cs="Times New Roman"/>
        </w:rPr>
      </w:pPr>
    </w:p>
    <w:p w14:paraId="31CA3A8A"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III</w:t>
      </w:r>
    </w:p>
    <w:p w14:paraId="44EEF8AA" w14:textId="77777777" w:rsidR="00E73149" w:rsidRPr="00C05D6B" w:rsidRDefault="00E73149" w:rsidP="00E73149">
      <w:pPr>
        <w:shd w:val="clear" w:color="auto" w:fill="FFFFFF"/>
        <w:textAlignment w:val="baseline"/>
        <w:rPr>
          <w:rFonts w:ascii="Garamond" w:hAnsi="Garamond" w:cs="Times New Roman"/>
        </w:rPr>
      </w:pPr>
    </w:p>
    <w:p w14:paraId="36348AB0" w14:textId="007302AF"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In partially granting the Government</w:t>
      </w:r>
      <w:r w:rsidR="00BE59E1" w:rsidRPr="00C05D6B">
        <w:rPr>
          <w:rFonts w:ascii="Garamond" w:hAnsi="Garamond" w:cs="Times New Roman"/>
        </w:rPr>
        <w:t>’</w:t>
      </w:r>
      <w:r w:rsidRPr="00C05D6B">
        <w:rPr>
          <w:rFonts w:ascii="Garamond" w:hAnsi="Garamond" w:cs="Times New Roman"/>
        </w:rPr>
        <w:t>s remarkable request, the Court distorts well-established equitable principles several times over. A stay, this Court has said, “is not a matter of right,” but rather “an exercise of judicial discretion</w:t>
      </w:r>
      <w:r w:rsidR="00BE59E1" w:rsidRPr="00C05D6B">
        <w:rPr>
          <w:rFonts w:ascii="Garamond" w:hAnsi="Garamond" w:cs="Times New Roman"/>
        </w:rPr>
        <w:t>.</w:t>
      </w:r>
      <w:r w:rsidRPr="00C05D6B">
        <w:rPr>
          <w:rFonts w:ascii="Garamond" w:hAnsi="Garamond" w:cs="Times New Roman"/>
        </w:rPr>
        <w:t>”</w:t>
      </w:r>
      <w:r w:rsidR="00BE59E1" w:rsidRPr="00C05D6B">
        <w:rPr>
          <w:rFonts w:ascii="Garamond" w:hAnsi="Garamond" w:cs="Times New Roman"/>
        </w:rPr>
        <w:t xml:space="preserve"> </w:t>
      </w:r>
      <w:r w:rsidRPr="00C05D6B">
        <w:rPr>
          <w:rFonts w:ascii="Garamond" w:hAnsi="Garamond" w:cs="Times New Roman"/>
        </w:rPr>
        <w:t>For centuries, courts have “close[d] the doors” of equity to those “tainted with inequitableness or bad faith relative to the matter in which [they] seek relief.” Yet the majority throws the doors of equity open to the Government in a case where it seeks to undo a fundamental and clearly established constitutional right. The Citizenship Order</w:t>
      </w:r>
      <w:r w:rsidR="00BE59E1" w:rsidRPr="00C05D6B">
        <w:rPr>
          <w:rFonts w:ascii="Garamond" w:hAnsi="Garamond" w:cs="Times New Roman"/>
        </w:rPr>
        <w:t>’</w:t>
      </w:r>
      <w:r w:rsidRPr="00C05D6B">
        <w:rPr>
          <w:rFonts w:ascii="Garamond" w:hAnsi="Garamond" w:cs="Times New Roman"/>
        </w:rPr>
        <w:t>s patent unlawfulness is reason enough to deny the Government's applications.</w:t>
      </w:r>
    </w:p>
    <w:p w14:paraId="68937F3A" w14:textId="77777777" w:rsidR="00E73149" w:rsidRPr="00C05D6B" w:rsidRDefault="00E73149" w:rsidP="00E73149">
      <w:pPr>
        <w:shd w:val="clear" w:color="auto" w:fill="FFFFFF"/>
        <w:textAlignment w:val="baseline"/>
        <w:rPr>
          <w:rFonts w:ascii="Garamond" w:hAnsi="Garamond" w:cs="Times New Roman"/>
        </w:rPr>
      </w:pPr>
    </w:p>
    <w:p w14:paraId="18B95184" w14:textId="573AA46E"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Government also falls well short of satisfying its burden to show that it will likely suffer irreparable harm absent a stay and that it will likely succeed on the merits of its challenge to the scope of the injunctions. The Executive Branch has respected birthright citizenship for well over a century, and it advances no plausible reason why maintaining the status quo while the litigation proceeds would cause it irrevocable harm. Nor could it, for the Constitution and federal law prohibit the enforcement of the Citizenship Order.</w:t>
      </w:r>
    </w:p>
    <w:p w14:paraId="39B07B77" w14:textId="77777777" w:rsidR="00E73149" w:rsidRPr="00C05D6B" w:rsidRDefault="00E73149" w:rsidP="00E73149">
      <w:pPr>
        <w:shd w:val="clear" w:color="auto" w:fill="FFFFFF"/>
        <w:textAlignment w:val="baseline"/>
        <w:rPr>
          <w:rFonts w:ascii="Garamond" w:hAnsi="Garamond" w:cs="Times New Roman"/>
        </w:rPr>
      </w:pPr>
    </w:p>
    <w:p w14:paraId="1878E4AF" w14:textId="656047D4"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For all that, moreover, the Government is not even correct on the merits of universal injunctions. To the contrary, universal injunctions are consistent with long-established principles of equity, once respected by this Court. What is more, these cases do not even squarely present the legality of universal injunctions. That is because, even if the majority were right that injunctions can only offer “complete relief to the plaintiffs before the court,” each of the lower courts here correctly determined that the nationwide relief they issued was necessary to remedy respondents’ injuries completely. So even ignoring the traditional stay factors and accepting the majority's view of the merits, there is no reason to grant relief in these cases.</w:t>
      </w:r>
    </w:p>
    <w:p w14:paraId="49705E1B" w14:textId="77777777" w:rsidR="00E73149" w:rsidRPr="00C05D6B" w:rsidRDefault="00E73149" w:rsidP="00E73149">
      <w:pPr>
        <w:shd w:val="clear" w:color="auto" w:fill="FFFFFF"/>
        <w:textAlignment w:val="baseline"/>
        <w:rPr>
          <w:rFonts w:ascii="Garamond" w:hAnsi="Garamond" w:cs="Times New Roman"/>
        </w:rPr>
      </w:pPr>
    </w:p>
    <w:p w14:paraId="70E9DC19" w14:textId="6CC63695"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Thus, by enjoining the Government from violating settled law, the District Courts’ orders do not cause the Government any harm. The majority</w:t>
      </w:r>
      <w:r w:rsidR="00BE59E1" w:rsidRPr="00C05D6B">
        <w:rPr>
          <w:rFonts w:ascii="Garamond" w:hAnsi="Garamond" w:cs="Times New Roman"/>
        </w:rPr>
        <w:t>’</w:t>
      </w:r>
      <w:r w:rsidRPr="00C05D6B">
        <w:rPr>
          <w:rFonts w:ascii="Garamond" w:hAnsi="Garamond" w:cs="Times New Roman"/>
        </w:rPr>
        <w:t>s contrary position is self-refuting. Suppose an executive order barred women from receiving unemployment benefits or black citizens from voting. Is the Government irreparably harmed, and entitled to emergency relief, by a district court order universally enjoining such policies? The majority, apparently, would say yes. Nothing in this Court</w:t>
      </w:r>
      <w:r w:rsidR="00BE59E1" w:rsidRPr="00C05D6B">
        <w:rPr>
          <w:rFonts w:ascii="Garamond" w:hAnsi="Garamond" w:cs="Times New Roman"/>
        </w:rPr>
        <w:t>’</w:t>
      </w:r>
      <w:r w:rsidRPr="00C05D6B">
        <w:rPr>
          <w:rFonts w:ascii="Garamond" w:hAnsi="Garamond" w:cs="Times New Roman"/>
        </w:rPr>
        <w:t xml:space="preserve">s precedents supports that result. Simply put, it strains credulity to treat the Executive Branch as irreparably harmed by injunctions that direct it to continue following settled law. </w:t>
      </w:r>
    </w:p>
    <w:p w14:paraId="7EB8E3BA" w14:textId="77777777" w:rsidR="00E73149" w:rsidRPr="00C05D6B" w:rsidRDefault="00E73149" w:rsidP="00E73149">
      <w:pPr>
        <w:shd w:val="clear" w:color="auto" w:fill="FFFFFF"/>
        <w:textAlignment w:val="baseline"/>
        <w:rPr>
          <w:rFonts w:ascii="Garamond" w:hAnsi="Garamond" w:cs="Times New Roman"/>
        </w:rPr>
      </w:pPr>
    </w:p>
    <w:p w14:paraId="56AD92B5" w14:textId="0B28D8DC"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A majority of this Court nonetheless rushes to address the merits of the Government's applications, holding that universal injunctions “likely exceed the equitable authority that Congress has granted to federal courts.” A majority that has repeatedly pledged its fealty to “history and tradition” thus eliminates an equitable power firmly grounded in centuries of equitable principles and practice. By stripping all federal courts, including itself, of that power, the Court kneecaps the Judiciary's authority to stop the Executive from enforcing even the most unconstitutional policies. That runs directly counter to the point of equity: empowering courts to do complete justice, including through flexible remedies that have historically benefited parties and nonparties alike.</w:t>
      </w:r>
    </w:p>
    <w:p w14:paraId="36BEC94B" w14:textId="77777777" w:rsidR="00E73149" w:rsidRPr="00C05D6B" w:rsidRDefault="00E73149" w:rsidP="00E73149">
      <w:pPr>
        <w:shd w:val="clear" w:color="auto" w:fill="FFFFFF"/>
        <w:textAlignment w:val="baseline"/>
        <w:rPr>
          <w:rFonts w:ascii="Garamond" w:hAnsi="Garamond" w:cs="Times New Roman"/>
        </w:rPr>
      </w:pPr>
    </w:p>
    <w:p w14:paraId="5BE20BAF" w14:textId="7E239958"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Federal courts have also exercised equitable authority to enjoin universally federal and state laws for more than a century. Throughout the early 20th century, federal courts granted universal injunctions even when a narrower remedy would have sufficed to redress the parties’ injuries. </w:t>
      </w:r>
    </w:p>
    <w:p w14:paraId="6D2957B2" w14:textId="77777777" w:rsidR="00E73149" w:rsidRPr="00C05D6B" w:rsidRDefault="00E73149" w:rsidP="00E73149">
      <w:pPr>
        <w:shd w:val="clear" w:color="auto" w:fill="FFFFFF"/>
        <w:textAlignment w:val="baseline"/>
        <w:rPr>
          <w:rFonts w:ascii="Garamond" w:hAnsi="Garamond" w:cs="Times New Roman"/>
        </w:rPr>
      </w:pPr>
    </w:p>
    <w:p w14:paraId="09E721ED" w14:textId="59109FD6"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It is certainly true that federal courts have granted more universal injunctions of federal laws in recent decades. But the issuance of broad equitable relief intended to benefit parties and nonparties has deep roots in equity</w:t>
      </w:r>
      <w:r w:rsidR="00BE59E1" w:rsidRPr="00C05D6B">
        <w:rPr>
          <w:rFonts w:ascii="Garamond" w:hAnsi="Garamond" w:cs="Times New Roman"/>
        </w:rPr>
        <w:t>’</w:t>
      </w:r>
      <w:r w:rsidRPr="00C05D6B">
        <w:rPr>
          <w:rFonts w:ascii="Garamond" w:hAnsi="Garamond" w:cs="Times New Roman"/>
        </w:rPr>
        <w:t xml:space="preserve">s history and in this Court's precedents. </w:t>
      </w:r>
    </w:p>
    <w:p w14:paraId="02995796" w14:textId="77777777" w:rsidR="00E73149" w:rsidRPr="00C05D6B" w:rsidRDefault="00E73149" w:rsidP="00E73149">
      <w:pPr>
        <w:shd w:val="clear" w:color="auto" w:fill="FFFFFF"/>
        <w:textAlignment w:val="baseline"/>
        <w:rPr>
          <w:rFonts w:ascii="Garamond" w:hAnsi="Garamond" w:cs="Times New Roman"/>
        </w:rPr>
      </w:pPr>
    </w:p>
    <w:p w14:paraId="030D436A" w14:textId="47C5995D"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universal injunctions of the Citizenship Order fit firmly within that tradition. </w:t>
      </w:r>
    </w:p>
    <w:p w14:paraId="7818AE6F" w14:textId="77777777" w:rsidR="00E73149" w:rsidRPr="00C05D6B" w:rsidRDefault="00E73149" w:rsidP="00E73149">
      <w:pPr>
        <w:shd w:val="clear" w:color="auto" w:fill="FFFFFF"/>
        <w:textAlignment w:val="baseline"/>
        <w:rPr>
          <w:rFonts w:ascii="Garamond" w:hAnsi="Garamond" w:cs="Times New Roman"/>
        </w:rPr>
      </w:pPr>
    </w:p>
    <w:p w14:paraId="2EDFE378" w14:textId="6DD0B4DF"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There may be good reasons not to issue universal injunctions in the typical case, when the merits are open to reasonable disagreement and there is no claim of extraordinary and imminent irreparable harm. The universal injunctions in these cases, however, are more than appropriate. These injunctions, after all, protect newborns from the exceptional, irreparable harm associated with </w:t>
      </w:r>
      <w:r w:rsidRPr="00C05D6B">
        <w:rPr>
          <w:rFonts w:ascii="Garamond" w:hAnsi="Garamond" w:cs="Times New Roman"/>
        </w:rPr>
        <w:lastRenderedPageBreak/>
        <w:t>losing a foundational constitutional right and its immediate benefits. They thus honor the most basic value of our constitutional system: They keep the Government within the bounds of law. Marbury v. Madison (1803).</w:t>
      </w:r>
    </w:p>
    <w:p w14:paraId="018221C3" w14:textId="77777777" w:rsidR="00E73149" w:rsidRPr="00C05D6B" w:rsidRDefault="00E73149" w:rsidP="00E73149">
      <w:pPr>
        <w:shd w:val="clear" w:color="auto" w:fill="FFFFFF"/>
        <w:textAlignment w:val="baseline"/>
        <w:rPr>
          <w:rFonts w:ascii="Garamond" w:hAnsi="Garamond" w:cs="Times New Roman"/>
        </w:rPr>
      </w:pPr>
    </w:p>
    <w:p w14:paraId="5E2641A5" w14:textId="2C9B9CB2"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majority</w:t>
      </w:r>
      <w:r w:rsidR="00BE59E1" w:rsidRPr="00C05D6B">
        <w:rPr>
          <w:rFonts w:ascii="Garamond" w:hAnsi="Garamond" w:cs="Times New Roman"/>
        </w:rPr>
        <w:t>’</w:t>
      </w:r>
      <w:r w:rsidRPr="00C05D6B">
        <w:rPr>
          <w:rFonts w:ascii="Garamond" w:hAnsi="Garamond" w:cs="Times New Roman"/>
        </w:rPr>
        <w:t xml:space="preserve">s contrary reasoning falls flat. The majority starts with the Judiciary Act of 1789, which gives federal courts jurisdiction over “all suits </w:t>
      </w:r>
      <w:r w:rsidR="00BE59E1" w:rsidRPr="00C05D6B">
        <w:rPr>
          <w:rFonts w:ascii="Garamond" w:hAnsi="Garamond" w:cs="Times New Roman"/>
        </w:rPr>
        <w:t>. . .</w:t>
      </w:r>
      <w:r w:rsidRPr="00C05D6B">
        <w:rPr>
          <w:rFonts w:ascii="Garamond" w:hAnsi="Garamond" w:cs="Times New Roman"/>
        </w:rPr>
        <w:t xml:space="preserve"> in equity.”  The majority</w:t>
      </w:r>
      <w:r w:rsidR="00BE59E1" w:rsidRPr="00C05D6B">
        <w:rPr>
          <w:rFonts w:ascii="Garamond" w:hAnsi="Garamond" w:cs="Times New Roman"/>
        </w:rPr>
        <w:t>’</w:t>
      </w:r>
      <w:r w:rsidRPr="00C05D6B">
        <w:rPr>
          <w:rFonts w:ascii="Garamond" w:hAnsi="Garamond" w:cs="Times New Roman"/>
        </w:rPr>
        <w:t>s argument stumbles out the gate. As the majority must itself concede, injunctions issued by English courts of equity were “typically,” but not always, party specific. After all, bills of peace, for centuries, allowed English courts to adjudicate the rights of parties not before it, and to award remedies intended to benefit entire affected communities. Taxpayer suits, too, could lead to a complete injunction of a tax, even when only a single plaintiff filed suit.</w:t>
      </w:r>
    </w:p>
    <w:p w14:paraId="3D09E1AE" w14:textId="77777777" w:rsidR="00E73149" w:rsidRPr="00C05D6B" w:rsidRDefault="00E73149" w:rsidP="00E73149">
      <w:pPr>
        <w:shd w:val="clear" w:color="auto" w:fill="FFFFFF"/>
        <w:textAlignment w:val="baseline"/>
        <w:rPr>
          <w:rFonts w:ascii="Garamond" w:hAnsi="Garamond" w:cs="Times New Roman"/>
        </w:rPr>
      </w:pPr>
    </w:p>
    <w:p w14:paraId="7CB1399E" w14:textId="03D03E85"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majority next insists that the practice of “founding-era courts of equity in the United States” cuts against universal injunctions, and that this Court “consistently rebuffed requests for relief that extended beyond the parties.”</w:t>
      </w:r>
      <w:r w:rsidR="00BE59E1" w:rsidRPr="00C05D6B">
        <w:rPr>
          <w:rFonts w:ascii="Garamond" w:hAnsi="Garamond" w:cs="Times New Roman"/>
        </w:rPr>
        <w:t xml:space="preserve"> </w:t>
      </w:r>
      <w:r w:rsidRPr="00C05D6B">
        <w:rPr>
          <w:rFonts w:ascii="Garamond" w:hAnsi="Garamond" w:cs="Times New Roman"/>
        </w:rPr>
        <w:t>The majority</w:t>
      </w:r>
      <w:r w:rsidR="00BE59E1" w:rsidRPr="00C05D6B">
        <w:rPr>
          <w:rFonts w:ascii="Garamond" w:hAnsi="Garamond" w:cs="Times New Roman"/>
        </w:rPr>
        <w:t>’</w:t>
      </w:r>
      <w:r w:rsidRPr="00C05D6B">
        <w:rPr>
          <w:rFonts w:ascii="Garamond" w:hAnsi="Garamond" w:cs="Times New Roman"/>
        </w:rPr>
        <w:t>s account is irreconcilable with early American bills of peace and the history of taxpayer suits. It further contradicts this Court</w:t>
      </w:r>
      <w:r w:rsidR="00BE59E1" w:rsidRPr="00C05D6B">
        <w:rPr>
          <w:rFonts w:ascii="Garamond" w:hAnsi="Garamond" w:cs="Times New Roman"/>
        </w:rPr>
        <w:t>’</w:t>
      </w:r>
      <w:r w:rsidRPr="00C05D6B">
        <w:rPr>
          <w:rFonts w:ascii="Garamond" w:hAnsi="Garamond" w:cs="Times New Roman"/>
        </w:rPr>
        <w:t xml:space="preserve">s practice, in cases like </w:t>
      </w:r>
      <w:r w:rsidRPr="00C05D6B">
        <w:rPr>
          <w:rFonts w:ascii="Garamond" w:hAnsi="Garamond" w:cs="Times New Roman"/>
          <w:i/>
          <w:iCs/>
        </w:rPr>
        <w:t>Lewis</w:t>
      </w:r>
      <w:r w:rsidRPr="00C05D6B">
        <w:rPr>
          <w:rFonts w:ascii="Garamond" w:hAnsi="Garamond" w:cs="Times New Roman"/>
        </w:rPr>
        <w:t xml:space="preserve">, </w:t>
      </w:r>
      <w:r w:rsidRPr="00C05D6B">
        <w:rPr>
          <w:rFonts w:ascii="Garamond" w:hAnsi="Garamond" w:cs="Times New Roman"/>
          <w:i/>
          <w:iCs/>
        </w:rPr>
        <w:t>Pierce</w:t>
      </w:r>
      <w:r w:rsidRPr="00C05D6B">
        <w:rPr>
          <w:rFonts w:ascii="Garamond" w:hAnsi="Garamond" w:cs="Times New Roman"/>
        </w:rPr>
        <w:t xml:space="preserve">, and </w:t>
      </w:r>
      <w:r w:rsidRPr="00C05D6B">
        <w:rPr>
          <w:rFonts w:ascii="Garamond" w:hAnsi="Garamond" w:cs="Times New Roman"/>
          <w:i/>
          <w:iCs/>
        </w:rPr>
        <w:t>Barnette</w:t>
      </w:r>
      <w:r w:rsidRPr="00C05D6B">
        <w:rPr>
          <w:rFonts w:ascii="Garamond" w:hAnsi="Garamond" w:cs="Times New Roman"/>
        </w:rPr>
        <w:t xml:space="preserve">, of affirming and granting universal injunctions even when narrower, plaintiff-focused injunctions would have offered complete relief to the parties. </w:t>
      </w:r>
    </w:p>
    <w:p w14:paraId="04FD2A17" w14:textId="77777777" w:rsidR="00E73149" w:rsidRPr="00C05D6B" w:rsidRDefault="00E73149" w:rsidP="00E73149">
      <w:pPr>
        <w:shd w:val="clear" w:color="auto" w:fill="FFFFFF"/>
        <w:textAlignment w:val="baseline"/>
        <w:rPr>
          <w:rFonts w:ascii="Garamond" w:hAnsi="Garamond" w:cs="Times New Roman"/>
        </w:rPr>
      </w:pPr>
    </w:p>
    <w:p w14:paraId="35FC6B12" w14:textId="66FB1E98"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Most critically, the majority fundamentally misunderstands the nature of equity by freezing in amber the precise remedies available at the time of the Judiciary Act. Even as it declares that “[e]</w:t>
      </w:r>
      <w:proofErr w:type="spellStart"/>
      <w:r w:rsidRPr="00C05D6B">
        <w:rPr>
          <w:rFonts w:ascii="Garamond" w:hAnsi="Garamond" w:cs="Times New Roman"/>
        </w:rPr>
        <w:t>quity</w:t>
      </w:r>
      <w:proofErr w:type="spellEnd"/>
      <w:r w:rsidRPr="00C05D6B">
        <w:rPr>
          <w:rFonts w:ascii="Garamond" w:hAnsi="Garamond" w:cs="Times New Roman"/>
        </w:rPr>
        <w:t xml:space="preserve"> is flexible,” the majority ignores the very flexibility that historically allowed equity to secure complete justice where the rigid forms of common law proved inadequate. </w:t>
      </w:r>
    </w:p>
    <w:p w14:paraId="65556167" w14:textId="77777777" w:rsidR="00E73149" w:rsidRPr="00C05D6B" w:rsidRDefault="00E73149" w:rsidP="00E73149">
      <w:pPr>
        <w:shd w:val="clear" w:color="auto" w:fill="FFFFFF"/>
        <w:textAlignment w:val="baseline"/>
        <w:rPr>
          <w:rFonts w:ascii="Garamond" w:hAnsi="Garamond" w:cs="Times New Roman"/>
        </w:rPr>
      </w:pPr>
    </w:p>
    <w:p w14:paraId="2FA45101" w14:textId="1E11996A"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Even the majority</w:t>
      </w:r>
      <w:r w:rsidR="00BE59E1" w:rsidRPr="00C05D6B">
        <w:rPr>
          <w:rFonts w:ascii="Garamond" w:hAnsi="Garamond" w:cs="Times New Roman"/>
        </w:rPr>
        <w:t>’</w:t>
      </w:r>
      <w:r w:rsidRPr="00C05D6B">
        <w:rPr>
          <w:rFonts w:ascii="Garamond" w:hAnsi="Garamond" w:cs="Times New Roman"/>
        </w:rPr>
        <w:t xml:space="preserve">s view of the law cannot justify issuance of emergency relief to the Government in these cases, for the majority leaves open whether these particular injunctions may pass muster under its ruling. Indeed, the lower courts issued the challenged injunctions consistent with an equitable principle that even the majority embraces: Courts may award an equitable remedy when it is “necessary to provide complete relief to the plaintiffs.” </w:t>
      </w:r>
    </w:p>
    <w:p w14:paraId="76A553F3" w14:textId="77777777" w:rsidR="00E73149" w:rsidRPr="00C05D6B" w:rsidRDefault="00E73149" w:rsidP="00E73149">
      <w:pPr>
        <w:shd w:val="clear" w:color="auto" w:fill="FFFFFF"/>
        <w:textAlignment w:val="baseline"/>
        <w:rPr>
          <w:rFonts w:ascii="Garamond" w:hAnsi="Garamond" w:cs="Times New Roman"/>
        </w:rPr>
      </w:pPr>
    </w:p>
    <w:p w14:paraId="4DC4676F" w14:textId="334B9BD0"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 xml:space="preserve">The majority does not identify a narrower alternative that is both practical and mitigates that risk. At the very least, there is no reason to think that the District Court abused its discretion in deciding that only a nationwide injunction could protect the plaintiffs’ fundamental rights. </w:t>
      </w:r>
    </w:p>
    <w:p w14:paraId="2F066A88" w14:textId="77777777" w:rsidR="00E73149" w:rsidRPr="00C05D6B" w:rsidRDefault="00E73149" w:rsidP="00E73149">
      <w:pPr>
        <w:shd w:val="clear" w:color="auto" w:fill="FFFFFF"/>
        <w:textAlignment w:val="baseline"/>
        <w:rPr>
          <w:rFonts w:ascii="Garamond" w:hAnsi="Garamond" w:cs="Times New Roman"/>
        </w:rPr>
      </w:pPr>
    </w:p>
    <w:p w14:paraId="02C0DF86" w14:textId="4F6616FC"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Meanwhile, newborns subject to the Citizenship Order will face the gravest harms imaginable. If the Order does in fact go into effect without further intervention by the District Courts, children will lose, at least for the time being, “a most precious right,” and “cherished status” that “carries with it the privilege of full participation in the affairs of our society.” Affected children also risk losing the chance to participate in American society altogether, unless their parents have sufficient resources to file individual suits or successfully challenge the Citizenship Order in removal proceedings. Indeed, the Order risks the “creation of a substantial ‘shadow population’” for covered children born in the United States who remain here. Without Social Security numbers and other documentation, these children will be denied critical public services, like SNAP and Medicaid, and lose the ability to engage fully in civic life by being born in States that have not filed a lawsuit. Worse yet, the Order threatens to render American-born children stateless, a status “deplored in the international community” for causing “the total destruction of the individual's status in organized society.”</w:t>
      </w:r>
      <w:r w:rsidR="00BE59E1" w:rsidRPr="00C05D6B">
        <w:rPr>
          <w:rFonts w:ascii="Garamond" w:hAnsi="Garamond" w:cs="Times New Roman"/>
        </w:rPr>
        <w:t xml:space="preserve"> </w:t>
      </w:r>
      <w:r w:rsidRPr="00C05D6B">
        <w:rPr>
          <w:rFonts w:ascii="Garamond" w:hAnsi="Garamond" w:cs="Times New Roman"/>
        </w:rPr>
        <w:t>That threat hangs like a guillotine over this litigation.</w:t>
      </w:r>
    </w:p>
    <w:p w14:paraId="5C09044E" w14:textId="77777777" w:rsidR="00E73149" w:rsidRPr="00C05D6B" w:rsidRDefault="00E73149" w:rsidP="00E73149">
      <w:pPr>
        <w:shd w:val="clear" w:color="auto" w:fill="FFFFFF"/>
        <w:textAlignment w:val="baseline"/>
        <w:rPr>
          <w:rFonts w:ascii="Garamond" w:hAnsi="Garamond" w:cs="Times New Roman"/>
        </w:rPr>
      </w:pPr>
    </w:p>
    <w:p w14:paraId="3C4BD51F" w14:textId="2796B776"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lastRenderedPageBreak/>
        <w:t>The Order will cause chaos for the families of all affected children too, as expecting parents scramble to understand whether the Order will apply to them and what ramifications it will have. If allowed to take effect, the Order may even wrench newborns from the arms of parents lawfully in the United States, for it purports to strip citizenship from the children of parents legally present on a temporary basis. Those newborns could face deportation, even as their parents remain lawfully in the country. In light of all these consequences, there can be no serious question over where the equities lie in these cases.</w:t>
      </w:r>
    </w:p>
    <w:p w14:paraId="52752597" w14:textId="77777777" w:rsidR="00E73149" w:rsidRPr="00C05D6B" w:rsidRDefault="00E73149" w:rsidP="009B1076">
      <w:pPr>
        <w:shd w:val="clear" w:color="auto" w:fill="FFFFFF"/>
        <w:ind w:firstLine="720"/>
        <w:textAlignment w:val="baseline"/>
        <w:rPr>
          <w:rFonts w:ascii="Garamond" w:hAnsi="Garamond" w:cs="Times New Roman"/>
        </w:rPr>
      </w:pPr>
    </w:p>
    <w:p w14:paraId="443BDE01"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IV</w:t>
      </w:r>
    </w:p>
    <w:p w14:paraId="38807E3D" w14:textId="77777777" w:rsidR="00E73149" w:rsidRPr="00C05D6B" w:rsidRDefault="00E73149" w:rsidP="00E73149">
      <w:pPr>
        <w:shd w:val="clear" w:color="auto" w:fill="FFFFFF"/>
        <w:textAlignment w:val="baseline"/>
        <w:rPr>
          <w:rFonts w:ascii="Garamond" w:hAnsi="Garamond" w:cs="Times New Roman"/>
        </w:rPr>
      </w:pPr>
    </w:p>
    <w:p w14:paraId="47C0B1BE" w14:textId="4FBCAA57"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Court</w:t>
      </w:r>
      <w:r w:rsidR="00BE59E1" w:rsidRPr="00C05D6B">
        <w:rPr>
          <w:rFonts w:ascii="Garamond" w:hAnsi="Garamond" w:cs="Times New Roman"/>
        </w:rPr>
        <w:t>’</w:t>
      </w:r>
      <w:r w:rsidRPr="00C05D6B">
        <w:rPr>
          <w:rFonts w:ascii="Garamond" w:hAnsi="Garamond" w:cs="Times New Roman"/>
        </w:rPr>
        <w:t>s decision is nothing less than an open invitation for the Government to bypass the Constitution. The Executive Branch can now enforce policies that flout settled law and violate countless individuals’ constitutional rights, and the federal courts will be hamstrung to stop its actions fully. Until the day that every affected person manages to become party to a lawsuit and secures for himself injunctive relief, the Government may act lawlessly indefinitely.</w:t>
      </w:r>
    </w:p>
    <w:p w14:paraId="219DD4E5" w14:textId="77777777" w:rsidR="00E73149" w:rsidRPr="00C05D6B" w:rsidRDefault="00E73149" w:rsidP="00E73149">
      <w:pPr>
        <w:shd w:val="clear" w:color="auto" w:fill="FFFFFF"/>
        <w:textAlignment w:val="baseline"/>
        <w:rPr>
          <w:rFonts w:ascii="Garamond" w:hAnsi="Garamond" w:cs="Times New Roman"/>
        </w:rPr>
      </w:pPr>
    </w:p>
    <w:p w14:paraId="466F96A5" w14:textId="11ECC53A"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Not even a decision from this Court would necessarily bind the Government to stop, completely and permanently, its commission of unquestionably unconstitutional conduct. The majority interprets the Judiciary Act, which defines the equity jurisdiction for all federal courts, this Court included, as prohibiting the issuance of universal injunctions (unless necessary for complete relief). What, besides equity, enables this Court to order the Government to cease completely the enforcement of illegal policies? The majority does not say. So even if this Court later rules that the Citizenship Order is unlawful, we may nevertheless lack the power to enjoin enforcement as to anyone not formally a party before the Court. In a case where the Government is acting in open defiance of the Constitution, federal law, and this Court</w:t>
      </w:r>
      <w:r w:rsidR="00BE59E1" w:rsidRPr="00C05D6B">
        <w:rPr>
          <w:rFonts w:ascii="Garamond" w:hAnsi="Garamond" w:cs="Times New Roman"/>
        </w:rPr>
        <w:t>’</w:t>
      </w:r>
      <w:r w:rsidRPr="00C05D6B">
        <w:rPr>
          <w:rFonts w:ascii="Garamond" w:hAnsi="Garamond" w:cs="Times New Roman"/>
        </w:rPr>
        <w:t xml:space="preserve">s holdings, it is naive to believe the Government will treat this Court's opinions on those policies as “de facto” universal injunctions absent an express order directing total nonenforcement. </w:t>
      </w:r>
    </w:p>
    <w:p w14:paraId="0EE8CF46" w14:textId="77777777" w:rsidR="00E73149" w:rsidRPr="00C05D6B" w:rsidRDefault="00E73149" w:rsidP="00E73149">
      <w:pPr>
        <w:shd w:val="clear" w:color="auto" w:fill="FFFFFF"/>
        <w:textAlignment w:val="baseline"/>
        <w:rPr>
          <w:rFonts w:ascii="Garamond" w:hAnsi="Garamond" w:cs="Times New Roman"/>
        </w:rPr>
      </w:pPr>
    </w:p>
    <w:p w14:paraId="41F322DD" w14:textId="4BAFE34C"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Indeed, at oral argument, the Government refused to commit to obeying any court order issued by a Federal Court of Appeals holding the Citizenship Order unlawful (except with respect to the plaintiffs in the suit), even within the relevant Circuit. To the extent the Government cannot commit to compliance with Court of Appeals decisions in those Circuits, it offers no principled reason why it would treat the opinions of this Court any differently nationwide. Thus, by stripping even itself of the ability to issue universal injunctions, the Court diminishes its role as “the ultimate decider of the interim [and permanent] legal status of major new federal statutes and executive actions.” There is a serious question, moreover, whether this Court will ever get the chance to rule on the constitutionality of a policy like the Citizenship Order. In the ordinary course, parties who prevail in the lower courts generally cannot seek review from this Court, likely leaving it up to the Government's discretion whether a petition will be filed here. These cases prove the point: Every court to consider the Citizenship Order</w:t>
      </w:r>
      <w:r w:rsidR="00BE59E1" w:rsidRPr="00C05D6B">
        <w:rPr>
          <w:rFonts w:ascii="Garamond" w:hAnsi="Garamond" w:cs="Times New Roman"/>
        </w:rPr>
        <w:t>’</w:t>
      </w:r>
      <w:r w:rsidRPr="00C05D6B">
        <w:rPr>
          <w:rFonts w:ascii="Garamond" w:hAnsi="Garamond" w:cs="Times New Roman"/>
        </w:rPr>
        <w:t>s merits has found that it is unconstitutional in preliminary rulings. Because respondents prevailed on the merits and received universal injunctions, they have no reason to file an appeal. The Government has no incentive to file a petition here either, because the outcome of such an appeal would be preordained. The Government recognizes as much, which is why its emergency applications challenged only the scope of the preliminary injunctions.</w:t>
      </w:r>
    </w:p>
    <w:p w14:paraId="4C1D1758" w14:textId="77777777" w:rsidR="00E73149" w:rsidRPr="00C05D6B" w:rsidRDefault="00E73149" w:rsidP="00E73149">
      <w:pPr>
        <w:shd w:val="clear" w:color="auto" w:fill="FFFFFF"/>
        <w:textAlignment w:val="baseline"/>
        <w:rPr>
          <w:rFonts w:ascii="Garamond" w:hAnsi="Garamond" w:cs="Times New Roman"/>
        </w:rPr>
      </w:pPr>
    </w:p>
    <w:p w14:paraId="278D59D8" w14:textId="15FE478C"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Even accepting that this Court will get the opportunity to “ac[t] as the ultimate decider” of patently unlawful policies, and that the Executive Branch will treat this Court</w:t>
      </w:r>
      <w:r w:rsidR="00BE59E1" w:rsidRPr="00C05D6B">
        <w:rPr>
          <w:rFonts w:ascii="Garamond" w:hAnsi="Garamond" w:cs="Times New Roman"/>
        </w:rPr>
        <w:t>’</w:t>
      </w:r>
      <w:r w:rsidRPr="00C05D6B">
        <w:rPr>
          <w:rFonts w:ascii="Garamond" w:hAnsi="Garamond" w:cs="Times New Roman"/>
        </w:rPr>
        <w:t xml:space="preserve">s opinions as de facto universal injunctions, it is still necessary for the lower courts to have the equitable authority to issue </w:t>
      </w:r>
      <w:r w:rsidRPr="00C05D6B">
        <w:rPr>
          <w:rFonts w:ascii="Garamond" w:hAnsi="Garamond" w:cs="Times New Roman"/>
        </w:rPr>
        <w:lastRenderedPageBreak/>
        <w:t>universal injunctions, too. As Justice Kavanaugh notes, it can take, at a minimum, “weeks” for an application concerning a major new policy to reach this Court. In the interim, the Government may feel free to execute illegal policies against nonparties and cause immeasurable harm that this Court may never be able to remedy. Indeed, in these cases, there is a serious risk the Government will seek to deport newborns whose parents have not filed suit if all the injunctions are narrowed on remand. That unconscionable result only underscores why it is necessary, in some cases, for lower courts to issue universal injunctions.</w:t>
      </w:r>
    </w:p>
    <w:p w14:paraId="58146BA5" w14:textId="77777777" w:rsidR="00E73149" w:rsidRPr="00C05D6B" w:rsidRDefault="00E73149" w:rsidP="00E73149">
      <w:pPr>
        <w:shd w:val="clear" w:color="auto" w:fill="FFFFFF"/>
        <w:textAlignment w:val="baseline"/>
        <w:rPr>
          <w:rFonts w:ascii="Garamond" w:hAnsi="Garamond" w:cs="Times New Roman"/>
        </w:rPr>
      </w:pPr>
    </w:p>
    <w:p w14:paraId="74BC79F9" w14:textId="2B78E5CB"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Fortunately, in the rubble of its assault on equity jurisdiction, the majority leaves untouched one important tool to provide broad relief to individuals subject to lawless Government conduct: Rule 23(b)(2) class actions for injunctive relief. That mechanism may provide some relief, but it is not a perfect substitute for a universal injunction. [A] named plaintiff must incur the higher cost of pursuing class relief, which will involve, at a minimum, overcoming the hurdle of class certification. “[D]</w:t>
      </w:r>
      <w:proofErr w:type="spellStart"/>
      <w:r w:rsidRPr="00C05D6B">
        <w:rPr>
          <w:rFonts w:ascii="Garamond" w:hAnsi="Garamond" w:cs="Times New Roman"/>
        </w:rPr>
        <w:t>emonstrating</w:t>
      </w:r>
      <w:proofErr w:type="spellEnd"/>
      <w:r w:rsidRPr="00C05D6B">
        <w:rPr>
          <w:rFonts w:ascii="Garamond" w:hAnsi="Garamond" w:cs="Times New Roman"/>
        </w:rPr>
        <w:t xml:space="preserve"> </w:t>
      </w:r>
      <w:proofErr w:type="spellStart"/>
      <w:r w:rsidRPr="00C05D6B">
        <w:rPr>
          <w:rFonts w:ascii="Garamond" w:hAnsi="Garamond" w:cs="Times New Roman"/>
        </w:rPr>
        <w:t>th</w:t>
      </w:r>
      <w:proofErr w:type="spellEnd"/>
      <w:r w:rsidRPr="00C05D6B">
        <w:rPr>
          <w:rFonts w:ascii="Garamond" w:hAnsi="Garamond" w:cs="Times New Roman"/>
        </w:rPr>
        <w:t xml:space="preserve">[e] prerequisites” of numerosity, commonality and typicality and the adequacy of the named plaintiff to represent the class “is difficult and time consuming and has been getting harder as a result of recent court decisions and federal legislation.”  Indeed, at oral argument, the Government refused to concede that a class could be certified to challenge the Citizenship Order and promised to invoke Rule 23’s barriers to stop it. </w:t>
      </w:r>
    </w:p>
    <w:p w14:paraId="559772FD" w14:textId="77777777" w:rsidR="00E73149" w:rsidRPr="00C05D6B" w:rsidRDefault="00E73149" w:rsidP="00E73149">
      <w:pPr>
        <w:shd w:val="clear" w:color="auto" w:fill="FFFFFF"/>
        <w:textAlignment w:val="baseline"/>
        <w:rPr>
          <w:rFonts w:ascii="Garamond" w:hAnsi="Garamond" w:cs="Times New Roman"/>
        </w:rPr>
      </w:pPr>
    </w:p>
    <w:p w14:paraId="7DA042BC" w14:textId="679EE3D6" w:rsidR="00E73149" w:rsidRPr="00C05D6B" w:rsidRDefault="00E73149" w:rsidP="00E73149">
      <w:pPr>
        <w:shd w:val="clear" w:color="auto" w:fill="FFFFFF"/>
        <w:ind w:firstLine="720"/>
        <w:textAlignment w:val="baseline"/>
        <w:rPr>
          <w:rFonts w:ascii="Garamond" w:hAnsi="Garamond" w:cs="Times New Roman"/>
        </w:rPr>
      </w:pPr>
      <w:r w:rsidRPr="00C05D6B">
        <w:rPr>
          <w:rFonts w:ascii="Garamond" w:hAnsi="Garamond" w:cs="Times New Roman"/>
        </w:rPr>
        <w:t>The rule of law is not a given in this Nation, nor any other. It is a precept of our democracy that will endure only if those brave enough in every branch fight for its survival. Today, the Court abdicates its vital role in that effort. With the stroke of a pen, the President has made a “solemn mockery” of our Constitution.  Rather than stand firm, the Court gives way. Because such complicity should know no place in our system of law, I dissent.</w:t>
      </w:r>
    </w:p>
    <w:p w14:paraId="07913B6C" w14:textId="77777777" w:rsidR="00E73149" w:rsidRPr="00C05D6B" w:rsidRDefault="00E73149" w:rsidP="009B1076">
      <w:pPr>
        <w:shd w:val="clear" w:color="auto" w:fill="FFFFFF"/>
        <w:ind w:firstLine="720"/>
        <w:textAlignment w:val="baseline"/>
        <w:rPr>
          <w:rFonts w:ascii="Garamond" w:hAnsi="Garamond" w:cs="Times New Roman"/>
        </w:rPr>
      </w:pPr>
    </w:p>
    <w:p w14:paraId="082D1B1D"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Justice Jackson, dissenting.</w:t>
      </w:r>
    </w:p>
    <w:p w14:paraId="28D4E00B" w14:textId="77777777" w:rsidR="00E73149" w:rsidRPr="00C05D6B" w:rsidRDefault="00E73149" w:rsidP="00E73149">
      <w:pPr>
        <w:shd w:val="clear" w:color="auto" w:fill="FFFFFF"/>
        <w:textAlignment w:val="baseline"/>
        <w:rPr>
          <w:rFonts w:ascii="Garamond" w:hAnsi="Garamond" w:cs="Times New Roman"/>
        </w:rPr>
      </w:pPr>
    </w:p>
    <w:p w14:paraId="4575E1E7" w14:textId="6E932401"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I agree with every word of Justice Sotomayor</w:t>
      </w:r>
      <w:r w:rsidR="00BE59E1" w:rsidRPr="00C05D6B">
        <w:rPr>
          <w:rFonts w:ascii="Garamond" w:hAnsi="Garamond" w:cs="Times New Roman"/>
        </w:rPr>
        <w:t>’</w:t>
      </w:r>
      <w:r w:rsidRPr="00C05D6B">
        <w:rPr>
          <w:rFonts w:ascii="Garamond" w:hAnsi="Garamond" w:cs="Times New Roman"/>
        </w:rPr>
        <w:t>s dissent. I write separately to emphasize a key conceptual point: The Court</w:t>
      </w:r>
      <w:r w:rsidR="00BE59E1" w:rsidRPr="00C05D6B">
        <w:rPr>
          <w:rFonts w:ascii="Garamond" w:hAnsi="Garamond" w:cs="Times New Roman"/>
        </w:rPr>
        <w:t>’</w:t>
      </w:r>
      <w:r w:rsidRPr="00C05D6B">
        <w:rPr>
          <w:rFonts w:ascii="Garamond" w:hAnsi="Garamond" w:cs="Times New Roman"/>
        </w:rPr>
        <w:t>s decision to permit the Executive to violate the Constitution with respect to anyone who has not yet sued is an existential threat to the rule of law.</w:t>
      </w:r>
    </w:p>
    <w:p w14:paraId="385342C1" w14:textId="77777777" w:rsidR="00E73149" w:rsidRPr="00C05D6B" w:rsidRDefault="00E73149" w:rsidP="00E73149">
      <w:pPr>
        <w:shd w:val="clear" w:color="auto" w:fill="FFFFFF"/>
        <w:textAlignment w:val="baseline"/>
        <w:rPr>
          <w:rFonts w:ascii="Garamond" w:hAnsi="Garamond" w:cs="Times New Roman"/>
        </w:rPr>
      </w:pPr>
    </w:p>
    <w:p w14:paraId="566847DD" w14:textId="60670C06"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It is important to recognize that the Executive</w:t>
      </w:r>
      <w:r w:rsidR="00BE59E1" w:rsidRPr="00C05D6B">
        <w:rPr>
          <w:rFonts w:ascii="Garamond" w:hAnsi="Garamond" w:cs="Times New Roman"/>
        </w:rPr>
        <w:t>’</w:t>
      </w:r>
      <w:r w:rsidRPr="00C05D6B">
        <w:rPr>
          <w:rFonts w:ascii="Garamond" w:hAnsi="Garamond" w:cs="Times New Roman"/>
        </w:rPr>
        <w:t>s bid to vanquish so-called “universal injunctions” is, at bottom, a request for this Court's permission to engage in unlawful behavior. When the Government says “do not allow the lower courts to enjoin executive action universally as a remedy for unconstitutional conduct,” what it is actually saying is that the Executive wants to continue doing something that a court has determined violates the Constitution—please allow this. That is some solicitation. With its ruling today, the majority largely grants the Government's wish. But, in my view, if this country is going to persist as a Nation of laws and not men, the Judiciary has no choice but to deny it.</w:t>
      </w:r>
    </w:p>
    <w:p w14:paraId="478F37C5" w14:textId="77777777" w:rsidR="00E73149" w:rsidRPr="00C05D6B" w:rsidRDefault="00E73149" w:rsidP="00E73149">
      <w:pPr>
        <w:shd w:val="clear" w:color="auto" w:fill="FFFFFF"/>
        <w:textAlignment w:val="baseline"/>
        <w:rPr>
          <w:rFonts w:ascii="Garamond" w:hAnsi="Garamond" w:cs="Times New Roman"/>
        </w:rPr>
      </w:pPr>
    </w:p>
    <w:p w14:paraId="7999C72B" w14:textId="1B37D265"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Stated simply, what it means to have a system of government that is bounded by law is that everyone is constrained by the law, no exceptions. And for that to actually happen, courts must have the power to order everyone (including the Executive) to follow the law—full stop. To conclude otherwise is to endorse the creation of a zone of lawlessness within which the Executive has the prerogative to take or leave the law as it wishes, and where individuals who would otherwise be entitled to the law's protection become subject to the Executive's whims instead.</w:t>
      </w:r>
    </w:p>
    <w:p w14:paraId="14D56C0F" w14:textId="77777777" w:rsidR="00E73149" w:rsidRPr="00C05D6B" w:rsidRDefault="00E73149" w:rsidP="00E73149">
      <w:pPr>
        <w:shd w:val="clear" w:color="auto" w:fill="FFFFFF"/>
        <w:textAlignment w:val="baseline"/>
        <w:rPr>
          <w:rFonts w:ascii="Garamond" w:hAnsi="Garamond" w:cs="Times New Roman"/>
        </w:rPr>
      </w:pPr>
    </w:p>
    <w:p w14:paraId="1B7AAD51" w14:textId="12BDC258"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lastRenderedPageBreak/>
        <w:t>The majority cannot deny that our Constitution was designed to split the powers of a monarch between the governing branches to protect the People. Nor is it debatable that the role of the Judiciary in our constitutional scheme is to ensure fidelity to law. But these core values are strangely absent from today's decision. Focusing on inapt comparisons to impotent English tribunals, the majority ignores the Judiciary's foundational duty to uphold the Constitution and laws of the United States. The majority's ruling thus not only diverges from first principles, it is also profoundly dangerous, since it gives the Executive the go-ahead to sometimes wield the kind of unchecked, arbitrary power the Founders crafted our Constitution to eradicate. The very institution our founding charter charges with the duty to ensure universal adherence to the law now requires judges to shrug and turn their backs to intermittent lawlessness. With deep disillusionment, I dissent.</w:t>
      </w:r>
    </w:p>
    <w:p w14:paraId="4C57B718" w14:textId="20EEAC03"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The Founders of the United States of America squarely rejected a governing system in which the King ruled all, and all others, including the courts, were his subordinates. In our Constitution-centered system, the People are the rulers and we have the rule of law. So, it makes little sense to look to the relationship between English courts and the King for guidance on the power of our Nation's Judiciary vis-à-vis its Executive.   Indeed, it is precisely because the law constrains the Government in our system that the Judiciary</w:t>
      </w:r>
      <w:r w:rsidR="00BE59E1" w:rsidRPr="00C05D6B">
        <w:rPr>
          <w:rFonts w:ascii="Garamond" w:hAnsi="Garamond" w:cs="Times New Roman"/>
        </w:rPr>
        <w:t>’</w:t>
      </w:r>
      <w:r w:rsidRPr="00C05D6B">
        <w:rPr>
          <w:rFonts w:ascii="Garamond" w:hAnsi="Garamond" w:cs="Times New Roman"/>
        </w:rPr>
        <w:t xml:space="preserve">s assignment is so broad, per the Constitution. Federal courts entertain suits against the Government claiming constitutional violations. Thus, the function of the courts—both in theory and in practice—necessarily includes announcing what the law requires in such suits for the benefit of all who are protected by the </w:t>
      </w:r>
      <w:r w:rsidR="00221D43" w:rsidRPr="00C05D6B">
        <w:rPr>
          <w:rFonts w:ascii="Garamond" w:hAnsi="Garamond" w:cs="Times New Roman"/>
        </w:rPr>
        <w:t>Constitution, not merely doling out relief to injured private parties.</w:t>
      </w:r>
    </w:p>
    <w:p w14:paraId="751C320A" w14:textId="77777777" w:rsidR="00E73149" w:rsidRPr="00C05D6B" w:rsidRDefault="00E73149" w:rsidP="00E73149">
      <w:pPr>
        <w:shd w:val="clear" w:color="auto" w:fill="FFFFFF"/>
        <w:textAlignment w:val="baseline"/>
        <w:rPr>
          <w:rFonts w:ascii="Garamond" w:hAnsi="Garamond" w:cs="Times New Roman"/>
        </w:rPr>
      </w:pPr>
    </w:p>
    <w:p w14:paraId="5C17F62C" w14:textId="546CBC29"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What I mean by this is that our rights-based legal system can only function properly if the Executive, and everyone else, is always bound by law. Today</w:t>
      </w:r>
      <w:r w:rsidR="00BE59E1" w:rsidRPr="00C05D6B">
        <w:rPr>
          <w:rFonts w:ascii="Garamond" w:hAnsi="Garamond" w:cs="Times New Roman"/>
        </w:rPr>
        <w:t>’</w:t>
      </w:r>
      <w:r w:rsidRPr="00C05D6B">
        <w:rPr>
          <w:rFonts w:ascii="Garamond" w:hAnsi="Garamond" w:cs="Times New Roman"/>
        </w:rPr>
        <w:t>s decision is a seismic shock to that foundational norm. Allowing the Executive to violate the law at its prerogative with respect to anyone who has not yet sued carves out a huge exception—a gash in the basic tenets of our founding charter that could turn out to be a mortal wound. What is more, to me, requiring courts themselves to provide the dagger (by giving their imprimatur to the Executive Branch's intermittent lawlessness) makes a mockery of the Judiciary</w:t>
      </w:r>
      <w:r w:rsidR="00BE59E1" w:rsidRPr="00C05D6B">
        <w:rPr>
          <w:rFonts w:ascii="Garamond" w:hAnsi="Garamond" w:cs="Times New Roman"/>
        </w:rPr>
        <w:t>’</w:t>
      </w:r>
      <w:r w:rsidRPr="00C05D6B">
        <w:rPr>
          <w:rFonts w:ascii="Garamond" w:hAnsi="Garamond" w:cs="Times New Roman"/>
        </w:rPr>
        <w:t>s solemn duty to safeguard the rule of law.</w:t>
      </w:r>
    </w:p>
    <w:p w14:paraId="1C936090" w14:textId="77777777" w:rsidR="00221D43" w:rsidRPr="00C05D6B" w:rsidRDefault="00221D43" w:rsidP="00E73149">
      <w:pPr>
        <w:shd w:val="clear" w:color="auto" w:fill="FFFFFF"/>
        <w:textAlignment w:val="baseline"/>
        <w:rPr>
          <w:rFonts w:ascii="Garamond" w:hAnsi="Garamond" w:cs="Times New Roman"/>
        </w:rPr>
      </w:pPr>
    </w:p>
    <w:p w14:paraId="1E4BE9C0" w14:textId="084D67CA"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When a court is prevented from enjoining the Executive universally after the Executive establishes a universal practice of stripping people's constitutional rights, anyone who is entitled to the Constitution's protection but will instead be subjected to the Executive's whims is improperly divested of their inheritance. The Constitution is flipped on its head, for its promises are essentially nullified. So, rather than having a governing system characterized by protected rights, the default becomes an Executive that can do whatever it wants to whomever it wants, unless and until each affected individual affirmatively invokes the law's protection.</w:t>
      </w:r>
    </w:p>
    <w:p w14:paraId="54640C7A" w14:textId="77777777" w:rsidR="00221D43" w:rsidRPr="00C05D6B" w:rsidRDefault="00221D43" w:rsidP="00E73149">
      <w:pPr>
        <w:shd w:val="clear" w:color="auto" w:fill="FFFFFF"/>
        <w:textAlignment w:val="baseline"/>
        <w:rPr>
          <w:rFonts w:ascii="Garamond" w:hAnsi="Garamond" w:cs="Times New Roman"/>
        </w:rPr>
      </w:pPr>
    </w:p>
    <w:p w14:paraId="61533693" w14:textId="25F21D8A"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I view the demise of the notion that a federal judge can order the Executive to adhere to the Constitution—full stop—as a sad day for America. The majority's unpersuasive effort to justify this result makes it sadder still. It is the responsibility of each and every jurist to hold the line. But the Court now requires judges to look the other way after finding that the Executive is violating the law, shamefully permitting unlawful conduct to continue unabated.</w:t>
      </w:r>
    </w:p>
    <w:p w14:paraId="72C9D734" w14:textId="77777777" w:rsidR="00221D43" w:rsidRPr="00C05D6B" w:rsidRDefault="00221D43" w:rsidP="00E73149">
      <w:pPr>
        <w:shd w:val="clear" w:color="auto" w:fill="FFFFFF"/>
        <w:textAlignment w:val="baseline"/>
        <w:rPr>
          <w:rFonts w:ascii="Garamond" w:hAnsi="Garamond" w:cs="Times New Roman"/>
        </w:rPr>
      </w:pPr>
    </w:p>
    <w:p w14:paraId="50619EB6" w14:textId="0425FEAD"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Today's ruling thus surreptitiously stymies the Judiciary's core duty to protect and defend constitutional rights. It does this indirectly, by preventing lower courts from telling the Executive that it has to stop engaging in conduct that violates the Constitution. Instead, now, a court</w:t>
      </w:r>
      <w:r w:rsidR="00BE59E1" w:rsidRPr="00C05D6B">
        <w:rPr>
          <w:rFonts w:ascii="Garamond" w:hAnsi="Garamond" w:cs="Times New Roman"/>
        </w:rPr>
        <w:t>’</w:t>
      </w:r>
      <w:r w:rsidRPr="00C05D6B">
        <w:rPr>
          <w:rFonts w:ascii="Garamond" w:hAnsi="Garamond" w:cs="Times New Roman"/>
        </w:rPr>
        <w:t xml:space="preserve">s power to prevent constitutional violations comes with an asterisk—a court can make the Executive cease its unconstitutional conduct *but only with respect to the particular plaintiffs named in the lawsuit </w:t>
      </w:r>
      <w:r w:rsidRPr="00C05D6B">
        <w:rPr>
          <w:rFonts w:ascii="Garamond" w:hAnsi="Garamond" w:cs="Times New Roman"/>
        </w:rPr>
        <w:lastRenderedPageBreak/>
        <w:t>before them, leaving the Executive free to violate the constitutional rights of anyone and everyone else.</w:t>
      </w:r>
    </w:p>
    <w:p w14:paraId="6A9C95B5" w14:textId="77777777" w:rsidR="00221D43" w:rsidRPr="00C05D6B" w:rsidRDefault="00221D43" w:rsidP="00E73149">
      <w:pPr>
        <w:shd w:val="clear" w:color="auto" w:fill="FFFFFF"/>
        <w:textAlignment w:val="baseline"/>
        <w:rPr>
          <w:rFonts w:ascii="Garamond" w:hAnsi="Garamond" w:cs="Times New Roman"/>
        </w:rPr>
      </w:pPr>
    </w:p>
    <w:p w14:paraId="4C1288E1" w14:textId="3757E0AF"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Make no mistake: Today</w:t>
      </w:r>
      <w:r w:rsidR="005A71CA" w:rsidRPr="00C05D6B">
        <w:rPr>
          <w:rFonts w:ascii="Garamond" w:hAnsi="Garamond" w:cs="Times New Roman"/>
        </w:rPr>
        <w:t>’</w:t>
      </w:r>
      <w:r w:rsidRPr="00C05D6B">
        <w:rPr>
          <w:rFonts w:ascii="Garamond" w:hAnsi="Garamond" w:cs="Times New Roman"/>
        </w:rPr>
        <w:t>s ruling allows the Executive to deny people rights that the Founders plainly wrote into our Constitution, so long as those individuals have not found a lawyer or asked a court in a particular manner to have their rights protected. This perverse burden shifting cannot coexist with the rule of law. In essence, the Court has now shoved lower court judges out of the way in cases where executive action is challenged, and has gifted the Executive with the prerogative of sometimes disregarding the law. As a result, the Judiciary—the one institution that is solely responsible for ensuring our Republic endures as a Nation of laws—has put both our legal system, and our system of government, in grave jeopardy.</w:t>
      </w:r>
    </w:p>
    <w:p w14:paraId="66092DF5" w14:textId="77777777" w:rsidR="00221D43" w:rsidRPr="00C05D6B" w:rsidRDefault="00221D43" w:rsidP="00E73149">
      <w:pPr>
        <w:shd w:val="clear" w:color="auto" w:fill="FFFFFF"/>
        <w:textAlignment w:val="baseline"/>
        <w:rPr>
          <w:rFonts w:ascii="Garamond" w:hAnsi="Garamond" w:cs="Times New Roman"/>
        </w:rPr>
      </w:pPr>
    </w:p>
    <w:p w14:paraId="7E19F4A1" w14:textId="22AF27AE"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“The accretion of dangerous power does not come in a day.” But “[</w:t>
      </w:r>
      <w:proofErr w:type="spellStart"/>
      <w:r w:rsidRPr="00C05D6B">
        <w:rPr>
          <w:rFonts w:ascii="Garamond" w:hAnsi="Garamond" w:cs="Times New Roman"/>
        </w:rPr>
        <w:t>i</w:t>
      </w:r>
      <w:proofErr w:type="spellEnd"/>
      <w:r w:rsidRPr="00C05D6B">
        <w:rPr>
          <w:rFonts w:ascii="Garamond" w:hAnsi="Garamond" w:cs="Times New Roman"/>
        </w:rPr>
        <w:t>]t does come,” “from the generative force of unchecked disregard of the restrictions that fence in even the most disinterested assertion of authority.” By needlessly granting the Government's emergency application to prohibit universal injunctions, the Court has cleared a path for the Executive to choose law-free action at this perilous moment for our Constitution—right when the Judiciary should be hunkering down to do all it can to preserve the law</w:t>
      </w:r>
      <w:r w:rsidR="006662D0" w:rsidRPr="00C05D6B">
        <w:rPr>
          <w:rFonts w:ascii="Garamond" w:hAnsi="Garamond" w:cs="Times New Roman"/>
        </w:rPr>
        <w:t>’</w:t>
      </w:r>
      <w:r w:rsidRPr="00C05D6B">
        <w:rPr>
          <w:rFonts w:ascii="Garamond" w:hAnsi="Garamond" w:cs="Times New Roman"/>
        </w:rPr>
        <w:t>s constraints. I have no doubt that, if judges must allow the Executive to act unlawfully in some circumstances, as the Court concludes today, executive lawlessness will flourish, and from there, it is not difficult to predict how this all ends. Eventually, executive power will become completely uncontainable, and our beloved constitutional Republic will be no more.</w:t>
      </w:r>
    </w:p>
    <w:p w14:paraId="7F74C335" w14:textId="77777777" w:rsidR="00221D43" w:rsidRPr="00C05D6B" w:rsidRDefault="00221D43" w:rsidP="00E73149">
      <w:pPr>
        <w:shd w:val="clear" w:color="auto" w:fill="FFFFFF"/>
        <w:textAlignment w:val="baseline"/>
        <w:rPr>
          <w:rFonts w:ascii="Garamond" w:hAnsi="Garamond" w:cs="Times New Roman"/>
        </w:rPr>
      </w:pPr>
    </w:p>
    <w:p w14:paraId="44CABCF9" w14:textId="4CE18F9D" w:rsidR="00E73149" w:rsidRPr="00C05D6B" w:rsidRDefault="00E73149" w:rsidP="009B1076">
      <w:pPr>
        <w:shd w:val="clear" w:color="auto" w:fill="FFFFFF"/>
        <w:ind w:firstLine="720"/>
        <w:textAlignment w:val="baseline"/>
        <w:rPr>
          <w:rFonts w:ascii="Garamond" w:hAnsi="Garamond" w:cs="Times New Roman"/>
        </w:rPr>
      </w:pPr>
      <w:r w:rsidRPr="00C05D6B">
        <w:rPr>
          <w:rFonts w:ascii="Garamond" w:hAnsi="Garamond" w:cs="Times New Roman"/>
        </w:rPr>
        <w:t>Perhaps the degradation of our rule-of-law regime would happen anyway. But this Court</w:t>
      </w:r>
      <w:r w:rsidR="006662D0" w:rsidRPr="00C05D6B">
        <w:rPr>
          <w:rFonts w:ascii="Garamond" w:hAnsi="Garamond" w:cs="Times New Roman"/>
        </w:rPr>
        <w:t>’</w:t>
      </w:r>
      <w:r w:rsidRPr="00C05D6B">
        <w:rPr>
          <w:rFonts w:ascii="Garamond" w:hAnsi="Garamond" w:cs="Times New Roman"/>
        </w:rPr>
        <w:t>s complicity in the creation of a culture of disdain for lower courts, their rulings, and the law (as they interpret it) will surely hasten the downfall of our governing institutions, enabling our collective demise. At the very least, I lament that the majority is so caught up in minutiae of the Government</w:t>
      </w:r>
      <w:r w:rsidR="006662D0" w:rsidRPr="00C05D6B">
        <w:rPr>
          <w:rFonts w:ascii="Garamond" w:hAnsi="Garamond" w:cs="Times New Roman"/>
        </w:rPr>
        <w:t>’</w:t>
      </w:r>
      <w:r w:rsidRPr="00C05D6B">
        <w:rPr>
          <w:rFonts w:ascii="Garamond" w:hAnsi="Garamond" w:cs="Times New Roman"/>
        </w:rPr>
        <w:t>s self-serving, finger-pointing arguments that it misses the plot. The majority forgets (or ignores) that “[w]</w:t>
      </w:r>
      <w:proofErr w:type="spellStart"/>
      <w:r w:rsidRPr="00C05D6B">
        <w:rPr>
          <w:rFonts w:ascii="Garamond" w:hAnsi="Garamond" w:cs="Times New Roman"/>
        </w:rPr>
        <w:t>ith</w:t>
      </w:r>
      <w:proofErr w:type="spellEnd"/>
      <w:r w:rsidRPr="00C05D6B">
        <w:rPr>
          <w:rFonts w:ascii="Garamond" w:hAnsi="Garamond" w:cs="Times New Roman"/>
        </w:rPr>
        <w:t xml:space="preserve"> all its defects, delays and inconveniences, men have discovered no technique for long preserving free government except that the Executive be under the law, and that the law be made by parliamentary deliberations.”  Tragically, the majority also shuns this prescient warning: Even if “[s]</w:t>
      </w:r>
      <w:proofErr w:type="spellStart"/>
      <w:r w:rsidRPr="00C05D6B">
        <w:rPr>
          <w:rFonts w:ascii="Garamond" w:hAnsi="Garamond" w:cs="Times New Roman"/>
        </w:rPr>
        <w:t>uch</w:t>
      </w:r>
      <w:proofErr w:type="spellEnd"/>
      <w:r w:rsidRPr="00C05D6B">
        <w:rPr>
          <w:rFonts w:ascii="Garamond" w:hAnsi="Garamond" w:cs="Times New Roman"/>
        </w:rPr>
        <w:t xml:space="preserve"> institutions may be destined to pass away,” “it is the duty of the Court to be last, not first, to give them up.” </w:t>
      </w:r>
    </w:p>
    <w:p w14:paraId="30C0794B" w14:textId="77777777" w:rsidR="00E73149" w:rsidRPr="00C05D6B" w:rsidRDefault="00E73149" w:rsidP="00E73149">
      <w:pPr>
        <w:shd w:val="clear" w:color="auto" w:fill="FFFFFF"/>
        <w:textAlignment w:val="baseline"/>
        <w:rPr>
          <w:rFonts w:ascii="Garamond" w:hAnsi="Garamond" w:cs="Times New Roman"/>
        </w:rPr>
      </w:pPr>
      <w:r w:rsidRPr="00C05D6B">
        <w:rPr>
          <w:rFonts w:ascii="Garamond" w:hAnsi="Garamond" w:cs="Times New Roman"/>
        </w:rPr>
        <w:t xml:space="preserve"> </w:t>
      </w:r>
    </w:p>
    <w:p w14:paraId="62FA0E1B" w14:textId="77777777" w:rsidR="00E73149" w:rsidRPr="00C05D6B" w:rsidRDefault="00E73149" w:rsidP="00E73149">
      <w:pPr>
        <w:shd w:val="clear" w:color="auto" w:fill="FFFFFF"/>
        <w:textAlignment w:val="baseline"/>
        <w:rPr>
          <w:rFonts w:ascii="Garamond" w:hAnsi="Garamond" w:cs="Times New Roman"/>
        </w:rPr>
      </w:pPr>
    </w:p>
    <w:p w14:paraId="353D5128" w14:textId="77777777" w:rsidR="000F73A9" w:rsidRPr="00C05D6B" w:rsidRDefault="000F73A9" w:rsidP="000F73A9">
      <w:pPr>
        <w:shd w:val="clear" w:color="auto" w:fill="FFFFFF"/>
        <w:jc w:val="center"/>
        <w:textAlignment w:val="baseline"/>
        <w:rPr>
          <w:rFonts w:ascii="Garamond" w:hAnsi="Garamond" w:cs="Times New Roman"/>
        </w:rPr>
      </w:pPr>
      <w:r w:rsidRPr="00C05D6B">
        <w:rPr>
          <w:rFonts w:ascii="Garamond" w:hAnsi="Garamond" w:cs="Times New Roman"/>
        </w:rPr>
        <w:t>***</w:t>
      </w:r>
    </w:p>
    <w:p w14:paraId="0C5F4347" w14:textId="0748D76A" w:rsidR="000F73A9" w:rsidRPr="00C05D6B" w:rsidRDefault="000F73A9" w:rsidP="00BE59E1">
      <w:pPr>
        <w:pStyle w:val="whitespace-normal"/>
        <w:ind w:firstLine="720"/>
        <w:rPr>
          <w:rFonts w:ascii="Garamond" w:hAnsi="Garamond"/>
        </w:rPr>
      </w:pPr>
      <w:r w:rsidRPr="00C05D6B">
        <w:rPr>
          <w:rFonts w:ascii="Garamond" w:hAnsi="Garamond"/>
        </w:rPr>
        <w:t>The Fourteenth Amendment’s Citizenship Clause establishes that “all persons born or naturalized in the United States, and subject to the jurisdiction thereof, are citizens of the United States.</w:t>
      </w:r>
      <w:r w:rsidR="00BE59E1" w:rsidRPr="00C05D6B">
        <w:rPr>
          <w:rFonts w:ascii="Garamond" w:hAnsi="Garamond"/>
        </w:rPr>
        <w:t>”</w:t>
      </w:r>
      <w:r w:rsidRPr="00C05D6B">
        <w:rPr>
          <w:rFonts w:ascii="Garamond" w:hAnsi="Garamond"/>
        </w:rPr>
        <w:t xml:space="preserve"> This provision overturned the Supreme Court’s pronouncement that Black individuals could not be citizens given that, at the Founding, “the African race</w:t>
      </w:r>
      <w:r w:rsidR="00BE59E1" w:rsidRPr="00C05D6B">
        <w:rPr>
          <w:rFonts w:ascii="Garamond" w:hAnsi="Garamond"/>
        </w:rPr>
        <w:t xml:space="preserve"> . . .</w:t>
      </w:r>
      <w:r w:rsidRPr="00C05D6B">
        <w:rPr>
          <w:rFonts w:ascii="Garamond" w:hAnsi="Garamond"/>
        </w:rPr>
        <w:t xml:space="preserve"> had no rights which the white man was bound to respect.” </w:t>
      </w:r>
      <w:r w:rsidRPr="00C05D6B">
        <w:rPr>
          <w:rFonts w:ascii="Garamond" w:hAnsi="Garamond"/>
          <w:i/>
          <w:iCs/>
        </w:rPr>
        <w:t>Dred Scot</w:t>
      </w:r>
      <w:r w:rsidR="00486457" w:rsidRPr="00C05D6B">
        <w:rPr>
          <w:rFonts w:ascii="Garamond" w:hAnsi="Garamond"/>
          <w:i/>
          <w:iCs/>
        </w:rPr>
        <w:t>t</w:t>
      </w:r>
      <w:r w:rsidRPr="00C05D6B">
        <w:rPr>
          <w:rFonts w:ascii="Garamond" w:hAnsi="Garamond"/>
          <w:i/>
          <w:iCs/>
        </w:rPr>
        <w:t xml:space="preserve"> v. San</w:t>
      </w:r>
      <w:r w:rsidR="00486457" w:rsidRPr="00C05D6B">
        <w:rPr>
          <w:rFonts w:ascii="Garamond" w:hAnsi="Garamond"/>
          <w:i/>
          <w:iCs/>
        </w:rPr>
        <w:t>d</w:t>
      </w:r>
      <w:r w:rsidRPr="00C05D6B">
        <w:rPr>
          <w:rFonts w:ascii="Garamond" w:hAnsi="Garamond"/>
          <w:i/>
          <w:iCs/>
        </w:rPr>
        <w:t>ford</w:t>
      </w:r>
      <w:r w:rsidR="00681F71" w:rsidRPr="00C05D6B">
        <w:rPr>
          <w:rFonts w:ascii="Garamond" w:hAnsi="Garamond"/>
          <w:i/>
          <w:iCs/>
        </w:rPr>
        <w:fldChar w:fldCharType="begin"/>
      </w:r>
      <w:r w:rsidR="00681F71" w:rsidRPr="00C05D6B">
        <w:rPr>
          <w:rFonts w:ascii="Garamond" w:hAnsi="Garamond"/>
        </w:rPr>
        <w:instrText xml:space="preserve"> TA \l "</w:instrText>
      </w:r>
      <w:r w:rsidR="00681F71" w:rsidRPr="00F5595D">
        <w:rPr>
          <w:rFonts w:ascii="Garamond" w:hAnsi="Garamond"/>
        </w:rPr>
        <w:instrText>Dred Scot</w:instrText>
      </w:r>
      <w:r w:rsidR="00F5595D">
        <w:rPr>
          <w:rFonts w:ascii="Garamond" w:hAnsi="Garamond"/>
        </w:rPr>
        <w:instrText>t</w:instrText>
      </w:r>
      <w:r w:rsidR="00681F71" w:rsidRPr="00F5595D">
        <w:rPr>
          <w:rFonts w:ascii="Garamond" w:hAnsi="Garamond"/>
        </w:rPr>
        <w:instrText xml:space="preserve"> v. Sanford</w:instrText>
      </w:r>
      <w:r w:rsidR="00681F71" w:rsidRPr="00C05D6B">
        <w:rPr>
          <w:rFonts w:ascii="Garamond" w:hAnsi="Garamond"/>
        </w:rPr>
        <w:instrText>" \s "Dred Scot</w:instrText>
      </w:r>
      <w:r w:rsidR="00F5595D">
        <w:rPr>
          <w:rFonts w:ascii="Garamond" w:hAnsi="Garamond"/>
        </w:rPr>
        <w:instrText>t</w:instrText>
      </w:r>
      <w:r w:rsidR="00681F71" w:rsidRPr="00C05D6B">
        <w:rPr>
          <w:rFonts w:ascii="Garamond" w:hAnsi="Garamond"/>
        </w:rPr>
        <w:instrText xml:space="preserve"> v. Sanford" \c 1 </w:instrText>
      </w:r>
      <w:r w:rsidR="00681F71" w:rsidRPr="00C05D6B">
        <w:rPr>
          <w:rFonts w:ascii="Garamond" w:hAnsi="Garamond"/>
          <w:i/>
          <w:iCs/>
        </w:rPr>
        <w:fldChar w:fldCharType="end"/>
      </w:r>
      <w:r w:rsidRPr="00C05D6B">
        <w:rPr>
          <w:rFonts w:ascii="Garamond" w:hAnsi="Garamond"/>
        </w:rPr>
        <w:t xml:space="preserve"> (1857). </w:t>
      </w:r>
    </w:p>
    <w:p w14:paraId="3DA4A2CE" w14:textId="6B0E44E4" w:rsidR="000F73A9" w:rsidRPr="00C05D6B" w:rsidRDefault="000F73A9" w:rsidP="00BE59E1">
      <w:pPr>
        <w:pStyle w:val="whitespace-normal"/>
        <w:ind w:firstLine="720"/>
        <w:rPr>
          <w:rFonts w:ascii="Garamond" w:hAnsi="Garamond"/>
        </w:rPr>
      </w:pPr>
      <w:r w:rsidRPr="00C05D6B">
        <w:rPr>
          <w:rFonts w:ascii="Garamond" w:hAnsi="Garamond"/>
        </w:rPr>
        <w:t>The Supreme Court interpreted this provision in United States v. Wong Kim Ark</w:t>
      </w:r>
      <w:r w:rsidR="00681F71" w:rsidRPr="00C05D6B">
        <w:rPr>
          <w:rFonts w:ascii="Garamond" w:hAnsi="Garamond"/>
        </w:rPr>
        <w:fldChar w:fldCharType="begin"/>
      </w:r>
      <w:r w:rsidR="00681F71" w:rsidRPr="00C05D6B">
        <w:rPr>
          <w:rFonts w:ascii="Garamond" w:hAnsi="Garamond"/>
        </w:rPr>
        <w:instrText xml:space="preserve"> TA \l "United States v. Wong Kim Ark" \s "United States v. Wong Kim Ark" \c 1 </w:instrText>
      </w:r>
      <w:r w:rsidR="00681F71" w:rsidRPr="00C05D6B">
        <w:rPr>
          <w:rFonts w:ascii="Garamond" w:hAnsi="Garamond"/>
        </w:rPr>
        <w:fldChar w:fldCharType="end"/>
      </w:r>
      <w:r w:rsidRPr="00C05D6B">
        <w:rPr>
          <w:rFonts w:ascii="Garamond" w:hAnsi="Garamond"/>
        </w:rPr>
        <w:t xml:space="preserve"> (1898), where it addressed the citizenship status of a California resident born in San Francisco to Chinese immigrant parents. When Wong was denied reentry to the United States after traveling to China, </w:t>
      </w:r>
      <w:r w:rsidRPr="00C05D6B">
        <w:rPr>
          <w:rFonts w:ascii="Garamond" w:hAnsi="Garamond"/>
        </w:rPr>
        <w:lastRenderedPageBreak/>
        <w:t>customs officials argued he was not a citizen because his parents remained subjects of the Chinese emperor, making him likewise subject to foreign sovereignty rather than U.S. jurisdiction.</w:t>
      </w:r>
    </w:p>
    <w:p w14:paraId="70069286" w14:textId="77777777" w:rsidR="000F73A9" w:rsidRPr="00C05D6B" w:rsidRDefault="000F73A9" w:rsidP="00BE59E1">
      <w:pPr>
        <w:pStyle w:val="whitespace-normal"/>
        <w:ind w:firstLine="720"/>
        <w:rPr>
          <w:rFonts w:ascii="Garamond" w:hAnsi="Garamond"/>
        </w:rPr>
      </w:pPr>
      <w:r w:rsidRPr="00C05D6B">
        <w:rPr>
          <w:rFonts w:ascii="Garamond" w:hAnsi="Garamond"/>
        </w:rPr>
        <w:t>The Court rejected this narrow interpretation of the jurisdictional requirement, holding that the Fourteenth Amendment “affirms the ancient and fundamental rule of citizenship by birth within the territory.” The jurisdictional qualifier, the Court explained, excludes only children born of alien enemies during hostile occupation, children of diplomatic representatives, and children of tribal Indians owing direct allegiance to their tribes. This interpretation established the fundamental principle that birth within U.S. territory, rather than parental citizenship status, determines citizenship under the Fourteenth Amendment.</w:t>
      </w:r>
    </w:p>
    <w:p w14:paraId="473008C7" w14:textId="2647C40C" w:rsidR="000F73A9" w:rsidRPr="00C05D6B" w:rsidRDefault="000F73A9" w:rsidP="00BE59E1">
      <w:pPr>
        <w:pStyle w:val="whitespace-normal"/>
        <w:ind w:firstLine="720"/>
        <w:rPr>
          <w:rFonts w:ascii="Garamond" w:hAnsi="Garamond"/>
        </w:rPr>
      </w:pPr>
      <w:r w:rsidRPr="00C05D6B">
        <w:rPr>
          <w:rFonts w:ascii="Garamond" w:hAnsi="Garamond"/>
        </w:rPr>
        <w:t xml:space="preserve">Subsequent Supreme Court decisions have reaffirmed </w:t>
      </w:r>
      <w:r w:rsidRPr="00C05D6B">
        <w:rPr>
          <w:rFonts w:ascii="Garamond" w:hAnsi="Garamond"/>
          <w:i/>
          <w:iCs/>
        </w:rPr>
        <w:t>Wong Kim Ark</w:t>
      </w:r>
      <w:r w:rsidRPr="00C05D6B">
        <w:rPr>
          <w:rFonts w:ascii="Garamond" w:hAnsi="Garamond"/>
        </w:rPr>
        <w:t>’s</w:t>
      </w:r>
      <w:r w:rsidR="00681F71" w:rsidRPr="00C05D6B">
        <w:rPr>
          <w:rFonts w:ascii="Garamond" w:hAnsi="Garamond"/>
        </w:rPr>
        <w:fldChar w:fldCharType="begin"/>
      </w:r>
      <w:r w:rsidR="00681F71" w:rsidRPr="00C05D6B">
        <w:rPr>
          <w:rFonts w:ascii="Garamond" w:hAnsi="Garamond"/>
        </w:rPr>
        <w:instrText xml:space="preserve"> TA \s "United States v. Wong Kim Ark" </w:instrText>
      </w:r>
      <w:r w:rsidR="00681F71" w:rsidRPr="00C05D6B">
        <w:rPr>
          <w:rFonts w:ascii="Garamond" w:hAnsi="Garamond"/>
        </w:rPr>
        <w:fldChar w:fldCharType="end"/>
      </w:r>
      <w:r w:rsidRPr="00C05D6B">
        <w:rPr>
          <w:rFonts w:ascii="Garamond" w:hAnsi="Garamond"/>
        </w:rPr>
        <w:t xml:space="preserve"> holding across varied historical contexts. During the era of Asian exclusion laws, the Court held in Morrison v. California</w:t>
      </w:r>
      <w:r w:rsidR="00681F71" w:rsidRPr="00C05D6B">
        <w:rPr>
          <w:rFonts w:ascii="Garamond" w:hAnsi="Garamond"/>
        </w:rPr>
        <w:fldChar w:fldCharType="begin"/>
      </w:r>
      <w:r w:rsidR="00681F71" w:rsidRPr="00C05D6B">
        <w:rPr>
          <w:rFonts w:ascii="Garamond" w:hAnsi="Garamond"/>
        </w:rPr>
        <w:instrText xml:space="preserve"> TA \l "Morrison v. California" \s "Morrison v. California" \c 1 </w:instrText>
      </w:r>
      <w:r w:rsidR="00681F71" w:rsidRPr="00C05D6B">
        <w:rPr>
          <w:rFonts w:ascii="Garamond" w:hAnsi="Garamond"/>
        </w:rPr>
        <w:fldChar w:fldCharType="end"/>
      </w:r>
      <w:r w:rsidRPr="00C05D6B">
        <w:rPr>
          <w:rFonts w:ascii="Garamond" w:hAnsi="Garamond"/>
        </w:rPr>
        <w:t xml:space="preserve"> (1934) that a child born to Japanese parents ineligible for citizenship was nonetheless an American citizen if born within the United States. Moreover, during World War II’s heightened scrutiny of Japanese Americans, the Court maintained this principle in </w:t>
      </w:r>
      <w:proofErr w:type="spellStart"/>
      <w:r w:rsidRPr="00C05D6B">
        <w:rPr>
          <w:rFonts w:ascii="Garamond" w:hAnsi="Garamond"/>
        </w:rPr>
        <w:t>Hirabayashi</w:t>
      </w:r>
      <w:proofErr w:type="spellEnd"/>
      <w:r w:rsidRPr="00C05D6B">
        <w:rPr>
          <w:rFonts w:ascii="Garamond" w:hAnsi="Garamond"/>
        </w:rPr>
        <w:t xml:space="preserve"> v. United States</w:t>
      </w:r>
      <w:r w:rsidR="00681F71" w:rsidRPr="00C05D6B">
        <w:rPr>
          <w:rFonts w:ascii="Garamond" w:hAnsi="Garamond"/>
        </w:rPr>
        <w:fldChar w:fldCharType="begin"/>
      </w:r>
      <w:r w:rsidR="00681F71" w:rsidRPr="00C05D6B">
        <w:rPr>
          <w:rFonts w:ascii="Garamond" w:hAnsi="Garamond"/>
        </w:rPr>
        <w:instrText xml:space="preserve"> TA \l "Hirabayashi v. United States" \s "Hirabayashi v. United States" \c 1 </w:instrText>
      </w:r>
      <w:r w:rsidR="00681F71" w:rsidRPr="00C05D6B">
        <w:rPr>
          <w:rFonts w:ascii="Garamond" w:hAnsi="Garamond"/>
        </w:rPr>
        <w:fldChar w:fldCharType="end"/>
      </w:r>
      <w:r w:rsidRPr="00C05D6B">
        <w:rPr>
          <w:rFonts w:ascii="Garamond" w:hAnsi="Garamond"/>
        </w:rPr>
        <w:t xml:space="preserve"> (1943). The Court has similarly recognized citizenship for children of parents unlawfully present in the United States and those who gained admission through unlawful means, as demonstrated in cases like United States ex rel. </w:t>
      </w:r>
      <w:proofErr w:type="spellStart"/>
      <w:r w:rsidRPr="00C05D6B">
        <w:rPr>
          <w:rFonts w:ascii="Garamond" w:hAnsi="Garamond"/>
        </w:rPr>
        <w:t>Hintopoulos</w:t>
      </w:r>
      <w:proofErr w:type="spellEnd"/>
      <w:r w:rsidRPr="00C05D6B">
        <w:rPr>
          <w:rFonts w:ascii="Garamond" w:hAnsi="Garamond"/>
        </w:rPr>
        <w:t xml:space="preserve"> v. Shaughnessy</w:t>
      </w:r>
      <w:r w:rsidR="00681F71" w:rsidRPr="00C05D6B">
        <w:rPr>
          <w:rFonts w:ascii="Garamond" w:hAnsi="Garamond"/>
        </w:rPr>
        <w:fldChar w:fldCharType="begin"/>
      </w:r>
      <w:r w:rsidR="00681F71" w:rsidRPr="00C05D6B">
        <w:rPr>
          <w:rFonts w:ascii="Garamond" w:hAnsi="Garamond"/>
        </w:rPr>
        <w:instrText xml:space="preserve"> TA \l "United States ex rel. Hintopoulos v. Shaughnessy" \s "United States ex rel. Hintopoulos v. Shaughnessy" \c 1 </w:instrText>
      </w:r>
      <w:r w:rsidR="00681F71" w:rsidRPr="00C05D6B">
        <w:rPr>
          <w:rFonts w:ascii="Garamond" w:hAnsi="Garamond"/>
        </w:rPr>
        <w:fldChar w:fldCharType="end"/>
      </w:r>
      <w:r w:rsidRPr="00C05D6B">
        <w:rPr>
          <w:rFonts w:ascii="Garamond" w:hAnsi="Garamond"/>
        </w:rPr>
        <w:t xml:space="preserve"> (1957), INS v. </w:t>
      </w:r>
      <w:proofErr w:type="spellStart"/>
      <w:r w:rsidRPr="00C05D6B">
        <w:rPr>
          <w:rFonts w:ascii="Garamond" w:hAnsi="Garamond"/>
        </w:rPr>
        <w:t>Errico</w:t>
      </w:r>
      <w:proofErr w:type="spellEnd"/>
      <w:r w:rsidR="00681F71" w:rsidRPr="00C05D6B">
        <w:rPr>
          <w:rFonts w:ascii="Garamond" w:hAnsi="Garamond"/>
        </w:rPr>
        <w:fldChar w:fldCharType="begin"/>
      </w:r>
      <w:r w:rsidR="00681F71" w:rsidRPr="00C05D6B">
        <w:rPr>
          <w:rFonts w:ascii="Garamond" w:hAnsi="Garamond"/>
        </w:rPr>
        <w:instrText xml:space="preserve"> TA \l "INS v. Errico" \s "INS v. Errico" \c 1 </w:instrText>
      </w:r>
      <w:r w:rsidR="00681F71" w:rsidRPr="00C05D6B">
        <w:rPr>
          <w:rFonts w:ascii="Garamond" w:hAnsi="Garamond"/>
        </w:rPr>
        <w:fldChar w:fldCharType="end"/>
      </w:r>
      <w:r w:rsidRPr="00C05D6B">
        <w:rPr>
          <w:rFonts w:ascii="Garamond" w:hAnsi="Garamond"/>
        </w:rPr>
        <w:t xml:space="preserve"> (1966), and INS v. Rios-Pineda</w:t>
      </w:r>
      <w:r w:rsidR="00681F71" w:rsidRPr="00C05D6B">
        <w:rPr>
          <w:rFonts w:ascii="Garamond" w:hAnsi="Garamond"/>
        </w:rPr>
        <w:fldChar w:fldCharType="begin"/>
      </w:r>
      <w:r w:rsidR="00681F71" w:rsidRPr="00C05D6B">
        <w:rPr>
          <w:rFonts w:ascii="Garamond" w:hAnsi="Garamond"/>
        </w:rPr>
        <w:instrText xml:space="preserve"> TA \l "INS v. Rios-Pineda" \s "INS v. Rios-Pineda" \c 1 </w:instrText>
      </w:r>
      <w:r w:rsidR="00681F71" w:rsidRPr="00C05D6B">
        <w:rPr>
          <w:rFonts w:ascii="Garamond" w:hAnsi="Garamond"/>
        </w:rPr>
        <w:fldChar w:fldCharType="end"/>
      </w:r>
      <w:r w:rsidRPr="00C05D6B">
        <w:rPr>
          <w:rFonts w:ascii="Garamond" w:hAnsi="Garamond"/>
        </w:rPr>
        <w:t xml:space="preserve"> (1985).</w:t>
      </w:r>
    </w:p>
    <w:p w14:paraId="18CD9BED" w14:textId="1047F69C" w:rsidR="000F73A9" w:rsidRPr="00C05D6B" w:rsidRDefault="000F73A9" w:rsidP="00BE59E1">
      <w:pPr>
        <w:pStyle w:val="whitespace-normal"/>
        <w:ind w:firstLine="720"/>
        <w:rPr>
          <w:rFonts w:ascii="Garamond" w:hAnsi="Garamond"/>
        </w:rPr>
      </w:pPr>
      <w:r w:rsidRPr="00C05D6B">
        <w:rPr>
          <w:rFonts w:ascii="Garamond" w:hAnsi="Garamond"/>
        </w:rPr>
        <w:t>Congressional action has reinforced these constitutional principles through statutory codification. The Nationality Act of 1940</w:t>
      </w:r>
      <w:r w:rsidR="00681F71" w:rsidRPr="00C05D6B">
        <w:rPr>
          <w:rFonts w:ascii="Garamond" w:hAnsi="Garamond"/>
        </w:rPr>
        <w:fldChar w:fldCharType="begin"/>
      </w:r>
      <w:r w:rsidR="00681F71" w:rsidRPr="00C05D6B">
        <w:rPr>
          <w:rFonts w:ascii="Garamond" w:hAnsi="Garamond"/>
        </w:rPr>
        <w:instrText xml:space="preserve"> TA \s "Nationality Act of 1940" </w:instrText>
      </w:r>
      <w:r w:rsidR="00681F71" w:rsidRPr="00C05D6B">
        <w:rPr>
          <w:rFonts w:ascii="Garamond" w:hAnsi="Garamond"/>
        </w:rPr>
        <w:fldChar w:fldCharType="end"/>
      </w:r>
      <w:r w:rsidRPr="00C05D6B">
        <w:rPr>
          <w:rFonts w:ascii="Garamond" w:hAnsi="Garamond"/>
        </w:rPr>
        <w:t xml:space="preserve"> provides that all persons “born in the United States, and subject to the jurisdiction thereof” are “nationals and citizens of the United States at birth.” This statutory language directly tracks the Fourteenth Amendment’s text and, under established interpretive principles, carries forward the constitutional provision’s historical meaning and judicial construction.</w:t>
      </w:r>
    </w:p>
    <w:p w14:paraId="22E3A093" w14:textId="7A326FBD" w:rsidR="000F73A9" w:rsidRPr="00C05D6B" w:rsidRDefault="000F73A9" w:rsidP="00BE59E1">
      <w:pPr>
        <w:pStyle w:val="whitespace-normal"/>
        <w:ind w:firstLine="720"/>
        <w:rPr>
          <w:rFonts w:ascii="Garamond" w:hAnsi="Garamond"/>
        </w:rPr>
      </w:pPr>
      <w:r w:rsidRPr="00C05D6B">
        <w:rPr>
          <w:rFonts w:ascii="Garamond" w:hAnsi="Garamond"/>
        </w:rPr>
        <w:t>This constitutional and legislative consensus was challenged by Executive Order No. 14160</w:t>
      </w:r>
      <w:r w:rsidR="00DA6C7B" w:rsidRPr="00C05D6B">
        <w:rPr>
          <w:rFonts w:ascii="Garamond" w:hAnsi="Garamond"/>
        </w:rPr>
        <w:fldChar w:fldCharType="begin"/>
      </w:r>
      <w:r w:rsidR="00DA6C7B" w:rsidRPr="00C05D6B">
        <w:rPr>
          <w:rFonts w:ascii="Garamond" w:hAnsi="Garamond"/>
        </w:rPr>
        <w:instrText xml:space="preserve"> TA \s "Executive Order No. 14160" </w:instrText>
      </w:r>
      <w:r w:rsidR="00DA6C7B" w:rsidRPr="00C05D6B">
        <w:rPr>
          <w:rFonts w:ascii="Garamond" w:hAnsi="Garamond"/>
        </w:rPr>
        <w:fldChar w:fldCharType="end"/>
      </w:r>
      <w:r w:rsidRPr="00C05D6B">
        <w:rPr>
          <w:rFonts w:ascii="Garamond" w:hAnsi="Garamond"/>
        </w:rPr>
        <w:t>, issued in January 2025. The order purports to deny citizenship to persons born in the United States whose mothers are unlawfully present or present on a temporary basis, and whose fathers are neither citizens nor lawful permanent residents. The order prohibits federal agencies from issuing citizenship documentation to such persons and directs officials to conform agency regulations accordingly, applying to births occurring thirty days after the order’s issuance.</w:t>
      </w:r>
    </w:p>
    <w:p w14:paraId="1193FA34" w14:textId="6D05652B" w:rsidR="000F73A9" w:rsidRPr="00C05D6B" w:rsidRDefault="000F73A9" w:rsidP="00BE59E1">
      <w:pPr>
        <w:pStyle w:val="whitespace-normal"/>
        <w:ind w:firstLine="720"/>
        <w:rPr>
          <w:rFonts w:ascii="Garamond" w:hAnsi="Garamond"/>
        </w:rPr>
      </w:pPr>
      <w:r w:rsidRPr="00C05D6B">
        <w:rPr>
          <w:rFonts w:ascii="Garamond" w:hAnsi="Garamond"/>
        </w:rPr>
        <w:t>Three lower courts</w:t>
      </w:r>
      <w:r w:rsidR="00BE59E1" w:rsidRPr="00C05D6B">
        <w:rPr>
          <w:rFonts w:ascii="Garamond" w:hAnsi="Garamond"/>
        </w:rPr>
        <w:t>—</w:t>
      </w:r>
      <w:r w:rsidRPr="00C05D6B">
        <w:rPr>
          <w:rFonts w:ascii="Garamond" w:hAnsi="Garamond"/>
        </w:rPr>
        <w:t xml:space="preserve">located in the states of Maryland, Massachusetts, and Washington—enjoined the order on a nationwide basis. </w:t>
      </w:r>
    </w:p>
    <w:p w14:paraId="74F24559" w14:textId="7C646DBB" w:rsidR="000F73A9" w:rsidRPr="00C05D6B" w:rsidRDefault="000F73A9" w:rsidP="00BE59E1">
      <w:pPr>
        <w:pStyle w:val="whitespace-normal"/>
        <w:ind w:firstLine="720"/>
        <w:rPr>
          <w:rFonts w:ascii="Garamond" w:hAnsi="Garamond"/>
        </w:rPr>
      </w:pPr>
      <w:r w:rsidRPr="00C05D6B">
        <w:rPr>
          <w:rFonts w:ascii="Garamond" w:hAnsi="Garamond"/>
        </w:rPr>
        <w:t xml:space="preserve">At issue in </w:t>
      </w:r>
      <w:r w:rsidRPr="00C05D6B">
        <w:rPr>
          <w:rFonts w:ascii="Garamond" w:hAnsi="Garamond"/>
          <w:i/>
          <w:iCs/>
        </w:rPr>
        <w:t>Trump v. CASA</w:t>
      </w:r>
      <w:r w:rsidR="00681F71" w:rsidRPr="00C05D6B">
        <w:rPr>
          <w:rFonts w:ascii="Garamond" w:hAnsi="Garamond"/>
          <w:i/>
          <w:iCs/>
        </w:rPr>
        <w:fldChar w:fldCharType="begin"/>
      </w:r>
      <w:r w:rsidR="00681F71" w:rsidRPr="00C05D6B">
        <w:rPr>
          <w:rFonts w:ascii="Garamond" w:hAnsi="Garamond"/>
        </w:rPr>
        <w:instrText xml:space="preserve"> TA \s "Trump v. CASA" </w:instrText>
      </w:r>
      <w:r w:rsidR="00681F71" w:rsidRPr="00C05D6B">
        <w:rPr>
          <w:rFonts w:ascii="Garamond" w:hAnsi="Garamond"/>
          <w:i/>
          <w:iCs/>
        </w:rPr>
        <w:fldChar w:fldCharType="end"/>
      </w:r>
      <w:r w:rsidRPr="00C05D6B">
        <w:rPr>
          <w:rFonts w:ascii="Garamond" w:hAnsi="Garamond"/>
        </w:rPr>
        <w:t xml:space="preserve"> </w:t>
      </w:r>
      <w:r w:rsidR="00BE59E1" w:rsidRPr="00C05D6B">
        <w:rPr>
          <w:rFonts w:ascii="Garamond" w:hAnsi="Garamond"/>
        </w:rPr>
        <w:t>wa</w:t>
      </w:r>
      <w:r w:rsidRPr="00C05D6B">
        <w:rPr>
          <w:rFonts w:ascii="Garamond" w:hAnsi="Garamond"/>
        </w:rPr>
        <w:t xml:space="preserve">s </w:t>
      </w:r>
      <w:r w:rsidR="00D0461D">
        <w:rPr>
          <w:rFonts w:ascii="Garamond" w:hAnsi="Garamond"/>
        </w:rPr>
        <w:t xml:space="preserve">a </w:t>
      </w:r>
      <w:r w:rsidRPr="00C05D6B">
        <w:rPr>
          <w:rFonts w:ascii="Garamond" w:hAnsi="Garamond"/>
        </w:rPr>
        <w:t xml:space="preserve">question of remedy. When may </w:t>
      </w:r>
      <w:r w:rsidR="005B49A3">
        <w:rPr>
          <w:rFonts w:ascii="Garamond" w:hAnsi="Garamond"/>
        </w:rPr>
        <w:t xml:space="preserve">a </w:t>
      </w:r>
      <w:r w:rsidRPr="00C05D6B">
        <w:rPr>
          <w:rFonts w:ascii="Garamond" w:hAnsi="Garamond"/>
        </w:rPr>
        <w:t xml:space="preserve">federal district court issue relief that protects non-parties from the enforcement of a law, order, or regulation on a nationwide basis? In common parlance, such injunctions have sometimes been called “nationwide injunctions.” That term, however, is misleading. Many injunctions have nationwide effect. A defendant who has been enjoined by a federal district court from violating a plaintiff’s patent could not avoid the order by violating the patent in another district or another state. The controversial question, then, is not about how far a federal district court’s order may reach in geographic terms, but rather, when the district court can prevent an illegal law from being enforced against individuals who are not parties to that litigation. </w:t>
      </w:r>
      <w:r w:rsidRPr="00C05D6B">
        <w:rPr>
          <w:rFonts w:ascii="Garamond" w:hAnsi="Garamond"/>
          <w:i/>
          <w:iCs/>
        </w:rPr>
        <w:t>Trump v. CASA</w:t>
      </w:r>
      <w:r w:rsidR="00681F71" w:rsidRPr="00C05D6B">
        <w:rPr>
          <w:rFonts w:ascii="Garamond" w:hAnsi="Garamond"/>
          <w:i/>
          <w:iCs/>
        </w:rPr>
        <w:fldChar w:fldCharType="begin"/>
      </w:r>
      <w:r w:rsidR="00681F71" w:rsidRPr="00C05D6B">
        <w:rPr>
          <w:rFonts w:ascii="Garamond" w:hAnsi="Garamond"/>
        </w:rPr>
        <w:instrText xml:space="preserve"> TA \s "Trump v. CASA" </w:instrText>
      </w:r>
      <w:r w:rsidR="00681F71" w:rsidRPr="00C05D6B">
        <w:rPr>
          <w:rFonts w:ascii="Garamond" w:hAnsi="Garamond"/>
          <w:i/>
          <w:iCs/>
        </w:rPr>
        <w:fldChar w:fldCharType="end"/>
      </w:r>
      <w:r w:rsidR="00681F71" w:rsidRPr="00C05D6B">
        <w:rPr>
          <w:rFonts w:ascii="Garamond" w:hAnsi="Garamond"/>
        </w:rPr>
        <w:t xml:space="preserve"> </w:t>
      </w:r>
      <w:r w:rsidRPr="00C05D6B">
        <w:rPr>
          <w:rFonts w:ascii="Garamond" w:hAnsi="Garamond"/>
        </w:rPr>
        <w:t xml:space="preserve"> limits federal district courts’ ability to do so.</w:t>
      </w:r>
    </w:p>
    <w:p w14:paraId="0D5B6AD6" w14:textId="77777777" w:rsidR="000F73A9" w:rsidRPr="00C05D6B" w:rsidRDefault="000F73A9" w:rsidP="00BE59E1">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lastRenderedPageBreak/>
        <w:t>The full practical import of the decision is not yet known. Important questions remain:</w:t>
      </w:r>
    </w:p>
    <w:p w14:paraId="071E3ED4" w14:textId="36ADA1A7" w:rsidR="000F73A9" w:rsidRPr="00C05D6B" w:rsidRDefault="000F73A9" w:rsidP="00BE59E1">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 xml:space="preserve">First, the majority did not foreclose the possibility that a federal district court may issue a preliminary injunction in a putative class action. On a range of matters for which federal district courts issued nationwide injunctions in the early months of 2025, litigants have subsequently brought litigation on behalf of a class that, if recognized, would have the same practical import as the nationwide injunctions. On the matter of birthright citizenship itself, a putative class action was filed after </w:t>
      </w:r>
      <w:r w:rsidRPr="00C05D6B">
        <w:rPr>
          <w:rFonts w:ascii="Garamond" w:eastAsia="Times New Roman" w:hAnsi="Garamond" w:cs="Times New Roman"/>
          <w:i/>
          <w:iCs/>
        </w:rPr>
        <w:t>CASA</w:t>
      </w:r>
      <w:r w:rsidR="00681F71" w:rsidRPr="00C05D6B">
        <w:rPr>
          <w:rFonts w:ascii="Garamond" w:hAnsi="Garamond"/>
          <w:i/>
          <w:iCs/>
        </w:rPr>
        <w:fldChar w:fldCharType="begin"/>
      </w:r>
      <w:r w:rsidR="00681F71" w:rsidRPr="00C05D6B">
        <w:rPr>
          <w:rFonts w:ascii="Garamond" w:hAnsi="Garamond"/>
        </w:rPr>
        <w:instrText xml:space="preserve"> TA \s "Trump v. CASA" </w:instrText>
      </w:r>
      <w:r w:rsidR="00681F71" w:rsidRPr="00C05D6B">
        <w:rPr>
          <w:rFonts w:ascii="Garamond" w:hAnsi="Garamond"/>
          <w:i/>
          <w:iCs/>
        </w:rPr>
        <w:fldChar w:fldCharType="end"/>
      </w:r>
      <w:r w:rsidRPr="00C05D6B">
        <w:rPr>
          <w:rFonts w:ascii="Garamond" w:eastAsia="Times New Roman" w:hAnsi="Garamond" w:cs="Times New Roman"/>
        </w:rPr>
        <w:t xml:space="preserve">, and relief was granted to a class. The impact of </w:t>
      </w:r>
      <w:r w:rsidRPr="00C05D6B">
        <w:rPr>
          <w:rFonts w:ascii="Garamond" w:eastAsia="Times New Roman" w:hAnsi="Garamond" w:cs="Times New Roman"/>
          <w:i/>
          <w:iCs/>
        </w:rPr>
        <w:t>CASA</w:t>
      </w:r>
      <w:r w:rsidR="00681F71" w:rsidRPr="00C05D6B">
        <w:rPr>
          <w:rFonts w:ascii="Garamond" w:hAnsi="Garamond"/>
          <w:i/>
          <w:iCs/>
        </w:rPr>
        <w:fldChar w:fldCharType="begin"/>
      </w:r>
      <w:r w:rsidR="00681F71" w:rsidRPr="00C05D6B">
        <w:rPr>
          <w:rFonts w:ascii="Garamond" w:hAnsi="Garamond"/>
        </w:rPr>
        <w:instrText xml:space="preserve"> TA \s "Trump v. CASA" </w:instrText>
      </w:r>
      <w:r w:rsidR="00681F71" w:rsidRPr="00C05D6B">
        <w:rPr>
          <w:rFonts w:ascii="Garamond" w:hAnsi="Garamond"/>
          <w:i/>
          <w:iCs/>
        </w:rPr>
        <w:fldChar w:fldCharType="end"/>
      </w:r>
      <w:r w:rsidR="00681F71" w:rsidRPr="00C05D6B">
        <w:rPr>
          <w:rFonts w:ascii="Garamond" w:hAnsi="Garamond"/>
        </w:rPr>
        <w:t xml:space="preserve"> </w:t>
      </w:r>
      <w:r w:rsidRPr="00C05D6B">
        <w:rPr>
          <w:rFonts w:ascii="Garamond" w:eastAsia="Times New Roman" w:hAnsi="Garamond" w:cs="Times New Roman"/>
        </w:rPr>
        <w:t xml:space="preserve"> will depend, in part, on the extent to which the Supreme Court places strictures on the class action device in public law litigation.</w:t>
      </w:r>
    </w:p>
    <w:p w14:paraId="2E5D0F80" w14:textId="51E631D5" w:rsidR="000F73A9" w:rsidRPr="00C05D6B" w:rsidRDefault="000F73A9" w:rsidP="00BE59E1">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 xml:space="preserve">Second, the majority made clear that in some instances, relief that protects non-parties might be necessary in order to grant the plaintiff full relief. In </w:t>
      </w:r>
      <w:r w:rsidRPr="00C05D6B">
        <w:rPr>
          <w:rFonts w:ascii="Garamond" w:eastAsia="Times New Roman" w:hAnsi="Garamond" w:cs="Times New Roman"/>
          <w:i/>
          <w:iCs/>
        </w:rPr>
        <w:t>CASA</w:t>
      </w:r>
      <w:r w:rsidR="00681F71" w:rsidRPr="00C05D6B">
        <w:rPr>
          <w:rFonts w:ascii="Garamond" w:hAnsi="Garamond"/>
          <w:i/>
          <w:iCs/>
        </w:rPr>
        <w:fldChar w:fldCharType="begin"/>
      </w:r>
      <w:r w:rsidR="00681F71" w:rsidRPr="00C05D6B">
        <w:rPr>
          <w:rFonts w:ascii="Garamond" w:hAnsi="Garamond"/>
        </w:rPr>
        <w:instrText xml:space="preserve"> TA \s "Trump v. CASA" </w:instrText>
      </w:r>
      <w:r w:rsidR="00681F71" w:rsidRPr="00C05D6B">
        <w:rPr>
          <w:rFonts w:ascii="Garamond" w:hAnsi="Garamond"/>
          <w:i/>
          <w:iCs/>
        </w:rPr>
        <w:fldChar w:fldCharType="end"/>
      </w:r>
      <w:r w:rsidR="00681F71" w:rsidRPr="00C05D6B">
        <w:rPr>
          <w:rFonts w:ascii="Garamond" w:hAnsi="Garamond"/>
        </w:rPr>
        <w:t xml:space="preserve"> </w:t>
      </w:r>
      <w:r w:rsidRPr="00C05D6B">
        <w:rPr>
          <w:rFonts w:ascii="Garamond" w:eastAsia="Times New Roman" w:hAnsi="Garamond" w:cs="Times New Roman"/>
        </w:rPr>
        <w:t xml:space="preserve"> itself, States like New Jersey contended that nothing short of universal relief will prevent the financial and administrative burdens associated with people in the United States being non-citizens in one state, and citizens in another. The impact of </w:t>
      </w:r>
      <w:r w:rsidRPr="00C05D6B">
        <w:rPr>
          <w:rFonts w:ascii="Garamond" w:eastAsia="Times New Roman" w:hAnsi="Garamond" w:cs="Times New Roman"/>
          <w:i/>
          <w:iCs/>
        </w:rPr>
        <w:t>CASA</w:t>
      </w:r>
      <w:r w:rsidR="00681F71" w:rsidRPr="00C05D6B">
        <w:rPr>
          <w:rFonts w:ascii="Garamond" w:hAnsi="Garamond"/>
          <w:i/>
          <w:iCs/>
        </w:rPr>
        <w:fldChar w:fldCharType="begin"/>
      </w:r>
      <w:r w:rsidR="00681F71" w:rsidRPr="00C05D6B">
        <w:rPr>
          <w:rFonts w:ascii="Garamond" w:hAnsi="Garamond"/>
        </w:rPr>
        <w:instrText xml:space="preserve"> TA \s "Trump v. CASA" </w:instrText>
      </w:r>
      <w:r w:rsidR="00681F71" w:rsidRPr="00C05D6B">
        <w:rPr>
          <w:rFonts w:ascii="Garamond" w:hAnsi="Garamond"/>
          <w:i/>
          <w:iCs/>
        </w:rPr>
        <w:fldChar w:fldCharType="end"/>
      </w:r>
      <w:r w:rsidR="00681F71" w:rsidRPr="00C05D6B">
        <w:rPr>
          <w:rFonts w:ascii="Garamond" w:hAnsi="Garamond"/>
        </w:rPr>
        <w:t xml:space="preserve"> </w:t>
      </w:r>
      <w:r w:rsidRPr="00C05D6B">
        <w:rPr>
          <w:rFonts w:ascii="Garamond" w:eastAsia="Times New Roman" w:hAnsi="Garamond" w:cs="Times New Roman"/>
        </w:rPr>
        <w:t xml:space="preserve"> is linked to the size of this category of cases.</w:t>
      </w:r>
    </w:p>
    <w:p w14:paraId="43287C17" w14:textId="5328F43B" w:rsidR="000F73A9" w:rsidRPr="00C05D6B" w:rsidRDefault="000F73A9" w:rsidP="00BE59E1">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 xml:space="preserve">Third, the majority said nothing about whether federal district courts may universally vacate or set aside federal regulations under the Administrative Procedure Act, thereby preventing enforcement of the regulation against non-parties. This category often invites as much public scrutiny as cases in which federal courts issued injunctions. A prominent example is Judge </w:t>
      </w:r>
      <w:proofErr w:type="spellStart"/>
      <w:r w:rsidRPr="00C05D6B">
        <w:rPr>
          <w:rFonts w:ascii="Garamond" w:eastAsia="Times New Roman" w:hAnsi="Garamond" w:cs="Times New Roman"/>
        </w:rPr>
        <w:t>Kacsmaryk’s</w:t>
      </w:r>
      <w:proofErr w:type="spellEnd"/>
      <w:r w:rsidRPr="00C05D6B">
        <w:rPr>
          <w:rFonts w:ascii="Garamond" w:eastAsia="Times New Roman" w:hAnsi="Garamond" w:cs="Times New Roman"/>
        </w:rPr>
        <w:t xml:space="preserve"> ruling in the mifepristone case (FDA v. Alliance for Hippocratic Medicine</w:t>
      </w:r>
      <w:r w:rsidR="00BE59E1" w:rsidRPr="00C05D6B">
        <w:rPr>
          <w:rFonts w:ascii="Garamond" w:eastAsia="Times New Roman" w:hAnsi="Garamond" w:cs="Times New Roman"/>
        </w:rPr>
        <w:t xml:space="preserve"> (2024)</w:t>
      </w:r>
      <w:r w:rsidR="00C67EFA" w:rsidRPr="00C05D6B">
        <w:rPr>
          <w:rFonts w:ascii="Garamond" w:eastAsia="Times New Roman" w:hAnsi="Garamond" w:cs="Times New Roman"/>
          <w:i/>
          <w:iCs/>
        </w:rPr>
        <w:fldChar w:fldCharType="begin"/>
      </w:r>
      <w:r w:rsidR="00C67EFA" w:rsidRPr="00C05D6B">
        <w:rPr>
          <w:rFonts w:ascii="Garamond" w:hAnsi="Garamond"/>
        </w:rPr>
        <w:instrText xml:space="preserve"> TA \s "Food and Drug Administration v. Alliance for Hippocratic Medicine" </w:instrText>
      </w:r>
      <w:r w:rsidR="00C67EFA" w:rsidRPr="00C05D6B">
        <w:rPr>
          <w:rFonts w:ascii="Garamond" w:eastAsia="Times New Roman" w:hAnsi="Garamond" w:cs="Times New Roman"/>
          <w:i/>
          <w:iCs/>
        </w:rPr>
        <w:fldChar w:fldCharType="end"/>
      </w:r>
      <w:r w:rsidRPr="00C05D6B">
        <w:rPr>
          <w:rFonts w:ascii="Garamond" w:eastAsia="Times New Roman" w:hAnsi="Garamond" w:cs="Times New Roman"/>
        </w:rPr>
        <w:t xml:space="preserve">), where he initially suspended the FDA’s decades-old approval of the abortion medication. Though the Supreme Court ultimately reversed the decision on standing grounds in June 2024, finding that the Alliance for Hippocratic Medicine lacked Article III standing to challenge the FDA’s approval, the case highlighted how district courts might attempt to use their authority to effectively ban drugs nationwide. As is often the case in cases seeking to halt enforcement of a national policy, the case also exemplified concerns about forum shopping, as the plaintiffs filed in Amarillo, Texas, where they were virtually guaranteed to have </w:t>
      </w:r>
      <w:proofErr w:type="spellStart"/>
      <w:r w:rsidRPr="00C05D6B">
        <w:rPr>
          <w:rFonts w:ascii="Garamond" w:eastAsia="Times New Roman" w:hAnsi="Garamond" w:cs="Times New Roman"/>
        </w:rPr>
        <w:t>Kacsmaryk</w:t>
      </w:r>
      <w:proofErr w:type="spellEnd"/>
      <w:r w:rsidRPr="00C05D6B">
        <w:rPr>
          <w:rFonts w:ascii="Garamond" w:eastAsia="Times New Roman" w:hAnsi="Garamond" w:cs="Times New Roman"/>
        </w:rPr>
        <w:t xml:space="preserve"> hear their case. It remains unknown whether rulings that universally vacate federal regulations would be impacted by the courts’ reining in of nationwide injunctive relief under the </w:t>
      </w:r>
      <w:r w:rsidRPr="00C05D6B">
        <w:rPr>
          <w:rFonts w:ascii="Garamond" w:eastAsia="Times New Roman" w:hAnsi="Garamond" w:cs="Times New Roman"/>
          <w:i/>
          <w:iCs/>
        </w:rPr>
        <w:t>Trump v. CASA</w:t>
      </w:r>
      <w:r w:rsidR="00C67EFA" w:rsidRPr="00C05D6B">
        <w:rPr>
          <w:rFonts w:ascii="Garamond" w:hAnsi="Garamond"/>
          <w:i/>
          <w:iCs/>
        </w:rPr>
        <w:fldChar w:fldCharType="begin"/>
      </w:r>
      <w:r w:rsidR="00C67EFA" w:rsidRPr="00C05D6B">
        <w:rPr>
          <w:rFonts w:ascii="Garamond" w:hAnsi="Garamond"/>
        </w:rPr>
        <w:instrText xml:space="preserve"> TA \s "Trump v. CASA" </w:instrText>
      </w:r>
      <w:r w:rsidR="00C67EFA" w:rsidRPr="00C05D6B">
        <w:rPr>
          <w:rFonts w:ascii="Garamond" w:hAnsi="Garamond"/>
          <w:i/>
          <w:iCs/>
        </w:rPr>
        <w:fldChar w:fldCharType="end"/>
      </w:r>
      <w:r w:rsidR="00C67EFA" w:rsidRPr="00C05D6B">
        <w:rPr>
          <w:rFonts w:ascii="Garamond" w:hAnsi="Garamond"/>
        </w:rPr>
        <w:t xml:space="preserve"> </w:t>
      </w:r>
      <w:r w:rsidRPr="00C05D6B">
        <w:rPr>
          <w:rFonts w:ascii="Garamond" w:eastAsia="Times New Roman" w:hAnsi="Garamond" w:cs="Times New Roman"/>
        </w:rPr>
        <w:t>framework.</w:t>
      </w:r>
    </w:p>
    <w:p w14:paraId="032D48FD" w14:textId="6B79C83A" w:rsidR="000F73A9" w:rsidRPr="00C05D6B" w:rsidRDefault="000F73A9" w:rsidP="00BE59E1">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 xml:space="preserve">Fourth, a major concern about nationwide injunctions—from both the left and the right—is that </w:t>
      </w:r>
      <w:r w:rsidR="00AA5190">
        <w:rPr>
          <w:rFonts w:ascii="Garamond" w:eastAsia="Times New Roman" w:hAnsi="Garamond" w:cs="Times New Roman"/>
        </w:rPr>
        <w:t>they</w:t>
      </w:r>
      <w:r w:rsidRPr="00C05D6B">
        <w:rPr>
          <w:rFonts w:ascii="Garamond" w:eastAsia="Times New Roman" w:hAnsi="Garamond" w:cs="Times New Roman"/>
        </w:rPr>
        <w:t xml:space="preserve"> promote forum shopping, or even judge</w:t>
      </w:r>
      <w:r w:rsidR="00216D58" w:rsidRPr="00C05D6B">
        <w:rPr>
          <w:rFonts w:ascii="Garamond" w:eastAsia="Times New Roman" w:hAnsi="Garamond" w:cs="Times New Roman"/>
        </w:rPr>
        <w:t xml:space="preserve"> </w:t>
      </w:r>
      <w:r w:rsidRPr="00C05D6B">
        <w:rPr>
          <w:rFonts w:ascii="Garamond" w:eastAsia="Times New Roman" w:hAnsi="Garamond" w:cs="Times New Roman"/>
        </w:rPr>
        <w:t xml:space="preserve">shopping.  Litigants seek binding nationwide relief in districts or circuits with a significant percentage of the judges appointed by the president’s opposing party. An unknown is whether </w:t>
      </w:r>
      <w:r w:rsidRPr="00C05D6B">
        <w:rPr>
          <w:rFonts w:ascii="Garamond" w:eastAsia="Times New Roman" w:hAnsi="Garamond" w:cs="Times New Roman"/>
          <w:i/>
          <w:iCs/>
        </w:rPr>
        <w:t>Trump v. CASA</w:t>
      </w:r>
      <w:r w:rsidR="00C67EFA" w:rsidRPr="00C05D6B">
        <w:rPr>
          <w:rFonts w:ascii="Garamond" w:hAnsi="Garamond"/>
          <w:i/>
          <w:iCs/>
        </w:rPr>
        <w:fldChar w:fldCharType="begin"/>
      </w:r>
      <w:r w:rsidR="00C67EFA" w:rsidRPr="00C05D6B">
        <w:rPr>
          <w:rFonts w:ascii="Garamond" w:hAnsi="Garamond"/>
        </w:rPr>
        <w:instrText xml:space="preserve"> TA \s "Trump v. CASA" </w:instrText>
      </w:r>
      <w:r w:rsidR="00C67EFA" w:rsidRPr="00C05D6B">
        <w:rPr>
          <w:rFonts w:ascii="Garamond" w:hAnsi="Garamond"/>
          <w:i/>
          <w:iCs/>
        </w:rPr>
        <w:fldChar w:fldCharType="end"/>
      </w:r>
      <w:r w:rsidR="00C67EFA" w:rsidRPr="00C05D6B">
        <w:rPr>
          <w:rFonts w:ascii="Garamond" w:hAnsi="Garamond"/>
        </w:rPr>
        <w:t xml:space="preserve"> </w:t>
      </w:r>
      <w:r w:rsidRPr="00C05D6B">
        <w:rPr>
          <w:rFonts w:ascii="Garamond" w:eastAsia="Times New Roman" w:hAnsi="Garamond" w:cs="Times New Roman"/>
        </w:rPr>
        <w:t xml:space="preserve"> will meaningfully curb this practice. </w:t>
      </w:r>
    </w:p>
    <w:p w14:paraId="69C7320D" w14:textId="52EA018E" w:rsidR="005A71CA" w:rsidRPr="00C05D6B" w:rsidRDefault="005A71CA" w:rsidP="005A71CA">
      <w:pPr>
        <w:spacing w:before="100" w:beforeAutospacing="1" w:after="100" w:afterAutospacing="1"/>
        <w:ind w:firstLine="720"/>
        <w:rPr>
          <w:rFonts w:ascii="Garamond" w:eastAsia="Times New Roman" w:hAnsi="Garamond" w:cs="Times New Roman"/>
        </w:rPr>
      </w:pPr>
      <w:r w:rsidRPr="00C05D6B">
        <w:rPr>
          <w:rFonts w:ascii="Garamond" w:eastAsia="Times New Roman" w:hAnsi="Garamond" w:cs="Times New Roman"/>
        </w:rPr>
        <w:t>The Court reached the merits of the constitutional challenge to President Trump’s birthright citizenship order in Trump v. Barbara</w:t>
      </w:r>
      <w:r w:rsidR="007177BB" w:rsidRPr="00C05D6B">
        <w:rPr>
          <w:rFonts w:ascii="Garamond" w:eastAsia="Times New Roman" w:hAnsi="Garamond" w:cs="Times New Roman"/>
        </w:rPr>
        <w:fldChar w:fldCharType="begin"/>
      </w:r>
      <w:r w:rsidR="007177BB" w:rsidRPr="00C05D6B">
        <w:rPr>
          <w:rFonts w:ascii="Garamond" w:hAnsi="Garamond"/>
        </w:rPr>
        <w:instrText xml:space="preserve"> TA \l "</w:instrText>
      </w:r>
      <w:r w:rsidR="007177BB" w:rsidRPr="00C05D6B">
        <w:rPr>
          <w:rFonts w:ascii="Garamond" w:eastAsia="Times New Roman" w:hAnsi="Garamond" w:cs="Times New Roman"/>
        </w:rPr>
        <w:instrText>Trump v. Barbara</w:instrText>
      </w:r>
      <w:r w:rsidR="007177BB" w:rsidRPr="00C05D6B">
        <w:rPr>
          <w:rFonts w:ascii="Garamond" w:hAnsi="Garamond"/>
        </w:rPr>
        <w:instrText xml:space="preserve">" \s "Trump v. Barbara" \c </w:instrText>
      </w:r>
      <w:r w:rsidR="00C05D6B">
        <w:rPr>
          <w:rFonts w:ascii="Garamond" w:hAnsi="Garamond"/>
        </w:rPr>
        <w:instrText>1</w:instrText>
      </w:r>
      <w:r w:rsidR="007177BB" w:rsidRPr="00C05D6B">
        <w:rPr>
          <w:rFonts w:ascii="Garamond" w:hAnsi="Garamond"/>
        </w:rPr>
        <w:instrText xml:space="preserve"> </w:instrText>
      </w:r>
      <w:r w:rsidR="007177BB" w:rsidRPr="00C05D6B">
        <w:rPr>
          <w:rFonts w:ascii="Garamond" w:eastAsia="Times New Roman" w:hAnsi="Garamond" w:cs="Times New Roman"/>
        </w:rPr>
        <w:fldChar w:fldCharType="end"/>
      </w:r>
      <w:r w:rsidRPr="00C05D6B">
        <w:rPr>
          <w:rFonts w:ascii="Garamond" w:eastAsia="Times New Roman" w:hAnsi="Garamond" w:cs="Times New Roman"/>
        </w:rPr>
        <w:t xml:space="preserve"> (2026). A 6-3 majority held that the order was unlawful. Five Justices agreed that the order was unconstitutional because children born in the United States to parents unlawfully or temporarily present are “subject to the jurisdiction” of the United States </w:t>
      </w:r>
      <w:r w:rsidR="000F1318" w:rsidRPr="00C05D6B">
        <w:rPr>
          <w:rFonts w:ascii="Garamond" w:eastAsia="Times New Roman" w:hAnsi="Garamond" w:cs="Times New Roman"/>
        </w:rPr>
        <w:t xml:space="preserve">and </w:t>
      </w:r>
      <w:r w:rsidRPr="00C05D6B">
        <w:rPr>
          <w:rFonts w:ascii="Garamond" w:eastAsia="Times New Roman" w:hAnsi="Garamond" w:cs="Times New Roman"/>
        </w:rPr>
        <w:t xml:space="preserve">thus are citizens at birth under the Fourteenth Amendment’s Citizenship Clause. Justice Kavanaugh concurred in the judgment only because he believed that the order did not violate the Constitution but instead violated only a federal statute. Justices Thomas, Alito, and Gorsuch dissented. </w:t>
      </w:r>
    </w:p>
    <w:p w14:paraId="08F46622" w14:textId="77777777" w:rsidR="003125BF" w:rsidRPr="00C05D6B" w:rsidRDefault="003125BF" w:rsidP="009B1076">
      <w:pPr>
        <w:shd w:val="clear" w:color="auto" w:fill="FFFFFF"/>
        <w:textAlignment w:val="baseline"/>
        <w:rPr>
          <w:rFonts w:ascii="Garamond" w:hAnsi="Garamond" w:cs="Times New Roman"/>
        </w:rPr>
      </w:pPr>
    </w:p>
    <w:sectPr w:rsidR="003125BF" w:rsidRPr="00C05D6B">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942DC" w14:textId="77777777" w:rsidR="00B77300" w:rsidRDefault="00B77300" w:rsidP="003125BF">
      <w:r>
        <w:separator/>
      </w:r>
    </w:p>
  </w:endnote>
  <w:endnote w:type="continuationSeparator" w:id="0">
    <w:p w14:paraId="25E81E85" w14:textId="77777777" w:rsidR="00B77300" w:rsidRDefault="00B77300" w:rsidP="00312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9495675"/>
      <w:docPartObj>
        <w:docPartGallery w:val="Page Numbers (Bottom of Page)"/>
        <w:docPartUnique/>
      </w:docPartObj>
    </w:sdtPr>
    <w:sdtEndPr>
      <w:rPr>
        <w:noProof/>
      </w:rPr>
    </w:sdtEndPr>
    <w:sdtContent>
      <w:p w14:paraId="238DDE7D" w14:textId="6BB81D4B" w:rsidR="00F9074C" w:rsidRDefault="00F9074C">
        <w:pPr>
          <w:pStyle w:val="Footer"/>
          <w:jc w:val="center"/>
        </w:pPr>
        <w:r w:rsidRPr="00F9074C">
          <w:rPr>
            <w:rFonts w:ascii="Garamond" w:hAnsi="Garamond"/>
          </w:rPr>
          <w:fldChar w:fldCharType="begin"/>
        </w:r>
        <w:r w:rsidRPr="00F9074C">
          <w:rPr>
            <w:rFonts w:ascii="Garamond" w:hAnsi="Garamond"/>
          </w:rPr>
          <w:instrText xml:space="preserve"> PAGE   \* MERGEFORMAT </w:instrText>
        </w:r>
        <w:r w:rsidRPr="00F9074C">
          <w:rPr>
            <w:rFonts w:ascii="Garamond" w:hAnsi="Garamond"/>
          </w:rPr>
          <w:fldChar w:fldCharType="separate"/>
        </w:r>
        <w:r w:rsidRPr="00F9074C">
          <w:rPr>
            <w:rFonts w:ascii="Garamond" w:hAnsi="Garamond"/>
            <w:noProof/>
          </w:rPr>
          <w:t>2</w:t>
        </w:r>
        <w:r w:rsidRPr="00F9074C">
          <w:rPr>
            <w:rFonts w:ascii="Garamond" w:hAnsi="Garamond"/>
            <w:noProof/>
          </w:rPr>
          <w:fldChar w:fldCharType="end"/>
        </w:r>
      </w:p>
    </w:sdtContent>
  </w:sdt>
  <w:p w14:paraId="70600750" w14:textId="77777777" w:rsidR="00F9074C" w:rsidRDefault="00F90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953C8" w14:textId="77777777" w:rsidR="00B77300" w:rsidRDefault="00B77300" w:rsidP="003125BF">
      <w:r>
        <w:separator/>
      </w:r>
    </w:p>
  </w:footnote>
  <w:footnote w:type="continuationSeparator" w:id="0">
    <w:p w14:paraId="6C910205" w14:textId="77777777" w:rsidR="00B77300" w:rsidRDefault="00B77300" w:rsidP="003125BF">
      <w:r>
        <w:continuationSeparator/>
      </w:r>
    </w:p>
  </w:footnote>
  <w:footnote w:id="1">
    <w:p w14:paraId="1AA1C1E2" w14:textId="13468C07" w:rsidR="003125BF" w:rsidRPr="004859E7" w:rsidRDefault="003125BF" w:rsidP="00BA7FE1">
      <w:pPr>
        <w:ind w:firstLine="720"/>
        <w:rPr>
          <w:rFonts w:ascii="Garamond" w:hAnsi="Garamond"/>
          <w:color w:val="000000" w:themeColor="text1"/>
          <w:sz w:val="20"/>
          <w:szCs w:val="20"/>
        </w:rPr>
      </w:pPr>
      <w:r w:rsidRPr="004859E7">
        <w:rPr>
          <w:rStyle w:val="FootnoteReference"/>
          <w:rFonts w:ascii="Garamond" w:hAnsi="Garamond"/>
          <w:sz w:val="20"/>
          <w:szCs w:val="20"/>
        </w:rPr>
        <w:t>3</w:t>
      </w:r>
      <w:r w:rsidRPr="004859E7">
        <w:rPr>
          <w:rFonts w:ascii="Garamond" w:hAnsi="Garamond"/>
          <w:sz w:val="20"/>
          <w:szCs w:val="20"/>
        </w:rPr>
        <w:t xml:space="preserve"> </w:t>
      </w:r>
      <w:r w:rsidRPr="004859E7">
        <w:rPr>
          <w:rFonts w:ascii="Garamond" w:hAnsi="Garamond"/>
          <w:color w:val="000000" w:themeColor="text1"/>
          <w:sz w:val="20"/>
          <w:szCs w:val="20"/>
          <w:shd w:val="clear" w:color="auto" w:fill="FFFFFF"/>
        </w:rPr>
        <w:t>The dissent maintains that this Court</w:t>
      </w:r>
      <w:r w:rsidR="00080FBD" w:rsidRPr="004859E7">
        <w:rPr>
          <w:rFonts w:ascii="Garamond" w:hAnsi="Garamond"/>
          <w:color w:val="000000" w:themeColor="text1"/>
          <w:sz w:val="20"/>
          <w:szCs w:val="20"/>
          <w:shd w:val="clear" w:color="auto" w:fill="FFFFFF"/>
        </w:rPr>
        <w:t>’</w:t>
      </w:r>
      <w:r w:rsidRPr="004859E7">
        <w:rPr>
          <w:rFonts w:ascii="Garamond" w:hAnsi="Garamond"/>
          <w:color w:val="000000" w:themeColor="text1"/>
          <w:sz w:val="20"/>
          <w:szCs w:val="20"/>
          <w:shd w:val="clear" w:color="auto" w:fill="FFFFFF"/>
        </w:rPr>
        <w:t>s settled clear statement rule does not apply here because </w:t>
      </w:r>
      <w:r w:rsidRPr="004859E7">
        <w:rPr>
          <w:rFonts w:ascii="Garamond" w:hAnsi="Garamond"/>
          <w:color w:val="000000" w:themeColor="text1"/>
          <w:sz w:val="20"/>
          <w:szCs w:val="20"/>
          <w:bdr w:val="none" w:sz="0" w:space="0" w:color="auto" w:frame="1"/>
          <w:shd w:val="clear" w:color="auto" w:fill="FFFFFF"/>
        </w:rPr>
        <w:t>§ 2409a(g)</w:t>
      </w:r>
      <w:r w:rsidRPr="004859E7">
        <w:rPr>
          <w:rFonts w:ascii="Garamond" w:hAnsi="Garamond"/>
          <w:color w:val="000000" w:themeColor="text1"/>
          <w:sz w:val="20"/>
          <w:szCs w:val="20"/>
          <w:shd w:val="clear" w:color="auto" w:fill="FFFFFF"/>
        </w:rPr>
        <w:t> is a condition on a waiver of sovereign immunity and “as such, this Court should interpret it as a jurisdictional bar to suit.”  Over three decades ago, this Court in “</w:t>
      </w:r>
      <w:r w:rsidRPr="004859E7">
        <w:rPr>
          <w:rStyle w:val="Emphasis"/>
          <w:rFonts w:ascii="Garamond" w:hAnsi="Garamond"/>
          <w:color w:val="000000" w:themeColor="text1"/>
          <w:sz w:val="20"/>
          <w:szCs w:val="20"/>
          <w:bdr w:val="none" w:sz="0" w:space="0" w:color="auto" w:frame="1"/>
          <w:shd w:val="clear" w:color="auto" w:fill="FFFFFF"/>
        </w:rPr>
        <w:t>Irwin</w:t>
      </w:r>
      <w:r w:rsidRPr="004859E7">
        <w:rPr>
          <w:rFonts w:ascii="Garamond" w:hAnsi="Garamond"/>
          <w:color w:val="000000" w:themeColor="text1"/>
          <w:sz w:val="20"/>
          <w:szCs w:val="20"/>
          <w:shd w:val="clear" w:color="auto" w:fill="FFFFFF"/>
        </w:rPr>
        <w:t> </w:t>
      </w:r>
      <w:r w:rsidR="00390FEA" w:rsidRPr="004859E7">
        <w:rPr>
          <w:rFonts w:ascii="Garamond" w:hAnsi="Garamond"/>
          <w:color w:val="000000" w:themeColor="text1"/>
          <w:sz w:val="20"/>
          <w:szCs w:val="20"/>
          <w:shd w:val="clear" w:color="auto" w:fill="FFFFFF"/>
        </w:rPr>
        <w:t>. . .</w:t>
      </w:r>
      <w:r w:rsidRPr="004859E7">
        <w:rPr>
          <w:rFonts w:ascii="Garamond" w:hAnsi="Garamond"/>
          <w:color w:val="000000" w:themeColor="text1"/>
          <w:sz w:val="20"/>
          <w:szCs w:val="20"/>
          <w:shd w:val="clear" w:color="auto" w:fill="FFFFFF"/>
        </w:rPr>
        <w:t xml:space="preserve"> foreclose[d] th[e] argument” that “time limits” are jurisdictional simply because they “function as conditions on the Government</w:t>
      </w:r>
      <w:r w:rsidR="00C13F37" w:rsidRPr="004859E7">
        <w:rPr>
          <w:rFonts w:ascii="Garamond" w:hAnsi="Garamond"/>
          <w:color w:val="000000" w:themeColor="text1"/>
          <w:sz w:val="20"/>
          <w:szCs w:val="20"/>
          <w:shd w:val="clear" w:color="auto" w:fill="FFFFFF"/>
        </w:rPr>
        <w:t>’</w:t>
      </w:r>
      <w:r w:rsidRPr="004859E7">
        <w:rPr>
          <w:rFonts w:ascii="Garamond" w:hAnsi="Garamond"/>
          <w:color w:val="000000" w:themeColor="text1"/>
          <w:sz w:val="20"/>
          <w:szCs w:val="20"/>
          <w:shd w:val="clear" w:color="auto" w:fill="FFFFFF"/>
        </w:rPr>
        <w:t>s waiver of sovereign immunity.” </w:t>
      </w:r>
      <w:r w:rsidRPr="004859E7">
        <w:rPr>
          <w:rStyle w:val="Emphasis"/>
          <w:rFonts w:ascii="Garamond" w:hAnsi="Garamond"/>
          <w:color w:val="000000" w:themeColor="text1"/>
          <w:sz w:val="20"/>
          <w:szCs w:val="20"/>
          <w:bdr w:val="none" w:sz="0" w:space="0" w:color="auto" w:frame="1"/>
          <w:shd w:val="clear" w:color="auto" w:fill="FFFFFF"/>
        </w:rPr>
        <w:t>Wong</w:t>
      </w:r>
      <w:r w:rsidRPr="004859E7">
        <w:rPr>
          <w:rFonts w:ascii="Garamond" w:hAnsi="Garamond"/>
          <w:color w:val="000000" w:themeColor="text1"/>
          <w:sz w:val="20"/>
          <w:szCs w:val="20"/>
          <w:bdr w:val="none" w:sz="0" w:space="0" w:color="auto" w:frame="1"/>
          <w:shd w:val="clear" w:color="auto" w:fill="FFFFFF"/>
        </w:rPr>
        <w:t xml:space="preserve"> </w:t>
      </w:r>
      <w:r w:rsidRPr="004859E7">
        <w:rPr>
          <w:rFonts w:ascii="Garamond" w:hAnsi="Garamond"/>
          <w:color w:val="000000" w:themeColor="text1"/>
          <w:sz w:val="20"/>
          <w:szCs w:val="20"/>
          <w:shd w:val="clear" w:color="auto" w:fill="FFFFFF"/>
        </w:rPr>
        <w:t>(citing </w:t>
      </w:r>
      <w:r w:rsidRPr="004859E7">
        <w:rPr>
          <w:rStyle w:val="Emphasis"/>
          <w:rFonts w:ascii="Garamond" w:hAnsi="Garamond"/>
          <w:i w:val="0"/>
          <w:iCs w:val="0"/>
          <w:color w:val="000000" w:themeColor="text1"/>
          <w:sz w:val="20"/>
          <w:szCs w:val="20"/>
          <w:bdr w:val="none" w:sz="0" w:space="0" w:color="auto" w:frame="1"/>
          <w:shd w:val="clear" w:color="auto" w:fill="FFFFFF"/>
        </w:rPr>
        <w:t>Irwin v. Department of Veterans Affairs</w:t>
      </w:r>
      <w:r w:rsidR="00756097" w:rsidRPr="004859E7">
        <w:rPr>
          <w:rStyle w:val="Emphasis"/>
          <w:rFonts w:ascii="Garamond" w:hAnsi="Garamond"/>
          <w:i w:val="0"/>
          <w:iCs w:val="0"/>
          <w:color w:val="000000" w:themeColor="text1"/>
          <w:sz w:val="20"/>
          <w:szCs w:val="20"/>
          <w:bdr w:val="none" w:sz="0" w:space="0" w:color="auto" w:frame="1"/>
          <w:shd w:val="clear" w:color="auto" w:fill="FFFFFF"/>
        </w:rPr>
        <w:fldChar w:fldCharType="begin"/>
      </w:r>
      <w:r w:rsidR="00756097" w:rsidRPr="004859E7">
        <w:rPr>
          <w:rFonts w:ascii="Garamond" w:hAnsi="Garamond"/>
          <w:sz w:val="20"/>
          <w:szCs w:val="20"/>
        </w:rPr>
        <w:instrText xml:space="preserve"> TA \l "</w:instrText>
      </w:r>
      <w:r w:rsidR="00756097" w:rsidRPr="004859E7">
        <w:rPr>
          <w:rStyle w:val="Emphasis"/>
          <w:rFonts w:ascii="Garamond" w:hAnsi="Garamond"/>
          <w:i w:val="0"/>
          <w:iCs w:val="0"/>
          <w:color w:val="000000" w:themeColor="text1"/>
          <w:sz w:val="20"/>
          <w:szCs w:val="20"/>
          <w:bdr w:val="none" w:sz="0" w:space="0" w:color="auto" w:frame="1"/>
          <w:shd w:val="clear" w:color="auto" w:fill="FFFFFF"/>
        </w:rPr>
        <w:instrText>Irwin v. Department of Veterans Affairs</w:instrText>
      </w:r>
      <w:r w:rsidR="00756097" w:rsidRPr="004859E7">
        <w:rPr>
          <w:rFonts w:ascii="Garamond" w:hAnsi="Garamond"/>
          <w:sz w:val="20"/>
          <w:szCs w:val="20"/>
        </w:rPr>
        <w:instrText xml:space="preserve">" \s "Irwin v. Department of Veterans Affairs" \c 1 </w:instrText>
      </w:r>
      <w:r w:rsidR="00756097" w:rsidRPr="004859E7">
        <w:rPr>
          <w:rStyle w:val="Emphasis"/>
          <w:rFonts w:ascii="Garamond" w:hAnsi="Garamond"/>
          <w:i w:val="0"/>
          <w:iCs w:val="0"/>
          <w:color w:val="000000" w:themeColor="text1"/>
          <w:sz w:val="20"/>
          <w:szCs w:val="20"/>
          <w:bdr w:val="none" w:sz="0" w:space="0" w:color="auto" w:frame="1"/>
          <w:shd w:val="clear" w:color="auto" w:fill="FFFFFF"/>
        </w:rPr>
        <w:fldChar w:fldCharType="end"/>
      </w:r>
      <w:r w:rsidRPr="004859E7">
        <w:rPr>
          <w:rFonts w:ascii="Garamond" w:hAnsi="Garamond"/>
          <w:color w:val="000000" w:themeColor="text1"/>
          <w:sz w:val="20"/>
          <w:szCs w:val="20"/>
          <w:bdr w:val="none" w:sz="0" w:space="0" w:color="auto" w:frame="1"/>
          <w:shd w:val="clear" w:color="auto" w:fill="FFFFFF"/>
        </w:rPr>
        <w:t xml:space="preserve"> (1990)</w:t>
      </w:r>
      <w:r w:rsidRPr="004859E7">
        <w:rPr>
          <w:rFonts w:ascii="Garamond" w:hAnsi="Garamond"/>
          <w:color w:val="000000" w:themeColor="text1"/>
          <w:sz w:val="20"/>
          <w:szCs w:val="20"/>
          <w:shd w:val="clear" w:color="auto" w:fill="FFFFFF"/>
        </w:rPr>
        <w:t>). Contrary to the dissent</w:t>
      </w:r>
      <w:r w:rsidR="00080FBD" w:rsidRPr="004859E7">
        <w:rPr>
          <w:rFonts w:ascii="Garamond" w:hAnsi="Garamond"/>
          <w:color w:val="000000" w:themeColor="text1"/>
          <w:sz w:val="20"/>
          <w:szCs w:val="20"/>
          <w:shd w:val="clear" w:color="auto" w:fill="FFFFFF"/>
        </w:rPr>
        <w:t>’</w:t>
      </w:r>
      <w:r w:rsidRPr="004859E7">
        <w:rPr>
          <w:rFonts w:ascii="Garamond" w:hAnsi="Garamond"/>
          <w:color w:val="000000" w:themeColor="text1"/>
          <w:sz w:val="20"/>
          <w:szCs w:val="20"/>
          <w:shd w:val="clear" w:color="auto" w:fill="FFFFFF"/>
        </w:rPr>
        <w:t>s suggestion, </w:t>
      </w:r>
      <w:r w:rsidRPr="004859E7">
        <w:rPr>
          <w:rStyle w:val="Emphasis"/>
          <w:rFonts w:ascii="Garamond" w:hAnsi="Garamond"/>
          <w:color w:val="000000" w:themeColor="text1"/>
          <w:sz w:val="20"/>
          <w:szCs w:val="20"/>
          <w:bdr w:val="none" w:sz="0" w:space="0" w:color="auto" w:frame="1"/>
          <w:shd w:val="clear" w:color="auto" w:fill="FFFFFF"/>
        </w:rPr>
        <w:t>Irwin</w:t>
      </w:r>
      <w:r w:rsidRPr="004859E7">
        <w:rPr>
          <w:rFonts w:ascii="Garamond" w:hAnsi="Garamond"/>
          <w:color w:val="000000" w:themeColor="text1"/>
          <w:sz w:val="20"/>
          <w:szCs w:val="20"/>
          <w:shd w:val="clear" w:color="auto" w:fill="FFFFFF"/>
        </w:rPr>
        <w:t> extends to the “many statutes that create claims for relief against the United States or its agencies [and] apply only to Government defendants.” </w:t>
      </w:r>
      <w:r w:rsidRPr="004859E7">
        <w:rPr>
          <w:rStyle w:val="Emphasis"/>
          <w:rFonts w:ascii="Garamond" w:hAnsi="Garamond"/>
          <w:i w:val="0"/>
          <w:iCs w:val="0"/>
          <w:color w:val="000000" w:themeColor="text1"/>
          <w:sz w:val="20"/>
          <w:szCs w:val="20"/>
          <w:bdr w:val="none" w:sz="0" w:space="0" w:color="auto" w:frame="1"/>
          <w:shd w:val="clear" w:color="auto" w:fill="FFFFFF"/>
        </w:rPr>
        <w:t>Scarborough v. Principi</w:t>
      </w:r>
      <w:r w:rsidR="00756097" w:rsidRPr="004859E7">
        <w:rPr>
          <w:rStyle w:val="Emphasis"/>
          <w:rFonts w:ascii="Garamond" w:hAnsi="Garamond"/>
          <w:i w:val="0"/>
          <w:iCs w:val="0"/>
          <w:color w:val="000000" w:themeColor="text1"/>
          <w:sz w:val="20"/>
          <w:szCs w:val="20"/>
          <w:bdr w:val="none" w:sz="0" w:space="0" w:color="auto" w:frame="1"/>
          <w:shd w:val="clear" w:color="auto" w:fill="FFFFFF"/>
        </w:rPr>
        <w:fldChar w:fldCharType="begin"/>
      </w:r>
      <w:r w:rsidR="00756097" w:rsidRPr="004859E7">
        <w:rPr>
          <w:rFonts w:ascii="Garamond" w:hAnsi="Garamond"/>
          <w:sz w:val="20"/>
          <w:szCs w:val="20"/>
        </w:rPr>
        <w:instrText xml:space="preserve"> TA \l "</w:instrText>
      </w:r>
      <w:r w:rsidR="00756097" w:rsidRPr="004859E7">
        <w:rPr>
          <w:rStyle w:val="Emphasis"/>
          <w:rFonts w:ascii="Garamond" w:hAnsi="Garamond"/>
          <w:i w:val="0"/>
          <w:iCs w:val="0"/>
          <w:color w:val="000000" w:themeColor="text1"/>
          <w:sz w:val="20"/>
          <w:szCs w:val="20"/>
          <w:bdr w:val="none" w:sz="0" w:space="0" w:color="auto" w:frame="1"/>
          <w:shd w:val="clear" w:color="auto" w:fill="FFFFFF"/>
        </w:rPr>
        <w:instrText>Scarborough v. Principi</w:instrText>
      </w:r>
      <w:r w:rsidR="00756097" w:rsidRPr="004859E7">
        <w:rPr>
          <w:rFonts w:ascii="Garamond" w:hAnsi="Garamond"/>
          <w:sz w:val="20"/>
          <w:szCs w:val="20"/>
        </w:rPr>
        <w:instrText xml:space="preserve">" \s "Scarborough v. Principi" \c 1 </w:instrText>
      </w:r>
      <w:r w:rsidR="00756097" w:rsidRPr="004859E7">
        <w:rPr>
          <w:rStyle w:val="Emphasis"/>
          <w:rFonts w:ascii="Garamond" w:hAnsi="Garamond"/>
          <w:i w:val="0"/>
          <w:iCs w:val="0"/>
          <w:color w:val="000000" w:themeColor="text1"/>
          <w:sz w:val="20"/>
          <w:szCs w:val="20"/>
          <w:bdr w:val="none" w:sz="0" w:space="0" w:color="auto" w:frame="1"/>
          <w:shd w:val="clear" w:color="auto" w:fill="FFFFFF"/>
        </w:rPr>
        <w:fldChar w:fldCharType="end"/>
      </w:r>
      <w:r w:rsidRPr="004859E7">
        <w:rPr>
          <w:rFonts w:ascii="Garamond" w:hAnsi="Garamond"/>
          <w:i/>
          <w:color w:val="000000" w:themeColor="text1"/>
          <w:sz w:val="20"/>
          <w:szCs w:val="20"/>
          <w:bdr w:val="none" w:sz="0" w:space="0" w:color="auto" w:frame="1"/>
          <w:shd w:val="clear" w:color="auto" w:fill="FFFFFF"/>
        </w:rPr>
        <w:t xml:space="preserve"> </w:t>
      </w:r>
      <w:r w:rsidRPr="004859E7">
        <w:rPr>
          <w:rFonts w:ascii="Garamond" w:hAnsi="Garamond"/>
          <w:color w:val="000000" w:themeColor="text1"/>
          <w:sz w:val="20"/>
          <w:szCs w:val="20"/>
          <w:bdr w:val="none" w:sz="0" w:space="0" w:color="auto" w:frame="1"/>
          <w:shd w:val="clear" w:color="auto" w:fill="FFFFFF"/>
        </w:rPr>
        <w:t>(2004).</w:t>
      </w:r>
      <w:r w:rsidRPr="004859E7">
        <w:rPr>
          <w:rFonts w:ascii="Garamond" w:hAnsi="Garamond"/>
          <w:color w:val="000000" w:themeColor="text1"/>
          <w:sz w:val="20"/>
          <w:szCs w:val="20"/>
          <w:shd w:val="clear" w:color="auto" w:fill="FFFFFF"/>
        </w:rPr>
        <w:t xml:space="preserve"> Notably, even the dissent in </w:t>
      </w:r>
      <w:r w:rsidRPr="004859E7">
        <w:rPr>
          <w:rStyle w:val="Emphasis"/>
          <w:rFonts w:ascii="Garamond" w:hAnsi="Garamond"/>
          <w:color w:val="000000" w:themeColor="text1"/>
          <w:sz w:val="20"/>
          <w:szCs w:val="20"/>
          <w:bdr w:val="none" w:sz="0" w:space="0" w:color="auto" w:frame="1"/>
          <w:shd w:val="clear" w:color="auto" w:fill="FFFFFF"/>
        </w:rPr>
        <w:t>Wong </w:t>
      </w:r>
      <w:r w:rsidRPr="004859E7">
        <w:rPr>
          <w:rFonts w:ascii="Garamond" w:hAnsi="Garamond"/>
          <w:color w:val="000000" w:themeColor="text1"/>
          <w:sz w:val="20"/>
          <w:szCs w:val="20"/>
          <w:shd w:val="clear" w:color="auto" w:fill="FFFFFF"/>
        </w:rPr>
        <w:t xml:space="preserve">did not engage in such an attempt to turn back the clock, instead arguing that the provision in that case was jurisdictional based on its specific text and history. </w:t>
      </w:r>
    </w:p>
    <w:p w14:paraId="4A97C654" w14:textId="77777777" w:rsidR="003125BF" w:rsidRPr="004859E7" w:rsidRDefault="003125BF" w:rsidP="003125BF">
      <w:pPr>
        <w:pStyle w:val="FootnoteText"/>
        <w:rPr>
          <w:rFonts w:ascii="Garamond" w:hAnsi="Garamond"/>
        </w:rPr>
      </w:pPr>
    </w:p>
  </w:footnote>
  <w:footnote w:id="2">
    <w:p w14:paraId="5600A100" w14:textId="7FA3E46B" w:rsidR="006D79DB" w:rsidRPr="004859E7" w:rsidRDefault="006D79DB">
      <w:pPr>
        <w:pStyle w:val="FootnoteText"/>
        <w:rPr>
          <w:rFonts w:ascii="Garamond" w:hAnsi="Garamond"/>
        </w:rPr>
      </w:pPr>
      <w:r w:rsidRPr="004859E7">
        <w:rPr>
          <w:rStyle w:val="FootnoteReference"/>
          <w:rFonts w:ascii="Garamond" w:hAnsi="Garamond"/>
        </w:rPr>
        <w:t>3</w:t>
      </w:r>
      <w:r w:rsidRPr="004859E7">
        <w:rPr>
          <w:rFonts w:ascii="Garamond" w:hAnsi="Garamond"/>
        </w:rPr>
        <w:t xml:space="preserve"> The dissent would brush away these careful distinctions and unfurl a new rule: that whenever Congress passes a statute “entitl[ing] the Government to civil penalties,” the defendant’s right to a jury and a neutral Article III adjudicator disappears. </w:t>
      </w:r>
      <w:r w:rsidR="00412D5E">
        <w:rPr>
          <w:rFonts w:ascii="Garamond" w:hAnsi="Garamond"/>
        </w:rPr>
        <w:t>T</w:t>
      </w:r>
      <w:r w:rsidRPr="004859E7">
        <w:rPr>
          <w:rFonts w:ascii="Garamond" w:hAnsi="Garamond"/>
        </w:rPr>
        <w:t>he dissent extrapolates from the outcomes in cases concerning unrelated applications of the public rights exception and from one opinion, Atlas Roofing Co. v. Occupational Safety and Health Review Comm’n</w:t>
      </w:r>
      <w:r w:rsidR="00B35186" w:rsidRPr="004859E7">
        <w:rPr>
          <w:rFonts w:ascii="Garamond" w:hAnsi="Garamond"/>
        </w:rPr>
        <w:t xml:space="preserve"> </w:t>
      </w:r>
      <w:r w:rsidRPr="004859E7">
        <w:rPr>
          <w:rFonts w:ascii="Garamond" w:hAnsi="Garamond"/>
        </w:rPr>
        <w:t xml:space="preserve">(1977). The result is to blur the distinctions our cases have drawn in favor of the legally unsound principle that just because the Government may extract civil penalties in administrative tribunals in some contexts, it must always be able to do so in all contexts. The dissent also appeals to practice, ignoring that the statute Jarkesy and Patriot28 have been prosecuted under is barely over a decade old. </w:t>
      </w:r>
    </w:p>
  </w:footnote>
  <w:footnote w:id="3">
    <w:p w14:paraId="0D4753A5" w14:textId="1791AE89" w:rsidR="00567887" w:rsidRPr="004859E7" w:rsidRDefault="00567887" w:rsidP="00567887">
      <w:pPr>
        <w:autoSpaceDE w:val="0"/>
        <w:autoSpaceDN w:val="0"/>
        <w:adjustRightInd w:val="0"/>
        <w:rPr>
          <w:rFonts w:ascii="Garamond" w:hAnsi="Garamond"/>
          <w:sz w:val="20"/>
          <w:szCs w:val="20"/>
        </w:rPr>
      </w:pPr>
      <w:r w:rsidRPr="004859E7">
        <w:rPr>
          <w:rStyle w:val="FootnoteReference"/>
          <w:rFonts w:ascii="Garamond" w:hAnsi="Garamond"/>
          <w:sz w:val="20"/>
          <w:szCs w:val="20"/>
        </w:rPr>
        <w:footnoteRef/>
      </w:r>
      <w:r w:rsidRPr="004859E7">
        <w:rPr>
          <w:rFonts w:ascii="Garamond" w:hAnsi="Garamond"/>
          <w:sz w:val="20"/>
          <w:szCs w:val="20"/>
        </w:rPr>
        <w:t xml:space="preserve"> Respondent urges that petitioner should be remitted to such rights as he might have to remove this criminal prosecution to the federal courts under 28 U.S.C. § 1442(a)(1)</w:t>
      </w:r>
      <w:r w:rsidR="00B76B37" w:rsidRPr="004859E7">
        <w:rPr>
          <w:rFonts w:ascii="Garamond" w:hAnsi="Garamond"/>
          <w:sz w:val="20"/>
          <w:szCs w:val="20"/>
        </w:rPr>
        <w:fldChar w:fldCharType="begin"/>
      </w:r>
      <w:r w:rsidR="00B76B37" w:rsidRPr="004859E7">
        <w:rPr>
          <w:rFonts w:ascii="Garamond" w:hAnsi="Garamond"/>
          <w:sz w:val="20"/>
          <w:szCs w:val="20"/>
        </w:rPr>
        <w:instrText xml:space="preserve"> TA \l "28 U.S.C. § 1442(a)(1)" \s "28 U.S.C. § 1442(a)(1)" \c 2 </w:instrText>
      </w:r>
      <w:r w:rsidR="00B76B37" w:rsidRPr="004859E7">
        <w:rPr>
          <w:rFonts w:ascii="Garamond" w:hAnsi="Garamond"/>
          <w:sz w:val="20"/>
          <w:szCs w:val="20"/>
        </w:rPr>
        <w:fldChar w:fldCharType="end"/>
      </w:r>
      <w:r w:rsidRPr="004859E7">
        <w:rPr>
          <w:rFonts w:ascii="Garamond" w:hAnsi="Garamond"/>
          <w:sz w:val="20"/>
          <w:szCs w:val="20"/>
        </w:rPr>
        <w:t xml:space="preserve"> and § 1442(a)(3)</w:t>
      </w:r>
      <w:r w:rsidR="00B76B37" w:rsidRPr="004859E7">
        <w:rPr>
          <w:rFonts w:ascii="Garamond" w:hAnsi="Garamond"/>
          <w:sz w:val="20"/>
          <w:szCs w:val="20"/>
        </w:rPr>
        <w:fldChar w:fldCharType="begin"/>
      </w:r>
      <w:r w:rsidR="00B76B37" w:rsidRPr="004859E7">
        <w:rPr>
          <w:rFonts w:ascii="Garamond" w:hAnsi="Garamond"/>
          <w:sz w:val="20"/>
          <w:szCs w:val="20"/>
        </w:rPr>
        <w:instrText xml:space="preserve"> TA \l "</w:instrText>
      </w:r>
      <w:r w:rsidR="00372F61" w:rsidRPr="004859E7">
        <w:rPr>
          <w:rFonts w:ascii="Garamond" w:hAnsi="Garamond"/>
          <w:sz w:val="20"/>
          <w:szCs w:val="20"/>
        </w:rPr>
        <w:instrText xml:space="preserve">28 U.S.C. </w:instrText>
      </w:r>
      <w:r w:rsidR="00B76B37" w:rsidRPr="004859E7">
        <w:rPr>
          <w:rFonts w:ascii="Garamond" w:hAnsi="Garamond"/>
          <w:sz w:val="20"/>
          <w:szCs w:val="20"/>
        </w:rPr>
        <w:instrText xml:space="preserve">§ 1442(a)(3)" \s "28 U.S.C. § 1442(a)(3)" \c 2 </w:instrText>
      </w:r>
      <w:r w:rsidR="00B76B37" w:rsidRPr="004859E7">
        <w:rPr>
          <w:rFonts w:ascii="Garamond" w:hAnsi="Garamond"/>
          <w:sz w:val="20"/>
          <w:szCs w:val="20"/>
        </w:rPr>
        <w:fldChar w:fldCharType="end"/>
      </w:r>
      <w:r w:rsidRPr="004859E7">
        <w:rPr>
          <w:rFonts w:ascii="Garamond" w:hAnsi="Garamond"/>
          <w:sz w:val="20"/>
          <w:szCs w:val="20"/>
        </w:rPr>
        <w:t>. But that law does not bar relief by habeas corpus. Contemporaneously with the enactment of the habeas corpus statutes involved in this case, Congress passed a removal statute whereunder state criminal cases against certain federal officials for acts arising out of their official duties could be removed for trial to the federal courts. 4 Stat. 633-34 (1833). The scope of the removal provisions have been gradually expanded, and in 1916 it was broadened to cover officers in petitioner's category. 39 Stat. 532. However, the original statute of 1833 established both remedies simultaneously, and there has been no indication on the various occasions of the expansion of the removal remedy that habeas corpus was to be affected in any way. …</w:t>
      </w:r>
    </w:p>
    <w:p w14:paraId="04608BF4" w14:textId="77777777" w:rsidR="00567887" w:rsidRPr="004859E7" w:rsidRDefault="00567887" w:rsidP="00567887">
      <w:pPr>
        <w:autoSpaceDE w:val="0"/>
        <w:autoSpaceDN w:val="0"/>
        <w:adjustRightInd w:val="0"/>
        <w:rPr>
          <w:rFonts w:ascii="Garamond" w:hAnsi="Garamond"/>
          <w:sz w:val="20"/>
          <w:szCs w:val="20"/>
        </w:rPr>
      </w:pPr>
    </w:p>
    <w:p w14:paraId="06E5CD29" w14:textId="57161AEE" w:rsidR="00567887" w:rsidRPr="004859E7" w:rsidRDefault="00567887" w:rsidP="00AE00B3">
      <w:pPr>
        <w:autoSpaceDE w:val="0"/>
        <w:autoSpaceDN w:val="0"/>
        <w:adjustRightInd w:val="0"/>
        <w:ind w:firstLine="720"/>
        <w:rPr>
          <w:rFonts w:ascii="Garamond" w:hAnsi="Garamond"/>
          <w:sz w:val="20"/>
          <w:szCs w:val="20"/>
        </w:rPr>
      </w:pPr>
      <w:r w:rsidRPr="004859E7">
        <w:rPr>
          <w:rFonts w:ascii="Garamond" w:hAnsi="Garamond"/>
          <w:sz w:val="20"/>
          <w:szCs w:val="20"/>
        </w:rPr>
        <w:t>Moreover, the Supreme Court has both expressly and impliedly recognized that either remedy is available to federal officials who come within the language of both statutes. In Com. of Virginia v. Paul</w:t>
      </w:r>
      <w:r w:rsidR="00B76B37" w:rsidRPr="004859E7">
        <w:rPr>
          <w:rFonts w:ascii="Garamond" w:hAnsi="Garamond"/>
          <w:sz w:val="20"/>
          <w:szCs w:val="20"/>
        </w:rPr>
        <w:fldChar w:fldCharType="begin"/>
      </w:r>
      <w:r w:rsidR="00B76B37" w:rsidRPr="004859E7">
        <w:rPr>
          <w:rFonts w:ascii="Garamond" w:hAnsi="Garamond"/>
          <w:sz w:val="20"/>
          <w:szCs w:val="20"/>
        </w:rPr>
        <w:instrText xml:space="preserve"> TA \l "Virginia v. Paul" \s "Virginia v. Paul" \c 1 </w:instrText>
      </w:r>
      <w:r w:rsidR="00B76B37" w:rsidRPr="004859E7">
        <w:rPr>
          <w:rFonts w:ascii="Garamond" w:hAnsi="Garamond"/>
          <w:sz w:val="20"/>
          <w:szCs w:val="20"/>
        </w:rPr>
        <w:fldChar w:fldCharType="end"/>
      </w:r>
      <w:r w:rsidR="00AE00B3" w:rsidRPr="004859E7">
        <w:rPr>
          <w:rFonts w:ascii="Garamond" w:hAnsi="Garamond"/>
          <w:sz w:val="20"/>
          <w:szCs w:val="20"/>
        </w:rPr>
        <w:t xml:space="preserve"> </w:t>
      </w:r>
      <w:r w:rsidRPr="004859E7">
        <w:rPr>
          <w:rFonts w:ascii="Garamond" w:hAnsi="Garamond"/>
          <w:sz w:val="20"/>
          <w:szCs w:val="20"/>
        </w:rPr>
        <w:t>(</w:t>
      </w:r>
      <w:r w:rsidR="00AE00B3" w:rsidRPr="004859E7">
        <w:rPr>
          <w:rFonts w:ascii="Garamond" w:hAnsi="Garamond"/>
          <w:sz w:val="20"/>
          <w:szCs w:val="20"/>
        </w:rPr>
        <w:t xml:space="preserve">U.S. </w:t>
      </w:r>
      <w:r w:rsidRPr="004859E7">
        <w:rPr>
          <w:rFonts w:ascii="Garamond" w:hAnsi="Garamond"/>
          <w:sz w:val="20"/>
          <w:szCs w:val="20"/>
        </w:rPr>
        <w:t>1893), the court said:</w:t>
      </w:r>
    </w:p>
    <w:p w14:paraId="38FC563E" w14:textId="77777777" w:rsidR="00567887" w:rsidRPr="004859E7" w:rsidRDefault="00567887" w:rsidP="00567887">
      <w:pPr>
        <w:autoSpaceDE w:val="0"/>
        <w:autoSpaceDN w:val="0"/>
        <w:adjustRightInd w:val="0"/>
        <w:rPr>
          <w:rFonts w:ascii="Garamond" w:hAnsi="Garamond"/>
          <w:sz w:val="20"/>
          <w:szCs w:val="20"/>
        </w:rPr>
      </w:pPr>
    </w:p>
    <w:p w14:paraId="438552C7" w14:textId="4AA8F94E" w:rsidR="00567887" w:rsidRPr="004859E7" w:rsidRDefault="00AE00B3" w:rsidP="00AE00B3">
      <w:pPr>
        <w:autoSpaceDE w:val="0"/>
        <w:autoSpaceDN w:val="0"/>
        <w:adjustRightInd w:val="0"/>
        <w:ind w:left="720"/>
        <w:rPr>
          <w:rFonts w:ascii="Garamond" w:hAnsi="Garamond"/>
          <w:sz w:val="20"/>
          <w:szCs w:val="20"/>
        </w:rPr>
      </w:pPr>
      <w:r w:rsidRPr="004859E7">
        <w:rPr>
          <w:rFonts w:ascii="Garamond" w:hAnsi="Garamond"/>
          <w:sz w:val="20"/>
          <w:szCs w:val="20"/>
        </w:rPr>
        <w:t>“</w:t>
      </w:r>
      <w:r w:rsidR="00567887" w:rsidRPr="004859E7">
        <w:rPr>
          <w:rFonts w:ascii="Garamond" w:hAnsi="Garamond"/>
          <w:sz w:val="20"/>
          <w:szCs w:val="20"/>
        </w:rPr>
        <w:t>The prosecution and punishment of crimes and offenses committed against one of the states of the Union . . . can be interfered with by the circuit court of the United States so far only as congress, in order to maintain the supremacy of the constitution and laws of the United States, has expressly authorized either a removal of the prosecution into the circuit court of the United States for trial, or a discharge of the prisoner by writ of habeas corpus issued by that court, or by a judge thereof.</w:t>
      </w:r>
      <w:r w:rsidRPr="004859E7">
        <w:rPr>
          <w:rFonts w:ascii="Garamond" w:hAnsi="Garamond"/>
          <w:sz w:val="20"/>
          <w:szCs w:val="20"/>
        </w:rPr>
        <w:t>”</w:t>
      </w:r>
      <w:r w:rsidR="00567887" w:rsidRPr="004859E7">
        <w:rPr>
          <w:rFonts w:ascii="Garamond" w:hAnsi="Garamond"/>
          <w:sz w:val="20"/>
          <w:szCs w:val="20"/>
        </w:rPr>
        <w:t xml:space="preserve"> (Emphasis added.)</w:t>
      </w:r>
    </w:p>
    <w:p w14:paraId="6CC5765B" w14:textId="77777777" w:rsidR="00567887" w:rsidRPr="004859E7" w:rsidRDefault="00567887" w:rsidP="00567887">
      <w:pPr>
        <w:autoSpaceDE w:val="0"/>
        <w:autoSpaceDN w:val="0"/>
        <w:adjustRightInd w:val="0"/>
        <w:rPr>
          <w:rFonts w:ascii="Garamond" w:hAnsi="Garamond"/>
          <w:sz w:val="20"/>
          <w:szCs w:val="20"/>
        </w:rPr>
      </w:pPr>
    </w:p>
    <w:p w14:paraId="6E5A67A2" w14:textId="7E759C2B" w:rsidR="00567887" w:rsidRPr="004859E7" w:rsidRDefault="00567887" w:rsidP="00567887">
      <w:pPr>
        <w:autoSpaceDE w:val="0"/>
        <w:autoSpaceDN w:val="0"/>
        <w:adjustRightInd w:val="0"/>
        <w:rPr>
          <w:rFonts w:ascii="Garamond" w:hAnsi="Garamond"/>
          <w:sz w:val="20"/>
          <w:szCs w:val="20"/>
        </w:rPr>
      </w:pPr>
      <w:r w:rsidRPr="004859E7">
        <w:rPr>
          <w:rFonts w:ascii="Garamond" w:hAnsi="Garamond"/>
          <w:sz w:val="20"/>
          <w:szCs w:val="20"/>
        </w:rPr>
        <w:t>And, in Boske v. Comingore</w:t>
      </w:r>
      <w:r w:rsidR="00B76B37" w:rsidRPr="004859E7">
        <w:rPr>
          <w:rFonts w:ascii="Garamond" w:hAnsi="Garamond"/>
          <w:sz w:val="20"/>
          <w:szCs w:val="20"/>
        </w:rPr>
        <w:fldChar w:fldCharType="begin"/>
      </w:r>
      <w:r w:rsidR="00B76B37" w:rsidRPr="004859E7">
        <w:rPr>
          <w:rFonts w:ascii="Garamond" w:hAnsi="Garamond"/>
          <w:sz w:val="20"/>
          <w:szCs w:val="20"/>
        </w:rPr>
        <w:instrText xml:space="preserve"> TA \l "Boske v. Comingore" \s "Boske v. Comingore" \c 1 </w:instrText>
      </w:r>
      <w:r w:rsidR="00B76B37" w:rsidRPr="004859E7">
        <w:rPr>
          <w:rFonts w:ascii="Garamond" w:hAnsi="Garamond"/>
          <w:sz w:val="20"/>
          <w:szCs w:val="20"/>
        </w:rPr>
        <w:fldChar w:fldCharType="end"/>
      </w:r>
      <w:r w:rsidR="00AE00B3" w:rsidRPr="004859E7">
        <w:rPr>
          <w:rFonts w:ascii="Garamond" w:hAnsi="Garamond"/>
          <w:sz w:val="20"/>
          <w:szCs w:val="20"/>
        </w:rPr>
        <w:t xml:space="preserve"> </w:t>
      </w:r>
      <w:r w:rsidRPr="004859E7">
        <w:rPr>
          <w:rFonts w:ascii="Garamond" w:hAnsi="Garamond"/>
          <w:sz w:val="20"/>
          <w:szCs w:val="20"/>
        </w:rPr>
        <w:t>(</w:t>
      </w:r>
      <w:r w:rsidR="00AE00B3" w:rsidRPr="004859E7">
        <w:rPr>
          <w:rFonts w:ascii="Garamond" w:hAnsi="Garamond"/>
          <w:sz w:val="20"/>
          <w:szCs w:val="20"/>
        </w:rPr>
        <w:t xml:space="preserve">U.S. </w:t>
      </w:r>
      <w:r w:rsidRPr="004859E7">
        <w:rPr>
          <w:rFonts w:ascii="Garamond" w:hAnsi="Garamond"/>
          <w:sz w:val="20"/>
          <w:szCs w:val="20"/>
        </w:rPr>
        <w:t>1900), the court affirmed the release of an Internal Revenue Collector on habeas corpus notwithstanding the fact that the petitioner had, by reason of an 1864 statute, the right to remove the state prosecution to a federal court, e.g., Tennessee v. Davis</w:t>
      </w:r>
      <w:r w:rsidR="00B76B37" w:rsidRPr="004859E7">
        <w:rPr>
          <w:rFonts w:ascii="Garamond" w:hAnsi="Garamond"/>
          <w:sz w:val="20"/>
          <w:szCs w:val="20"/>
        </w:rPr>
        <w:fldChar w:fldCharType="begin"/>
      </w:r>
      <w:r w:rsidR="00B76B37" w:rsidRPr="004859E7">
        <w:rPr>
          <w:rFonts w:ascii="Garamond" w:hAnsi="Garamond"/>
          <w:sz w:val="20"/>
          <w:szCs w:val="20"/>
        </w:rPr>
        <w:instrText xml:space="preserve"> TA \s "Tennessee v. Davis" </w:instrText>
      </w:r>
      <w:r w:rsidR="00B76B37" w:rsidRPr="004859E7">
        <w:rPr>
          <w:rFonts w:ascii="Garamond" w:hAnsi="Garamond"/>
          <w:sz w:val="20"/>
          <w:szCs w:val="20"/>
        </w:rPr>
        <w:fldChar w:fldCharType="end"/>
      </w:r>
      <w:r w:rsidRPr="004859E7">
        <w:rPr>
          <w:rFonts w:ascii="Garamond" w:hAnsi="Garamond"/>
          <w:sz w:val="20"/>
          <w:szCs w:val="20"/>
        </w:rPr>
        <w:t xml:space="preserve"> (1880). If the court had considered habeas corpus to be available only to a federal official who was not within the class entitled to removal, it would have denied petitioner</w:t>
      </w:r>
      <w:r w:rsidR="00B73D2A" w:rsidRPr="004859E7">
        <w:rPr>
          <w:rFonts w:ascii="Garamond" w:hAnsi="Garamond"/>
          <w:sz w:val="20"/>
          <w:szCs w:val="20"/>
        </w:rPr>
        <w:t>’</w:t>
      </w:r>
      <w:r w:rsidRPr="004859E7">
        <w:rPr>
          <w:rFonts w:ascii="Garamond" w:hAnsi="Garamond"/>
          <w:sz w:val="20"/>
          <w:szCs w:val="20"/>
        </w:rPr>
        <w:t>s requested release on habeas corpus because of his failure to have the case removed prior to trial in the state courts.</w:t>
      </w:r>
    </w:p>
  </w:footnote>
  <w:footnote w:id="4">
    <w:p w14:paraId="3960D632" w14:textId="18E1A3B4" w:rsidR="00E86C63" w:rsidRPr="004859E7" w:rsidRDefault="00E86C63" w:rsidP="000B38A4">
      <w:pPr>
        <w:pStyle w:val="EndnoteText"/>
        <w:rPr>
          <w:rFonts w:ascii="Garamond" w:hAnsi="Garamond" w:cs="Times New Roman"/>
        </w:rPr>
      </w:pPr>
      <w:r w:rsidRPr="004859E7">
        <w:rPr>
          <w:rStyle w:val="FootnoteReference"/>
          <w:rFonts w:ascii="Garamond" w:hAnsi="Garamond"/>
        </w:rPr>
        <w:footnoteRef/>
      </w:r>
      <w:r w:rsidRPr="004859E7">
        <w:rPr>
          <w:rFonts w:ascii="Garamond" w:hAnsi="Garamond"/>
        </w:rPr>
        <w:t xml:space="preserve"> As the casebook points out, pp. 610-626, the Supreme Court has been very unwilling to infer a private cause of action to sue under statutes that do not expressly provide for one.</w:t>
      </w:r>
      <w:r w:rsidR="00DE1E95" w:rsidRPr="004859E7">
        <w:rPr>
          <w:rFonts w:ascii="Garamond" w:hAnsi="Garamond"/>
        </w:rPr>
        <w:t xml:space="preserve">  </w:t>
      </w:r>
      <w:r w:rsidR="00DE1E95" w:rsidRPr="004859E7">
        <w:rPr>
          <w:rFonts w:ascii="Garamond" w:hAnsi="Garamond" w:cs="Times New Roman"/>
          <w:color w:val="000000" w:themeColor="text1"/>
        </w:rPr>
        <w:t xml:space="preserve">The Court followed this in </w:t>
      </w:r>
      <w:r w:rsidR="00DE1E95" w:rsidRPr="004859E7">
        <w:rPr>
          <w:rFonts w:ascii="Garamond" w:hAnsi="Garamond" w:cs="Times New Roman"/>
          <w:i/>
          <w:iCs/>
          <w:color w:val="000000" w:themeColor="text1"/>
        </w:rPr>
        <w:t>FS Credit Opportunities Corp. v. Saba Capital Master Fund, Ltd.</w:t>
      </w:r>
      <w:r w:rsidR="0042306D" w:rsidRPr="004859E7">
        <w:rPr>
          <w:rFonts w:ascii="Garamond" w:hAnsi="Garamond" w:cs="Times New Roman"/>
          <w:color w:val="000000" w:themeColor="text1"/>
        </w:rPr>
        <w:fldChar w:fldCharType="begin"/>
      </w:r>
      <w:r w:rsidR="0042306D" w:rsidRPr="004859E7">
        <w:rPr>
          <w:rFonts w:ascii="Garamond" w:hAnsi="Garamond"/>
        </w:rPr>
        <w:instrText xml:space="preserve"> TA \l "</w:instrText>
      </w:r>
      <w:r w:rsidR="0042306D" w:rsidRPr="004859E7">
        <w:rPr>
          <w:rFonts w:ascii="Garamond" w:hAnsi="Garamond" w:cs="Times New Roman"/>
          <w:color w:val="000000" w:themeColor="text1"/>
        </w:rPr>
        <w:instrText>FS Credit Opportunities Corp. v. Saba Capital Master Fund, Ltd.</w:instrText>
      </w:r>
      <w:r w:rsidR="0042306D" w:rsidRPr="004859E7">
        <w:rPr>
          <w:rFonts w:ascii="Garamond" w:hAnsi="Garamond"/>
        </w:rPr>
        <w:instrText xml:space="preserve">" \s "FS Credit Opportunities Corp. v. Saba Capital Master Fund, Ltd." \c 1 </w:instrText>
      </w:r>
      <w:r w:rsidR="0042306D" w:rsidRPr="004859E7">
        <w:rPr>
          <w:rFonts w:ascii="Garamond" w:hAnsi="Garamond" w:cs="Times New Roman"/>
          <w:color w:val="000000" w:themeColor="text1"/>
        </w:rPr>
        <w:fldChar w:fldCharType="end"/>
      </w:r>
      <w:r w:rsidR="00DE1E95" w:rsidRPr="004859E7">
        <w:rPr>
          <w:rFonts w:ascii="Garamond" w:hAnsi="Garamond" w:cs="Times New Roman"/>
          <w:color w:val="000000" w:themeColor="text1"/>
        </w:rPr>
        <w:t xml:space="preserve">, </w:t>
      </w:r>
      <w:r w:rsidR="00DE1E95" w:rsidRPr="004859E7">
        <w:rPr>
          <w:rFonts w:ascii="Garamond" w:hAnsi="Garamond" w:cs="Times New Roman"/>
        </w:rPr>
        <w:t>146 S.</w:t>
      </w:r>
      <w:r w:rsidR="000B38A4" w:rsidRPr="004859E7">
        <w:rPr>
          <w:rFonts w:ascii="Garamond" w:hAnsi="Garamond" w:cs="Times New Roman"/>
        </w:rPr>
        <w:t xml:space="preserve"> </w:t>
      </w:r>
      <w:r w:rsidR="00DE1E95" w:rsidRPr="004859E7">
        <w:rPr>
          <w:rFonts w:ascii="Garamond" w:hAnsi="Garamond" w:cs="Times New Roman"/>
        </w:rPr>
        <w:t>Ct. 1546 (2026),</w:t>
      </w:r>
      <w:r w:rsidR="000B38A4" w:rsidRPr="004859E7">
        <w:rPr>
          <w:rFonts w:ascii="Garamond" w:hAnsi="Garamond" w:cs="Times New Roman"/>
        </w:rPr>
        <w:t xml:space="preserve"> </w:t>
      </w:r>
      <w:r w:rsidR="00DE1E95" w:rsidRPr="004859E7">
        <w:rPr>
          <w:rFonts w:ascii="Garamond" w:hAnsi="Garamond" w:cs="Times New Roman"/>
          <w:color w:val="000000" w:themeColor="text1"/>
        </w:rPr>
        <w:t>and held that Section 47(b) of the Investment Company Act</w:t>
      </w:r>
      <w:r w:rsidR="0042306D" w:rsidRPr="004859E7">
        <w:rPr>
          <w:rFonts w:ascii="Garamond" w:hAnsi="Garamond" w:cs="Times New Roman"/>
          <w:color w:val="000000" w:themeColor="text1"/>
        </w:rPr>
        <w:fldChar w:fldCharType="begin"/>
      </w:r>
      <w:r w:rsidR="0042306D" w:rsidRPr="004859E7">
        <w:rPr>
          <w:rFonts w:ascii="Garamond" w:hAnsi="Garamond"/>
        </w:rPr>
        <w:instrText xml:space="preserve"> TA \l "</w:instrText>
      </w:r>
      <w:r w:rsidR="0042306D" w:rsidRPr="004859E7">
        <w:rPr>
          <w:rFonts w:ascii="Garamond" w:hAnsi="Garamond" w:cs="Times New Roman"/>
          <w:color w:val="000000" w:themeColor="text1"/>
        </w:rPr>
        <w:instrText>Investment Company Act</w:instrText>
      </w:r>
      <w:r w:rsidR="0042306D" w:rsidRPr="004859E7">
        <w:rPr>
          <w:rFonts w:ascii="Garamond" w:hAnsi="Garamond"/>
        </w:rPr>
        <w:instrText xml:space="preserve">" \s "Investment Company Act" \c 2 </w:instrText>
      </w:r>
      <w:r w:rsidR="0042306D" w:rsidRPr="004859E7">
        <w:rPr>
          <w:rFonts w:ascii="Garamond" w:hAnsi="Garamond" w:cs="Times New Roman"/>
          <w:color w:val="000000" w:themeColor="text1"/>
        </w:rPr>
        <w:fldChar w:fldCharType="end"/>
      </w:r>
      <w:r w:rsidR="00DE1E95" w:rsidRPr="004859E7">
        <w:rPr>
          <w:rFonts w:ascii="Garamond" w:hAnsi="Garamond" w:cs="Times New Roman"/>
          <w:color w:val="000000" w:themeColor="text1"/>
        </w:rPr>
        <w:t xml:space="preserve"> does not create an implied private right of action. Justice Amy Coney Barrett wrote for the majority in a 6-3 decision.  She began her opinion by declaring: “</w:t>
      </w:r>
      <w:r w:rsidR="00DE1E95" w:rsidRPr="004859E7">
        <w:rPr>
          <w:rFonts w:ascii="Garamond" w:eastAsia="Times New Roman" w:hAnsi="Garamond" w:cs="Times New Roman"/>
          <w:color w:val="000000" w:themeColor="text1"/>
          <w:kern w:val="0"/>
          <w14:ligatures w14:val="none"/>
        </w:rPr>
        <w:t>Congress, not the Judiciary, decides who may enforce the law. The Investment Company Act</w:t>
      </w:r>
      <w:r w:rsidR="0042306D" w:rsidRPr="004859E7">
        <w:rPr>
          <w:rFonts w:ascii="Garamond" w:eastAsia="Times New Roman" w:hAnsi="Garamond" w:cs="Times New Roman"/>
          <w:color w:val="000000" w:themeColor="text1"/>
          <w:kern w:val="0"/>
          <w14:ligatures w14:val="none"/>
        </w:rPr>
        <w:fldChar w:fldCharType="begin"/>
      </w:r>
      <w:r w:rsidR="0042306D" w:rsidRPr="004859E7">
        <w:rPr>
          <w:rFonts w:ascii="Garamond" w:hAnsi="Garamond"/>
        </w:rPr>
        <w:instrText xml:space="preserve"> TA \s "Investment Company Act" </w:instrText>
      </w:r>
      <w:r w:rsidR="0042306D" w:rsidRPr="004859E7">
        <w:rPr>
          <w:rFonts w:ascii="Garamond" w:eastAsia="Times New Roman" w:hAnsi="Garamond" w:cs="Times New Roman"/>
          <w:color w:val="000000" w:themeColor="text1"/>
          <w:kern w:val="0"/>
          <w14:ligatures w14:val="none"/>
        </w:rPr>
        <w:fldChar w:fldCharType="end"/>
      </w:r>
      <w:r w:rsidR="00DE1E95" w:rsidRPr="004859E7">
        <w:rPr>
          <w:rFonts w:ascii="Garamond" w:eastAsia="Times New Roman" w:hAnsi="Garamond" w:cs="Times New Roman"/>
          <w:color w:val="000000" w:themeColor="text1"/>
          <w:kern w:val="0"/>
          <w14:ligatures w14:val="none"/>
        </w:rPr>
        <w:t xml:space="preserve"> designates the Securities and Exchange Commission as its primary enforcer and expressly permits shareholders and issuers of securities to enforce two of its provisions. We must decide whether another provision of the Act impliedly empowers private parties to sue for rescission of any contract that allegedly violates the Act. The answer is no. . . . I</w:t>
      </w:r>
      <w:r w:rsidR="00DE1E95" w:rsidRPr="004859E7">
        <w:rPr>
          <w:rFonts w:ascii="Garamond" w:hAnsi="Garamond" w:cs="Times New Roman"/>
          <w:color w:val="000000" w:themeColor="text1"/>
          <w:shd w:val="clear" w:color="auto" w:fill="FFFFFF"/>
        </w:rPr>
        <w:t>n sum, nothing in the text or structure of the ICA indicates that Congress authorized private parties to enforce virtually every provision in the statute. For a cause of action to exist, we would have to create it. And having ‘sworn off the habit’ of implying private rights of action, we will not accept [Saba's] invitation to have one last drink.’”</w:t>
      </w:r>
    </w:p>
  </w:footnote>
  <w:footnote w:id="5">
    <w:p w14:paraId="142A66CE" w14:textId="4E6D4694" w:rsidR="003125BF" w:rsidRPr="004859E7" w:rsidRDefault="003125BF" w:rsidP="00EA24A1">
      <w:pPr>
        <w:pStyle w:val="FootnoteText"/>
        <w:ind w:firstLine="720"/>
        <w:rPr>
          <w:rFonts w:ascii="Garamond" w:hAnsi="Garamond" w:cs="Times New Roman"/>
        </w:rPr>
      </w:pPr>
      <w:r w:rsidRPr="004859E7">
        <w:rPr>
          <w:rStyle w:val="FootnoteReference"/>
          <w:rFonts w:ascii="Garamond" w:hAnsi="Garamond" w:cs="Times New Roman"/>
        </w:rPr>
        <w:footnoteRef/>
      </w:r>
      <w:r w:rsidRPr="004859E7">
        <w:rPr>
          <w:rFonts w:ascii="Garamond" w:hAnsi="Garamond" w:cs="Times New Roman"/>
        </w:rPr>
        <w:t xml:space="preserve"> Financial Oversight and Management Board for Puerto Rico v. Centro de Periodismo Investigativo, Inc., 137 </w:t>
      </w:r>
      <w:r w:rsidRPr="004859E7">
        <w:rPr>
          <w:rFonts w:ascii="Garamond" w:hAnsi="Garamond" w:cs="Times New Roman"/>
          <w:smallCaps/>
        </w:rPr>
        <w:t>Harv. L. Rev.</w:t>
      </w:r>
      <w:r w:rsidRPr="004859E7">
        <w:rPr>
          <w:rFonts w:ascii="Garamond" w:hAnsi="Garamond" w:cs="Times New Roman"/>
        </w:rPr>
        <w:t xml:space="preserve"> 460</w:t>
      </w:r>
      <w:r w:rsidR="006B6B8F" w:rsidRPr="004859E7">
        <w:rPr>
          <w:rFonts w:ascii="Garamond" w:hAnsi="Garamond" w:cs="Times New Roman"/>
        </w:rPr>
        <w:fldChar w:fldCharType="begin"/>
      </w:r>
      <w:r w:rsidR="006B6B8F" w:rsidRPr="004859E7">
        <w:rPr>
          <w:rFonts w:ascii="Garamond" w:hAnsi="Garamond"/>
        </w:rPr>
        <w:instrText xml:space="preserve"> TA \l "</w:instrText>
      </w:r>
      <w:r w:rsidR="006B6B8F" w:rsidRPr="004859E7">
        <w:rPr>
          <w:rFonts w:ascii="Garamond" w:hAnsi="Garamond" w:cs="Times New Roman"/>
        </w:rPr>
        <w:instrText xml:space="preserve">Financial Oversight and Management Board for Puerto Rico v. Centro de Periodismo Investigativo, Inc., 137 </w:instrText>
      </w:r>
      <w:r w:rsidR="006B6B8F" w:rsidRPr="004859E7">
        <w:rPr>
          <w:rFonts w:ascii="Garamond" w:hAnsi="Garamond" w:cs="Times New Roman"/>
          <w:smallCaps/>
        </w:rPr>
        <w:instrText>Harv. L. Rev.</w:instrText>
      </w:r>
      <w:r w:rsidR="006B6B8F" w:rsidRPr="004859E7">
        <w:rPr>
          <w:rFonts w:ascii="Garamond" w:hAnsi="Garamond" w:cs="Times New Roman"/>
        </w:rPr>
        <w:instrText xml:space="preserve"> 460</w:instrText>
      </w:r>
      <w:r w:rsidR="006B6B8F" w:rsidRPr="004859E7">
        <w:rPr>
          <w:rFonts w:ascii="Garamond" w:hAnsi="Garamond"/>
        </w:rPr>
        <w:instrText xml:space="preserve">" \s "Financial Oversight and Management Board for Puerto Rico v. Centro de Periodismo Investigativo, Inc., 137 Harv. L. Rev. 460" \c 3 </w:instrText>
      </w:r>
      <w:r w:rsidR="006B6B8F" w:rsidRPr="004859E7">
        <w:rPr>
          <w:rFonts w:ascii="Garamond" w:hAnsi="Garamond" w:cs="Times New Roman"/>
        </w:rPr>
        <w:fldChar w:fldCharType="end"/>
      </w:r>
      <w:r w:rsidRPr="004859E7">
        <w:rPr>
          <w:rFonts w:ascii="Garamond" w:hAnsi="Garamond" w:cs="Times New Roman"/>
        </w:rPr>
        <w:t>, 461 (2023) (citing James T. Campbell, Aurelius</w:t>
      </w:r>
      <w:r w:rsidRPr="004859E7">
        <w:rPr>
          <w:rFonts w:ascii="Garamond" w:hAnsi="Garamond" w:cs="Times New Roman"/>
          <w:i/>
          <w:iCs/>
        </w:rPr>
        <w:t xml:space="preserve">’s Article III Revisionism: Reimagining Judicial Engagement with the </w:t>
      </w:r>
      <w:r w:rsidRPr="004859E7">
        <w:rPr>
          <w:rFonts w:ascii="Garamond" w:hAnsi="Garamond" w:cs="Times New Roman"/>
        </w:rPr>
        <w:t>Insular Cases</w:t>
      </w:r>
      <w:r w:rsidRPr="004859E7">
        <w:rPr>
          <w:rFonts w:ascii="Garamond" w:hAnsi="Garamond" w:cs="Times New Roman"/>
          <w:i/>
          <w:iCs/>
        </w:rPr>
        <w:t xml:space="preserve"> and “The Law of the Territories,”</w:t>
      </w:r>
      <w:r w:rsidRPr="004859E7">
        <w:rPr>
          <w:rFonts w:ascii="Garamond" w:hAnsi="Garamond" w:cs="Times New Roman"/>
        </w:rPr>
        <w:t xml:space="preserve"> 131 </w:t>
      </w:r>
      <w:r w:rsidRPr="004859E7">
        <w:rPr>
          <w:rFonts w:ascii="Garamond" w:hAnsi="Garamond" w:cs="Times New Roman"/>
          <w:smallCaps/>
        </w:rPr>
        <w:t>Yale L.J.</w:t>
      </w:r>
      <w:r w:rsidRPr="004859E7">
        <w:rPr>
          <w:rFonts w:ascii="Garamond" w:hAnsi="Garamond" w:cs="Times New Roman"/>
        </w:rPr>
        <w:t xml:space="preserve"> 254</w:t>
      </w:r>
      <w:r w:rsidR="006B6B8F" w:rsidRPr="004859E7">
        <w:rPr>
          <w:rFonts w:ascii="Garamond" w:hAnsi="Garamond" w:cs="Times New Roman"/>
        </w:rPr>
        <w:fldChar w:fldCharType="begin"/>
      </w:r>
      <w:r w:rsidR="006B6B8F" w:rsidRPr="004859E7">
        <w:rPr>
          <w:rFonts w:ascii="Garamond" w:hAnsi="Garamond"/>
        </w:rPr>
        <w:instrText xml:space="preserve"> TA \l "</w:instrText>
      </w:r>
      <w:r w:rsidR="006B6B8F" w:rsidRPr="004859E7">
        <w:rPr>
          <w:rFonts w:ascii="Garamond" w:hAnsi="Garamond" w:cs="Times New Roman"/>
        </w:rPr>
        <w:instrText>James T. Campbell, Aurelius</w:instrText>
      </w:r>
      <w:r w:rsidR="006B6B8F" w:rsidRPr="004859E7">
        <w:rPr>
          <w:rFonts w:ascii="Garamond" w:hAnsi="Garamond" w:cs="Times New Roman"/>
          <w:i/>
          <w:iCs/>
        </w:rPr>
        <w:instrText xml:space="preserve">’s Article III Revisionism: Reimagining Judicial Engagement with the </w:instrText>
      </w:r>
      <w:r w:rsidR="006B6B8F" w:rsidRPr="004859E7">
        <w:rPr>
          <w:rFonts w:ascii="Garamond" w:hAnsi="Garamond" w:cs="Times New Roman"/>
        </w:rPr>
        <w:instrText>Insular Cases</w:instrText>
      </w:r>
      <w:r w:rsidR="006B6B8F" w:rsidRPr="004859E7">
        <w:rPr>
          <w:rFonts w:ascii="Garamond" w:hAnsi="Garamond" w:cs="Times New Roman"/>
          <w:i/>
          <w:iCs/>
        </w:rPr>
        <w:instrText xml:space="preserve"> and </w:instrText>
      </w:r>
      <w:r w:rsidR="006B6B8F" w:rsidRPr="004859E7">
        <w:rPr>
          <w:rFonts w:ascii="Garamond" w:hAnsi="Garamond"/>
        </w:rPr>
        <w:instrText>\</w:instrText>
      </w:r>
      <w:r w:rsidR="006B6B8F" w:rsidRPr="004859E7">
        <w:rPr>
          <w:rFonts w:ascii="Garamond" w:hAnsi="Garamond" w:cs="Times New Roman"/>
          <w:i/>
          <w:iCs/>
        </w:rPr>
        <w:instrText>“The Law of the Territories,</w:instrText>
      </w:r>
      <w:r w:rsidR="006B6B8F" w:rsidRPr="004859E7">
        <w:rPr>
          <w:rFonts w:ascii="Garamond" w:hAnsi="Garamond"/>
        </w:rPr>
        <w:instrText>\</w:instrText>
      </w:r>
      <w:r w:rsidR="006B6B8F" w:rsidRPr="004859E7">
        <w:rPr>
          <w:rFonts w:ascii="Garamond" w:hAnsi="Garamond" w:cs="Times New Roman"/>
          <w:i/>
          <w:iCs/>
        </w:rPr>
        <w:instrText>”</w:instrText>
      </w:r>
      <w:r w:rsidR="006B6B8F" w:rsidRPr="004859E7">
        <w:rPr>
          <w:rFonts w:ascii="Garamond" w:hAnsi="Garamond" w:cs="Times New Roman"/>
        </w:rPr>
        <w:instrText xml:space="preserve"> 131 </w:instrText>
      </w:r>
      <w:r w:rsidR="006B6B8F" w:rsidRPr="004859E7">
        <w:rPr>
          <w:rFonts w:ascii="Garamond" w:hAnsi="Garamond" w:cs="Times New Roman"/>
          <w:smallCaps/>
        </w:rPr>
        <w:instrText>Yale L.J.</w:instrText>
      </w:r>
      <w:r w:rsidR="006B6B8F" w:rsidRPr="004859E7">
        <w:rPr>
          <w:rFonts w:ascii="Garamond" w:hAnsi="Garamond" w:cs="Times New Roman"/>
        </w:rPr>
        <w:instrText xml:space="preserve"> 2542</w:instrText>
      </w:r>
      <w:r w:rsidR="006B6B8F" w:rsidRPr="004859E7">
        <w:rPr>
          <w:rFonts w:ascii="Garamond" w:hAnsi="Garamond"/>
        </w:rPr>
        <w:instrText xml:space="preserve">" \s "James T. Campbell, Aurelius’s Article III Revisionism: Reimagining Judicial Engagement with the Insular Cases and \"The Law of the Territories,\" 131 Yale L.J. 2542" \c 3 </w:instrText>
      </w:r>
      <w:r w:rsidR="006B6B8F" w:rsidRPr="004859E7">
        <w:rPr>
          <w:rFonts w:ascii="Garamond" w:hAnsi="Garamond" w:cs="Times New Roman"/>
        </w:rPr>
        <w:fldChar w:fldCharType="end"/>
      </w:r>
      <w:r w:rsidRPr="004859E7">
        <w:rPr>
          <w:rFonts w:ascii="Garamond" w:hAnsi="Garamond" w:cs="Times New Roman"/>
        </w:rPr>
        <w:t>2, 2546 (2022) (arguing that the Board is “a novel, quasi-governmental entity chartered to wrest control over Puerto Rico’s financial affairs from the island’s elected government”)).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D08BD"/>
    <w:multiLevelType w:val="hybridMultilevel"/>
    <w:tmpl w:val="D696D1F0"/>
    <w:lvl w:ilvl="0" w:tplc="7CB6DF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CA166D"/>
    <w:multiLevelType w:val="hybridMultilevel"/>
    <w:tmpl w:val="2A7672B6"/>
    <w:lvl w:ilvl="0" w:tplc="34CCEC4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9E02CE"/>
    <w:multiLevelType w:val="multilevel"/>
    <w:tmpl w:val="AB78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E7588F"/>
    <w:multiLevelType w:val="hybridMultilevel"/>
    <w:tmpl w:val="C4DEF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B12010"/>
    <w:multiLevelType w:val="hybridMultilevel"/>
    <w:tmpl w:val="25E8AC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2E415C"/>
    <w:multiLevelType w:val="hybridMultilevel"/>
    <w:tmpl w:val="55D649C2"/>
    <w:lvl w:ilvl="0" w:tplc="C35C3A12">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8424FAB"/>
    <w:multiLevelType w:val="hybridMultilevel"/>
    <w:tmpl w:val="E2D82526"/>
    <w:lvl w:ilvl="0" w:tplc="2576AA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66027F"/>
    <w:multiLevelType w:val="hybridMultilevel"/>
    <w:tmpl w:val="21702D4E"/>
    <w:lvl w:ilvl="0" w:tplc="F374587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8F6C11"/>
    <w:multiLevelType w:val="multilevel"/>
    <w:tmpl w:val="49301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7"/>
  </w:num>
  <w:num w:numId="5">
    <w:abstractNumId w:val="5"/>
  </w:num>
  <w:num w:numId="6">
    <w:abstractNumId w:val="1"/>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BF"/>
    <w:rsid w:val="00002E08"/>
    <w:rsid w:val="00005A6D"/>
    <w:rsid w:val="00007908"/>
    <w:rsid w:val="00050125"/>
    <w:rsid w:val="00055511"/>
    <w:rsid w:val="00066622"/>
    <w:rsid w:val="000672F2"/>
    <w:rsid w:val="00074968"/>
    <w:rsid w:val="00080FBD"/>
    <w:rsid w:val="00085296"/>
    <w:rsid w:val="0009035D"/>
    <w:rsid w:val="00092043"/>
    <w:rsid w:val="000A14E8"/>
    <w:rsid w:val="000A6CEE"/>
    <w:rsid w:val="000B1228"/>
    <w:rsid w:val="000B38A4"/>
    <w:rsid w:val="000E0D4E"/>
    <w:rsid w:val="000E67A4"/>
    <w:rsid w:val="000E6813"/>
    <w:rsid w:val="000F1318"/>
    <w:rsid w:val="000F73A9"/>
    <w:rsid w:val="001104A0"/>
    <w:rsid w:val="001121B6"/>
    <w:rsid w:val="0012090B"/>
    <w:rsid w:val="0016328C"/>
    <w:rsid w:val="00164169"/>
    <w:rsid w:val="001828D5"/>
    <w:rsid w:val="00191793"/>
    <w:rsid w:val="00191C8C"/>
    <w:rsid w:val="0019457E"/>
    <w:rsid w:val="001B14E1"/>
    <w:rsid w:val="001B192E"/>
    <w:rsid w:val="001C1DF6"/>
    <w:rsid w:val="001C5F17"/>
    <w:rsid w:val="001C67E5"/>
    <w:rsid w:val="001D6E83"/>
    <w:rsid w:val="001E154F"/>
    <w:rsid w:val="001F0987"/>
    <w:rsid w:val="001F1A3A"/>
    <w:rsid w:val="001F4B45"/>
    <w:rsid w:val="002043BA"/>
    <w:rsid w:val="00216BFB"/>
    <w:rsid w:val="00216D58"/>
    <w:rsid w:val="00221D43"/>
    <w:rsid w:val="002501B3"/>
    <w:rsid w:val="00251D5C"/>
    <w:rsid w:val="00255A8F"/>
    <w:rsid w:val="0026017B"/>
    <w:rsid w:val="002641CF"/>
    <w:rsid w:val="00266441"/>
    <w:rsid w:val="002670B9"/>
    <w:rsid w:val="0027268B"/>
    <w:rsid w:val="00277A83"/>
    <w:rsid w:val="00284AF6"/>
    <w:rsid w:val="00285176"/>
    <w:rsid w:val="002A7593"/>
    <w:rsid w:val="002C0F97"/>
    <w:rsid w:val="002C25DA"/>
    <w:rsid w:val="002D1DC3"/>
    <w:rsid w:val="002D42A8"/>
    <w:rsid w:val="002E0566"/>
    <w:rsid w:val="002E1335"/>
    <w:rsid w:val="002E331E"/>
    <w:rsid w:val="002F4EC9"/>
    <w:rsid w:val="002F5E31"/>
    <w:rsid w:val="002F645A"/>
    <w:rsid w:val="002F6503"/>
    <w:rsid w:val="003125BF"/>
    <w:rsid w:val="003126A1"/>
    <w:rsid w:val="003132BF"/>
    <w:rsid w:val="00334341"/>
    <w:rsid w:val="00344ED6"/>
    <w:rsid w:val="0035634D"/>
    <w:rsid w:val="00360949"/>
    <w:rsid w:val="00364403"/>
    <w:rsid w:val="00372F61"/>
    <w:rsid w:val="00375223"/>
    <w:rsid w:val="00390FEA"/>
    <w:rsid w:val="003974E9"/>
    <w:rsid w:val="003A39EA"/>
    <w:rsid w:val="003A3A14"/>
    <w:rsid w:val="003B30E9"/>
    <w:rsid w:val="003B5BBD"/>
    <w:rsid w:val="003B6492"/>
    <w:rsid w:val="003C2453"/>
    <w:rsid w:val="003D0D59"/>
    <w:rsid w:val="003D2A77"/>
    <w:rsid w:val="003E4D3B"/>
    <w:rsid w:val="003E63A8"/>
    <w:rsid w:val="00402005"/>
    <w:rsid w:val="00412D5E"/>
    <w:rsid w:val="00414B99"/>
    <w:rsid w:val="00422DA1"/>
    <w:rsid w:val="0042306D"/>
    <w:rsid w:val="004271FA"/>
    <w:rsid w:val="00431D1C"/>
    <w:rsid w:val="00437F36"/>
    <w:rsid w:val="0045159D"/>
    <w:rsid w:val="0046680A"/>
    <w:rsid w:val="00472AE8"/>
    <w:rsid w:val="00476364"/>
    <w:rsid w:val="00477096"/>
    <w:rsid w:val="004859E7"/>
    <w:rsid w:val="00486457"/>
    <w:rsid w:val="004877F6"/>
    <w:rsid w:val="00490659"/>
    <w:rsid w:val="00492D8E"/>
    <w:rsid w:val="00494E07"/>
    <w:rsid w:val="004A0F75"/>
    <w:rsid w:val="004A66B5"/>
    <w:rsid w:val="004B2A30"/>
    <w:rsid w:val="004B4139"/>
    <w:rsid w:val="004C4D87"/>
    <w:rsid w:val="004C6099"/>
    <w:rsid w:val="004D149F"/>
    <w:rsid w:val="004D4C17"/>
    <w:rsid w:val="004E11D9"/>
    <w:rsid w:val="004E2346"/>
    <w:rsid w:val="004E67CA"/>
    <w:rsid w:val="004F3850"/>
    <w:rsid w:val="00503568"/>
    <w:rsid w:val="005048C0"/>
    <w:rsid w:val="00507765"/>
    <w:rsid w:val="00511D36"/>
    <w:rsid w:val="00521096"/>
    <w:rsid w:val="0052406F"/>
    <w:rsid w:val="00556A96"/>
    <w:rsid w:val="00557D66"/>
    <w:rsid w:val="005623FE"/>
    <w:rsid w:val="00563135"/>
    <w:rsid w:val="00567887"/>
    <w:rsid w:val="00581050"/>
    <w:rsid w:val="0059686E"/>
    <w:rsid w:val="005A71CA"/>
    <w:rsid w:val="005A7FEA"/>
    <w:rsid w:val="005B05A5"/>
    <w:rsid w:val="005B37B8"/>
    <w:rsid w:val="005B49A3"/>
    <w:rsid w:val="005C6896"/>
    <w:rsid w:val="005D000B"/>
    <w:rsid w:val="005D5003"/>
    <w:rsid w:val="005D54B8"/>
    <w:rsid w:val="005E0709"/>
    <w:rsid w:val="005F0E78"/>
    <w:rsid w:val="00604797"/>
    <w:rsid w:val="00611A04"/>
    <w:rsid w:val="00617A6E"/>
    <w:rsid w:val="00635DE7"/>
    <w:rsid w:val="00636BD5"/>
    <w:rsid w:val="006416C3"/>
    <w:rsid w:val="006459FB"/>
    <w:rsid w:val="00645BAE"/>
    <w:rsid w:val="006529C1"/>
    <w:rsid w:val="006662D0"/>
    <w:rsid w:val="006758DE"/>
    <w:rsid w:val="00681F71"/>
    <w:rsid w:val="00681FCA"/>
    <w:rsid w:val="0069077A"/>
    <w:rsid w:val="00691A68"/>
    <w:rsid w:val="006A674F"/>
    <w:rsid w:val="006A6EA4"/>
    <w:rsid w:val="006B1097"/>
    <w:rsid w:val="006B3180"/>
    <w:rsid w:val="006B6B8F"/>
    <w:rsid w:val="006C30A3"/>
    <w:rsid w:val="006C40FF"/>
    <w:rsid w:val="006D27AB"/>
    <w:rsid w:val="006D3A17"/>
    <w:rsid w:val="006D79DB"/>
    <w:rsid w:val="006E3341"/>
    <w:rsid w:val="006E5EA4"/>
    <w:rsid w:val="006F037E"/>
    <w:rsid w:val="006F54F2"/>
    <w:rsid w:val="006F7CF5"/>
    <w:rsid w:val="00710B89"/>
    <w:rsid w:val="0071600C"/>
    <w:rsid w:val="007177BB"/>
    <w:rsid w:val="007273F8"/>
    <w:rsid w:val="00733D63"/>
    <w:rsid w:val="00744A0A"/>
    <w:rsid w:val="00751094"/>
    <w:rsid w:val="00756097"/>
    <w:rsid w:val="00756700"/>
    <w:rsid w:val="007644DB"/>
    <w:rsid w:val="00767F7C"/>
    <w:rsid w:val="00781A0F"/>
    <w:rsid w:val="0078530B"/>
    <w:rsid w:val="00785832"/>
    <w:rsid w:val="00787F28"/>
    <w:rsid w:val="00794044"/>
    <w:rsid w:val="007A34B9"/>
    <w:rsid w:val="007A4277"/>
    <w:rsid w:val="007B5EE9"/>
    <w:rsid w:val="007B75DE"/>
    <w:rsid w:val="007B7806"/>
    <w:rsid w:val="007C2386"/>
    <w:rsid w:val="007D5479"/>
    <w:rsid w:val="007F489F"/>
    <w:rsid w:val="00801767"/>
    <w:rsid w:val="00802C0D"/>
    <w:rsid w:val="008128BD"/>
    <w:rsid w:val="0081543D"/>
    <w:rsid w:val="00822187"/>
    <w:rsid w:val="00834F8E"/>
    <w:rsid w:val="00846ED8"/>
    <w:rsid w:val="0088081C"/>
    <w:rsid w:val="008874A7"/>
    <w:rsid w:val="00887802"/>
    <w:rsid w:val="00887F80"/>
    <w:rsid w:val="008A51D7"/>
    <w:rsid w:val="008B6194"/>
    <w:rsid w:val="008D6577"/>
    <w:rsid w:val="008D65C9"/>
    <w:rsid w:val="008F0A79"/>
    <w:rsid w:val="008F7E96"/>
    <w:rsid w:val="00902DFE"/>
    <w:rsid w:val="00906140"/>
    <w:rsid w:val="00913FCE"/>
    <w:rsid w:val="00914E57"/>
    <w:rsid w:val="009150F1"/>
    <w:rsid w:val="00926DEE"/>
    <w:rsid w:val="00946258"/>
    <w:rsid w:val="00954F6C"/>
    <w:rsid w:val="00955537"/>
    <w:rsid w:val="0095555C"/>
    <w:rsid w:val="009560A2"/>
    <w:rsid w:val="00980ED8"/>
    <w:rsid w:val="009841D4"/>
    <w:rsid w:val="00990F06"/>
    <w:rsid w:val="009A64AB"/>
    <w:rsid w:val="009B1076"/>
    <w:rsid w:val="009B1B78"/>
    <w:rsid w:val="009B3714"/>
    <w:rsid w:val="009B58C3"/>
    <w:rsid w:val="009C5DE3"/>
    <w:rsid w:val="009E4A0B"/>
    <w:rsid w:val="009F73D4"/>
    <w:rsid w:val="00A033CC"/>
    <w:rsid w:val="00A175A8"/>
    <w:rsid w:val="00A40E86"/>
    <w:rsid w:val="00A5103D"/>
    <w:rsid w:val="00A52D96"/>
    <w:rsid w:val="00A5310C"/>
    <w:rsid w:val="00A54AD8"/>
    <w:rsid w:val="00A57B14"/>
    <w:rsid w:val="00A72946"/>
    <w:rsid w:val="00A72C2B"/>
    <w:rsid w:val="00A77338"/>
    <w:rsid w:val="00A81FC3"/>
    <w:rsid w:val="00A92A6F"/>
    <w:rsid w:val="00A93A35"/>
    <w:rsid w:val="00AA5190"/>
    <w:rsid w:val="00AB1E8F"/>
    <w:rsid w:val="00AB483D"/>
    <w:rsid w:val="00AB7617"/>
    <w:rsid w:val="00AB791C"/>
    <w:rsid w:val="00AD4192"/>
    <w:rsid w:val="00AE00B3"/>
    <w:rsid w:val="00AF5D77"/>
    <w:rsid w:val="00AF76FE"/>
    <w:rsid w:val="00B02B90"/>
    <w:rsid w:val="00B07726"/>
    <w:rsid w:val="00B24E3F"/>
    <w:rsid w:val="00B35186"/>
    <w:rsid w:val="00B73D2A"/>
    <w:rsid w:val="00B76B37"/>
    <w:rsid w:val="00B77300"/>
    <w:rsid w:val="00B7755A"/>
    <w:rsid w:val="00B81A40"/>
    <w:rsid w:val="00B86C2F"/>
    <w:rsid w:val="00B87614"/>
    <w:rsid w:val="00B941CF"/>
    <w:rsid w:val="00B96569"/>
    <w:rsid w:val="00BA2D38"/>
    <w:rsid w:val="00BA4274"/>
    <w:rsid w:val="00BA7FE1"/>
    <w:rsid w:val="00BB2D15"/>
    <w:rsid w:val="00BB5731"/>
    <w:rsid w:val="00BC025C"/>
    <w:rsid w:val="00BD33D4"/>
    <w:rsid w:val="00BE59E1"/>
    <w:rsid w:val="00BF0696"/>
    <w:rsid w:val="00BF20E4"/>
    <w:rsid w:val="00BF4A54"/>
    <w:rsid w:val="00BF595E"/>
    <w:rsid w:val="00C000BC"/>
    <w:rsid w:val="00C0332C"/>
    <w:rsid w:val="00C05D6B"/>
    <w:rsid w:val="00C12986"/>
    <w:rsid w:val="00C13A58"/>
    <w:rsid w:val="00C13F37"/>
    <w:rsid w:val="00C172F7"/>
    <w:rsid w:val="00C21886"/>
    <w:rsid w:val="00C26B66"/>
    <w:rsid w:val="00C46E5E"/>
    <w:rsid w:val="00C50BC4"/>
    <w:rsid w:val="00C51175"/>
    <w:rsid w:val="00C61DAD"/>
    <w:rsid w:val="00C67EFA"/>
    <w:rsid w:val="00C85178"/>
    <w:rsid w:val="00C943EC"/>
    <w:rsid w:val="00CA35FE"/>
    <w:rsid w:val="00CD16D4"/>
    <w:rsid w:val="00CD6A2B"/>
    <w:rsid w:val="00CD7716"/>
    <w:rsid w:val="00CE16FC"/>
    <w:rsid w:val="00CE5ED7"/>
    <w:rsid w:val="00D0461D"/>
    <w:rsid w:val="00D074DA"/>
    <w:rsid w:val="00D22423"/>
    <w:rsid w:val="00D319BE"/>
    <w:rsid w:val="00D33288"/>
    <w:rsid w:val="00D55CB5"/>
    <w:rsid w:val="00D56F48"/>
    <w:rsid w:val="00D65142"/>
    <w:rsid w:val="00D738F1"/>
    <w:rsid w:val="00D90530"/>
    <w:rsid w:val="00D91DF1"/>
    <w:rsid w:val="00DA5FE7"/>
    <w:rsid w:val="00DA6C7B"/>
    <w:rsid w:val="00DC2D35"/>
    <w:rsid w:val="00DD07D6"/>
    <w:rsid w:val="00DD16D0"/>
    <w:rsid w:val="00DD71FD"/>
    <w:rsid w:val="00DE0601"/>
    <w:rsid w:val="00DE1E95"/>
    <w:rsid w:val="00DE5CB1"/>
    <w:rsid w:val="00DF27ED"/>
    <w:rsid w:val="00E021F0"/>
    <w:rsid w:val="00E04294"/>
    <w:rsid w:val="00E155AE"/>
    <w:rsid w:val="00E208E2"/>
    <w:rsid w:val="00E3338B"/>
    <w:rsid w:val="00E46E44"/>
    <w:rsid w:val="00E553A4"/>
    <w:rsid w:val="00E6453E"/>
    <w:rsid w:val="00E64A64"/>
    <w:rsid w:val="00E73149"/>
    <w:rsid w:val="00E83392"/>
    <w:rsid w:val="00E86C63"/>
    <w:rsid w:val="00E9501C"/>
    <w:rsid w:val="00EA1625"/>
    <w:rsid w:val="00EA24A1"/>
    <w:rsid w:val="00EC4BA7"/>
    <w:rsid w:val="00ED47AF"/>
    <w:rsid w:val="00EF399E"/>
    <w:rsid w:val="00EF463F"/>
    <w:rsid w:val="00F0462B"/>
    <w:rsid w:val="00F16439"/>
    <w:rsid w:val="00F217B2"/>
    <w:rsid w:val="00F27F80"/>
    <w:rsid w:val="00F47A07"/>
    <w:rsid w:val="00F5595D"/>
    <w:rsid w:val="00F718A0"/>
    <w:rsid w:val="00F73E6E"/>
    <w:rsid w:val="00F8012A"/>
    <w:rsid w:val="00F87472"/>
    <w:rsid w:val="00F9074C"/>
    <w:rsid w:val="00FA3B35"/>
    <w:rsid w:val="00FA4C45"/>
    <w:rsid w:val="00FB227B"/>
    <w:rsid w:val="00FC603C"/>
    <w:rsid w:val="00FD21DA"/>
    <w:rsid w:val="00FE391A"/>
    <w:rsid w:val="00FF08B7"/>
    <w:rsid w:val="00FF0C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E1E63"/>
  <w15:chartTrackingRefBased/>
  <w15:docId w15:val="{B0888C4C-35B7-674A-9CB9-2B4DAD6B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25BF"/>
    <w:pPr>
      <w:spacing w:after="0" w:line="240" w:lineRule="auto"/>
    </w:pPr>
    <w:rPr>
      <w:rFonts w:eastAsiaTheme="minorHAnsi"/>
      <w:kern w:val="0"/>
      <w:lang w:eastAsia="en-US"/>
      <w14:ligatures w14:val="none"/>
    </w:rPr>
  </w:style>
  <w:style w:type="paragraph" w:styleId="Heading1">
    <w:name w:val="heading 1"/>
    <w:basedOn w:val="Normal"/>
    <w:next w:val="Normal"/>
    <w:link w:val="Heading1Char"/>
    <w:uiPriority w:val="9"/>
    <w:qFormat/>
    <w:rsid w:val="003125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25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5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5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5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5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5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5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5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5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5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5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5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5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5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5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5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5BF"/>
    <w:rPr>
      <w:rFonts w:eastAsiaTheme="majorEastAsia" w:cstheme="majorBidi"/>
      <w:color w:val="272727" w:themeColor="text1" w:themeTint="D8"/>
    </w:rPr>
  </w:style>
  <w:style w:type="paragraph" w:styleId="Title">
    <w:name w:val="Title"/>
    <w:basedOn w:val="Normal"/>
    <w:next w:val="Normal"/>
    <w:link w:val="TitleChar"/>
    <w:uiPriority w:val="10"/>
    <w:qFormat/>
    <w:rsid w:val="003125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5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5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5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5BF"/>
    <w:pPr>
      <w:spacing w:before="160"/>
      <w:jc w:val="center"/>
    </w:pPr>
    <w:rPr>
      <w:i/>
      <w:iCs/>
      <w:color w:val="404040" w:themeColor="text1" w:themeTint="BF"/>
    </w:rPr>
  </w:style>
  <w:style w:type="character" w:customStyle="1" w:styleId="QuoteChar">
    <w:name w:val="Quote Char"/>
    <w:basedOn w:val="DefaultParagraphFont"/>
    <w:link w:val="Quote"/>
    <w:uiPriority w:val="29"/>
    <w:rsid w:val="003125BF"/>
    <w:rPr>
      <w:i/>
      <w:iCs/>
      <w:color w:val="404040" w:themeColor="text1" w:themeTint="BF"/>
    </w:rPr>
  </w:style>
  <w:style w:type="paragraph" w:styleId="ListParagraph">
    <w:name w:val="List Paragraph"/>
    <w:basedOn w:val="Normal"/>
    <w:uiPriority w:val="34"/>
    <w:qFormat/>
    <w:rsid w:val="003125BF"/>
    <w:pPr>
      <w:ind w:left="720"/>
      <w:contextualSpacing/>
    </w:pPr>
  </w:style>
  <w:style w:type="character" w:styleId="IntenseEmphasis">
    <w:name w:val="Intense Emphasis"/>
    <w:basedOn w:val="DefaultParagraphFont"/>
    <w:uiPriority w:val="21"/>
    <w:qFormat/>
    <w:rsid w:val="003125BF"/>
    <w:rPr>
      <w:i/>
      <w:iCs/>
      <w:color w:val="0F4761" w:themeColor="accent1" w:themeShade="BF"/>
    </w:rPr>
  </w:style>
  <w:style w:type="paragraph" w:styleId="IntenseQuote">
    <w:name w:val="Intense Quote"/>
    <w:basedOn w:val="Normal"/>
    <w:next w:val="Normal"/>
    <w:link w:val="IntenseQuoteChar"/>
    <w:uiPriority w:val="30"/>
    <w:qFormat/>
    <w:rsid w:val="00312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5BF"/>
    <w:rPr>
      <w:i/>
      <w:iCs/>
      <w:color w:val="0F4761" w:themeColor="accent1" w:themeShade="BF"/>
    </w:rPr>
  </w:style>
  <w:style w:type="character" w:styleId="IntenseReference">
    <w:name w:val="Intense Reference"/>
    <w:basedOn w:val="DefaultParagraphFont"/>
    <w:uiPriority w:val="32"/>
    <w:qFormat/>
    <w:rsid w:val="003125BF"/>
    <w:rPr>
      <w:b/>
      <w:bCs/>
      <w:smallCaps/>
      <w:color w:val="0F4761" w:themeColor="accent1" w:themeShade="BF"/>
      <w:spacing w:val="5"/>
    </w:rPr>
  </w:style>
  <w:style w:type="character" w:styleId="Emphasis">
    <w:name w:val="Emphasis"/>
    <w:basedOn w:val="DefaultParagraphFont"/>
    <w:uiPriority w:val="20"/>
    <w:qFormat/>
    <w:rsid w:val="003125BF"/>
    <w:rPr>
      <w:i/>
      <w:iCs/>
    </w:rPr>
  </w:style>
  <w:style w:type="paragraph" w:styleId="FootnoteText">
    <w:name w:val="footnote text"/>
    <w:basedOn w:val="Normal"/>
    <w:link w:val="FootnoteTextChar"/>
    <w:uiPriority w:val="99"/>
    <w:unhideWhenUsed/>
    <w:rsid w:val="003125BF"/>
    <w:rPr>
      <w:sz w:val="20"/>
      <w:szCs w:val="20"/>
    </w:rPr>
  </w:style>
  <w:style w:type="character" w:customStyle="1" w:styleId="FootnoteTextChar">
    <w:name w:val="Footnote Text Char"/>
    <w:basedOn w:val="DefaultParagraphFont"/>
    <w:link w:val="FootnoteText"/>
    <w:uiPriority w:val="99"/>
    <w:rsid w:val="003125BF"/>
    <w:rPr>
      <w:rFonts w:eastAsiaTheme="minorHAnsi"/>
      <w:kern w:val="0"/>
      <w:sz w:val="20"/>
      <w:szCs w:val="20"/>
      <w:lang w:eastAsia="en-US"/>
      <w14:ligatures w14:val="none"/>
    </w:rPr>
  </w:style>
  <w:style w:type="character" w:styleId="FootnoteReference">
    <w:name w:val="footnote reference"/>
    <w:basedOn w:val="DefaultParagraphFont"/>
    <w:uiPriority w:val="99"/>
    <w:semiHidden/>
    <w:unhideWhenUsed/>
    <w:rsid w:val="003125BF"/>
    <w:rPr>
      <w:vertAlign w:val="superscript"/>
    </w:rPr>
  </w:style>
  <w:style w:type="paragraph" w:styleId="NormalWeb">
    <w:name w:val="Normal (Web)"/>
    <w:basedOn w:val="Normal"/>
    <w:uiPriority w:val="99"/>
    <w:semiHidden/>
    <w:unhideWhenUsed/>
    <w:rsid w:val="003125BF"/>
    <w:pPr>
      <w:spacing w:before="100" w:beforeAutospacing="1" w:after="100" w:afterAutospacing="1"/>
    </w:pPr>
    <w:rPr>
      <w:rFonts w:ascii="Times New Roman" w:eastAsia="Times New Roman" w:hAnsi="Times New Roman" w:cs="Times New Roman"/>
    </w:rPr>
  </w:style>
  <w:style w:type="character" w:customStyle="1" w:styleId="I">
    <w:name w:val="I"/>
    <w:uiPriority w:val="99"/>
    <w:rsid w:val="003125BF"/>
    <w:rPr>
      <w:i/>
      <w:iCs/>
    </w:rPr>
  </w:style>
  <w:style w:type="paragraph" w:styleId="Header">
    <w:name w:val="header"/>
    <w:basedOn w:val="Normal"/>
    <w:link w:val="HeaderChar"/>
    <w:uiPriority w:val="99"/>
    <w:unhideWhenUsed/>
    <w:rsid w:val="00F9074C"/>
    <w:pPr>
      <w:tabs>
        <w:tab w:val="center" w:pos="4680"/>
        <w:tab w:val="right" w:pos="9360"/>
      </w:tabs>
    </w:pPr>
  </w:style>
  <w:style w:type="character" w:customStyle="1" w:styleId="HeaderChar">
    <w:name w:val="Header Char"/>
    <w:basedOn w:val="DefaultParagraphFont"/>
    <w:link w:val="Header"/>
    <w:uiPriority w:val="99"/>
    <w:rsid w:val="00F9074C"/>
    <w:rPr>
      <w:rFonts w:eastAsiaTheme="minorHAnsi"/>
      <w:kern w:val="0"/>
      <w:lang w:eastAsia="en-US"/>
      <w14:ligatures w14:val="none"/>
    </w:rPr>
  </w:style>
  <w:style w:type="paragraph" w:styleId="Footer">
    <w:name w:val="footer"/>
    <w:basedOn w:val="Normal"/>
    <w:link w:val="FooterChar"/>
    <w:uiPriority w:val="99"/>
    <w:unhideWhenUsed/>
    <w:rsid w:val="00F9074C"/>
    <w:pPr>
      <w:tabs>
        <w:tab w:val="center" w:pos="4680"/>
        <w:tab w:val="right" w:pos="9360"/>
      </w:tabs>
    </w:pPr>
  </w:style>
  <w:style w:type="character" w:customStyle="1" w:styleId="FooterChar">
    <w:name w:val="Footer Char"/>
    <w:basedOn w:val="DefaultParagraphFont"/>
    <w:link w:val="Footer"/>
    <w:uiPriority w:val="99"/>
    <w:rsid w:val="00F9074C"/>
    <w:rPr>
      <w:rFonts w:eastAsiaTheme="minorHAnsi"/>
      <w:kern w:val="0"/>
      <w:lang w:eastAsia="en-US"/>
      <w14:ligatures w14:val="none"/>
    </w:rPr>
  </w:style>
  <w:style w:type="paragraph" w:styleId="Revision">
    <w:name w:val="Revision"/>
    <w:hidden/>
    <w:uiPriority w:val="99"/>
    <w:semiHidden/>
    <w:rsid w:val="00080FBD"/>
    <w:pPr>
      <w:spacing w:after="0" w:line="240" w:lineRule="auto"/>
    </w:pPr>
    <w:rPr>
      <w:rFonts w:eastAsiaTheme="minorHAnsi"/>
      <w:kern w:val="0"/>
      <w:lang w:eastAsia="en-US"/>
      <w14:ligatures w14:val="none"/>
    </w:rPr>
  </w:style>
  <w:style w:type="character" w:styleId="CommentReference">
    <w:name w:val="annotation reference"/>
    <w:basedOn w:val="DefaultParagraphFont"/>
    <w:uiPriority w:val="99"/>
    <w:semiHidden/>
    <w:unhideWhenUsed/>
    <w:rsid w:val="009C5DE3"/>
    <w:rPr>
      <w:sz w:val="16"/>
      <w:szCs w:val="16"/>
    </w:rPr>
  </w:style>
  <w:style w:type="paragraph" w:styleId="CommentText">
    <w:name w:val="annotation text"/>
    <w:basedOn w:val="Normal"/>
    <w:link w:val="CommentTextChar"/>
    <w:uiPriority w:val="99"/>
    <w:semiHidden/>
    <w:unhideWhenUsed/>
    <w:rsid w:val="009C5DE3"/>
    <w:rPr>
      <w:sz w:val="20"/>
      <w:szCs w:val="20"/>
    </w:rPr>
  </w:style>
  <w:style w:type="character" w:customStyle="1" w:styleId="CommentTextChar">
    <w:name w:val="Comment Text Char"/>
    <w:basedOn w:val="DefaultParagraphFont"/>
    <w:link w:val="CommentText"/>
    <w:uiPriority w:val="99"/>
    <w:semiHidden/>
    <w:rsid w:val="009C5DE3"/>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9C5DE3"/>
    <w:rPr>
      <w:b/>
      <w:bCs/>
    </w:rPr>
  </w:style>
  <w:style w:type="character" w:customStyle="1" w:styleId="CommentSubjectChar">
    <w:name w:val="Comment Subject Char"/>
    <w:basedOn w:val="CommentTextChar"/>
    <w:link w:val="CommentSubject"/>
    <w:uiPriority w:val="99"/>
    <w:semiHidden/>
    <w:rsid w:val="009C5DE3"/>
    <w:rPr>
      <w:rFonts w:eastAsiaTheme="minorHAnsi"/>
      <w:b/>
      <w:bCs/>
      <w:kern w:val="0"/>
      <w:sz w:val="20"/>
      <w:szCs w:val="20"/>
      <w:lang w:eastAsia="en-US"/>
      <w14:ligatures w14:val="none"/>
    </w:rPr>
  </w:style>
  <w:style w:type="paragraph" w:styleId="BodyText">
    <w:name w:val="Body Text"/>
    <w:basedOn w:val="Normal"/>
    <w:link w:val="BodyTextChar"/>
    <w:uiPriority w:val="99"/>
    <w:unhideWhenUsed/>
    <w:rsid w:val="00FE391A"/>
    <w:pPr>
      <w:spacing w:after="120" w:line="276" w:lineRule="auto"/>
    </w:pPr>
    <w:rPr>
      <w:rFonts w:ascii="Times New Roman" w:eastAsia="Calibri" w:hAnsi="Times New Roman" w:cs="Times New Roman"/>
      <w:sz w:val="20"/>
    </w:rPr>
  </w:style>
  <w:style w:type="character" w:customStyle="1" w:styleId="BodyTextChar">
    <w:name w:val="Body Text Char"/>
    <w:basedOn w:val="DefaultParagraphFont"/>
    <w:link w:val="BodyText"/>
    <w:uiPriority w:val="99"/>
    <w:rsid w:val="00FE391A"/>
    <w:rPr>
      <w:rFonts w:ascii="Times New Roman" w:eastAsia="Calibri" w:hAnsi="Times New Roman" w:cs="Times New Roman"/>
      <w:kern w:val="0"/>
      <w:sz w:val="20"/>
      <w:lang w:eastAsia="en-US"/>
      <w14:ligatures w14:val="none"/>
    </w:rPr>
  </w:style>
  <w:style w:type="paragraph" w:customStyle="1" w:styleId="whitespace-normal">
    <w:name w:val="whitespace-normal"/>
    <w:basedOn w:val="Normal"/>
    <w:rsid w:val="002D42A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D42A8"/>
    <w:rPr>
      <w:b/>
      <w:bCs/>
    </w:rPr>
  </w:style>
  <w:style w:type="paragraph" w:styleId="TOCHeading">
    <w:name w:val="TOC Heading"/>
    <w:basedOn w:val="Heading1"/>
    <w:next w:val="Normal"/>
    <w:uiPriority w:val="39"/>
    <w:unhideWhenUsed/>
    <w:qFormat/>
    <w:rsid w:val="005A7FEA"/>
    <w:pPr>
      <w:spacing w:before="480" w:after="0" w:line="276" w:lineRule="auto"/>
      <w:outlineLvl w:val="9"/>
    </w:pPr>
    <w:rPr>
      <w:b/>
      <w:bCs/>
      <w:sz w:val="28"/>
      <w:szCs w:val="28"/>
    </w:rPr>
  </w:style>
  <w:style w:type="paragraph" w:styleId="TOC1">
    <w:name w:val="toc 1"/>
    <w:basedOn w:val="Normal"/>
    <w:next w:val="Normal"/>
    <w:autoRedefine/>
    <w:uiPriority w:val="39"/>
    <w:unhideWhenUsed/>
    <w:rsid w:val="005A7FEA"/>
    <w:pPr>
      <w:spacing w:before="120" w:after="120"/>
    </w:pPr>
    <w:rPr>
      <w:rFonts w:cs="Times New Roman"/>
      <w:b/>
      <w:bCs/>
      <w:caps/>
      <w:sz w:val="20"/>
    </w:rPr>
  </w:style>
  <w:style w:type="paragraph" w:styleId="TOC3">
    <w:name w:val="toc 3"/>
    <w:basedOn w:val="Normal"/>
    <w:next w:val="Normal"/>
    <w:autoRedefine/>
    <w:uiPriority w:val="39"/>
    <w:unhideWhenUsed/>
    <w:rsid w:val="005A7FEA"/>
    <w:pPr>
      <w:ind w:left="480"/>
    </w:pPr>
    <w:rPr>
      <w:rFonts w:cs="Times New Roman"/>
      <w:i/>
      <w:iCs/>
      <w:sz w:val="20"/>
    </w:rPr>
  </w:style>
  <w:style w:type="character" w:styleId="Hyperlink">
    <w:name w:val="Hyperlink"/>
    <w:basedOn w:val="DefaultParagraphFont"/>
    <w:uiPriority w:val="99"/>
    <w:unhideWhenUsed/>
    <w:rsid w:val="005A7FEA"/>
    <w:rPr>
      <w:color w:val="467886" w:themeColor="hyperlink"/>
      <w:u w:val="single"/>
    </w:rPr>
  </w:style>
  <w:style w:type="paragraph" w:styleId="TOC2">
    <w:name w:val="toc 2"/>
    <w:basedOn w:val="Normal"/>
    <w:next w:val="Normal"/>
    <w:autoRedefine/>
    <w:uiPriority w:val="39"/>
    <w:unhideWhenUsed/>
    <w:rsid w:val="005A7FEA"/>
    <w:pPr>
      <w:ind w:left="240"/>
    </w:pPr>
    <w:rPr>
      <w:rFonts w:cs="Times New Roman"/>
      <w:smallCaps/>
      <w:sz w:val="20"/>
    </w:rPr>
  </w:style>
  <w:style w:type="paragraph" w:styleId="TOC4">
    <w:name w:val="toc 4"/>
    <w:basedOn w:val="Normal"/>
    <w:next w:val="Normal"/>
    <w:autoRedefine/>
    <w:uiPriority w:val="39"/>
    <w:unhideWhenUsed/>
    <w:rsid w:val="005A7FEA"/>
    <w:pPr>
      <w:ind w:left="720"/>
    </w:pPr>
    <w:rPr>
      <w:rFonts w:cs="Times New Roman"/>
      <w:sz w:val="18"/>
      <w:szCs w:val="21"/>
    </w:rPr>
  </w:style>
  <w:style w:type="paragraph" w:styleId="TOC5">
    <w:name w:val="toc 5"/>
    <w:basedOn w:val="Normal"/>
    <w:next w:val="Normal"/>
    <w:autoRedefine/>
    <w:uiPriority w:val="39"/>
    <w:unhideWhenUsed/>
    <w:rsid w:val="005A7FEA"/>
    <w:pPr>
      <w:ind w:left="960"/>
    </w:pPr>
    <w:rPr>
      <w:rFonts w:cs="Times New Roman"/>
      <w:sz w:val="18"/>
      <w:szCs w:val="21"/>
    </w:rPr>
  </w:style>
  <w:style w:type="paragraph" w:styleId="TOC6">
    <w:name w:val="toc 6"/>
    <w:basedOn w:val="Normal"/>
    <w:next w:val="Normal"/>
    <w:autoRedefine/>
    <w:uiPriority w:val="39"/>
    <w:unhideWhenUsed/>
    <w:rsid w:val="005A7FEA"/>
    <w:pPr>
      <w:ind w:left="1200"/>
    </w:pPr>
    <w:rPr>
      <w:rFonts w:cs="Times New Roman"/>
      <w:sz w:val="18"/>
      <w:szCs w:val="21"/>
    </w:rPr>
  </w:style>
  <w:style w:type="paragraph" w:styleId="TOC7">
    <w:name w:val="toc 7"/>
    <w:basedOn w:val="Normal"/>
    <w:next w:val="Normal"/>
    <w:autoRedefine/>
    <w:uiPriority w:val="39"/>
    <w:unhideWhenUsed/>
    <w:rsid w:val="005A7FEA"/>
    <w:pPr>
      <w:ind w:left="1440"/>
    </w:pPr>
    <w:rPr>
      <w:rFonts w:cs="Times New Roman"/>
      <w:sz w:val="18"/>
      <w:szCs w:val="21"/>
    </w:rPr>
  </w:style>
  <w:style w:type="paragraph" w:styleId="TOC8">
    <w:name w:val="toc 8"/>
    <w:basedOn w:val="Normal"/>
    <w:next w:val="Normal"/>
    <w:autoRedefine/>
    <w:uiPriority w:val="39"/>
    <w:unhideWhenUsed/>
    <w:rsid w:val="005A7FEA"/>
    <w:pPr>
      <w:ind w:left="1680"/>
    </w:pPr>
    <w:rPr>
      <w:rFonts w:cs="Times New Roman"/>
      <w:sz w:val="18"/>
      <w:szCs w:val="21"/>
    </w:rPr>
  </w:style>
  <w:style w:type="paragraph" w:styleId="TOC9">
    <w:name w:val="toc 9"/>
    <w:basedOn w:val="Normal"/>
    <w:next w:val="Normal"/>
    <w:autoRedefine/>
    <w:uiPriority w:val="39"/>
    <w:unhideWhenUsed/>
    <w:rsid w:val="005A7FEA"/>
    <w:pPr>
      <w:ind w:left="1920"/>
    </w:pPr>
    <w:rPr>
      <w:rFonts w:cs="Times New Roman"/>
      <w:sz w:val="18"/>
      <w:szCs w:val="21"/>
    </w:rPr>
  </w:style>
  <w:style w:type="paragraph" w:styleId="TableofAuthorities">
    <w:name w:val="table of authorities"/>
    <w:basedOn w:val="Normal"/>
    <w:next w:val="Normal"/>
    <w:uiPriority w:val="99"/>
    <w:unhideWhenUsed/>
    <w:rsid w:val="004C6099"/>
    <w:pPr>
      <w:ind w:left="240" w:hanging="240"/>
    </w:pPr>
    <w:rPr>
      <w:rFonts w:cs="Times New Roman"/>
      <w:sz w:val="20"/>
    </w:rPr>
  </w:style>
  <w:style w:type="paragraph" w:styleId="TOAHeading">
    <w:name w:val="toa heading"/>
    <w:basedOn w:val="Normal"/>
    <w:next w:val="Normal"/>
    <w:uiPriority w:val="99"/>
    <w:unhideWhenUsed/>
    <w:rsid w:val="004C6099"/>
    <w:pPr>
      <w:spacing w:before="240" w:after="120"/>
      <w:jc w:val="center"/>
    </w:pPr>
    <w:rPr>
      <w:rFonts w:cs="Times New Roman"/>
      <w:smallCaps/>
      <w:sz w:val="22"/>
      <w:szCs w:val="26"/>
      <w:u w:val="single"/>
    </w:rPr>
  </w:style>
  <w:style w:type="paragraph" w:customStyle="1" w:styleId="Text">
    <w:name w:val="Text"/>
    <w:basedOn w:val="Normal"/>
    <w:rsid w:val="00266441"/>
    <w:pPr>
      <w:widowControl w:val="0"/>
      <w:autoSpaceDE w:val="0"/>
      <w:autoSpaceDN w:val="0"/>
      <w:adjustRightInd w:val="0"/>
      <w:spacing w:before="120" w:line="220" w:lineRule="atLeast"/>
      <w:jc w:val="both"/>
      <w:textAlignment w:val="center"/>
    </w:pPr>
    <w:rPr>
      <w:rFonts w:ascii="Times New Roman" w:eastAsia="Times New Roman" w:hAnsi="Times New Roman" w:cs="Times"/>
      <w:sz w:val="22"/>
      <w:szCs w:val="22"/>
    </w:rPr>
  </w:style>
  <w:style w:type="paragraph" w:styleId="EndnoteText">
    <w:name w:val="endnote text"/>
    <w:basedOn w:val="Normal"/>
    <w:link w:val="EndnoteTextChar"/>
    <w:uiPriority w:val="99"/>
    <w:unhideWhenUsed/>
    <w:rsid w:val="00266441"/>
    <w:rPr>
      <w:kern w:val="2"/>
      <w:sz w:val="20"/>
      <w:szCs w:val="20"/>
      <w14:ligatures w14:val="standardContextual"/>
    </w:rPr>
  </w:style>
  <w:style w:type="character" w:customStyle="1" w:styleId="EndnoteTextChar">
    <w:name w:val="Endnote Text Char"/>
    <w:basedOn w:val="DefaultParagraphFont"/>
    <w:link w:val="EndnoteText"/>
    <w:uiPriority w:val="99"/>
    <w:rsid w:val="00266441"/>
    <w:rPr>
      <w:rFonts w:eastAsiaTheme="minorHAnsi"/>
      <w:sz w:val="20"/>
      <w:szCs w:val="20"/>
      <w:lang w:eastAsia="en-US"/>
    </w:rPr>
  </w:style>
  <w:style w:type="character" w:styleId="EndnoteReference">
    <w:name w:val="endnote reference"/>
    <w:basedOn w:val="DefaultParagraphFont"/>
    <w:uiPriority w:val="99"/>
    <w:unhideWhenUsed/>
    <w:rsid w:val="00266441"/>
    <w:rPr>
      <w:vertAlign w:val="superscript"/>
    </w:rPr>
  </w:style>
  <w:style w:type="character" w:customStyle="1" w:styleId="s1">
    <w:name w:val="s1"/>
    <w:basedOn w:val="DefaultParagraphFont"/>
    <w:rsid w:val="00617A6E"/>
    <w:rPr>
      <w:rFonts w:ascii="Helvetica" w:hAnsi="Helvetica"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30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1.next.westlaw.com/Link/Document/FullText?entityType=gdrug&amp;entityId=I3b37d7b5475111db9765f9243f53508a&amp;originationContext=document&amp;transitionType=DocumentItem&amp;contextData=(sc.Default)&amp;ppcid=d6bbce9c87b248df83ea89b219445860" TargetMode="External"/><Relationship Id="rId18" Type="http://schemas.openxmlformats.org/officeDocument/2006/relationships/hyperlink" Target="https://1.next.westlaw.com/Link/Document/FullText?findType=L&amp;pubNum=1000583&amp;cite=USCOARTIII&amp;originatingDoc=Ifef19580298111ef8c8ebbc67f153ec0&amp;refType=LQ&amp;originationContext=document&amp;transitionType=DocumentItem&amp;ppcid=d6bbce9c87b248df83ea89b219445860&amp;contextData=(sc.Search)" TargetMode="External"/><Relationship Id="rId26" Type="http://schemas.openxmlformats.org/officeDocument/2006/relationships/hyperlink" Target="https://1.next.westlaw.com/Link/Document/FullText?entityType=disease&amp;entityId=Ib9c08b34475411db9765f9243f53508a&amp;originationContext=document&amp;transitionType=DocumentItem&amp;contextData=(sc.Default)&amp;ppcid=d6bbce9c87b248df83ea89b219445860" TargetMode="External"/><Relationship Id="rId39" Type="http://schemas.openxmlformats.org/officeDocument/2006/relationships/hyperlink" Target="https://1.next.westlaw.com/Link/Document/FullText?findType=Y&amp;serNum=1983113925&amp;originatingDoc=I253f136ab6f242ec9b8c6e40293979bd&amp;refType=RP&amp;originationContext=document&amp;transitionType=DocumentItem&amp;ppcid=06959f5b815e4308bde3158b44ef13bb&amp;contextData=(sc.Search)" TargetMode="External"/><Relationship Id="rId21" Type="http://schemas.openxmlformats.org/officeDocument/2006/relationships/hyperlink" Target="https://1.next.westlaw.com/Link/Document/FullText?entityType=gdrug&amp;entityId=I3b37d7b5475111db9765f9243f53508a&amp;originationContext=document&amp;transitionType=DocumentItem&amp;contextData=(sc.Default)&amp;ppcid=d6bbce9c87b248df83ea89b219445860" TargetMode="External"/><Relationship Id="rId34" Type="http://schemas.openxmlformats.org/officeDocument/2006/relationships/hyperlink" Target="https://1.next.westlaw.com/Link/Document/FullText?findType=Y&amp;serNum=1800105733&amp;pubNum=0000780&amp;originatingDoc=I85fd8316346111efbc1bfeff14d26912&amp;refType=RP&amp;fi=co_pp_sp_780_446&amp;originationContext=document&amp;transitionType=DocumentItem&amp;ppcid=b2cd58abde364da39ecce60b3a7030da&amp;contextData=(sc.Search)"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1.next.westlaw.com/Link/Document/FullText?findType=L&amp;pubNum=1000583&amp;cite=USCOARTIII&amp;originatingDoc=Ifef19580298111ef8c8ebbc67f153ec0&amp;refType=LQ&amp;originationContext=document&amp;transitionType=DocumentItem&amp;ppcid=d6bbce9c87b248df83ea89b219445860&amp;contextData=(sc.Search)" TargetMode="External"/><Relationship Id="rId20" Type="http://schemas.openxmlformats.org/officeDocument/2006/relationships/hyperlink" Target="https://1.next.westlaw.com/Link/Document/FullText?findType=L&amp;pubNum=1000583&amp;cite=USCOARTIII&amp;originatingDoc=Ifef19580298111ef8c8ebbc67f153ec0&amp;refType=LQ&amp;originationContext=document&amp;transitionType=DocumentItem&amp;ppcid=d6bbce9c87b248df83ea89b219445860&amp;contextData=(sc.Search)" TargetMode="External"/><Relationship Id="rId29" Type="http://schemas.openxmlformats.org/officeDocument/2006/relationships/hyperlink" Target="https://1.next.westlaw.com/Link/Document/FullText?entityType=disease&amp;entityId=Iaa9b49b2475411db9765f9243f53508a&amp;originationContext=document&amp;transitionType=DocumentItem&amp;contextData=(sc.Default)&amp;ppcid=d6bbce9c87b248df83ea89b219445860" TargetMode="External"/><Relationship Id="rId41" Type="http://schemas.openxmlformats.org/officeDocument/2006/relationships/hyperlink" Target="https://1.next.westlaw.com/Link/Document/FullText?findType=Y&amp;serNum=1983113925&amp;originatingDoc=I253f136ab6f242ec9b8c6e40293979bd&amp;refType=RP&amp;originationContext=document&amp;transitionType=DocumentItem&amp;ppcid=06959f5b815e4308bde3158b44ef13bb&amp;contextData=(sc.Sear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next.westlaw.com/Link/Document/FullText?entityType=gdrug&amp;entityId=I3b37d7b5475111db9765f9243f53508a&amp;originationContext=document&amp;transitionType=DocumentItem&amp;contextData=(sc.Default)&amp;ppcid=d6bbce9c87b248df83ea89b219445860" TargetMode="External"/><Relationship Id="rId24" Type="http://schemas.openxmlformats.org/officeDocument/2006/relationships/hyperlink" Target="https://1.next.westlaw.com/Link/Document/FullText?findType=L&amp;pubNum=1000583&amp;cite=USCOARTIII&amp;originatingDoc=Ifef19580298111ef8c8ebbc67f153ec0&amp;refType=LQ&amp;originationContext=document&amp;transitionType=DocumentItem&amp;ppcid=d6bbce9c87b248df83ea89b219445860&amp;contextData=(sc.Search)" TargetMode="External"/><Relationship Id="rId32" Type="http://schemas.openxmlformats.org/officeDocument/2006/relationships/hyperlink" Target="https://1.next.westlaw.com/Link/Document/FullText?findType=Y&amp;serNum=1957120392&amp;pubNum=0000780&amp;originatingDoc=I85fd8316346111efbc1bfeff14d26912&amp;refType=RP&amp;fi=co_pp_sp_780_10&amp;originationContext=document&amp;transitionType=DocumentItem&amp;ppcid=b2cd58abde364da39ecce60b3a7030da&amp;contextData=(sc.Search)" TargetMode="External"/><Relationship Id="rId37" Type="http://schemas.openxmlformats.org/officeDocument/2006/relationships/hyperlink" Target="https://1.next.westlaw.com/Link/Document/FullText?findType=L&amp;pubNum=1000583&amp;cite=USCOARTIII&amp;originatingDoc=I85fd8316346111efbc1bfeff14d26912&amp;refType=LQ&amp;originationContext=document&amp;transitionType=DocumentItem&amp;ppcid=b2cd58abde364da39ecce60b3a7030da&amp;contextData=(sc.Search)" TargetMode="External"/><Relationship Id="rId40" Type="http://schemas.openxmlformats.org/officeDocument/2006/relationships/hyperlink" Target="https://1.next.westlaw.com/Link/Document/FullText?findType=Y&amp;serNum=1983113925&amp;originatingDoc=I253f136ab6f242ec9b8c6e40293979bd&amp;refType=RP&amp;originationContext=document&amp;transitionType=DocumentItem&amp;ppcid=06959f5b815e4308bde3158b44ef13bb&amp;contextData=(sc.Search)" TargetMode="External"/><Relationship Id="rId5" Type="http://schemas.openxmlformats.org/officeDocument/2006/relationships/webSettings" Target="webSettings.xml"/><Relationship Id="rId15" Type="http://schemas.openxmlformats.org/officeDocument/2006/relationships/hyperlink" Target="https://1.next.westlaw.com/Link/Document/FullText?findType=L&amp;pubNum=1000583&amp;cite=USCOARTIII&amp;originatingDoc=Ifef19580298111ef8c8ebbc67f153ec0&amp;refType=LQ&amp;originationContext=document&amp;transitionType=DocumentItem&amp;ppcid=d6bbce9c87b248df83ea89b219445860&amp;contextData=(sc.Search)" TargetMode="External"/><Relationship Id="rId23" Type="http://schemas.openxmlformats.org/officeDocument/2006/relationships/hyperlink" Target="https://1.next.westlaw.com/Link/Document/FullText?entityType=gdrug&amp;entityId=I3b37d7b5475111db9765f9243f53508a&amp;originationContext=document&amp;transitionType=DocumentItem&amp;contextData=(sc.Default)&amp;ppcid=d6bbce9c87b248df83ea89b219445860" TargetMode="External"/><Relationship Id="rId28" Type="http://schemas.openxmlformats.org/officeDocument/2006/relationships/hyperlink" Target="https://1.next.westlaw.com/Link/Document/FullText?entityType=disease&amp;entityId=I1735fce4ff5111dc84008c7818c06073&amp;originationContext=document&amp;transitionType=DocumentItem&amp;contextData=(sc.Default)&amp;ppcid=d6bbce9c87b248df83ea89b219445860" TargetMode="External"/><Relationship Id="rId36" Type="http://schemas.openxmlformats.org/officeDocument/2006/relationships/hyperlink" Target="https://1.next.westlaw.com/Link/Document/FullText?findType=Y&amp;serNum=1955119803&amp;pubNum=0000780&amp;originatingDoc=I85fd8316346111efbc1bfeff14d26912&amp;refType=RP&amp;fi=co_pp_sp_780_136&amp;originationContext=document&amp;transitionType=DocumentItem&amp;ppcid=b2cd58abde364da39ecce60b3a7030da&amp;contextData=(sc.Search)" TargetMode="External"/><Relationship Id="rId10" Type="http://schemas.openxmlformats.org/officeDocument/2006/relationships/hyperlink" Target="https://1.next.westlaw.com/Link/Document/FullText?findType=L&amp;pubNum=1000583&amp;cite=USCOARTIII&amp;originatingDoc=Ifef19580298111ef8c8ebbc67f153ec0&amp;refType=LQ&amp;originationContext=document&amp;transitionType=DocumentItem&amp;ppcid=d6bbce9c87b248df83ea89b219445860&amp;contextData=(sc.Search)" TargetMode="External"/><Relationship Id="rId19" Type="http://schemas.openxmlformats.org/officeDocument/2006/relationships/hyperlink" Target="https://1.next.westlaw.com/Link/Document/FullText?entityType=gdrug&amp;entityId=I3b37d7b5475111db9765f9243f53508a&amp;originationContext=document&amp;transitionType=DocumentItem&amp;contextData=(sc.Default)&amp;ppcid=d6bbce9c87b248df83ea89b219445860" TargetMode="External"/><Relationship Id="rId31" Type="http://schemas.openxmlformats.org/officeDocument/2006/relationships/hyperlink" Target="https://1.next.westlaw.com/Link/Document/FullText?findType=Y&amp;serNum=1987052720&amp;pubNum=0000780&amp;originatingDoc=I85fd8316346111efbc1bfeff14d26912&amp;refType=RP&amp;originationContext=document&amp;transitionType=DocumentItem&amp;ppcid=b2cd58abde364da39ecce60b3a7030da&amp;contextData=(sc.Search)"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1.next.westlaw.com/Link/Document/FullText?entityType=gdrug&amp;entityId=I3b37d7b5475111db9765f9243f53508a&amp;originationContext=document&amp;transitionType=DocumentItem&amp;contextData=(sc.Default)&amp;ppcid=d6bbce9c87b248df83ea89b219445860" TargetMode="External"/><Relationship Id="rId14" Type="http://schemas.openxmlformats.org/officeDocument/2006/relationships/hyperlink" Target="https://1.next.westlaw.com/Link/Document/FullText?entityType=gdrug&amp;entityId=I3b37d7b5475111db9765f9243f53508a&amp;originationContext=document&amp;transitionType=DocumentItem&amp;contextData=(sc.Default)&amp;ppcid=d6bbce9c87b248df83ea89b219445860" TargetMode="External"/><Relationship Id="rId22" Type="http://schemas.openxmlformats.org/officeDocument/2006/relationships/hyperlink" Target="https://1.next.westlaw.com/Link/Document/FullText?entityType=gdrug&amp;entityId=I3b37d7b5475111db9765f9243f53508a&amp;originationContext=document&amp;transitionType=DocumentItem&amp;contextData=(sc.Default)&amp;ppcid=d6bbce9c87b248df83ea89b219445860" TargetMode="External"/><Relationship Id="rId27" Type="http://schemas.openxmlformats.org/officeDocument/2006/relationships/hyperlink" Target="https://1.next.westlaw.com/Link/Document/FullText?entityType=disease&amp;entityId=Iaf34f5c3475411db9765f9243f53508a&amp;originationContext=document&amp;transitionType=DocumentItem&amp;contextData=(sc.Default)&amp;ppcid=d6bbce9c87b248df83ea89b219445860" TargetMode="External"/><Relationship Id="rId30" Type="http://schemas.openxmlformats.org/officeDocument/2006/relationships/hyperlink" Target="https://1.next.westlaw.com/Link/Document/FullText?findType=L&amp;pubNum=1000583&amp;cite=USCOARTIII&amp;originatingDoc=Ifef19580298111ef8c8ebbc67f153ec0&amp;refType=LQ&amp;originationContext=document&amp;transitionType=DocumentItem&amp;ppcid=d6bbce9c87b248df83ea89b219445860&amp;contextData=(sc.Search)" TargetMode="External"/><Relationship Id="rId35" Type="http://schemas.openxmlformats.org/officeDocument/2006/relationships/hyperlink" Target="https://1.next.westlaw.com/Link/Document/FullText?findType=Y&amp;serNum=1989094012&amp;pubNum=0000780&amp;originatingDoc=I85fd8316346111efbc1bfeff14d26912&amp;refType=RP&amp;fi=co_pp_sp_780_53&amp;originationContext=document&amp;transitionType=DocumentItem&amp;ppcid=b2cd58abde364da39ecce60b3a7030da&amp;contextData=(sc.Search)" TargetMode="External"/><Relationship Id="rId43" Type="http://schemas.openxmlformats.org/officeDocument/2006/relationships/fontTable" Target="fontTable.xml"/><Relationship Id="rId8" Type="http://schemas.openxmlformats.org/officeDocument/2006/relationships/hyperlink" Target="https://1.next.westlaw.com/Link/Document/FullText?entityType=gdrug&amp;entityId=I3b37d7b5475111db9765f9243f53508a&amp;originationContext=document&amp;transitionType=DocumentItem&amp;contextData=(sc.Default)&amp;ppcid=d6bbce9c87b248df83ea89b219445860" TargetMode="External"/><Relationship Id="rId3" Type="http://schemas.openxmlformats.org/officeDocument/2006/relationships/styles" Target="styles.xml"/><Relationship Id="rId12" Type="http://schemas.openxmlformats.org/officeDocument/2006/relationships/hyperlink" Target="https://1.next.westlaw.com/Link/Document/FullText?entityType=mproc&amp;entityId=Ic1b0dc79475411db9765f9243f53508a&amp;originationContext=document&amp;transitionType=DocumentItem&amp;contextData=(sc.Default)&amp;ppcid=d6bbce9c87b248df83ea89b219445860" TargetMode="External"/><Relationship Id="rId17" Type="http://schemas.openxmlformats.org/officeDocument/2006/relationships/hyperlink" Target="https://1.next.westlaw.com/Link/Document/FullText?findType=L&amp;pubNum=1000583&amp;cite=USCOARTIII&amp;originatingDoc=Ifef19580298111ef8c8ebbc67f153ec0&amp;refType=LQ&amp;originationContext=document&amp;transitionType=DocumentItem&amp;ppcid=d6bbce9c87b248df83ea89b219445860&amp;contextData=(sc.Search)" TargetMode="External"/><Relationship Id="rId25" Type="http://schemas.openxmlformats.org/officeDocument/2006/relationships/hyperlink" Target="https://1.next.westlaw.com/Link/Document/FullText?entityType=disease&amp;entityId=Iab17a50f475411db9765f9243f53508a&amp;originationContext=document&amp;transitionType=DocumentItem&amp;contextData=(sc.Default)&amp;ppcid=d6bbce9c87b248df83ea89b219445860" TargetMode="External"/><Relationship Id="rId33" Type="http://schemas.openxmlformats.org/officeDocument/2006/relationships/hyperlink" Target="https://1.next.westlaw.com/Link/Document/FullText?findType=Y&amp;serNum=1800105733&amp;pubNum=0000780&amp;originatingDoc=I85fd8316346111efbc1bfeff14d26912&amp;refType=RP&amp;fi=co_pp_sp_780_446&amp;originationContext=document&amp;transitionType=DocumentItem&amp;ppcid=b2cd58abde364da39ecce60b3a7030da&amp;contextData=(sc.Search)" TargetMode="External"/><Relationship Id="rId38" Type="http://schemas.openxmlformats.org/officeDocument/2006/relationships/hyperlink" Target="https://1.next.westlaw.com/Link/Document/FullText?findType=L&amp;pubNum=1000583&amp;cite=USCOARTIII&amp;originatingDoc=I85fd8316346111efbc1bfeff14d26912&amp;refType=LQ&amp;originationContext=document&amp;transitionType=DocumentItem&amp;ppcid=b2cd58abde364da39ecce60b3a7030da&amp;contextData=(sc.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1B88B-5CA9-40BB-BC5A-BB73F806F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143</Pages>
  <Words>78700</Words>
  <Characters>432069</Characters>
  <Application>Microsoft Office Word</Application>
  <DocSecurity>0</DocSecurity>
  <Lines>6858</Lines>
  <Paragraphs>1142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Ginny Smith</dc:creator>
  <cp:keywords/>
  <dc:description/>
  <cp:lastModifiedBy>Kathy Langone</cp:lastModifiedBy>
  <cp:revision>6</cp:revision>
  <dcterms:created xsi:type="dcterms:W3CDTF">2026-08-19T23:57:00Z</dcterms:created>
  <dcterms:modified xsi:type="dcterms:W3CDTF">2026-08-20T00:02:00Z</dcterms:modified>
</cp:coreProperties>
</file>