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AF0F6" w14:textId="55C9FE9D" w:rsidR="008D4F3B" w:rsidRDefault="008D4F3B" w:rsidP="001E4984">
      <w:pPr>
        <w:pStyle w:val="TXTNI"/>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Ethical Problems in the Practice of Law, 7</w:t>
      </w:r>
      <w:r w:rsidRPr="008D4F3B">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Edition</w:t>
      </w:r>
    </w:p>
    <w:p w14:paraId="5E72B223" w14:textId="09E39544" w:rsidR="008D4F3B" w:rsidRDefault="008D4F3B" w:rsidP="001E4984">
      <w:pPr>
        <w:pStyle w:val="TXTNI"/>
        <w:jc w:val="center"/>
        <w:rPr>
          <w:rFonts w:ascii="Times New Roman" w:hAnsi="Times New Roman" w:cs="Times New Roman"/>
          <w:b/>
          <w:bCs/>
          <w:sz w:val="32"/>
          <w:szCs w:val="32"/>
        </w:rPr>
      </w:pPr>
      <w:r>
        <w:rPr>
          <w:rFonts w:ascii="Times New Roman" w:hAnsi="Times New Roman" w:cs="Times New Roman"/>
          <w:b/>
          <w:bCs/>
          <w:sz w:val="32"/>
          <w:szCs w:val="32"/>
        </w:rPr>
        <w:t xml:space="preserve">Update regarding the 2026 amendment to </w:t>
      </w:r>
      <w:r w:rsidR="00013544">
        <w:rPr>
          <w:rFonts w:ascii="Times New Roman" w:hAnsi="Times New Roman" w:cs="Times New Roman"/>
          <w:b/>
          <w:bCs/>
          <w:sz w:val="32"/>
          <w:szCs w:val="32"/>
        </w:rPr>
        <w:t xml:space="preserve">Model </w:t>
      </w:r>
      <w:r>
        <w:rPr>
          <w:rFonts w:ascii="Times New Roman" w:hAnsi="Times New Roman" w:cs="Times New Roman"/>
          <w:b/>
          <w:bCs/>
          <w:sz w:val="32"/>
          <w:szCs w:val="32"/>
        </w:rPr>
        <w:t>Rule 1.14</w:t>
      </w:r>
    </w:p>
    <w:p w14:paraId="090DD466" w14:textId="77777777" w:rsidR="008D4F3B" w:rsidRDefault="008D4F3B" w:rsidP="0095027B">
      <w:pPr>
        <w:pStyle w:val="TXTNI"/>
        <w:rPr>
          <w:rFonts w:ascii="Times New Roman" w:hAnsi="Times New Roman" w:cs="Times New Roman"/>
          <w:b/>
          <w:bCs/>
          <w:sz w:val="32"/>
          <w:szCs w:val="32"/>
        </w:rPr>
      </w:pPr>
    </w:p>
    <w:p w14:paraId="48A3FE61" w14:textId="578AF60A" w:rsidR="0095027B" w:rsidRPr="001C34C6" w:rsidRDefault="0095027B" w:rsidP="0095027B">
      <w:pPr>
        <w:pStyle w:val="TXTNI"/>
        <w:rPr>
          <w:rFonts w:ascii="Times New Roman" w:hAnsi="Times New Roman" w:cs="Times New Roman"/>
          <w:b/>
          <w:bCs/>
          <w:sz w:val="32"/>
          <w:szCs w:val="32"/>
        </w:rPr>
      </w:pPr>
      <w:r w:rsidRPr="001C34C6">
        <w:rPr>
          <w:rFonts w:ascii="Times New Roman" w:hAnsi="Times New Roman" w:cs="Times New Roman"/>
          <w:b/>
          <w:bCs/>
          <w:sz w:val="32"/>
          <w:szCs w:val="32"/>
        </w:rPr>
        <w:t>Substitute for Chapter 3, Section D2, pages 212-222</w:t>
      </w:r>
    </w:p>
    <w:p w14:paraId="5662A721" w14:textId="77777777" w:rsidR="0095027B" w:rsidRPr="001C34C6" w:rsidRDefault="0095027B" w:rsidP="0095027B">
      <w:pPr>
        <w:pStyle w:val="TXTNI"/>
        <w:rPr>
          <w:rFonts w:ascii="Times New Roman" w:hAnsi="Times New Roman" w:cs="Times New Roman"/>
          <w:sz w:val="32"/>
          <w:szCs w:val="32"/>
        </w:rPr>
      </w:pPr>
    </w:p>
    <w:p w14:paraId="46E28ED7" w14:textId="57E07C08" w:rsidR="00F63F36" w:rsidRPr="00AB74F4" w:rsidRDefault="00E6159A" w:rsidP="00C81DAD">
      <w:pPr>
        <w:pStyle w:val="TXTNI"/>
        <w:rPr>
          <w:rFonts w:ascii="Times New Roman" w:hAnsi="Times New Roman" w:cs="Times New Roman"/>
          <w:sz w:val="32"/>
          <w:szCs w:val="32"/>
        </w:rPr>
      </w:pPr>
      <w:r w:rsidRPr="00AB74F4">
        <w:rPr>
          <w:rFonts w:ascii="Times New Roman" w:hAnsi="Times New Roman" w:cs="Times New Roman"/>
          <w:sz w:val="32"/>
          <w:szCs w:val="32"/>
        </w:rPr>
        <w:t xml:space="preserve">In February 2026, </w:t>
      </w:r>
      <w:r w:rsidR="00F63F36" w:rsidRPr="00AB74F4">
        <w:rPr>
          <w:rFonts w:ascii="Times New Roman" w:hAnsi="Times New Roman" w:cs="Times New Roman"/>
          <w:sz w:val="32"/>
          <w:szCs w:val="32"/>
        </w:rPr>
        <w:t>after the 7</w:t>
      </w:r>
      <w:r w:rsidR="00F63F36" w:rsidRPr="00AB74F4">
        <w:rPr>
          <w:rFonts w:ascii="Times New Roman" w:hAnsi="Times New Roman" w:cs="Times New Roman"/>
          <w:sz w:val="32"/>
          <w:szCs w:val="32"/>
          <w:vertAlign w:val="superscript"/>
        </w:rPr>
        <w:t>th</w:t>
      </w:r>
      <w:r w:rsidR="00F63F36" w:rsidRPr="00AB74F4">
        <w:rPr>
          <w:rFonts w:ascii="Times New Roman" w:hAnsi="Times New Roman" w:cs="Times New Roman"/>
          <w:sz w:val="32"/>
          <w:szCs w:val="32"/>
        </w:rPr>
        <w:t xml:space="preserve"> edition of the textbook was published, </w:t>
      </w:r>
      <w:r w:rsidRPr="00AB74F4">
        <w:rPr>
          <w:rFonts w:ascii="Times New Roman" w:hAnsi="Times New Roman" w:cs="Times New Roman"/>
          <w:sz w:val="32"/>
          <w:szCs w:val="32"/>
        </w:rPr>
        <w:t xml:space="preserve">the ABA significantly amended </w:t>
      </w:r>
      <w:r w:rsidR="00013544">
        <w:rPr>
          <w:rFonts w:ascii="Times New Roman" w:hAnsi="Times New Roman" w:cs="Times New Roman"/>
          <w:sz w:val="32"/>
          <w:szCs w:val="32"/>
        </w:rPr>
        <w:t xml:space="preserve">Model </w:t>
      </w:r>
      <w:r w:rsidRPr="00AB74F4">
        <w:rPr>
          <w:rFonts w:ascii="Times New Roman" w:hAnsi="Times New Roman" w:cs="Times New Roman"/>
          <w:sz w:val="32"/>
          <w:szCs w:val="32"/>
        </w:rPr>
        <w:t>Rule 1.14 and its comments</w:t>
      </w:r>
      <w:r w:rsidR="00B01170">
        <w:rPr>
          <w:rFonts w:ascii="Times New Roman" w:hAnsi="Times New Roman" w:cs="Times New Roman"/>
          <w:sz w:val="32"/>
          <w:szCs w:val="32"/>
        </w:rPr>
        <w:t xml:space="preserve">.  </w:t>
      </w:r>
      <w:r w:rsidR="00B01170" w:rsidRPr="00AB74F4">
        <w:rPr>
          <w:rFonts w:ascii="Times New Roman" w:hAnsi="Times New Roman" w:cs="Times New Roman"/>
          <w:sz w:val="32"/>
          <w:szCs w:val="32"/>
        </w:rPr>
        <w:t>Some of the changes affec</w:t>
      </w:r>
      <w:r w:rsidR="00B01170">
        <w:rPr>
          <w:rFonts w:ascii="Times New Roman" w:hAnsi="Times New Roman" w:cs="Times New Roman"/>
          <w:sz w:val="32"/>
          <w:szCs w:val="32"/>
        </w:rPr>
        <w:t>t</w:t>
      </w:r>
      <w:r w:rsidR="00B01170" w:rsidRPr="00AB74F4">
        <w:rPr>
          <w:rFonts w:ascii="Times New Roman" w:hAnsi="Times New Roman" w:cs="Times New Roman"/>
          <w:sz w:val="32"/>
          <w:szCs w:val="32"/>
        </w:rPr>
        <w:t xml:space="preserve"> the terminology used in the rule and comments, and others were substantiv</w:t>
      </w:r>
      <w:r w:rsidR="00B01170">
        <w:rPr>
          <w:rFonts w:ascii="Times New Roman" w:hAnsi="Times New Roman" w:cs="Times New Roman"/>
          <w:sz w:val="32"/>
          <w:szCs w:val="32"/>
        </w:rPr>
        <w:t>e</w:t>
      </w:r>
      <w:r w:rsidRPr="00AB74F4">
        <w:rPr>
          <w:rFonts w:ascii="Times New Roman" w:hAnsi="Times New Roman" w:cs="Times New Roman"/>
          <w:sz w:val="32"/>
          <w:szCs w:val="32"/>
        </w:rPr>
        <w:t xml:space="preserve"> </w:t>
      </w:r>
      <w:r w:rsidR="001C34C6">
        <w:rPr>
          <w:rFonts w:ascii="Times New Roman" w:hAnsi="Times New Roman" w:cs="Times New Roman"/>
          <w:sz w:val="32"/>
          <w:szCs w:val="32"/>
        </w:rPr>
        <w:t xml:space="preserve">to better reflect current </w:t>
      </w:r>
      <w:r w:rsidRPr="00AB74F4">
        <w:rPr>
          <w:rFonts w:ascii="Times New Roman" w:hAnsi="Times New Roman" w:cs="Times New Roman"/>
          <w:sz w:val="32"/>
          <w:szCs w:val="32"/>
        </w:rPr>
        <w:t xml:space="preserve">views of mental health experts about individuals with decision-making limitations.  </w:t>
      </w:r>
      <w:r w:rsidR="00B01170">
        <w:rPr>
          <w:rFonts w:ascii="Times New Roman" w:hAnsi="Times New Roman" w:cs="Times New Roman"/>
          <w:sz w:val="32"/>
          <w:szCs w:val="32"/>
        </w:rPr>
        <w:t>The</w:t>
      </w:r>
      <w:r w:rsidR="00027CE2">
        <w:rPr>
          <w:rFonts w:ascii="Times New Roman" w:hAnsi="Times New Roman" w:cs="Times New Roman"/>
          <w:sz w:val="32"/>
          <w:szCs w:val="32"/>
        </w:rPr>
        <w:t xml:space="preserve"> changes also</w:t>
      </w:r>
      <w:r w:rsidR="00B01170">
        <w:rPr>
          <w:rFonts w:ascii="Times New Roman" w:hAnsi="Times New Roman" w:cs="Times New Roman"/>
          <w:sz w:val="32"/>
          <w:szCs w:val="32"/>
        </w:rPr>
        <w:t xml:space="preserve"> more explicit</w:t>
      </w:r>
      <w:r w:rsidR="006F672E">
        <w:rPr>
          <w:rFonts w:ascii="Times New Roman" w:hAnsi="Times New Roman" w:cs="Times New Roman"/>
          <w:sz w:val="32"/>
          <w:szCs w:val="32"/>
        </w:rPr>
        <w:t>ly</w:t>
      </w:r>
      <w:r w:rsidR="00027CE2">
        <w:rPr>
          <w:rFonts w:ascii="Times New Roman" w:hAnsi="Times New Roman" w:cs="Times New Roman"/>
          <w:sz w:val="32"/>
          <w:szCs w:val="32"/>
        </w:rPr>
        <w:t xml:space="preserve"> </w:t>
      </w:r>
      <w:r w:rsidR="006F672E">
        <w:rPr>
          <w:rFonts w:ascii="Times New Roman" w:hAnsi="Times New Roman" w:cs="Times New Roman"/>
          <w:sz w:val="32"/>
          <w:szCs w:val="32"/>
        </w:rPr>
        <w:t>encourage</w:t>
      </w:r>
      <w:r w:rsidR="00B01170">
        <w:rPr>
          <w:rFonts w:ascii="Times New Roman" w:hAnsi="Times New Roman" w:cs="Times New Roman"/>
          <w:sz w:val="32"/>
          <w:szCs w:val="32"/>
        </w:rPr>
        <w:t xml:space="preserve"> lawyers to pursue </w:t>
      </w:r>
      <w:r w:rsidR="006F672E">
        <w:rPr>
          <w:rFonts w:ascii="Times New Roman" w:hAnsi="Times New Roman" w:cs="Times New Roman"/>
          <w:sz w:val="32"/>
          <w:szCs w:val="32"/>
        </w:rPr>
        <w:t>actions</w:t>
      </w:r>
      <w:r w:rsidR="00B01170">
        <w:rPr>
          <w:rFonts w:ascii="Times New Roman" w:hAnsi="Times New Roman" w:cs="Times New Roman"/>
          <w:sz w:val="32"/>
          <w:szCs w:val="32"/>
        </w:rPr>
        <w:t xml:space="preserve"> t</w:t>
      </w:r>
      <w:r w:rsidR="006F672E">
        <w:rPr>
          <w:rFonts w:ascii="Times New Roman" w:hAnsi="Times New Roman" w:cs="Times New Roman"/>
          <w:sz w:val="32"/>
          <w:szCs w:val="32"/>
        </w:rPr>
        <w:t>hat</w:t>
      </w:r>
      <w:r w:rsidR="00B01170">
        <w:rPr>
          <w:rFonts w:ascii="Times New Roman" w:hAnsi="Times New Roman" w:cs="Times New Roman"/>
          <w:sz w:val="32"/>
          <w:szCs w:val="32"/>
        </w:rPr>
        <w:t xml:space="preserve"> minimize intrusion on a client’s ability to make decisions on their own behalf.  Because of these  changes, </w:t>
      </w:r>
      <w:r w:rsidR="00F63F36" w:rsidRPr="00AB74F4">
        <w:rPr>
          <w:rFonts w:ascii="Times New Roman" w:hAnsi="Times New Roman" w:cs="Times New Roman"/>
          <w:sz w:val="32"/>
          <w:szCs w:val="32"/>
        </w:rPr>
        <w:t xml:space="preserve">some of the text in pages 212-222 is no longer accurate, and the following material should be substituted. The publisher and authors grant permission to </w:t>
      </w:r>
      <w:r w:rsidR="00772AE0" w:rsidRPr="00AB74F4">
        <w:rPr>
          <w:rFonts w:ascii="Times New Roman" w:hAnsi="Times New Roman" w:cs="Times New Roman"/>
          <w:sz w:val="32"/>
          <w:szCs w:val="32"/>
        </w:rPr>
        <w:t xml:space="preserve">teachers and students to </w:t>
      </w:r>
      <w:r w:rsidR="00F63F36" w:rsidRPr="00AB74F4">
        <w:rPr>
          <w:rFonts w:ascii="Times New Roman" w:hAnsi="Times New Roman" w:cs="Times New Roman"/>
          <w:sz w:val="32"/>
          <w:szCs w:val="32"/>
        </w:rPr>
        <w:t>copy th</w:t>
      </w:r>
      <w:r w:rsidR="00772AE0" w:rsidRPr="00AB74F4">
        <w:rPr>
          <w:rFonts w:ascii="Times New Roman" w:hAnsi="Times New Roman" w:cs="Times New Roman"/>
          <w:sz w:val="32"/>
          <w:szCs w:val="32"/>
        </w:rPr>
        <w:t>is</w:t>
      </w:r>
      <w:r w:rsidR="00F63F36" w:rsidRPr="00AB74F4">
        <w:rPr>
          <w:rFonts w:ascii="Times New Roman" w:hAnsi="Times New Roman" w:cs="Times New Roman"/>
          <w:sz w:val="32"/>
          <w:szCs w:val="32"/>
        </w:rPr>
        <w:t xml:space="preserve"> substitute discussion of the rule</w:t>
      </w:r>
      <w:r w:rsidR="00737556">
        <w:rPr>
          <w:rFonts w:ascii="Times New Roman" w:hAnsi="Times New Roman" w:cs="Times New Roman"/>
          <w:sz w:val="32"/>
          <w:szCs w:val="32"/>
        </w:rPr>
        <w:t xml:space="preserve"> for their classes</w:t>
      </w:r>
      <w:r w:rsidR="00772AE0" w:rsidRPr="00AB74F4">
        <w:rPr>
          <w:rFonts w:ascii="Times New Roman" w:hAnsi="Times New Roman" w:cs="Times New Roman"/>
          <w:sz w:val="32"/>
          <w:szCs w:val="32"/>
        </w:rPr>
        <w:t>.</w:t>
      </w:r>
    </w:p>
    <w:p w14:paraId="437484E7" w14:textId="77777777" w:rsidR="00E6159A" w:rsidRPr="00AB74F4" w:rsidRDefault="00E6159A" w:rsidP="00C81DAD">
      <w:pPr>
        <w:pStyle w:val="TXTNI"/>
        <w:rPr>
          <w:rFonts w:ascii="Times New Roman" w:hAnsi="Times New Roman" w:cs="Times New Roman"/>
          <w:b/>
          <w:bCs/>
          <w:sz w:val="32"/>
          <w:szCs w:val="32"/>
        </w:rPr>
      </w:pPr>
    </w:p>
    <w:p w14:paraId="5EF04E58" w14:textId="77777777" w:rsidR="00E6159A" w:rsidRPr="00AB74F4" w:rsidRDefault="00E6159A" w:rsidP="00C81DAD">
      <w:pPr>
        <w:pStyle w:val="TXTNI"/>
        <w:rPr>
          <w:rFonts w:ascii="Times New Roman" w:hAnsi="Times New Roman" w:cs="Times New Roman"/>
          <w:b/>
          <w:bCs/>
          <w:sz w:val="32"/>
          <w:szCs w:val="32"/>
        </w:rPr>
      </w:pPr>
    </w:p>
    <w:p w14:paraId="679C300F" w14:textId="757EFC27" w:rsidR="00C81DAD" w:rsidRPr="00AB74F4" w:rsidRDefault="009C3B06" w:rsidP="00C81DAD">
      <w:pPr>
        <w:pStyle w:val="TXTNI"/>
        <w:rPr>
          <w:rFonts w:ascii="Times New Roman" w:hAnsi="Times New Roman" w:cs="Times New Roman"/>
          <w:b/>
          <w:bCs/>
          <w:sz w:val="32"/>
          <w:szCs w:val="32"/>
        </w:rPr>
      </w:pPr>
      <w:r w:rsidRPr="00AB74F4">
        <w:rPr>
          <w:rFonts w:ascii="Times New Roman" w:hAnsi="Times New Roman" w:cs="Times New Roman"/>
          <w:b/>
          <w:bCs/>
          <w:sz w:val="32"/>
          <w:szCs w:val="32"/>
        </w:rPr>
        <w:t xml:space="preserve">2. </w:t>
      </w:r>
      <w:r w:rsidR="00C81DAD" w:rsidRPr="00AB74F4">
        <w:rPr>
          <w:rFonts w:ascii="Times New Roman" w:hAnsi="Times New Roman" w:cs="Times New Roman"/>
          <w:b/>
          <w:bCs/>
          <w:sz w:val="32"/>
          <w:szCs w:val="32"/>
        </w:rPr>
        <w:t xml:space="preserve">Clients with </w:t>
      </w:r>
      <w:r w:rsidR="00550F05" w:rsidRPr="00AB74F4">
        <w:rPr>
          <w:rFonts w:ascii="Times New Roman" w:hAnsi="Times New Roman" w:cs="Times New Roman"/>
          <w:b/>
          <w:bCs/>
          <w:sz w:val="32"/>
          <w:szCs w:val="32"/>
        </w:rPr>
        <w:t xml:space="preserve"> decision-making limitations</w:t>
      </w:r>
    </w:p>
    <w:p w14:paraId="6DEC8EAE" w14:textId="77777777" w:rsidR="00C81DAD" w:rsidRPr="00AB74F4" w:rsidRDefault="00C81DAD" w:rsidP="00C81DAD">
      <w:pPr>
        <w:pStyle w:val="TXTNI"/>
        <w:rPr>
          <w:rFonts w:ascii="Times New Roman" w:hAnsi="Times New Roman" w:cs="Times New Roman"/>
          <w:sz w:val="32"/>
          <w:szCs w:val="32"/>
        </w:rPr>
      </w:pPr>
    </w:p>
    <w:p w14:paraId="272AA43F" w14:textId="03965558" w:rsidR="00C81DAD" w:rsidRPr="00AB74F4" w:rsidRDefault="00C81DAD" w:rsidP="00C81DAD">
      <w:pPr>
        <w:pStyle w:val="TXTNI"/>
        <w:rPr>
          <w:rFonts w:ascii="Times New Roman" w:hAnsi="Times New Roman" w:cs="Times New Roman"/>
          <w:sz w:val="32"/>
          <w:szCs w:val="32"/>
        </w:rPr>
      </w:pPr>
      <w:r w:rsidRPr="00AB74F4">
        <w:rPr>
          <w:rFonts w:ascii="Times New Roman" w:hAnsi="Times New Roman" w:cs="Times New Roman"/>
          <w:sz w:val="32"/>
          <w:szCs w:val="32"/>
        </w:rPr>
        <w:t>Lawyers often represent</w:t>
      </w:r>
      <w:r w:rsidR="00E6159A" w:rsidRPr="00AB74F4">
        <w:rPr>
          <w:rFonts w:ascii="Times New Roman" w:hAnsi="Times New Roman" w:cs="Times New Roman"/>
          <w:sz w:val="32"/>
          <w:szCs w:val="32"/>
        </w:rPr>
        <w:t xml:space="preserve"> </w:t>
      </w:r>
      <w:r w:rsidR="00DC6690" w:rsidRPr="00AB74F4">
        <w:rPr>
          <w:rFonts w:ascii="Times New Roman" w:hAnsi="Times New Roman" w:cs="Times New Roman"/>
          <w:sz w:val="32"/>
          <w:szCs w:val="32"/>
        </w:rPr>
        <w:t xml:space="preserve">clients who have some limitations in their ability </w:t>
      </w:r>
      <w:r w:rsidRPr="00AB74F4">
        <w:rPr>
          <w:rFonts w:ascii="Times New Roman" w:hAnsi="Times New Roman" w:cs="Times New Roman"/>
          <w:sz w:val="32"/>
          <w:szCs w:val="32"/>
        </w:rPr>
        <w:t xml:space="preserve">to make considered judgments about legal matters. The ethics rules address this issue in </w:t>
      </w:r>
      <w:r w:rsidR="00AF4204">
        <w:rPr>
          <w:rFonts w:ascii="Times New Roman" w:hAnsi="Times New Roman" w:cs="Times New Roman"/>
          <w:sz w:val="32"/>
          <w:szCs w:val="32"/>
        </w:rPr>
        <w:t xml:space="preserve">Model </w:t>
      </w:r>
      <w:r w:rsidRPr="00AB74F4">
        <w:rPr>
          <w:rFonts w:ascii="Times New Roman" w:hAnsi="Times New Roman" w:cs="Times New Roman"/>
          <w:sz w:val="32"/>
          <w:szCs w:val="32"/>
        </w:rPr>
        <w:t>Rule 1.14</w:t>
      </w:r>
      <w:r w:rsidR="00F86983" w:rsidRPr="00AB74F4">
        <w:rPr>
          <w:rFonts w:ascii="Times New Roman" w:hAnsi="Times New Roman" w:cs="Times New Roman"/>
          <w:sz w:val="32"/>
          <w:szCs w:val="32"/>
        </w:rPr>
        <w:t>, which was extensively revised by the ABA in 2026</w:t>
      </w:r>
      <w:r w:rsidR="00F63F36" w:rsidRPr="00AB74F4">
        <w:rPr>
          <w:rFonts w:ascii="Times New Roman" w:hAnsi="Times New Roman" w:cs="Times New Roman"/>
          <w:sz w:val="32"/>
          <w:szCs w:val="32"/>
        </w:rPr>
        <w:t xml:space="preserve"> (after the 7</w:t>
      </w:r>
      <w:r w:rsidR="00F63F36" w:rsidRPr="00AB74F4">
        <w:rPr>
          <w:rFonts w:ascii="Times New Roman" w:hAnsi="Times New Roman" w:cs="Times New Roman"/>
          <w:sz w:val="32"/>
          <w:szCs w:val="32"/>
          <w:vertAlign w:val="superscript"/>
        </w:rPr>
        <w:t>th</w:t>
      </w:r>
      <w:r w:rsidR="00F63F36" w:rsidRPr="00AB74F4">
        <w:rPr>
          <w:rFonts w:ascii="Times New Roman" w:hAnsi="Times New Roman" w:cs="Times New Roman"/>
          <w:sz w:val="32"/>
          <w:szCs w:val="32"/>
        </w:rPr>
        <w:t xml:space="preserve"> edition of the textbook was published)</w:t>
      </w:r>
      <w:r w:rsidR="00F86983" w:rsidRPr="00AB74F4">
        <w:rPr>
          <w:rFonts w:ascii="Times New Roman" w:hAnsi="Times New Roman" w:cs="Times New Roman"/>
          <w:sz w:val="32"/>
          <w:szCs w:val="32"/>
        </w:rPr>
        <w:t>.</w:t>
      </w:r>
      <w:r w:rsidR="00DC6690" w:rsidRPr="00AB74F4">
        <w:rPr>
          <w:rFonts w:ascii="Times New Roman" w:hAnsi="Times New Roman" w:cs="Times New Roman"/>
          <w:sz w:val="32"/>
          <w:szCs w:val="32"/>
        </w:rPr>
        <w:t xml:space="preserve"> The rule urges lawyers to maintain an ordinary lawyer-client relationship with clients who have decision-making limitations, to take steps to understand the client’s limitations</w:t>
      </w:r>
      <w:r w:rsidR="004904DD">
        <w:rPr>
          <w:rFonts w:ascii="Times New Roman" w:hAnsi="Times New Roman" w:cs="Times New Roman"/>
          <w:sz w:val="32"/>
          <w:szCs w:val="32"/>
        </w:rPr>
        <w:t>,</w:t>
      </w:r>
      <w:r w:rsidR="00DC6690" w:rsidRPr="00AB74F4">
        <w:rPr>
          <w:rFonts w:ascii="Times New Roman" w:hAnsi="Times New Roman" w:cs="Times New Roman"/>
          <w:sz w:val="32"/>
          <w:szCs w:val="32"/>
        </w:rPr>
        <w:t xml:space="preserve"> to provide supports and accommodations that will help their clients to be better able to understand the issues</w:t>
      </w:r>
      <w:r w:rsidR="004904DD">
        <w:rPr>
          <w:rFonts w:ascii="Times New Roman" w:hAnsi="Times New Roman" w:cs="Times New Roman"/>
          <w:sz w:val="32"/>
          <w:szCs w:val="32"/>
        </w:rPr>
        <w:t xml:space="preserve"> they face</w:t>
      </w:r>
      <w:r w:rsidR="00DC6690" w:rsidRPr="00AB74F4">
        <w:rPr>
          <w:rFonts w:ascii="Times New Roman" w:hAnsi="Times New Roman" w:cs="Times New Roman"/>
          <w:sz w:val="32"/>
          <w:szCs w:val="32"/>
        </w:rPr>
        <w:t>, to communicate with the lawyer, and to make decisions. The rule and its comment provide guidance to lawyers about how best to accomplish these goals.</w:t>
      </w:r>
    </w:p>
    <w:p w14:paraId="663E4130" w14:textId="77777777" w:rsidR="00DC6690" w:rsidRPr="00AB74F4" w:rsidRDefault="00DC6690" w:rsidP="00C81DAD">
      <w:pPr>
        <w:pStyle w:val="TXTNI"/>
        <w:rPr>
          <w:rFonts w:ascii="Times New Roman" w:hAnsi="Times New Roman" w:cs="Times New Roman"/>
          <w:sz w:val="32"/>
          <w:szCs w:val="32"/>
        </w:rPr>
      </w:pPr>
    </w:p>
    <w:p w14:paraId="79C03004" w14:textId="682CA69B" w:rsidR="00DC6690" w:rsidRPr="00AB74F4" w:rsidRDefault="00DC6690" w:rsidP="00C81DAD">
      <w:pPr>
        <w:pStyle w:val="TXTNI"/>
        <w:rPr>
          <w:rFonts w:ascii="Times New Roman" w:hAnsi="Times New Roman" w:cs="Times New Roman"/>
          <w:sz w:val="32"/>
          <w:szCs w:val="32"/>
        </w:rPr>
      </w:pPr>
      <w:r w:rsidRPr="00AB74F4">
        <w:rPr>
          <w:rFonts w:ascii="Times New Roman" w:hAnsi="Times New Roman" w:cs="Times New Roman"/>
          <w:sz w:val="32"/>
          <w:szCs w:val="32"/>
        </w:rPr>
        <w:t xml:space="preserve">The rule also provides that a lawyer may take protective action on behalf of a client who has decision-making limitations if the lawyer believes that the client otherwise would be at risk of physical, financial or other harm </w:t>
      </w:r>
      <w:r w:rsidRPr="00AB74F4">
        <w:rPr>
          <w:rFonts w:ascii="Times New Roman" w:hAnsi="Times New Roman" w:cs="Times New Roman"/>
          <w:sz w:val="32"/>
          <w:szCs w:val="32"/>
        </w:rPr>
        <w:lastRenderedPageBreak/>
        <w:t xml:space="preserve">and that the client </w:t>
      </w:r>
      <w:r w:rsidR="009E0E4D" w:rsidRPr="00AB74F4">
        <w:rPr>
          <w:rFonts w:ascii="Times New Roman" w:hAnsi="Times New Roman" w:cs="Times New Roman"/>
          <w:sz w:val="32"/>
          <w:szCs w:val="32"/>
        </w:rPr>
        <w:t>cannot adequately protect her own interests. When these circumstances are present, a lawyer may reveal otherwise confidential information if necessary to protect the client’s interests.</w:t>
      </w:r>
      <w:r w:rsidR="005F0022" w:rsidRPr="00AB74F4">
        <w:rPr>
          <w:rFonts w:ascii="Times New Roman" w:hAnsi="Times New Roman" w:cs="Times New Roman"/>
          <w:sz w:val="32"/>
          <w:szCs w:val="32"/>
        </w:rPr>
        <w:t xml:space="preserve"> </w:t>
      </w:r>
    </w:p>
    <w:p w14:paraId="29EBC21B" w14:textId="0396D827" w:rsidR="00C81DAD" w:rsidRPr="00AB74F4" w:rsidRDefault="00C81DAD" w:rsidP="00C81DAD">
      <w:pPr>
        <w:pStyle w:val="TXT"/>
        <w:spacing w:before="240"/>
        <w:rPr>
          <w:rStyle w:val="BOLD"/>
          <w:rFonts w:ascii="Times New Roman" w:hAnsi="Times New Roman" w:cs="Times New Roman"/>
          <w:bCs/>
          <w:sz w:val="32"/>
          <w:szCs w:val="32"/>
        </w:rPr>
      </w:pPr>
      <w:r w:rsidRPr="00AB74F4">
        <w:rPr>
          <w:rFonts w:ascii="Times New Roman" w:hAnsi="Times New Roman" w:cs="Times New Roman"/>
          <w:sz w:val="32"/>
          <w:szCs w:val="32"/>
        </w:rPr>
        <w:t>&lt;SM_H1&gt;</w:t>
      </w:r>
      <w:r w:rsidRPr="00AB74F4">
        <w:rPr>
          <w:rStyle w:val="BOLD"/>
          <w:rFonts w:ascii="Times New Roman" w:hAnsi="Times New Roman" w:cs="Times New Roman"/>
          <w:bCs/>
          <w:sz w:val="32"/>
          <w:szCs w:val="32"/>
        </w:rPr>
        <w:t xml:space="preserve">Rule 1.14 Client with </w:t>
      </w:r>
      <w:r w:rsidR="00550F05" w:rsidRPr="00AB74F4">
        <w:rPr>
          <w:rStyle w:val="BOLD"/>
          <w:rFonts w:ascii="Times New Roman" w:hAnsi="Times New Roman" w:cs="Times New Roman"/>
          <w:bCs/>
          <w:sz w:val="32"/>
          <w:szCs w:val="32"/>
        </w:rPr>
        <w:t>Decision-Making Limitations</w:t>
      </w:r>
    </w:p>
    <w:p w14:paraId="7C89EC50" w14:textId="77777777" w:rsidR="00550F05" w:rsidRPr="00AB74F4" w:rsidRDefault="00550F05" w:rsidP="0095027B">
      <w:pPr>
        <w:pStyle w:val="NormalWeb"/>
        <w:ind w:firstLine="360"/>
        <w:jc w:val="both"/>
        <w:rPr>
          <w:b/>
          <w:bCs/>
          <w:sz w:val="32"/>
          <w:szCs w:val="32"/>
        </w:rPr>
      </w:pPr>
      <w:r w:rsidRPr="00AB74F4">
        <w:rPr>
          <w:b/>
          <w:bCs/>
          <w:sz w:val="32"/>
          <w:szCs w:val="32"/>
        </w:rPr>
        <w:t>(a) A lawyer shall, as far as reasonably possible, maintain an ordinary client-lawyer relationship with a client with decision-making limitations, including when the client’s decision-making limitations impact the client’s ability to provide direction to the lawyer or make reasoned, informed choices. A person has decision-making limitations if the person has substantial difficulty receiving and understanding information, evaluating information, or making or communicating decisions even with appropriate supports or accommodations.</w:t>
      </w:r>
    </w:p>
    <w:p w14:paraId="523BC4A7" w14:textId="77777777" w:rsidR="00550F05" w:rsidRPr="00AB74F4" w:rsidRDefault="00550F05" w:rsidP="0095027B">
      <w:pPr>
        <w:pStyle w:val="NormalWeb"/>
        <w:ind w:firstLine="360"/>
        <w:jc w:val="both"/>
        <w:rPr>
          <w:b/>
          <w:bCs/>
          <w:sz w:val="32"/>
          <w:szCs w:val="32"/>
        </w:rPr>
      </w:pPr>
      <w:r w:rsidRPr="00AB74F4">
        <w:rPr>
          <w:b/>
          <w:bCs/>
          <w:sz w:val="32"/>
          <w:szCs w:val="32"/>
        </w:rPr>
        <w:t>(b) When the lawyer reasonably believes that the client: (1) has decision-making limitations, (2) is at risk of substantial physical, financial or other harm unless action is taken, and (3) cannot adequately act in the client’s own interest to address the risk, the lawyer may take reasonably necessary protective action to address the risk.</w:t>
      </w:r>
    </w:p>
    <w:p w14:paraId="59F423CB" w14:textId="495276DB" w:rsidR="00550F05" w:rsidRPr="00AB74F4" w:rsidRDefault="00550F05" w:rsidP="0095027B">
      <w:pPr>
        <w:pStyle w:val="NormalWeb"/>
        <w:ind w:firstLine="360"/>
        <w:jc w:val="both"/>
        <w:rPr>
          <w:b/>
          <w:bCs/>
          <w:sz w:val="32"/>
          <w:szCs w:val="32"/>
        </w:rPr>
      </w:pPr>
      <w:r w:rsidRPr="00AB74F4">
        <w:rPr>
          <w:b/>
          <w:bCs/>
          <w:sz w:val="32"/>
          <w:szCs w:val="32"/>
        </w:rPr>
        <w:t>(c) Information relating to the representation of a client with decision-making limitations is protected by Rule 1.6. However, when taking protective action pursuant to paragraph (b), the lawyer may reveal information related to the representation to the extent the lawyer reasonably believes necessary to protect the client’s interests.</w:t>
      </w:r>
    </w:p>
    <w:p w14:paraId="6D168065" w14:textId="2C0B1586" w:rsidR="00A05FB5" w:rsidRPr="00AB74F4" w:rsidRDefault="009C3B06" w:rsidP="0095027B">
      <w:pPr>
        <w:pStyle w:val="TXT"/>
        <w:ind w:firstLine="0"/>
        <w:rPr>
          <w:rFonts w:ascii="Times New Roman" w:hAnsi="Times New Roman" w:cs="Times New Roman"/>
          <w:b/>
          <w:bCs/>
          <w:sz w:val="32"/>
          <w:szCs w:val="32"/>
        </w:rPr>
      </w:pPr>
      <w:r w:rsidRPr="00AB74F4">
        <w:rPr>
          <w:rStyle w:val="BOLD"/>
          <w:rFonts w:ascii="Times New Roman" w:hAnsi="Times New Roman" w:cs="Times New Roman"/>
          <w:bCs/>
          <w:sz w:val="32"/>
          <w:szCs w:val="32"/>
        </w:rPr>
        <w:t>a</w:t>
      </w:r>
      <w:r w:rsidR="00F63F36" w:rsidRPr="00AB74F4">
        <w:rPr>
          <w:rStyle w:val="BOLD"/>
          <w:rFonts w:ascii="Times New Roman" w:hAnsi="Times New Roman" w:cs="Times New Roman"/>
          <w:bCs/>
          <w:sz w:val="32"/>
          <w:szCs w:val="32"/>
        </w:rPr>
        <w:t>.  Why t</w:t>
      </w:r>
      <w:r w:rsidR="00F63F36" w:rsidRPr="00AB74F4">
        <w:rPr>
          <w:rFonts w:ascii="Times New Roman" w:hAnsi="Times New Roman" w:cs="Times New Roman"/>
          <w:b/>
          <w:bCs/>
          <w:sz w:val="32"/>
          <w:szCs w:val="32"/>
        </w:rPr>
        <w:t>he ABA revised the rule</w:t>
      </w:r>
    </w:p>
    <w:p w14:paraId="38C72313" w14:textId="77777777" w:rsidR="00A05FB5" w:rsidRPr="00AB74F4" w:rsidRDefault="00A05FB5" w:rsidP="00A05FB5">
      <w:pPr>
        <w:pStyle w:val="TXT"/>
        <w:rPr>
          <w:rFonts w:ascii="Times New Roman" w:hAnsi="Times New Roman" w:cs="Times New Roman"/>
          <w:b/>
          <w:bCs/>
          <w:sz w:val="32"/>
          <w:szCs w:val="32"/>
        </w:rPr>
      </w:pPr>
    </w:p>
    <w:p w14:paraId="627EE8E3" w14:textId="2DE2CB0C" w:rsidR="00A05FB5" w:rsidRPr="00AB74F4" w:rsidRDefault="00A05FB5" w:rsidP="00A05FB5">
      <w:pPr>
        <w:pStyle w:val="TXT"/>
        <w:rPr>
          <w:rFonts w:ascii="Times New Roman" w:hAnsi="Times New Roman" w:cs="Times New Roman"/>
          <w:sz w:val="32"/>
          <w:szCs w:val="32"/>
        </w:rPr>
      </w:pPr>
      <w:r w:rsidRPr="00AB74F4">
        <w:rPr>
          <w:rFonts w:ascii="Times New Roman" w:hAnsi="Times New Roman" w:cs="Times New Roman"/>
          <w:sz w:val="32"/>
          <w:szCs w:val="32"/>
        </w:rPr>
        <w:t xml:space="preserve">Since the previous version of Rule 1.14 was written, </w:t>
      </w:r>
      <w:r w:rsidR="00F63F36" w:rsidRPr="00AB74F4">
        <w:rPr>
          <w:rFonts w:ascii="Times New Roman" w:hAnsi="Times New Roman" w:cs="Times New Roman"/>
          <w:sz w:val="32"/>
          <w:szCs w:val="32"/>
        </w:rPr>
        <w:t>many lawyers urged revising the rule</w:t>
      </w:r>
      <w:r w:rsidR="004D2876" w:rsidRPr="00AB74F4">
        <w:rPr>
          <w:rFonts w:ascii="Times New Roman" w:hAnsi="Times New Roman" w:cs="Times New Roman"/>
          <w:sz w:val="32"/>
          <w:szCs w:val="32"/>
        </w:rPr>
        <w:t xml:space="preserve"> to offer clearer and better guidance </w:t>
      </w:r>
      <w:r w:rsidR="00064595">
        <w:rPr>
          <w:rFonts w:ascii="Times New Roman" w:hAnsi="Times New Roman" w:cs="Times New Roman"/>
          <w:sz w:val="32"/>
          <w:szCs w:val="32"/>
        </w:rPr>
        <w:t xml:space="preserve">when </w:t>
      </w:r>
      <w:r w:rsidR="004D2876" w:rsidRPr="00AB74F4">
        <w:rPr>
          <w:rFonts w:ascii="Times New Roman" w:hAnsi="Times New Roman" w:cs="Times New Roman"/>
          <w:sz w:val="32"/>
          <w:szCs w:val="32"/>
        </w:rPr>
        <w:t xml:space="preserve">representing </w:t>
      </w:r>
      <w:r w:rsidR="00064595">
        <w:rPr>
          <w:rFonts w:ascii="Times New Roman" w:hAnsi="Times New Roman" w:cs="Times New Roman"/>
          <w:sz w:val="32"/>
          <w:szCs w:val="32"/>
        </w:rPr>
        <w:t xml:space="preserve">clients with decision-making limitations  In response, the ABA revised the rule to help lawyers </w:t>
      </w:r>
      <w:r w:rsidR="004D2876" w:rsidRPr="00AB74F4">
        <w:rPr>
          <w:rFonts w:ascii="Times New Roman" w:hAnsi="Times New Roman" w:cs="Times New Roman"/>
          <w:sz w:val="32"/>
          <w:szCs w:val="32"/>
        </w:rPr>
        <w:t>better understand and serve the</w:t>
      </w:r>
      <w:r w:rsidR="00064595">
        <w:rPr>
          <w:rFonts w:ascii="Times New Roman" w:hAnsi="Times New Roman" w:cs="Times New Roman"/>
          <w:sz w:val="32"/>
          <w:szCs w:val="32"/>
        </w:rPr>
        <w:t>se</w:t>
      </w:r>
      <w:r w:rsidR="004D2876" w:rsidRPr="00AB74F4">
        <w:rPr>
          <w:rFonts w:ascii="Times New Roman" w:hAnsi="Times New Roman" w:cs="Times New Roman"/>
          <w:sz w:val="32"/>
          <w:szCs w:val="32"/>
        </w:rPr>
        <w:t xml:space="preserve"> clients and to avoid making decisions on the basis of stigma and </w:t>
      </w:r>
      <w:r w:rsidR="004D2876" w:rsidRPr="00AB74F4">
        <w:rPr>
          <w:rFonts w:ascii="Times New Roman" w:hAnsi="Times New Roman" w:cs="Times New Roman"/>
          <w:sz w:val="32"/>
          <w:szCs w:val="32"/>
        </w:rPr>
        <w:lastRenderedPageBreak/>
        <w:t>stereotypes.</w:t>
      </w:r>
    </w:p>
    <w:p w14:paraId="3958D4FB" w14:textId="77777777" w:rsidR="00A05FB5" w:rsidRPr="00AB74F4" w:rsidRDefault="00A05FB5" w:rsidP="00A05FB5">
      <w:pPr>
        <w:pStyle w:val="TXT"/>
        <w:rPr>
          <w:rFonts w:ascii="Times New Roman" w:hAnsi="Times New Roman" w:cs="Times New Roman"/>
          <w:sz w:val="32"/>
          <w:szCs w:val="32"/>
        </w:rPr>
      </w:pPr>
    </w:p>
    <w:p w14:paraId="07BF06D2" w14:textId="7094534A" w:rsidR="00E21B28" w:rsidRPr="00AB74F4" w:rsidRDefault="00E21B28" w:rsidP="00A05FB5">
      <w:pPr>
        <w:pStyle w:val="TXT"/>
        <w:rPr>
          <w:rFonts w:ascii="Times New Roman" w:hAnsi="Times New Roman" w:cs="Times New Roman"/>
          <w:sz w:val="32"/>
          <w:szCs w:val="32"/>
        </w:rPr>
      </w:pPr>
      <w:r w:rsidRPr="00AB74F4">
        <w:rPr>
          <w:rFonts w:ascii="Times New Roman" w:hAnsi="Times New Roman" w:cs="Times New Roman"/>
          <w:sz w:val="32"/>
          <w:szCs w:val="32"/>
        </w:rPr>
        <w:t>Before the revision, the rule referred to clients with “diminished capacity” rather than “decision-making limitations.” The previous language appeared to contemplate declining cognitive function, whereas some people have lifelong cognitive disabilities. Also, a lawyer may not know if the client</w:t>
      </w:r>
      <w:r w:rsidR="00F262C5">
        <w:rPr>
          <w:rFonts w:ascii="Times New Roman" w:hAnsi="Times New Roman" w:cs="Times New Roman"/>
          <w:sz w:val="32"/>
          <w:szCs w:val="32"/>
        </w:rPr>
        <w:t>’</w:t>
      </w:r>
      <w:r w:rsidRPr="00AB74F4">
        <w:rPr>
          <w:rFonts w:ascii="Times New Roman" w:hAnsi="Times New Roman" w:cs="Times New Roman"/>
          <w:sz w:val="32"/>
          <w:szCs w:val="32"/>
        </w:rPr>
        <w:t>s decision-making limitations are stable or progressive.</w:t>
      </w:r>
      <w:r w:rsidRPr="00AB74F4">
        <w:rPr>
          <w:rStyle w:val="FootnoteReference"/>
          <w:rFonts w:ascii="Times New Roman" w:hAnsi="Times New Roman" w:cs="Times New Roman"/>
          <w:sz w:val="32"/>
          <w:szCs w:val="32"/>
        </w:rPr>
        <w:footnoteReference w:id="1"/>
      </w:r>
      <w:r w:rsidR="003C446B" w:rsidRPr="00AB74F4">
        <w:rPr>
          <w:rFonts w:ascii="Times New Roman" w:hAnsi="Times New Roman" w:cs="Times New Roman"/>
          <w:sz w:val="32"/>
          <w:szCs w:val="32"/>
        </w:rPr>
        <w:t xml:space="preserve"> The revision also replaced the term “normal client-lawyer relationship with “ordinary client-lawyer relationship” because of the implication that a relationship with a client who has decision-making limitations is “abnormal.” The </w:t>
      </w:r>
      <w:r w:rsidR="00EB6CD4" w:rsidRPr="00AB74F4">
        <w:rPr>
          <w:rFonts w:ascii="Times New Roman" w:hAnsi="Times New Roman" w:cs="Times New Roman"/>
          <w:sz w:val="32"/>
          <w:szCs w:val="32"/>
        </w:rPr>
        <w:t xml:space="preserve">word “ordinary” </w:t>
      </w:r>
      <w:r w:rsidR="004F16B4" w:rsidRPr="00AB74F4">
        <w:rPr>
          <w:rFonts w:ascii="Times New Roman" w:hAnsi="Times New Roman" w:cs="Times New Roman"/>
          <w:sz w:val="32"/>
          <w:szCs w:val="32"/>
        </w:rPr>
        <w:t>wa</w:t>
      </w:r>
      <w:r w:rsidR="00EB6CD4" w:rsidRPr="00AB74F4">
        <w:rPr>
          <w:rFonts w:ascii="Times New Roman" w:hAnsi="Times New Roman" w:cs="Times New Roman"/>
          <w:sz w:val="32"/>
          <w:szCs w:val="32"/>
        </w:rPr>
        <w:t>s thought to be less stigmatizing.</w:t>
      </w:r>
      <w:r w:rsidR="00EB6CD4" w:rsidRPr="00AB74F4">
        <w:rPr>
          <w:rStyle w:val="FootnoteReference"/>
          <w:rFonts w:ascii="Times New Roman" w:hAnsi="Times New Roman" w:cs="Times New Roman"/>
          <w:sz w:val="32"/>
          <w:szCs w:val="32"/>
        </w:rPr>
        <w:footnoteReference w:id="2"/>
      </w:r>
    </w:p>
    <w:p w14:paraId="42F306B8" w14:textId="77777777" w:rsidR="00A05FB5" w:rsidRPr="00AB74F4" w:rsidRDefault="00A05FB5" w:rsidP="00A05FB5">
      <w:pPr>
        <w:pStyle w:val="TXT"/>
        <w:rPr>
          <w:rFonts w:ascii="Times New Roman" w:hAnsi="Times New Roman" w:cs="Times New Roman"/>
          <w:sz w:val="32"/>
          <w:szCs w:val="32"/>
        </w:rPr>
      </w:pPr>
    </w:p>
    <w:p w14:paraId="434E695A" w14:textId="668A2485" w:rsidR="00A05FB5" w:rsidRPr="00AB74F4" w:rsidRDefault="00A05FB5" w:rsidP="00A05FB5">
      <w:pPr>
        <w:pStyle w:val="TXT"/>
        <w:rPr>
          <w:rFonts w:ascii="Times New Roman" w:hAnsi="Times New Roman" w:cs="Times New Roman"/>
          <w:sz w:val="32"/>
          <w:szCs w:val="32"/>
        </w:rPr>
      </w:pPr>
      <w:r w:rsidRPr="00AB74F4">
        <w:rPr>
          <w:rFonts w:ascii="Times New Roman" w:hAnsi="Times New Roman" w:cs="Times New Roman"/>
          <w:sz w:val="32"/>
          <w:szCs w:val="32"/>
        </w:rPr>
        <w:t xml:space="preserve">Before </w:t>
      </w:r>
      <w:r w:rsidR="00F262C5">
        <w:rPr>
          <w:rFonts w:ascii="Times New Roman" w:hAnsi="Times New Roman" w:cs="Times New Roman"/>
          <w:sz w:val="32"/>
          <w:szCs w:val="32"/>
        </w:rPr>
        <w:t xml:space="preserve">the </w:t>
      </w:r>
      <w:r w:rsidRPr="00AB74F4">
        <w:rPr>
          <w:rFonts w:ascii="Times New Roman" w:hAnsi="Times New Roman" w:cs="Times New Roman"/>
          <w:sz w:val="32"/>
          <w:szCs w:val="32"/>
        </w:rPr>
        <w:t xml:space="preserve">revision, Rule 1.14 included language that allowed lawyers fairly broad discretion to decide that protective action on behalf of a client was required, and (perhaps unwittingly) encouraged lawyers to seek </w:t>
      </w:r>
      <w:r w:rsidR="004F16B4" w:rsidRPr="00AB74F4">
        <w:rPr>
          <w:rFonts w:ascii="Times New Roman" w:hAnsi="Times New Roman" w:cs="Times New Roman"/>
          <w:sz w:val="32"/>
          <w:szCs w:val="32"/>
        </w:rPr>
        <w:t xml:space="preserve">guardians ad litem, </w:t>
      </w:r>
      <w:r w:rsidRPr="00AB74F4">
        <w:rPr>
          <w:rFonts w:ascii="Times New Roman" w:hAnsi="Times New Roman" w:cs="Times New Roman"/>
          <w:sz w:val="32"/>
          <w:szCs w:val="32"/>
        </w:rPr>
        <w:t xml:space="preserve">guardians or conservators for clients who evidenced decision-making limitations. </w:t>
      </w:r>
      <w:r w:rsidR="004F16B4" w:rsidRPr="00AB74F4">
        <w:rPr>
          <w:rFonts w:ascii="Times New Roman" w:hAnsi="Times New Roman" w:cs="Times New Roman"/>
          <w:sz w:val="32"/>
          <w:szCs w:val="32"/>
        </w:rPr>
        <w:t>But the appointment of</w:t>
      </w:r>
      <w:r w:rsidRPr="00AB74F4">
        <w:rPr>
          <w:rFonts w:ascii="Times New Roman" w:hAnsi="Times New Roman" w:cs="Times New Roman"/>
          <w:sz w:val="32"/>
          <w:szCs w:val="32"/>
        </w:rPr>
        <w:t xml:space="preserve"> a guardian or conservator may drastic</w:t>
      </w:r>
      <w:r w:rsidR="00F262C5">
        <w:rPr>
          <w:rFonts w:ascii="Times New Roman" w:hAnsi="Times New Roman" w:cs="Times New Roman"/>
          <w:sz w:val="32"/>
          <w:szCs w:val="32"/>
        </w:rPr>
        <w:t>ally</w:t>
      </w:r>
      <w:r w:rsidRPr="00AB74F4">
        <w:rPr>
          <w:rFonts w:ascii="Times New Roman" w:hAnsi="Times New Roman" w:cs="Times New Roman"/>
          <w:sz w:val="32"/>
          <w:szCs w:val="32"/>
        </w:rPr>
        <w:t xml:space="preserve"> curtai</w:t>
      </w:r>
      <w:r w:rsidR="00F262C5">
        <w:rPr>
          <w:rFonts w:ascii="Times New Roman" w:hAnsi="Times New Roman" w:cs="Times New Roman"/>
          <w:sz w:val="32"/>
          <w:szCs w:val="32"/>
        </w:rPr>
        <w:t>l</w:t>
      </w:r>
      <w:r w:rsidRPr="00AB74F4">
        <w:rPr>
          <w:rFonts w:ascii="Times New Roman" w:hAnsi="Times New Roman" w:cs="Times New Roman"/>
          <w:sz w:val="32"/>
          <w:szCs w:val="32"/>
        </w:rPr>
        <w:t xml:space="preserve"> a client’s autonomy. The </w:t>
      </w:r>
      <w:r w:rsidR="007A4227">
        <w:rPr>
          <w:rFonts w:ascii="Times New Roman" w:hAnsi="Times New Roman" w:cs="Times New Roman"/>
          <w:sz w:val="32"/>
          <w:szCs w:val="32"/>
        </w:rPr>
        <w:t>black letter rule</w:t>
      </w:r>
      <w:r w:rsidRPr="00AB74F4">
        <w:rPr>
          <w:rFonts w:ascii="Times New Roman" w:hAnsi="Times New Roman" w:cs="Times New Roman"/>
          <w:sz w:val="32"/>
          <w:szCs w:val="32"/>
        </w:rPr>
        <w:t xml:space="preserve"> </w:t>
      </w:r>
      <w:r w:rsidR="005B4872">
        <w:rPr>
          <w:rFonts w:ascii="Times New Roman" w:hAnsi="Times New Roman" w:cs="Times New Roman"/>
          <w:sz w:val="32"/>
          <w:szCs w:val="32"/>
        </w:rPr>
        <w:t xml:space="preserve">now </w:t>
      </w:r>
      <w:r w:rsidR="007A4227">
        <w:rPr>
          <w:rFonts w:ascii="Times New Roman" w:hAnsi="Times New Roman" w:cs="Times New Roman"/>
          <w:sz w:val="32"/>
          <w:szCs w:val="32"/>
        </w:rPr>
        <w:t xml:space="preserve">omits language about seeking appointment of these </w:t>
      </w:r>
      <w:r w:rsidR="00007E5D">
        <w:rPr>
          <w:rFonts w:ascii="Times New Roman" w:hAnsi="Times New Roman" w:cs="Times New Roman"/>
          <w:sz w:val="32"/>
          <w:szCs w:val="32"/>
        </w:rPr>
        <w:t>substitute</w:t>
      </w:r>
      <w:r w:rsidR="007A4227">
        <w:rPr>
          <w:rFonts w:ascii="Times New Roman" w:hAnsi="Times New Roman" w:cs="Times New Roman"/>
          <w:sz w:val="32"/>
          <w:szCs w:val="32"/>
        </w:rPr>
        <w:t xml:space="preserve"> </w:t>
      </w:r>
      <w:r w:rsidR="00007E5D">
        <w:rPr>
          <w:rFonts w:ascii="Times New Roman" w:hAnsi="Times New Roman" w:cs="Times New Roman"/>
          <w:sz w:val="32"/>
          <w:szCs w:val="32"/>
        </w:rPr>
        <w:t>decisionmakers</w:t>
      </w:r>
      <w:r w:rsidR="007A4227">
        <w:rPr>
          <w:rFonts w:ascii="Times New Roman" w:hAnsi="Times New Roman" w:cs="Times New Roman"/>
          <w:sz w:val="32"/>
          <w:szCs w:val="32"/>
        </w:rPr>
        <w:t xml:space="preserve">, thereby discouraging </w:t>
      </w:r>
      <w:r w:rsidR="005B4872">
        <w:rPr>
          <w:rFonts w:ascii="Times New Roman" w:hAnsi="Times New Roman" w:cs="Times New Roman"/>
          <w:sz w:val="32"/>
          <w:szCs w:val="32"/>
        </w:rPr>
        <w:t xml:space="preserve">lawyers to </w:t>
      </w:r>
      <w:r w:rsidR="00007E5D">
        <w:rPr>
          <w:rFonts w:ascii="Times New Roman" w:hAnsi="Times New Roman" w:cs="Times New Roman"/>
          <w:sz w:val="32"/>
          <w:szCs w:val="32"/>
        </w:rPr>
        <w:t>tak</w:t>
      </w:r>
      <w:r w:rsidR="005B4872">
        <w:rPr>
          <w:rFonts w:ascii="Times New Roman" w:hAnsi="Times New Roman" w:cs="Times New Roman"/>
          <w:sz w:val="32"/>
          <w:szCs w:val="32"/>
        </w:rPr>
        <w:t>e</w:t>
      </w:r>
      <w:r w:rsidR="00007E5D">
        <w:rPr>
          <w:rFonts w:ascii="Times New Roman" w:hAnsi="Times New Roman" w:cs="Times New Roman"/>
          <w:sz w:val="32"/>
          <w:szCs w:val="32"/>
        </w:rPr>
        <w:t xml:space="preserve"> this step.  Instead, the rule </w:t>
      </w:r>
      <w:r w:rsidR="005B4872">
        <w:rPr>
          <w:rFonts w:ascii="Times New Roman" w:hAnsi="Times New Roman" w:cs="Times New Roman"/>
          <w:sz w:val="32"/>
          <w:szCs w:val="32"/>
        </w:rPr>
        <w:t xml:space="preserve">and its comments </w:t>
      </w:r>
      <w:r w:rsidRPr="00AB74F4">
        <w:rPr>
          <w:rFonts w:ascii="Times New Roman" w:hAnsi="Times New Roman" w:cs="Times New Roman"/>
          <w:sz w:val="32"/>
          <w:szCs w:val="32"/>
        </w:rPr>
        <w:t xml:space="preserve">encourage lawyers to assess what kinds of decision-making limitations a client may have and to prioritize evaluation of </w:t>
      </w:r>
      <w:r w:rsidR="004F16B4" w:rsidRPr="00AB74F4">
        <w:rPr>
          <w:rFonts w:ascii="Times New Roman" w:hAnsi="Times New Roman" w:cs="Times New Roman"/>
          <w:sz w:val="32"/>
          <w:szCs w:val="32"/>
        </w:rPr>
        <w:t>what</w:t>
      </w:r>
      <w:r w:rsidRPr="00AB74F4">
        <w:rPr>
          <w:rFonts w:ascii="Times New Roman" w:hAnsi="Times New Roman" w:cs="Times New Roman"/>
          <w:sz w:val="32"/>
          <w:szCs w:val="32"/>
        </w:rPr>
        <w:t xml:space="preserve"> supports and accommodations </w:t>
      </w:r>
      <w:r w:rsidR="004F16B4" w:rsidRPr="00AB74F4">
        <w:rPr>
          <w:rFonts w:ascii="Times New Roman" w:hAnsi="Times New Roman" w:cs="Times New Roman"/>
          <w:sz w:val="32"/>
          <w:szCs w:val="32"/>
        </w:rPr>
        <w:t>could</w:t>
      </w:r>
      <w:r w:rsidRPr="00AB74F4">
        <w:rPr>
          <w:rFonts w:ascii="Times New Roman" w:hAnsi="Times New Roman" w:cs="Times New Roman"/>
          <w:sz w:val="32"/>
          <w:szCs w:val="32"/>
        </w:rPr>
        <w:t xml:space="preserve"> enable a client to make decisions </w:t>
      </w:r>
      <w:r w:rsidR="006F672E">
        <w:rPr>
          <w:rFonts w:ascii="Times New Roman" w:hAnsi="Times New Roman" w:cs="Times New Roman"/>
          <w:sz w:val="32"/>
          <w:szCs w:val="32"/>
        </w:rPr>
        <w:t>independently</w:t>
      </w:r>
      <w:r w:rsidR="00F262C5">
        <w:rPr>
          <w:rFonts w:ascii="Times New Roman" w:hAnsi="Times New Roman" w:cs="Times New Roman"/>
          <w:sz w:val="32"/>
          <w:szCs w:val="32"/>
        </w:rPr>
        <w:t xml:space="preserve">. </w:t>
      </w:r>
      <w:r w:rsidR="00DE6726">
        <w:rPr>
          <w:rFonts w:ascii="Times New Roman" w:hAnsi="Times New Roman" w:cs="Times New Roman"/>
          <w:sz w:val="32"/>
          <w:szCs w:val="32"/>
        </w:rPr>
        <w:t>T</w:t>
      </w:r>
      <w:r w:rsidR="00F262C5">
        <w:rPr>
          <w:rFonts w:ascii="Times New Roman" w:hAnsi="Times New Roman" w:cs="Times New Roman"/>
          <w:sz w:val="32"/>
          <w:szCs w:val="32"/>
        </w:rPr>
        <w:t xml:space="preserve">his change </w:t>
      </w:r>
      <w:r w:rsidR="00DE6726">
        <w:rPr>
          <w:rFonts w:ascii="Times New Roman" w:hAnsi="Times New Roman" w:cs="Times New Roman"/>
          <w:sz w:val="32"/>
          <w:szCs w:val="32"/>
        </w:rPr>
        <w:t>seeks</w:t>
      </w:r>
      <w:r w:rsidR="005F0022" w:rsidRPr="00AB74F4">
        <w:rPr>
          <w:rFonts w:ascii="Times New Roman" w:hAnsi="Times New Roman" w:cs="Times New Roman"/>
          <w:sz w:val="32"/>
          <w:szCs w:val="32"/>
        </w:rPr>
        <w:t xml:space="preserve"> to avoid disrupting a client’s ability to make legal decisions unless the lawyer</w:t>
      </w:r>
      <w:r w:rsidR="00AE4378">
        <w:rPr>
          <w:rFonts w:ascii="Times New Roman" w:hAnsi="Times New Roman" w:cs="Times New Roman"/>
          <w:sz w:val="32"/>
          <w:szCs w:val="32"/>
        </w:rPr>
        <w:t xml:space="preserve">, after an assessment, </w:t>
      </w:r>
      <w:r w:rsidR="005F0022" w:rsidRPr="00AB74F4">
        <w:rPr>
          <w:rFonts w:ascii="Times New Roman" w:hAnsi="Times New Roman" w:cs="Times New Roman"/>
          <w:sz w:val="32"/>
          <w:szCs w:val="32"/>
        </w:rPr>
        <w:t xml:space="preserve">reasonably believes that </w:t>
      </w:r>
      <w:r w:rsidR="006F672E">
        <w:rPr>
          <w:rFonts w:ascii="Times New Roman" w:hAnsi="Times New Roman" w:cs="Times New Roman"/>
          <w:sz w:val="32"/>
          <w:szCs w:val="32"/>
        </w:rPr>
        <w:t>a more intrusive intervention</w:t>
      </w:r>
      <w:r w:rsidR="005F0022" w:rsidRPr="00AB74F4">
        <w:rPr>
          <w:rFonts w:ascii="Times New Roman" w:hAnsi="Times New Roman" w:cs="Times New Roman"/>
          <w:sz w:val="32"/>
          <w:szCs w:val="32"/>
        </w:rPr>
        <w:t xml:space="preserve"> is necessary to protect a client’s interests.</w:t>
      </w:r>
    </w:p>
    <w:p w14:paraId="5412B143" w14:textId="77777777" w:rsidR="009C3B06" w:rsidRPr="00AB74F4" w:rsidRDefault="009C3B06" w:rsidP="00A05FB5">
      <w:pPr>
        <w:pStyle w:val="TXT"/>
        <w:rPr>
          <w:rFonts w:ascii="Times New Roman" w:hAnsi="Times New Roman" w:cs="Times New Roman"/>
          <w:sz w:val="32"/>
          <w:szCs w:val="32"/>
        </w:rPr>
      </w:pPr>
    </w:p>
    <w:p w14:paraId="01C5C355" w14:textId="66D3B90A" w:rsidR="009C3B06" w:rsidRPr="00AB74F4" w:rsidRDefault="009C3B06" w:rsidP="009C3B06">
      <w:pPr>
        <w:pStyle w:val="TXT"/>
        <w:ind w:firstLine="0"/>
        <w:rPr>
          <w:rFonts w:ascii="Times New Roman" w:hAnsi="Times New Roman" w:cs="Times New Roman"/>
          <w:b/>
          <w:bCs/>
          <w:sz w:val="32"/>
          <w:szCs w:val="32"/>
        </w:rPr>
      </w:pPr>
      <w:r w:rsidRPr="00AB74F4">
        <w:rPr>
          <w:rFonts w:ascii="Times New Roman" w:hAnsi="Times New Roman" w:cs="Times New Roman"/>
          <w:b/>
          <w:bCs/>
          <w:sz w:val="32"/>
          <w:szCs w:val="32"/>
        </w:rPr>
        <w:t>b. The Guidance of Rule 1.14 and its comments.</w:t>
      </w:r>
    </w:p>
    <w:p w14:paraId="6F3AD9F9" w14:textId="77777777" w:rsidR="009C3B06" w:rsidRPr="00AB74F4" w:rsidRDefault="009C3B06" w:rsidP="009C3B06">
      <w:pPr>
        <w:pStyle w:val="TXT"/>
        <w:ind w:firstLine="0"/>
        <w:rPr>
          <w:rFonts w:ascii="Times New Roman" w:hAnsi="Times New Roman" w:cs="Times New Roman"/>
          <w:b/>
          <w:bCs/>
          <w:sz w:val="32"/>
          <w:szCs w:val="32"/>
        </w:rPr>
      </w:pPr>
    </w:p>
    <w:p w14:paraId="4D5A2431" w14:textId="2CB59832" w:rsidR="009C3B06" w:rsidRPr="00AB74F4" w:rsidRDefault="009C3B06"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1. Maintaining an ordinary relationship</w:t>
      </w:r>
    </w:p>
    <w:p w14:paraId="148A0C2A" w14:textId="77777777" w:rsidR="009C3B06" w:rsidRPr="00AB74F4" w:rsidRDefault="009C3B06" w:rsidP="009C3B06">
      <w:pPr>
        <w:pStyle w:val="TXT"/>
        <w:ind w:firstLine="0"/>
        <w:rPr>
          <w:rFonts w:ascii="Times New Roman" w:hAnsi="Times New Roman" w:cs="Times New Roman"/>
          <w:b/>
          <w:bCs/>
          <w:sz w:val="32"/>
          <w:szCs w:val="32"/>
        </w:rPr>
      </w:pPr>
    </w:p>
    <w:p w14:paraId="12238F30" w14:textId="266D9584" w:rsidR="00C41A63" w:rsidRPr="00AB74F4" w:rsidRDefault="009C3B06"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Section (a) of the rule instructs lawyers to maintain an “ordinary” client-lawyer relationship even when the client has decision-making limitations, </w:t>
      </w:r>
      <w:r w:rsidR="00DE6726">
        <w:rPr>
          <w:rFonts w:ascii="Times New Roman" w:hAnsi="Times New Roman" w:cs="Times New Roman"/>
          <w:sz w:val="32"/>
          <w:szCs w:val="32"/>
        </w:rPr>
        <w:t xml:space="preserve">which is </w:t>
      </w:r>
      <w:r w:rsidRPr="00AB74F4">
        <w:rPr>
          <w:rFonts w:ascii="Times New Roman" w:hAnsi="Times New Roman" w:cs="Times New Roman"/>
          <w:sz w:val="32"/>
          <w:szCs w:val="32"/>
        </w:rPr>
        <w:t xml:space="preserve">defined </w:t>
      </w:r>
      <w:r w:rsidR="006F672E">
        <w:rPr>
          <w:rFonts w:ascii="Times New Roman" w:hAnsi="Times New Roman" w:cs="Times New Roman"/>
          <w:sz w:val="32"/>
          <w:szCs w:val="32"/>
        </w:rPr>
        <w:t>to</w:t>
      </w:r>
      <w:r w:rsidR="00DE6726">
        <w:rPr>
          <w:rFonts w:ascii="Times New Roman" w:hAnsi="Times New Roman" w:cs="Times New Roman"/>
          <w:sz w:val="32"/>
          <w:szCs w:val="32"/>
        </w:rPr>
        <w:t xml:space="preserve"> </w:t>
      </w:r>
      <w:r w:rsidRPr="00AB74F4">
        <w:rPr>
          <w:rFonts w:ascii="Times New Roman" w:hAnsi="Times New Roman" w:cs="Times New Roman"/>
          <w:sz w:val="32"/>
          <w:szCs w:val="32"/>
        </w:rPr>
        <w:t>includ</w:t>
      </w:r>
      <w:r w:rsidR="006F672E">
        <w:rPr>
          <w:rFonts w:ascii="Times New Roman" w:hAnsi="Times New Roman" w:cs="Times New Roman"/>
          <w:sz w:val="32"/>
          <w:szCs w:val="32"/>
        </w:rPr>
        <w:t>e</w:t>
      </w:r>
      <w:r w:rsidRPr="00AB74F4">
        <w:rPr>
          <w:rFonts w:ascii="Times New Roman" w:hAnsi="Times New Roman" w:cs="Times New Roman"/>
          <w:sz w:val="32"/>
          <w:szCs w:val="32"/>
        </w:rPr>
        <w:t xml:space="preserve"> receiving, understanding and evaluating information. This section is a clear signal </w:t>
      </w:r>
      <w:r w:rsidR="007A4227">
        <w:rPr>
          <w:rFonts w:ascii="Times New Roman" w:hAnsi="Times New Roman" w:cs="Times New Roman"/>
          <w:sz w:val="32"/>
          <w:szCs w:val="32"/>
        </w:rPr>
        <w:t>that</w:t>
      </w:r>
      <w:r w:rsidRPr="00AB74F4">
        <w:rPr>
          <w:rFonts w:ascii="Times New Roman" w:hAnsi="Times New Roman" w:cs="Times New Roman"/>
          <w:sz w:val="32"/>
          <w:szCs w:val="32"/>
        </w:rPr>
        <w:t xml:space="preserve"> </w:t>
      </w:r>
      <w:r w:rsidR="007A4227">
        <w:rPr>
          <w:rFonts w:ascii="Times New Roman" w:hAnsi="Times New Roman" w:cs="Times New Roman"/>
          <w:sz w:val="32"/>
          <w:szCs w:val="32"/>
        </w:rPr>
        <w:t xml:space="preserve">even </w:t>
      </w:r>
      <w:r w:rsidR="006F672E">
        <w:rPr>
          <w:rFonts w:ascii="Times New Roman" w:hAnsi="Times New Roman" w:cs="Times New Roman"/>
          <w:sz w:val="32"/>
          <w:szCs w:val="32"/>
        </w:rPr>
        <w:t>when clients apparently have</w:t>
      </w:r>
      <w:r w:rsidR="00DE6726">
        <w:rPr>
          <w:rFonts w:ascii="Times New Roman" w:hAnsi="Times New Roman" w:cs="Times New Roman"/>
          <w:sz w:val="32"/>
          <w:szCs w:val="32"/>
        </w:rPr>
        <w:t xml:space="preserve"> decision-making limitations</w:t>
      </w:r>
      <w:r w:rsidR="007A4227">
        <w:rPr>
          <w:rFonts w:ascii="Times New Roman" w:hAnsi="Times New Roman" w:cs="Times New Roman"/>
          <w:sz w:val="32"/>
          <w:szCs w:val="32"/>
        </w:rPr>
        <w:t>,</w:t>
      </w:r>
      <w:r w:rsidR="00DE6726">
        <w:rPr>
          <w:rFonts w:ascii="Times New Roman" w:hAnsi="Times New Roman" w:cs="Times New Roman"/>
          <w:sz w:val="32"/>
          <w:szCs w:val="32"/>
        </w:rPr>
        <w:t xml:space="preserve"> </w:t>
      </w:r>
      <w:r w:rsidR="006F672E" w:rsidRPr="00AB74F4">
        <w:rPr>
          <w:rFonts w:ascii="Times New Roman" w:hAnsi="Times New Roman" w:cs="Times New Roman"/>
          <w:sz w:val="32"/>
          <w:szCs w:val="32"/>
        </w:rPr>
        <w:t>lawyers</w:t>
      </w:r>
      <w:r w:rsidR="006F672E">
        <w:rPr>
          <w:rFonts w:ascii="Times New Roman" w:hAnsi="Times New Roman" w:cs="Times New Roman"/>
          <w:sz w:val="32"/>
          <w:szCs w:val="32"/>
        </w:rPr>
        <w:t xml:space="preserve">, </w:t>
      </w:r>
      <w:r w:rsidR="007A4227">
        <w:rPr>
          <w:rFonts w:ascii="Times New Roman" w:hAnsi="Times New Roman" w:cs="Times New Roman"/>
          <w:sz w:val="32"/>
          <w:szCs w:val="32"/>
        </w:rPr>
        <w:t xml:space="preserve">may not </w:t>
      </w:r>
      <w:r w:rsidRPr="00AB74F4">
        <w:rPr>
          <w:rFonts w:ascii="Times New Roman" w:hAnsi="Times New Roman" w:cs="Times New Roman"/>
          <w:sz w:val="32"/>
          <w:szCs w:val="32"/>
        </w:rPr>
        <w:t>simply tak</w:t>
      </w:r>
      <w:r w:rsidR="00DE6726">
        <w:rPr>
          <w:rFonts w:ascii="Times New Roman" w:hAnsi="Times New Roman" w:cs="Times New Roman"/>
          <w:sz w:val="32"/>
          <w:szCs w:val="32"/>
        </w:rPr>
        <w:t>e</w:t>
      </w:r>
      <w:r w:rsidRPr="00AB74F4">
        <w:rPr>
          <w:rFonts w:ascii="Times New Roman" w:hAnsi="Times New Roman" w:cs="Times New Roman"/>
          <w:sz w:val="32"/>
          <w:szCs w:val="32"/>
        </w:rPr>
        <w:t xml:space="preserve"> over and mak</w:t>
      </w:r>
      <w:r w:rsidR="007A4227">
        <w:rPr>
          <w:rFonts w:ascii="Times New Roman" w:hAnsi="Times New Roman" w:cs="Times New Roman"/>
          <w:sz w:val="32"/>
          <w:szCs w:val="32"/>
        </w:rPr>
        <w:t>e</w:t>
      </w:r>
      <w:r w:rsidRPr="00AB74F4">
        <w:rPr>
          <w:rFonts w:ascii="Times New Roman" w:hAnsi="Times New Roman" w:cs="Times New Roman"/>
          <w:sz w:val="32"/>
          <w:szCs w:val="32"/>
        </w:rPr>
        <w:t xml:space="preserve"> decisions for </w:t>
      </w:r>
      <w:r w:rsidR="006F672E">
        <w:rPr>
          <w:rFonts w:ascii="Times New Roman" w:hAnsi="Times New Roman" w:cs="Times New Roman"/>
          <w:sz w:val="32"/>
          <w:szCs w:val="32"/>
        </w:rPr>
        <w:t>them</w:t>
      </w:r>
      <w:r w:rsidRPr="00AB74F4">
        <w:rPr>
          <w:rFonts w:ascii="Times New Roman" w:hAnsi="Times New Roman" w:cs="Times New Roman"/>
          <w:sz w:val="32"/>
          <w:szCs w:val="32"/>
        </w:rPr>
        <w:t xml:space="preserve">. </w:t>
      </w:r>
    </w:p>
    <w:p w14:paraId="7384C58D" w14:textId="77777777" w:rsidR="00C41A63" w:rsidRPr="00AB74F4" w:rsidRDefault="00C41A63" w:rsidP="009C3B06">
      <w:pPr>
        <w:pStyle w:val="TXT"/>
        <w:ind w:firstLine="0"/>
        <w:rPr>
          <w:rFonts w:ascii="Times New Roman" w:hAnsi="Times New Roman" w:cs="Times New Roman"/>
          <w:sz w:val="32"/>
          <w:szCs w:val="32"/>
        </w:rPr>
      </w:pPr>
    </w:p>
    <w:p w14:paraId="36D76249" w14:textId="5EC9E15F" w:rsidR="00C41A63" w:rsidRPr="00AB74F4" w:rsidRDefault="00C41A63"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Comment 2 </w:t>
      </w:r>
      <w:r w:rsidR="00F04588" w:rsidRPr="00AB74F4">
        <w:rPr>
          <w:rFonts w:ascii="Times New Roman" w:hAnsi="Times New Roman" w:cs="Times New Roman"/>
          <w:sz w:val="32"/>
          <w:szCs w:val="32"/>
        </w:rPr>
        <w:t>cautions</w:t>
      </w:r>
      <w:r w:rsidRPr="00AB74F4">
        <w:rPr>
          <w:rFonts w:ascii="Times New Roman" w:hAnsi="Times New Roman" w:cs="Times New Roman"/>
          <w:sz w:val="32"/>
          <w:szCs w:val="32"/>
        </w:rPr>
        <w:t xml:space="preserve"> that some people with decision-making limitations (for example, </w:t>
      </w:r>
      <w:r w:rsidR="00F04588" w:rsidRPr="00AB74F4">
        <w:rPr>
          <w:rFonts w:ascii="Times New Roman" w:hAnsi="Times New Roman" w:cs="Times New Roman"/>
          <w:sz w:val="32"/>
          <w:szCs w:val="32"/>
        </w:rPr>
        <w:t>some adults</w:t>
      </w:r>
      <w:r w:rsidRPr="00AB74F4">
        <w:rPr>
          <w:rFonts w:ascii="Times New Roman" w:hAnsi="Times New Roman" w:cs="Times New Roman"/>
          <w:sz w:val="32"/>
          <w:szCs w:val="32"/>
        </w:rPr>
        <w:t xml:space="preserve"> with intellectual disabilities</w:t>
      </w:r>
      <w:r w:rsidR="00F04588" w:rsidRPr="00AB74F4">
        <w:rPr>
          <w:rFonts w:ascii="Times New Roman" w:hAnsi="Times New Roman" w:cs="Times New Roman"/>
          <w:sz w:val="32"/>
          <w:szCs w:val="32"/>
        </w:rPr>
        <w:t xml:space="preserve"> or</w:t>
      </w:r>
      <w:r w:rsidRPr="00AB74F4">
        <w:rPr>
          <w:rFonts w:ascii="Times New Roman" w:hAnsi="Times New Roman" w:cs="Times New Roman"/>
          <w:sz w:val="32"/>
          <w:szCs w:val="32"/>
        </w:rPr>
        <w:t xml:space="preserve"> </w:t>
      </w:r>
      <w:r w:rsidR="00F04588" w:rsidRPr="00AB74F4">
        <w:rPr>
          <w:rFonts w:ascii="Times New Roman" w:hAnsi="Times New Roman" w:cs="Times New Roman"/>
          <w:sz w:val="32"/>
          <w:szCs w:val="32"/>
        </w:rPr>
        <w:t>substance abuse disorders) can make legal decisions, and even “very young minors” may have “values and preferences” that can guide a lawyer’s representation.</w:t>
      </w:r>
    </w:p>
    <w:p w14:paraId="054BB2AB" w14:textId="77777777" w:rsidR="00F04588" w:rsidRPr="00AB74F4" w:rsidRDefault="00F04588" w:rsidP="009C3B06">
      <w:pPr>
        <w:pStyle w:val="TXT"/>
        <w:ind w:firstLine="0"/>
        <w:rPr>
          <w:rFonts w:ascii="Times New Roman" w:hAnsi="Times New Roman" w:cs="Times New Roman"/>
          <w:sz w:val="32"/>
          <w:szCs w:val="32"/>
        </w:rPr>
      </w:pPr>
    </w:p>
    <w:p w14:paraId="66376462" w14:textId="550DB30E" w:rsidR="00F04588" w:rsidRPr="00AB74F4" w:rsidRDefault="00F04588"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Comments 3 and 5 remind lawyers that if a client seems to have difficulty making decisions, the lawyer can provide supports to help the client communicate with the lawyer.  With the client’s informed consent, such supports could include the assistance of family members or third parties – not to take over from the client </w:t>
      </w:r>
      <w:r w:rsidR="007F1E90" w:rsidRPr="00AB74F4">
        <w:rPr>
          <w:rFonts w:ascii="Times New Roman" w:hAnsi="Times New Roman" w:cs="Times New Roman"/>
          <w:sz w:val="32"/>
          <w:szCs w:val="32"/>
        </w:rPr>
        <w:t xml:space="preserve">or make decisions for her </w:t>
      </w:r>
      <w:r w:rsidRPr="00AB74F4">
        <w:rPr>
          <w:rFonts w:ascii="Times New Roman" w:hAnsi="Times New Roman" w:cs="Times New Roman"/>
          <w:sz w:val="32"/>
          <w:szCs w:val="32"/>
        </w:rPr>
        <w:t>but to help the client communicate with the lawyer.</w:t>
      </w:r>
      <w:r w:rsidRPr="00AB74F4">
        <w:rPr>
          <w:rStyle w:val="FootnoteReference"/>
          <w:rFonts w:ascii="Times New Roman" w:hAnsi="Times New Roman" w:cs="Times New Roman"/>
          <w:sz w:val="32"/>
          <w:szCs w:val="32"/>
        </w:rPr>
        <w:footnoteReference w:id="3"/>
      </w:r>
      <w:r w:rsidRPr="00AB74F4">
        <w:rPr>
          <w:rFonts w:ascii="Times New Roman" w:hAnsi="Times New Roman" w:cs="Times New Roman"/>
          <w:sz w:val="32"/>
          <w:szCs w:val="32"/>
        </w:rPr>
        <w:t xml:space="preserve"> Comment 3 also notes that holding meetings somewhere other than the lawyer’s office could help to support some clients.</w:t>
      </w:r>
    </w:p>
    <w:p w14:paraId="1483A066" w14:textId="77777777" w:rsidR="00C41A63" w:rsidRPr="00AB74F4" w:rsidRDefault="00C41A63" w:rsidP="009C3B06">
      <w:pPr>
        <w:pStyle w:val="TXT"/>
        <w:ind w:firstLine="0"/>
        <w:rPr>
          <w:rFonts w:ascii="Times New Roman" w:hAnsi="Times New Roman" w:cs="Times New Roman"/>
          <w:sz w:val="32"/>
          <w:szCs w:val="32"/>
        </w:rPr>
      </w:pPr>
    </w:p>
    <w:p w14:paraId="68CDAEC9" w14:textId="77777777" w:rsidR="00C41A63" w:rsidRPr="00AB74F4" w:rsidRDefault="00C41A63"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2. Exceptional circumstances</w:t>
      </w:r>
    </w:p>
    <w:p w14:paraId="10D2F5C6" w14:textId="77777777" w:rsidR="00C41A63" w:rsidRPr="00AB74F4" w:rsidRDefault="00C41A63" w:rsidP="009C3B06">
      <w:pPr>
        <w:pStyle w:val="TXT"/>
        <w:ind w:firstLine="0"/>
        <w:rPr>
          <w:rFonts w:ascii="Times New Roman" w:hAnsi="Times New Roman" w:cs="Times New Roman"/>
          <w:sz w:val="32"/>
          <w:szCs w:val="32"/>
        </w:rPr>
      </w:pPr>
    </w:p>
    <w:p w14:paraId="488AD6C5" w14:textId="1D248039" w:rsidR="00E0162C" w:rsidRPr="00AB74F4" w:rsidRDefault="009C3B06" w:rsidP="008073BA">
      <w:pPr>
        <w:pStyle w:val="TXT"/>
        <w:ind w:firstLine="0"/>
        <w:rPr>
          <w:rFonts w:ascii="Times New Roman" w:hAnsi="Times New Roman" w:cs="Times New Roman"/>
          <w:sz w:val="32"/>
          <w:szCs w:val="32"/>
        </w:rPr>
      </w:pPr>
      <w:r w:rsidRPr="00AB74F4">
        <w:rPr>
          <w:rFonts w:ascii="Times New Roman" w:hAnsi="Times New Roman" w:cs="Times New Roman"/>
          <w:sz w:val="32"/>
          <w:szCs w:val="32"/>
        </w:rPr>
        <w:t>Section</w:t>
      </w:r>
      <w:r w:rsidR="00C41A63" w:rsidRPr="00AB74F4">
        <w:rPr>
          <w:rFonts w:ascii="Times New Roman" w:hAnsi="Times New Roman" w:cs="Times New Roman"/>
          <w:sz w:val="32"/>
          <w:szCs w:val="32"/>
        </w:rPr>
        <w:t>s</w:t>
      </w:r>
      <w:r w:rsidRPr="00AB74F4">
        <w:rPr>
          <w:rFonts w:ascii="Times New Roman" w:hAnsi="Times New Roman" w:cs="Times New Roman"/>
          <w:sz w:val="32"/>
          <w:szCs w:val="32"/>
        </w:rPr>
        <w:t xml:space="preserve"> (b) </w:t>
      </w:r>
      <w:r w:rsidR="00C41A63" w:rsidRPr="00AB74F4">
        <w:rPr>
          <w:rFonts w:ascii="Times New Roman" w:hAnsi="Times New Roman" w:cs="Times New Roman"/>
          <w:sz w:val="32"/>
          <w:szCs w:val="32"/>
        </w:rPr>
        <w:t xml:space="preserve">and (c) </w:t>
      </w:r>
      <w:r w:rsidRPr="00AB74F4">
        <w:rPr>
          <w:rFonts w:ascii="Times New Roman" w:hAnsi="Times New Roman" w:cs="Times New Roman"/>
          <w:sz w:val="32"/>
          <w:szCs w:val="32"/>
        </w:rPr>
        <w:t xml:space="preserve">provide guidance to lawyers in the relatively rare situation in which </w:t>
      </w:r>
      <w:r w:rsidR="00C41A63" w:rsidRPr="00AB74F4">
        <w:rPr>
          <w:rFonts w:ascii="Times New Roman" w:hAnsi="Times New Roman" w:cs="Times New Roman"/>
          <w:sz w:val="32"/>
          <w:szCs w:val="32"/>
        </w:rPr>
        <w:t xml:space="preserve">the lawyer reasonably believes that a client is </w:t>
      </w:r>
      <w:r w:rsidRPr="00AB74F4">
        <w:rPr>
          <w:rFonts w:ascii="Times New Roman" w:hAnsi="Times New Roman" w:cs="Times New Roman"/>
          <w:sz w:val="32"/>
          <w:szCs w:val="32"/>
        </w:rPr>
        <w:t xml:space="preserve">not only limited in her ability to make decisions, but is at risk of substantial physical, financial </w:t>
      </w:r>
      <w:r w:rsidR="00C41A63" w:rsidRPr="00AB74F4">
        <w:rPr>
          <w:rFonts w:ascii="Times New Roman" w:hAnsi="Times New Roman" w:cs="Times New Roman"/>
          <w:sz w:val="32"/>
          <w:szCs w:val="32"/>
        </w:rPr>
        <w:t>or other harm unless action is taken and is unable to act in her own interest to deal with the risk.  In that case, the lawyer may take “reasonably necessary protective action</w:t>
      </w:r>
      <w:r w:rsidR="00EF0C0E">
        <w:rPr>
          <w:rFonts w:ascii="Times New Roman" w:hAnsi="Times New Roman" w:cs="Times New Roman"/>
          <w:sz w:val="32"/>
          <w:szCs w:val="32"/>
        </w:rPr>
        <w:t>,</w:t>
      </w:r>
      <w:r w:rsidR="00C41A63" w:rsidRPr="00AB74F4">
        <w:rPr>
          <w:rFonts w:ascii="Times New Roman" w:hAnsi="Times New Roman" w:cs="Times New Roman"/>
          <w:sz w:val="32"/>
          <w:szCs w:val="32"/>
        </w:rPr>
        <w:t>” including revealing information that would otherwise be protected by Rule 1.6(a)</w:t>
      </w:r>
      <w:r w:rsidR="00EF0C0E">
        <w:rPr>
          <w:rFonts w:ascii="Times New Roman" w:hAnsi="Times New Roman" w:cs="Times New Roman"/>
          <w:sz w:val="32"/>
          <w:szCs w:val="32"/>
        </w:rPr>
        <w:t>,</w:t>
      </w:r>
      <w:r w:rsidR="00C41A63" w:rsidRPr="00AB74F4">
        <w:rPr>
          <w:rFonts w:ascii="Times New Roman" w:hAnsi="Times New Roman" w:cs="Times New Roman"/>
          <w:sz w:val="32"/>
          <w:szCs w:val="32"/>
        </w:rPr>
        <w:t xml:space="preserve"> </w:t>
      </w:r>
      <w:r w:rsidR="00EF0C0E">
        <w:rPr>
          <w:rFonts w:ascii="Times New Roman" w:hAnsi="Times New Roman" w:cs="Times New Roman"/>
          <w:sz w:val="32"/>
          <w:szCs w:val="32"/>
        </w:rPr>
        <w:t xml:space="preserve">but only </w:t>
      </w:r>
      <w:r w:rsidR="00C41A63" w:rsidRPr="00AB74F4">
        <w:rPr>
          <w:rFonts w:ascii="Times New Roman" w:hAnsi="Times New Roman" w:cs="Times New Roman"/>
          <w:sz w:val="32"/>
          <w:szCs w:val="32"/>
        </w:rPr>
        <w:t xml:space="preserve">if the lawyer reasonably believes that such revelation is necessary to protect the client. </w:t>
      </w:r>
    </w:p>
    <w:p w14:paraId="696AA542" w14:textId="77777777" w:rsidR="00E0162C" w:rsidRPr="00AB74F4" w:rsidRDefault="00E0162C" w:rsidP="009C3B06">
      <w:pPr>
        <w:pStyle w:val="TXT"/>
        <w:ind w:firstLine="0"/>
        <w:rPr>
          <w:rFonts w:ascii="Times New Roman" w:hAnsi="Times New Roman" w:cs="Times New Roman"/>
          <w:sz w:val="32"/>
          <w:szCs w:val="32"/>
        </w:rPr>
      </w:pPr>
    </w:p>
    <w:p w14:paraId="34C250BF" w14:textId="1C57D6FD" w:rsidR="009C3B06" w:rsidRPr="00AB74F4" w:rsidRDefault="00EF0C0E" w:rsidP="009C3B06">
      <w:pPr>
        <w:pStyle w:val="TXT"/>
        <w:ind w:firstLine="0"/>
        <w:rPr>
          <w:rFonts w:ascii="Times New Roman" w:hAnsi="Times New Roman" w:cs="Times New Roman"/>
          <w:sz w:val="32"/>
          <w:szCs w:val="32"/>
        </w:rPr>
      </w:pPr>
      <w:r>
        <w:rPr>
          <w:rFonts w:ascii="Times New Roman" w:hAnsi="Times New Roman" w:cs="Times New Roman"/>
          <w:sz w:val="32"/>
          <w:szCs w:val="32"/>
        </w:rPr>
        <w:t>A</w:t>
      </w:r>
      <w:r w:rsidR="00E0162C" w:rsidRPr="00AB74F4">
        <w:rPr>
          <w:rFonts w:ascii="Times New Roman" w:hAnsi="Times New Roman" w:cs="Times New Roman"/>
          <w:sz w:val="32"/>
          <w:szCs w:val="32"/>
        </w:rPr>
        <w:t xml:space="preserve">re lawyers competent to decide whether a client has decision-making limitations and, if so, whether the client </w:t>
      </w:r>
      <w:r w:rsidR="00A973E1" w:rsidRPr="00AB74F4">
        <w:rPr>
          <w:rFonts w:ascii="Times New Roman" w:hAnsi="Times New Roman" w:cs="Times New Roman"/>
          <w:sz w:val="32"/>
          <w:szCs w:val="32"/>
        </w:rPr>
        <w:t>is unable to act in her own interest?  Comment 13 states that “a lawyer’s reasonable belief that the client cannot make and communicate reasoned, informed decisions may be based on the lawyer’s own observations,” but it cautions that the lawyer should proceed cautiously because a client’s intellectual or emotional state may vary from one day to another.  The lawyer should not rely “exclusively” on a medical diagnosis but can take it into account, recognizing that the diagnosis may have been made for a reason unrelated to the legal matter.</w:t>
      </w:r>
      <w:r w:rsidR="00A973E1" w:rsidRPr="00AB74F4">
        <w:rPr>
          <w:rStyle w:val="FootnoteReference"/>
          <w:rFonts w:ascii="Times New Roman" w:hAnsi="Times New Roman" w:cs="Times New Roman"/>
          <w:sz w:val="32"/>
          <w:szCs w:val="32"/>
        </w:rPr>
        <w:footnoteReference w:id="4"/>
      </w:r>
    </w:p>
    <w:p w14:paraId="4945F138" w14:textId="77777777" w:rsidR="007F1E90" w:rsidRPr="00AB74F4" w:rsidRDefault="007F1E90" w:rsidP="009C3B06">
      <w:pPr>
        <w:pStyle w:val="TXT"/>
        <w:ind w:firstLine="0"/>
        <w:rPr>
          <w:rFonts w:ascii="Times New Roman" w:hAnsi="Times New Roman" w:cs="Times New Roman"/>
          <w:sz w:val="32"/>
          <w:szCs w:val="32"/>
        </w:rPr>
      </w:pPr>
    </w:p>
    <w:p w14:paraId="47886821" w14:textId="70DF57F0" w:rsidR="007F1E90" w:rsidRPr="00AB74F4" w:rsidRDefault="007F1E90" w:rsidP="009C3B06">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Comment 12 </w:t>
      </w:r>
      <w:r w:rsidR="008073BA">
        <w:rPr>
          <w:rFonts w:ascii="Times New Roman" w:hAnsi="Times New Roman" w:cs="Times New Roman"/>
          <w:sz w:val="32"/>
          <w:szCs w:val="32"/>
        </w:rPr>
        <w:t xml:space="preserve">offers examples of </w:t>
      </w:r>
      <w:r w:rsidRPr="00AB74F4">
        <w:rPr>
          <w:rFonts w:ascii="Times New Roman" w:hAnsi="Times New Roman" w:cs="Times New Roman"/>
          <w:sz w:val="32"/>
          <w:szCs w:val="32"/>
        </w:rPr>
        <w:t>protective actions that lawyers may take in the</w:t>
      </w:r>
      <w:r w:rsidR="003A702C" w:rsidRPr="00AB74F4">
        <w:rPr>
          <w:rFonts w:ascii="Times New Roman" w:hAnsi="Times New Roman" w:cs="Times New Roman"/>
          <w:sz w:val="32"/>
          <w:szCs w:val="32"/>
        </w:rPr>
        <w:t xml:space="preserve"> special circumstances stated in section 2 of the rule.</w:t>
      </w:r>
      <w:r w:rsidRPr="00AB74F4">
        <w:rPr>
          <w:rFonts w:ascii="Times New Roman" w:hAnsi="Times New Roman" w:cs="Times New Roman"/>
          <w:sz w:val="32"/>
          <w:szCs w:val="32"/>
        </w:rPr>
        <w:t xml:space="preserve"> They include consulting with family members, healthcare professionals, and adult protective services, but the lawyer should be guided by “the wishes and values of the client to the extent known, the client’s best interests, and the goals of minimizing intrusion into the client’s decision-making autonomy, maximizing client capacities and respecting the client’s family and social connections.” In other words, a client with decision-making limitations may </w:t>
      </w:r>
      <w:r w:rsidR="008073BA">
        <w:rPr>
          <w:rFonts w:ascii="Times New Roman" w:hAnsi="Times New Roman" w:cs="Times New Roman"/>
          <w:sz w:val="32"/>
          <w:szCs w:val="32"/>
        </w:rPr>
        <w:t xml:space="preserve">still </w:t>
      </w:r>
      <w:r w:rsidRPr="00AB74F4">
        <w:rPr>
          <w:rFonts w:ascii="Times New Roman" w:hAnsi="Times New Roman" w:cs="Times New Roman"/>
          <w:sz w:val="32"/>
          <w:szCs w:val="32"/>
        </w:rPr>
        <w:t>be able to decide whether</w:t>
      </w:r>
      <w:r w:rsidR="009B27CE" w:rsidRPr="00AB74F4">
        <w:rPr>
          <w:rFonts w:ascii="Times New Roman" w:hAnsi="Times New Roman" w:cs="Times New Roman"/>
          <w:sz w:val="32"/>
          <w:szCs w:val="32"/>
        </w:rPr>
        <w:t xml:space="preserve"> </w:t>
      </w:r>
      <w:r w:rsidRPr="00AB74F4">
        <w:rPr>
          <w:rFonts w:ascii="Times New Roman" w:hAnsi="Times New Roman" w:cs="Times New Roman"/>
          <w:sz w:val="32"/>
          <w:szCs w:val="32"/>
        </w:rPr>
        <w:t>to involve other people in the representation, and if so, the client’s wishes should be respected.</w:t>
      </w:r>
    </w:p>
    <w:p w14:paraId="7F2108BB" w14:textId="77777777" w:rsidR="0050368D" w:rsidRPr="00AB74F4" w:rsidRDefault="0050368D" w:rsidP="009C3B06">
      <w:pPr>
        <w:pStyle w:val="TXT"/>
        <w:ind w:firstLine="0"/>
        <w:rPr>
          <w:rFonts w:ascii="Times New Roman" w:hAnsi="Times New Roman" w:cs="Times New Roman"/>
          <w:sz w:val="32"/>
          <w:szCs w:val="32"/>
        </w:rPr>
      </w:pPr>
    </w:p>
    <w:p w14:paraId="0511EFC7" w14:textId="64A396E1" w:rsidR="0050368D" w:rsidRPr="00AB74F4" w:rsidRDefault="0050368D" w:rsidP="009C3B06">
      <w:pPr>
        <w:pStyle w:val="TXT"/>
        <w:ind w:firstLine="0"/>
        <w:rPr>
          <w:rFonts w:ascii="Times New Roman" w:hAnsi="Times New Roman" w:cs="Times New Roman"/>
          <w:b/>
          <w:bCs/>
          <w:color w:val="000000" w:themeColor="text1"/>
          <w:sz w:val="32"/>
          <w:szCs w:val="32"/>
        </w:rPr>
      </w:pPr>
      <w:r w:rsidRPr="00AB74F4">
        <w:rPr>
          <w:rFonts w:ascii="Times New Roman" w:hAnsi="Times New Roman" w:cs="Times New Roman"/>
          <w:b/>
          <w:bCs/>
          <w:color w:val="000000" w:themeColor="text1"/>
          <w:sz w:val="32"/>
          <w:szCs w:val="32"/>
        </w:rPr>
        <w:t>When should a lawyer ask a court to appoint a representative to make decisions for a client?</w:t>
      </w:r>
    </w:p>
    <w:p w14:paraId="2F070FF2" w14:textId="77777777" w:rsidR="003A702C" w:rsidRPr="00AB74F4" w:rsidRDefault="003A702C" w:rsidP="009C3B06">
      <w:pPr>
        <w:pStyle w:val="TXT"/>
        <w:ind w:firstLine="0"/>
        <w:rPr>
          <w:rFonts w:ascii="Times New Roman" w:hAnsi="Times New Roman" w:cs="Times New Roman"/>
          <w:sz w:val="32"/>
          <w:szCs w:val="32"/>
        </w:rPr>
      </w:pPr>
    </w:p>
    <w:p w14:paraId="1AC399CE" w14:textId="433D7C96" w:rsidR="003A702C" w:rsidRPr="00AB74F4" w:rsidRDefault="00EA509D" w:rsidP="009C3B06">
      <w:pPr>
        <w:pStyle w:val="TXT"/>
        <w:ind w:firstLine="0"/>
        <w:rPr>
          <w:rFonts w:ascii="Times New Roman" w:hAnsi="Times New Roman" w:cs="Times New Roman"/>
          <w:sz w:val="32"/>
          <w:szCs w:val="32"/>
        </w:rPr>
      </w:pPr>
      <w:r>
        <w:rPr>
          <w:rFonts w:ascii="Times New Roman" w:hAnsi="Times New Roman" w:cs="Times New Roman"/>
          <w:sz w:val="32"/>
          <w:szCs w:val="32"/>
        </w:rPr>
        <w:t>Only i</w:t>
      </w:r>
      <w:r w:rsidR="0050368D" w:rsidRPr="00AB74F4">
        <w:rPr>
          <w:rFonts w:ascii="Times New Roman" w:hAnsi="Times New Roman" w:cs="Times New Roman"/>
          <w:sz w:val="32"/>
          <w:szCs w:val="32"/>
        </w:rPr>
        <w:t>f necessary, t</w:t>
      </w:r>
      <w:r w:rsidR="003A702C" w:rsidRPr="00AB74F4">
        <w:rPr>
          <w:rFonts w:ascii="Times New Roman" w:hAnsi="Times New Roman" w:cs="Times New Roman"/>
          <w:sz w:val="32"/>
          <w:szCs w:val="32"/>
        </w:rPr>
        <w:t xml:space="preserve">he lawyer may also consider more drastic measures, such as the appointment of a guardian ad litem, a conservator, or a guardian.  </w:t>
      </w:r>
    </w:p>
    <w:p w14:paraId="0CE72656" w14:textId="77777777" w:rsidR="00527C6A" w:rsidRPr="00AB74F4" w:rsidRDefault="00527C6A" w:rsidP="009C3B06">
      <w:pPr>
        <w:pStyle w:val="TXT"/>
        <w:ind w:firstLine="0"/>
        <w:rPr>
          <w:rFonts w:ascii="Times New Roman" w:hAnsi="Times New Roman" w:cs="Times New Roman"/>
          <w:sz w:val="32"/>
          <w:szCs w:val="32"/>
        </w:rPr>
      </w:pPr>
    </w:p>
    <w:p w14:paraId="54345A9E" w14:textId="60375203" w:rsidR="00527C6A" w:rsidRPr="00AB74F4" w:rsidRDefault="00527C6A" w:rsidP="0095027B">
      <w:pPr>
        <w:pStyle w:val="NEPQBL1"/>
        <w:ind w:left="360"/>
        <w:rPr>
          <w:rFonts w:ascii="Times New Roman" w:hAnsi="Times New Roman" w:cs="Times New Roman"/>
          <w:sz w:val="32"/>
          <w:szCs w:val="32"/>
        </w:rPr>
      </w:pPr>
      <w:r w:rsidRPr="00AB74F4">
        <w:rPr>
          <w:rFonts w:ascii="Times New Roman" w:hAnsi="Times New Roman" w:cs="Times New Roman"/>
          <w:sz w:val="32"/>
          <w:szCs w:val="32"/>
        </w:rPr>
        <w:tab/>
      </w:r>
      <w:r w:rsidRPr="00AB74F4">
        <w:rPr>
          <w:rStyle w:val="BL11"/>
          <w:rFonts w:ascii="Times New Roman" w:hAnsi="Times New Roman" w:cs="Times New Roman"/>
          <w:sz w:val="32"/>
          <w:szCs w:val="32"/>
        </w:rPr>
        <w:t>●</w:t>
      </w:r>
      <w:r w:rsidRPr="00AB74F4">
        <w:rPr>
          <w:rFonts w:ascii="Times New Roman" w:hAnsi="Times New Roman" w:cs="Times New Roman"/>
          <w:sz w:val="32"/>
          <w:szCs w:val="32"/>
        </w:rPr>
        <w:t xml:space="preserve">A guardian ad litem is charged with the duty to determine and advocate for the best interests of the client. The best interests may not </w:t>
      </w:r>
      <w:r w:rsidRPr="00AB74F4">
        <w:rPr>
          <w:rFonts w:ascii="Times New Roman" w:hAnsi="Times New Roman" w:cs="Times New Roman"/>
          <w:sz w:val="32"/>
          <w:szCs w:val="32"/>
        </w:rPr>
        <w:lastRenderedPageBreak/>
        <w:t>correspond with the expressed wishes of the client.</w:t>
      </w:r>
      <w:r w:rsidRPr="00AB74F4">
        <w:rPr>
          <w:rStyle w:val="FootnoteReference"/>
          <w:rFonts w:ascii="Times New Roman" w:hAnsi="Times New Roman" w:cs="Times New Roman"/>
          <w:sz w:val="32"/>
          <w:szCs w:val="32"/>
        </w:rPr>
        <w:footnoteReference w:id="5"/>
      </w:r>
    </w:p>
    <w:p w14:paraId="77852F32" w14:textId="77777777" w:rsidR="00527C6A" w:rsidRPr="00AB74F4" w:rsidRDefault="00527C6A" w:rsidP="00527C6A">
      <w:pPr>
        <w:pStyle w:val="NEPQBL1"/>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A conservator has the power to manage the financial affairs of the client, who thereby loses the power to buy, sell, and hold property.</w:t>
      </w:r>
      <w:r w:rsidRPr="00AB74F4">
        <w:rPr>
          <w:rStyle w:val="FootnoteReference"/>
          <w:rFonts w:ascii="Times New Roman" w:hAnsi="Times New Roman" w:cs="Times New Roman"/>
          <w:sz w:val="32"/>
          <w:szCs w:val="32"/>
        </w:rPr>
        <w:footnoteReference w:id="6"/>
      </w:r>
    </w:p>
    <w:p w14:paraId="4497E77D" w14:textId="4B707C29" w:rsidR="00527C6A" w:rsidRPr="00AB74F4" w:rsidRDefault="00527C6A" w:rsidP="00527C6A">
      <w:pPr>
        <w:pStyle w:val="TXT"/>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A guardian has even more authority. A guardian manages the client’s financial affairs and may make medical and other personal decisions for the client.</w:t>
      </w:r>
      <w:r w:rsidRPr="00AB74F4">
        <w:rPr>
          <w:rStyle w:val="FootnoteReference"/>
          <w:rFonts w:ascii="Times New Roman" w:hAnsi="Times New Roman" w:cs="Times New Roman"/>
          <w:sz w:val="32"/>
          <w:szCs w:val="32"/>
        </w:rPr>
        <w:footnoteReference w:id="7"/>
      </w:r>
    </w:p>
    <w:p w14:paraId="6824FBAC" w14:textId="77777777" w:rsidR="00527C6A" w:rsidRPr="00AB74F4" w:rsidRDefault="00527C6A" w:rsidP="00527C6A">
      <w:pPr>
        <w:pStyle w:val="TXT"/>
        <w:rPr>
          <w:rFonts w:ascii="Times New Roman" w:hAnsi="Times New Roman" w:cs="Times New Roman"/>
          <w:sz w:val="32"/>
          <w:szCs w:val="32"/>
        </w:rPr>
      </w:pPr>
    </w:p>
    <w:p w14:paraId="7415D075" w14:textId="6F46663B" w:rsidR="00527C6A" w:rsidRPr="00AB74F4" w:rsidRDefault="00B52ACE" w:rsidP="00B52ACE">
      <w:pPr>
        <w:pStyle w:val="TXT"/>
        <w:ind w:firstLine="0"/>
        <w:rPr>
          <w:rFonts w:ascii="Times New Roman" w:hAnsi="Times New Roman" w:cs="Times New Roman"/>
          <w:sz w:val="32"/>
          <w:szCs w:val="32"/>
        </w:rPr>
      </w:pPr>
      <w:r w:rsidRPr="00AB74F4">
        <w:rPr>
          <w:rFonts w:ascii="Times New Roman" w:hAnsi="Times New Roman" w:cs="Times New Roman"/>
          <w:sz w:val="32"/>
          <w:szCs w:val="32"/>
        </w:rPr>
        <w:t>Because these interventions are so drastic, and for the client may be more “intrusive, expensive or traumatic” than necessary, Comment 15 advises lawyers to proceed with great caution.  The comment leaves to the lawyer’s “professional judgment” the decision to seek the appointment of an outside representative for the client, but it says that the lawyer should advocate for the least restrictive alternative (for example, a guardian ad litem for the particular matter, rather than a guardian, if a guardian ad litem would be sufficient protection for the client’s interests).  The lawyer should consult with the client before seeking the appointment of a representative</w:t>
      </w:r>
      <w:r w:rsidR="0050368D" w:rsidRPr="00AB74F4">
        <w:rPr>
          <w:rFonts w:ascii="Times New Roman" w:hAnsi="Times New Roman" w:cs="Times New Roman"/>
          <w:sz w:val="32"/>
          <w:szCs w:val="32"/>
        </w:rPr>
        <w:t xml:space="preserve">. </w:t>
      </w:r>
    </w:p>
    <w:p w14:paraId="303E0108" w14:textId="77777777" w:rsidR="003E0047" w:rsidRPr="00AB74F4" w:rsidRDefault="003E0047" w:rsidP="00B52ACE">
      <w:pPr>
        <w:pStyle w:val="TXT"/>
        <w:ind w:firstLine="0"/>
        <w:rPr>
          <w:rFonts w:ascii="Times New Roman" w:hAnsi="Times New Roman" w:cs="Times New Roman"/>
          <w:sz w:val="32"/>
          <w:szCs w:val="32"/>
        </w:rPr>
      </w:pPr>
    </w:p>
    <w:p w14:paraId="7D8C22FE" w14:textId="3744A5E4" w:rsidR="003E0047" w:rsidRPr="00AB74F4" w:rsidRDefault="003E0047" w:rsidP="003E0047">
      <w:pPr>
        <w:pStyle w:val="TXT"/>
        <w:ind w:firstLine="0"/>
        <w:rPr>
          <w:rFonts w:ascii="Times New Roman" w:hAnsi="Times New Roman" w:cs="Times New Roman"/>
          <w:sz w:val="32"/>
          <w:szCs w:val="32"/>
        </w:rPr>
      </w:pPr>
      <w:r w:rsidRPr="00AB74F4">
        <w:rPr>
          <w:rFonts w:ascii="Times New Roman" w:hAnsi="Times New Roman" w:cs="Times New Roman"/>
          <w:sz w:val="32"/>
          <w:szCs w:val="32"/>
        </w:rPr>
        <w:t>Comment 15 is consistent with the view of  Professor Paul Tremblay, who  argues that lawyers should not treat evidently confused or delusional clients as competent but that lawyers should also guard against becoming paternalistic. He suggests that when a lawyer correctly perceives incompetence of her client, some intervention is appropriate. But, Tremblay notes, the appointment of a guardian is</w:t>
      </w:r>
    </w:p>
    <w:p w14:paraId="04276EFA" w14:textId="77777777" w:rsidR="003E0047" w:rsidRPr="00AB74F4" w:rsidRDefault="003E0047" w:rsidP="003E0047">
      <w:pPr>
        <w:pStyle w:val="TXT"/>
        <w:ind w:firstLine="0"/>
        <w:rPr>
          <w:rFonts w:ascii="Times New Roman" w:hAnsi="Times New Roman" w:cs="Times New Roman"/>
          <w:sz w:val="32"/>
          <w:szCs w:val="32"/>
        </w:rPr>
      </w:pPr>
    </w:p>
    <w:p w14:paraId="64D8D630" w14:textId="1CA5EA41" w:rsidR="003E0047" w:rsidRPr="00AB74F4" w:rsidRDefault="003E0047" w:rsidP="003E0047">
      <w:pPr>
        <w:pStyle w:val="EXT"/>
        <w:spacing w:after="0"/>
        <w:rPr>
          <w:rFonts w:ascii="Times New Roman" w:hAnsi="Times New Roman" w:cs="Times New Roman"/>
          <w:sz w:val="32"/>
          <w:szCs w:val="32"/>
        </w:rPr>
      </w:pPr>
      <w:r w:rsidRPr="00AB74F4">
        <w:rPr>
          <w:rFonts w:ascii="Times New Roman" w:hAnsi="Times New Roman" w:cs="Times New Roman"/>
          <w:sz w:val="32"/>
          <w:szCs w:val="32"/>
        </w:rPr>
        <w:t xml:space="preserve">a drastic and virtually complete deprivation of civil rights, [depriving the guardian’s ward of the] right to make legally binding decisions, to vote, to own property, to choose his place </w:t>
      </w:r>
      <w:r w:rsidRPr="00AB74F4">
        <w:rPr>
          <w:rFonts w:ascii="Times New Roman" w:hAnsi="Times New Roman" w:cs="Times New Roman"/>
          <w:sz w:val="32"/>
          <w:szCs w:val="32"/>
        </w:rPr>
        <w:lastRenderedPageBreak/>
        <w:t>and manner of living, to make medical decisions, and so on. . . . Because of the deprivation of rights and liberties, a prospective ward is often entitled to counsel for purposes of opposing the petition. Thus a lawyer who is the petitioner is “suing” her own client, who must have other counsel to oppose the petition. All this is just an interlude of sorts, after which the lawyer probably intends to continue representing her client in the matter that caused her to seek a guardian in the first place. . . . Viewed from its harshest perspective, the process looks like this: the client hires the lawyer to serve as his loyal agent and confidante; the lawyer promises him that those expectations are warranted and will be fulfilled; the lawyer then uses her client’s confidences to bring a court proceeding that will deprive him of all his rights, and will require him to obtain another lawyer to defend against it; and all the while the lawyer plans to resume representing him once this distraction is over. This representation is obviously full of direct ethical violations.</w:t>
      </w:r>
    </w:p>
    <w:p w14:paraId="6D9DDC61" w14:textId="2418818D" w:rsidR="003E0047" w:rsidRPr="00AB74F4" w:rsidRDefault="003E0047" w:rsidP="003E0047">
      <w:pPr>
        <w:pStyle w:val="EXT"/>
        <w:spacing w:before="0"/>
        <w:ind w:firstLine="360"/>
        <w:rPr>
          <w:rFonts w:ascii="Times New Roman" w:hAnsi="Times New Roman" w:cs="Times New Roman"/>
          <w:sz w:val="32"/>
          <w:szCs w:val="32"/>
        </w:rPr>
      </w:pPr>
      <w:r w:rsidRPr="00AB74F4">
        <w:rPr>
          <w:rFonts w:ascii="Times New Roman" w:hAnsi="Times New Roman" w:cs="Times New Roman"/>
          <w:sz w:val="32"/>
          <w:szCs w:val="32"/>
        </w:rPr>
        <w:t xml:space="preserve">The serious professional responsibility concerns that inevitably arise in this scenario, however, do not necessarily mandate banning this approach. The consequences of not intervening, and the harm to the client, may well warrant </w:t>
      </w:r>
      <w:proofErr w:type="gramStart"/>
      <w:r w:rsidRPr="00AB74F4">
        <w:rPr>
          <w:rFonts w:ascii="Times New Roman" w:hAnsi="Times New Roman" w:cs="Times New Roman"/>
          <w:sz w:val="32"/>
          <w:szCs w:val="32"/>
        </w:rPr>
        <w:t>overriding</w:t>
      </w:r>
      <w:proofErr w:type="gramEnd"/>
      <w:r w:rsidRPr="00AB74F4">
        <w:rPr>
          <w:rFonts w:ascii="Times New Roman" w:hAnsi="Times New Roman" w:cs="Times New Roman"/>
          <w:sz w:val="32"/>
          <w:szCs w:val="32"/>
        </w:rPr>
        <w:t xml:space="preserve"> the usual ethical considerations. </w:t>
      </w:r>
    </w:p>
    <w:p w14:paraId="5C1C797C" w14:textId="5B2ED211" w:rsidR="003E0047" w:rsidRPr="00AB74F4" w:rsidRDefault="003E0047" w:rsidP="003E0047">
      <w:pPr>
        <w:pStyle w:val="EXT"/>
        <w:spacing w:before="0" w:after="0"/>
        <w:ind w:left="0" w:right="0"/>
        <w:rPr>
          <w:rFonts w:ascii="Times New Roman" w:hAnsi="Times New Roman" w:cs="Times New Roman"/>
          <w:sz w:val="32"/>
          <w:szCs w:val="32"/>
        </w:rPr>
      </w:pPr>
      <w:r w:rsidRPr="00AB74F4">
        <w:rPr>
          <w:rFonts w:ascii="Times New Roman" w:hAnsi="Times New Roman" w:cs="Times New Roman"/>
          <w:sz w:val="32"/>
          <w:szCs w:val="32"/>
        </w:rPr>
        <w:t xml:space="preserve">Tremblay observes that labeling one’s client as mentally ill may disadvantage the client. In Tremblay’s view, judges tend to grant guardianship petitions because of a concern that failure to do so could harm the potential ward. As a result, Tremblay </w:t>
      </w:r>
      <w:r w:rsidR="0045641A" w:rsidRPr="00AB74F4">
        <w:rPr>
          <w:rFonts w:ascii="Times New Roman" w:hAnsi="Times New Roman" w:cs="Times New Roman"/>
          <w:sz w:val="32"/>
          <w:szCs w:val="32"/>
        </w:rPr>
        <w:t>observes</w:t>
      </w:r>
      <w:r w:rsidRPr="00AB74F4">
        <w:rPr>
          <w:rFonts w:ascii="Times New Roman" w:hAnsi="Times New Roman" w:cs="Times New Roman"/>
          <w:sz w:val="32"/>
          <w:szCs w:val="32"/>
        </w:rPr>
        <w:t xml:space="preserve"> that petitioning a court to create a guardianship nearly always succeeds. Often the lawyer does not inform the client that she played a role in initiating the guardianship, potentially compromising the lawyer’s loyalty to the client.</w:t>
      </w:r>
      <w:bookmarkStart w:id="1" w:name="_Ref200724290"/>
      <w:r w:rsidRPr="00AB74F4">
        <w:rPr>
          <w:rStyle w:val="FootnoteReference"/>
          <w:rFonts w:ascii="Times New Roman" w:hAnsi="Times New Roman" w:cs="Times New Roman"/>
          <w:sz w:val="32"/>
          <w:szCs w:val="32"/>
        </w:rPr>
        <w:footnoteReference w:id="8"/>
      </w:r>
      <w:bookmarkEnd w:id="1"/>
    </w:p>
    <w:p w14:paraId="24E817C5" w14:textId="77777777" w:rsidR="003E0047" w:rsidRPr="00AB74F4" w:rsidRDefault="003E0047" w:rsidP="00B52ACE">
      <w:pPr>
        <w:pStyle w:val="TXT"/>
        <w:ind w:firstLine="0"/>
        <w:rPr>
          <w:rFonts w:ascii="Times New Roman" w:hAnsi="Times New Roman" w:cs="Times New Roman"/>
          <w:sz w:val="32"/>
          <w:szCs w:val="32"/>
        </w:rPr>
      </w:pPr>
    </w:p>
    <w:p w14:paraId="275BCD7A" w14:textId="7D732BC9" w:rsidR="0050368D" w:rsidRPr="00AB74F4" w:rsidRDefault="0045641A" w:rsidP="00B52ACE">
      <w:pPr>
        <w:pStyle w:val="TXT"/>
        <w:ind w:firstLine="0"/>
        <w:rPr>
          <w:rFonts w:ascii="Times New Roman" w:hAnsi="Times New Roman" w:cs="Times New Roman"/>
          <w:sz w:val="32"/>
          <w:szCs w:val="32"/>
        </w:rPr>
      </w:pPr>
      <w:r w:rsidRPr="00AB74F4">
        <w:rPr>
          <w:rFonts w:ascii="Times New Roman" w:hAnsi="Times New Roman" w:cs="Times New Roman"/>
          <w:sz w:val="32"/>
          <w:szCs w:val="32"/>
        </w:rPr>
        <w:t>According to Rule 1.14, t</w:t>
      </w:r>
      <w:r w:rsidR="0050368D" w:rsidRPr="00AB74F4">
        <w:rPr>
          <w:rFonts w:ascii="Times New Roman" w:hAnsi="Times New Roman" w:cs="Times New Roman"/>
          <w:sz w:val="32"/>
          <w:szCs w:val="32"/>
        </w:rPr>
        <w:t xml:space="preserve">he fact that the lawyer petitions a court to appoint a guardian ad litem, conservator, or guardian for the lawyer’s client does </w:t>
      </w:r>
      <w:r w:rsidR="0050368D" w:rsidRPr="00AB74F4">
        <w:rPr>
          <w:rFonts w:ascii="Times New Roman" w:hAnsi="Times New Roman" w:cs="Times New Roman"/>
          <w:sz w:val="32"/>
          <w:szCs w:val="32"/>
        </w:rPr>
        <w:lastRenderedPageBreak/>
        <w:t>not itself require the lawyer to withdraw from representation of the client in matters that the lawyer is handling for the client.  But under some circumstances, a conflict of interest could arise that would require the lawyer to withdraw.</w:t>
      </w:r>
      <w:r w:rsidR="0050368D" w:rsidRPr="00AB74F4">
        <w:rPr>
          <w:rStyle w:val="FootnoteReference"/>
          <w:rFonts w:ascii="Times New Roman" w:hAnsi="Times New Roman" w:cs="Times New Roman"/>
          <w:sz w:val="32"/>
          <w:szCs w:val="32"/>
        </w:rPr>
        <w:footnoteReference w:id="9"/>
      </w:r>
    </w:p>
    <w:p w14:paraId="5FA9DC36" w14:textId="77777777" w:rsidR="0050368D" w:rsidRPr="00AB74F4" w:rsidRDefault="0050368D" w:rsidP="00B52ACE">
      <w:pPr>
        <w:pStyle w:val="TXT"/>
        <w:ind w:firstLine="0"/>
        <w:rPr>
          <w:rFonts w:ascii="Times New Roman" w:hAnsi="Times New Roman" w:cs="Times New Roman"/>
          <w:sz w:val="32"/>
          <w:szCs w:val="32"/>
        </w:rPr>
      </w:pPr>
    </w:p>
    <w:p w14:paraId="13D05F2F" w14:textId="77B7C413" w:rsidR="0050368D" w:rsidRPr="00AB74F4" w:rsidRDefault="0050368D" w:rsidP="00B52ACE">
      <w:pPr>
        <w:pStyle w:val="TXT"/>
        <w:ind w:firstLine="0"/>
        <w:rPr>
          <w:rFonts w:ascii="Times New Roman" w:hAnsi="Times New Roman" w:cs="Times New Roman"/>
          <w:b/>
          <w:bCs/>
          <w:sz w:val="32"/>
          <w:szCs w:val="32"/>
        </w:rPr>
      </w:pPr>
      <w:r w:rsidRPr="00AB74F4">
        <w:rPr>
          <w:rFonts w:ascii="Times New Roman" w:hAnsi="Times New Roman" w:cs="Times New Roman"/>
          <w:b/>
          <w:bCs/>
          <w:sz w:val="32"/>
          <w:szCs w:val="32"/>
        </w:rPr>
        <w:t>What if somebody else, such as a parent, petitions a court to appoint a guardian or other representative for a lawyer’s client?</w:t>
      </w:r>
    </w:p>
    <w:p w14:paraId="47EB3C31" w14:textId="77777777" w:rsidR="0050368D" w:rsidRPr="00AB74F4" w:rsidRDefault="0050368D" w:rsidP="00B52ACE">
      <w:pPr>
        <w:pStyle w:val="TXT"/>
        <w:ind w:firstLine="0"/>
        <w:rPr>
          <w:rFonts w:ascii="Times New Roman" w:hAnsi="Times New Roman" w:cs="Times New Roman"/>
          <w:b/>
          <w:bCs/>
          <w:sz w:val="32"/>
          <w:szCs w:val="32"/>
        </w:rPr>
      </w:pPr>
    </w:p>
    <w:p w14:paraId="25EDB13C" w14:textId="2C97FCA6" w:rsidR="0050368D" w:rsidRPr="00AB74F4" w:rsidRDefault="0050368D" w:rsidP="00B52ACE">
      <w:pPr>
        <w:pStyle w:val="TXT"/>
        <w:ind w:firstLine="0"/>
        <w:rPr>
          <w:rFonts w:ascii="Times New Roman" w:hAnsi="Times New Roman" w:cs="Times New Roman"/>
          <w:sz w:val="32"/>
          <w:szCs w:val="32"/>
        </w:rPr>
      </w:pPr>
      <w:r w:rsidRPr="00AB74F4">
        <w:rPr>
          <w:rFonts w:ascii="Times New Roman" w:hAnsi="Times New Roman" w:cs="Times New Roman"/>
          <w:sz w:val="32"/>
          <w:szCs w:val="32"/>
        </w:rPr>
        <w:t>The lawyer should try to ascertain what the client wants and should advocate to support the client’s desires.  This may require the lawyer to oppose the petition.</w:t>
      </w:r>
      <w:r w:rsidRPr="00AB74F4">
        <w:rPr>
          <w:rStyle w:val="FootnoteReference"/>
          <w:rFonts w:ascii="Times New Roman" w:hAnsi="Times New Roman" w:cs="Times New Roman"/>
          <w:sz w:val="32"/>
          <w:szCs w:val="32"/>
        </w:rPr>
        <w:footnoteReference w:id="10"/>
      </w:r>
      <w:r w:rsidR="008C2ECA" w:rsidRPr="00AB74F4">
        <w:rPr>
          <w:rFonts w:ascii="Times New Roman" w:hAnsi="Times New Roman" w:cs="Times New Roman"/>
          <w:sz w:val="32"/>
          <w:szCs w:val="32"/>
        </w:rPr>
        <w:t xml:space="preserve"> </w:t>
      </w:r>
    </w:p>
    <w:p w14:paraId="4FB25EBA" w14:textId="77777777" w:rsidR="008C2ECA" w:rsidRPr="00AB74F4" w:rsidRDefault="008C2ECA" w:rsidP="00B52ACE">
      <w:pPr>
        <w:pStyle w:val="TXT"/>
        <w:ind w:firstLine="0"/>
        <w:rPr>
          <w:rFonts w:ascii="Times New Roman" w:hAnsi="Times New Roman" w:cs="Times New Roman"/>
          <w:sz w:val="32"/>
          <w:szCs w:val="32"/>
        </w:rPr>
      </w:pPr>
    </w:p>
    <w:p w14:paraId="79E3E424" w14:textId="2EB147AF" w:rsidR="008C2ECA" w:rsidRPr="00AB74F4" w:rsidRDefault="008C2ECA" w:rsidP="00B52ACE">
      <w:pPr>
        <w:pStyle w:val="TXT"/>
        <w:ind w:firstLine="0"/>
        <w:rPr>
          <w:rFonts w:ascii="Times New Roman" w:hAnsi="Times New Roman" w:cs="Times New Roman"/>
          <w:b/>
          <w:bCs/>
          <w:sz w:val="32"/>
          <w:szCs w:val="32"/>
        </w:rPr>
      </w:pPr>
      <w:r w:rsidRPr="00AB74F4">
        <w:rPr>
          <w:rFonts w:ascii="Times New Roman" w:hAnsi="Times New Roman" w:cs="Times New Roman"/>
          <w:b/>
          <w:bCs/>
          <w:sz w:val="32"/>
          <w:szCs w:val="32"/>
        </w:rPr>
        <w:t>What should the lawyer do if a court has appointed a conservator or guardian for the lawyer’s client?</w:t>
      </w:r>
    </w:p>
    <w:p w14:paraId="2C7C6EF0" w14:textId="77777777" w:rsidR="008C2ECA" w:rsidRPr="00AB74F4" w:rsidRDefault="008C2ECA" w:rsidP="00B52ACE">
      <w:pPr>
        <w:pStyle w:val="TXT"/>
        <w:ind w:firstLine="0"/>
        <w:rPr>
          <w:rFonts w:ascii="Times New Roman" w:hAnsi="Times New Roman" w:cs="Times New Roman"/>
          <w:b/>
          <w:bCs/>
          <w:sz w:val="32"/>
          <w:szCs w:val="32"/>
        </w:rPr>
      </w:pPr>
    </w:p>
    <w:p w14:paraId="24BCE279" w14:textId="5650BFDC" w:rsidR="008C2ECA" w:rsidRPr="00AB74F4" w:rsidRDefault="008C2ECA" w:rsidP="00B52ACE">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The lawyer should take directions from the appointee. However, the lawyer may represent a </w:t>
      </w:r>
      <w:r w:rsidR="0026687F" w:rsidRPr="00AB74F4">
        <w:rPr>
          <w:rFonts w:ascii="Times New Roman" w:hAnsi="Times New Roman" w:cs="Times New Roman"/>
          <w:sz w:val="32"/>
          <w:szCs w:val="32"/>
        </w:rPr>
        <w:t>client</w:t>
      </w:r>
      <w:r w:rsidRPr="00AB74F4">
        <w:rPr>
          <w:rFonts w:ascii="Times New Roman" w:hAnsi="Times New Roman" w:cs="Times New Roman"/>
          <w:sz w:val="32"/>
          <w:szCs w:val="32"/>
        </w:rPr>
        <w:t xml:space="preserve"> who wants to challenge or modify the terms of the conservatorship or guardianship. </w:t>
      </w:r>
    </w:p>
    <w:p w14:paraId="68B0F6D2" w14:textId="77777777" w:rsidR="00654EDF" w:rsidRPr="00AB74F4" w:rsidRDefault="00654EDF" w:rsidP="00B52ACE">
      <w:pPr>
        <w:pStyle w:val="TXT"/>
        <w:ind w:firstLine="0"/>
        <w:rPr>
          <w:rFonts w:ascii="Times New Roman" w:hAnsi="Times New Roman" w:cs="Times New Roman"/>
          <w:sz w:val="32"/>
          <w:szCs w:val="32"/>
        </w:rPr>
      </w:pPr>
    </w:p>
    <w:p w14:paraId="5DC63D44" w14:textId="28E15DA3" w:rsidR="00654EDF" w:rsidRPr="00AB74F4" w:rsidRDefault="00654EDF" w:rsidP="00654EDF">
      <w:pPr>
        <w:pStyle w:val="TXT"/>
        <w:ind w:left="540" w:firstLine="0"/>
        <w:rPr>
          <w:rFonts w:ascii="Times New Roman" w:hAnsi="Times New Roman" w:cs="Times New Roman"/>
          <w:sz w:val="32"/>
          <w:szCs w:val="32"/>
        </w:rPr>
      </w:pPr>
      <w:r w:rsidRPr="00AB74F4">
        <w:rPr>
          <w:rFonts w:ascii="Times New Roman" w:hAnsi="Times New Roman" w:cs="Times New Roman"/>
          <w:b/>
          <w:bCs/>
          <w:sz w:val="32"/>
          <w:szCs w:val="32"/>
        </w:rPr>
        <w:t xml:space="preserve">FOR EXAMPLE: </w:t>
      </w:r>
      <w:r w:rsidRPr="00AB74F4">
        <w:rPr>
          <w:rFonts w:ascii="Times New Roman" w:hAnsi="Times New Roman" w:cs="Times New Roman"/>
          <w:sz w:val="32"/>
          <w:szCs w:val="32"/>
        </w:rPr>
        <w:t>Attorney Matthew Rosengart successfully represented the singer Britney Spears in her effort to terminate conservatorships established by her father that for 13 years had controlled her money and her health treatments.</w:t>
      </w:r>
      <w:r w:rsidRPr="00AB74F4">
        <w:rPr>
          <w:rStyle w:val="FootnoteReference"/>
          <w:rFonts w:ascii="Times New Roman" w:hAnsi="Times New Roman" w:cs="Times New Roman"/>
          <w:sz w:val="32"/>
          <w:szCs w:val="32"/>
        </w:rPr>
        <w:footnoteReference w:id="11"/>
      </w:r>
      <w:r w:rsidRPr="00AB74F4">
        <w:rPr>
          <w:rFonts w:ascii="Times New Roman" w:hAnsi="Times New Roman" w:cs="Times New Roman"/>
          <w:sz w:val="32"/>
          <w:szCs w:val="32"/>
        </w:rPr>
        <w:t xml:space="preserve"> </w:t>
      </w:r>
    </w:p>
    <w:p w14:paraId="0683AA13" w14:textId="77777777" w:rsidR="00772AE0" w:rsidRPr="00AB74F4" w:rsidRDefault="00772AE0" w:rsidP="00654EDF">
      <w:pPr>
        <w:pStyle w:val="TXT"/>
        <w:ind w:left="540" w:firstLine="0"/>
        <w:rPr>
          <w:rFonts w:ascii="Times New Roman" w:hAnsi="Times New Roman" w:cs="Times New Roman"/>
          <w:sz w:val="32"/>
          <w:szCs w:val="32"/>
        </w:rPr>
      </w:pPr>
    </w:p>
    <w:p w14:paraId="65495DF8" w14:textId="3A7AE6EE" w:rsidR="00772AE0" w:rsidRPr="00AB74F4" w:rsidRDefault="00772AE0" w:rsidP="00E54957">
      <w:pPr>
        <w:pStyle w:val="TXT"/>
        <w:ind w:firstLine="0"/>
        <w:rPr>
          <w:rFonts w:ascii="Times New Roman" w:hAnsi="Times New Roman" w:cs="Times New Roman"/>
          <w:b/>
          <w:bCs/>
          <w:color w:val="000000" w:themeColor="text1"/>
          <w:sz w:val="32"/>
          <w:szCs w:val="32"/>
        </w:rPr>
      </w:pPr>
      <w:r w:rsidRPr="00AB74F4">
        <w:rPr>
          <w:rFonts w:ascii="Times New Roman" w:hAnsi="Times New Roman" w:cs="Times New Roman"/>
          <w:b/>
          <w:bCs/>
          <w:color w:val="000000" w:themeColor="text1"/>
          <w:sz w:val="32"/>
          <w:szCs w:val="32"/>
        </w:rPr>
        <w:t xml:space="preserve">Should </w:t>
      </w:r>
      <w:r w:rsidR="00E54957" w:rsidRPr="00AB74F4">
        <w:rPr>
          <w:rFonts w:ascii="Times New Roman" w:hAnsi="Times New Roman" w:cs="Times New Roman"/>
          <w:b/>
          <w:bCs/>
          <w:color w:val="000000" w:themeColor="text1"/>
          <w:sz w:val="32"/>
          <w:szCs w:val="32"/>
        </w:rPr>
        <w:t xml:space="preserve">a </w:t>
      </w:r>
      <w:r w:rsidRPr="00AB74F4">
        <w:rPr>
          <w:rFonts w:ascii="Times New Roman" w:hAnsi="Times New Roman" w:cs="Times New Roman"/>
          <w:b/>
          <w:bCs/>
          <w:color w:val="000000" w:themeColor="text1"/>
          <w:sz w:val="32"/>
          <w:szCs w:val="32"/>
        </w:rPr>
        <w:t xml:space="preserve">lawyer representing </w:t>
      </w:r>
      <w:r w:rsidR="00E54957" w:rsidRPr="00AB74F4">
        <w:rPr>
          <w:rFonts w:ascii="Times New Roman" w:hAnsi="Times New Roman" w:cs="Times New Roman"/>
          <w:b/>
          <w:bCs/>
          <w:color w:val="000000" w:themeColor="text1"/>
          <w:sz w:val="32"/>
          <w:szCs w:val="32"/>
        </w:rPr>
        <w:t xml:space="preserve">a </w:t>
      </w:r>
      <w:r w:rsidRPr="00AB74F4">
        <w:rPr>
          <w:rFonts w:ascii="Times New Roman" w:hAnsi="Times New Roman" w:cs="Times New Roman"/>
          <w:b/>
          <w:bCs/>
          <w:color w:val="000000" w:themeColor="text1"/>
          <w:sz w:val="32"/>
          <w:szCs w:val="32"/>
        </w:rPr>
        <w:t xml:space="preserve">criminal defendant with decision-making limitations </w:t>
      </w:r>
      <w:r w:rsidR="00E54957" w:rsidRPr="00AB74F4">
        <w:rPr>
          <w:rFonts w:ascii="Times New Roman" w:hAnsi="Times New Roman" w:cs="Times New Roman"/>
          <w:b/>
          <w:bCs/>
          <w:color w:val="000000" w:themeColor="text1"/>
          <w:sz w:val="32"/>
          <w:szCs w:val="32"/>
        </w:rPr>
        <w:t>consider additional measures?</w:t>
      </w:r>
    </w:p>
    <w:p w14:paraId="4CFE8189" w14:textId="77777777" w:rsidR="00772AE0" w:rsidRPr="00AB74F4" w:rsidRDefault="00772AE0" w:rsidP="00654EDF">
      <w:pPr>
        <w:pStyle w:val="TXT"/>
        <w:ind w:left="540" w:firstLine="0"/>
        <w:rPr>
          <w:rFonts w:ascii="Times New Roman" w:hAnsi="Times New Roman" w:cs="Times New Roman"/>
          <w:sz w:val="32"/>
          <w:szCs w:val="32"/>
        </w:rPr>
      </w:pPr>
    </w:p>
    <w:p w14:paraId="4A2E435A" w14:textId="055F937D" w:rsidR="00E54957" w:rsidRPr="00AB74F4" w:rsidRDefault="00E54957" w:rsidP="0095027B">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Yes. To protect such a defendant’s constitutional rights, the lawyer may have to seek a mental health examination to determine whether the client is capable of a decision to plead guilty or to testify, and to determine </w:t>
      </w:r>
      <w:r w:rsidRPr="00AB74F4">
        <w:rPr>
          <w:rFonts w:ascii="Times New Roman" w:hAnsi="Times New Roman" w:cs="Times New Roman"/>
          <w:sz w:val="32"/>
          <w:szCs w:val="32"/>
        </w:rPr>
        <w:lastRenderedPageBreak/>
        <w:t>whether the client can meaningfully participate in a trial. A client might object to such an examination, and judicial decisions vary with regard to whether such a client’s objections may be overridden.</w:t>
      </w:r>
      <w:r w:rsidRPr="00AB74F4">
        <w:rPr>
          <w:rStyle w:val="FootnoteReference"/>
          <w:rFonts w:ascii="Times New Roman" w:hAnsi="Times New Roman" w:cs="Times New Roman"/>
          <w:sz w:val="32"/>
          <w:szCs w:val="32"/>
        </w:rPr>
        <w:footnoteReference w:id="12"/>
      </w:r>
    </w:p>
    <w:p w14:paraId="5AB4238F" w14:textId="77777777" w:rsidR="003E0047" w:rsidRPr="00AB74F4" w:rsidRDefault="003E0047" w:rsidP="00E54957">
      <w:pPr>
        <w:pStyle w:val="TXT"/>
        <w:rPr>
          <w:rFonts w:ascii="Times New Roman" w:hAnsi="Times New Roman" w:cs="Times New Roman"/>
          <w:sz w:val="32"/>
          <w:szCs w:val="32"/>
        </w:rPr>
      </w:pPr>
    </w:p>
    <w:p w14:paraId="290B9478" w14:textId="34F98F59" w:rsidR="003E0047" w:rsidRPr="00AB74F4" w:rsidRDefault="003E0047" w:rsidP="003E0047">
      <w:pPr>
        <w:pStyle w:val="TXT"/>
        <w:ind w:firstLine="0"/>
        <w:rPr>
          <w:rFonts w:ascii="Times New Roman" w:hAnsi="Times New Roman" w:cs="Times New Roman"/>
          <w:sz w:val="32"/>
          <w:szCs w:val="32"/>
        </w:rPr>
      </w:pPr>
      <w:r w:rsidRPr="00AB74F4">
        <w:rPr>
          <w:rFonts w:ascii="Times New Roman" w:hAnsi="Times New Roman" w:cs="Times New Roman"/>
          <w:sz w:val="32"/>
          <w:szCs w:val="32"/>
        </w:rPr>
        <w:t>If the client who is a criminal defendant is capable of making decisions, the lawyer must act in accordance with the client’s wishes, even if the lawyer believes that those decisions are foolish or self-destructive.</w:t>
      </w:r>
    </w:p>
    <w:p w14:paraId="42C58FCF" w14:textId="77777777" w:rsidR="003E0047" w:rsidRPr="00AB74F4" w:rsidRDefault="003E0047" w:rsidP="003E0047">
      <w:pPr>
        <w:pStyle w:val="Q1H"/>
        <w:spacing w:after="0"/>
        <w:rPr>
          <w:rFonts w:ascii="Times New Roman" w:hAnsi="Times New Roman" w:cs="Times New Roman"/>
          <w:sz w:val="32"/>
          <w:szCs w:val="32"/>
        </w:rPr>
      </w:pPr>
      <w:r w:rsidRPr="00AB74F4">
        <w:rPr>
          <w:rStyle w:val="Q1H1"/>
          <w:rFonts w:ascii="Times New Roman" w:hAnsi="Times New Roman" w:cs="Times New Roman"/>
          <w:b/>
          <w:sz w:val="32"/>
          <w:szCs w:val="32"/>
        </w:rPr>
        <w:t>FOR EXAMPLE:</w:t>
      </w:r>
      <w:r w:rsidRPr="00AB74F4">
        <w:rPr>
          <w:rStyle w:val="BOLD"/>
          <w:rFonts w:ascii="Times New Roman" w:hAnsi="Times New Roman" w:cs="Times New Roman"/>
          <w:bCs/>
          <w:sz w:val="32"/>
          <w:szCs w:val="32"/>
        </w:rPr>
        <w:t> </w:t>
      </w:r>
      <w:r w:rsidRPr="00AB74F4">
        <w:rPr>
          <w:rFonts w:ascii="Times New Roman" w:hAnsi="Times New Roman" w:cs="Times New Roman"/>
          <w:sz w:val="32"/>
          <w:szCs w:val="32"/>
        </w:rPr>
        <w:t>Robert McCoy was charged in Louisiana with murdering his wife’s mother, stepfather, and son. Larry English represented McCoy. The forensic evidence of McCoy’s guilt was overwhelming. A cordless phone on which one of the victims had called 911 was found in McCoy’s car. McCoy hitched a ride in a truck shortly after the murder. The murder weapon was found under the passenger seat by police who stopped the truck, and McCoy was arrested. A psychiatrist evaluated McCoy and found him competent to stand trial. The prosecutor sought the death penalty.</w:t>
      </w:r>
    </w:p>
    <w:p w14:paraId="302ACF0B" w14:textId="77777777" w:rsidR="003E0047" w:rsidRPr="00AB74F4" w:rsidRDefault="003E0047" w:rsidP="003E0047">
      <w:pPr>
        <w:pStyle w:val="Q1Hmid"/>
        <w:spacing w:before="0"/>
        <w:ind w:firstLine="360"/>
        <w:rPr>
          <w:rFonts w:ascii="Times New Roman" w:hAnsi="Times New Roman" w:cs="Times New Roman"/>
          <w:sz w:val="32"/>
          <w:szCs w:val="32"/>
        </w:rPr>
      </w:pPr>
      <w:r w:rsidRPr="00AB74F4">
        <w:rPr>
          <w:rFonts w:ascii="Times New Roman" w:hAnsi="Times New Roman" w:cs="Times New Roman"/>
          <w:sz w:val="32"/>
          <w:szCs w:val="32"/>
        </w:rPr>
        <w:t xml:space="preserve">McCoy wanted to protest his innocence and claim that corrupt police officers committed the murders in a drug deal gone bad and had framed him. English could find no evidence to support this claim. To save McCoy’s life, English wanted McCoy to admit that he had killed the victims but to urge that his mental state was so impaired that he could not have had the premeditation to commit first-degree murder. This strategy was risky because Louisiana did not have a crime of second-degree murder, so the jury would have to find McCoy either innocent or guilty of first-degree murder. English hoped that if McCoy admitted the killing and showed remorse, the jury would sentence him to life in prison rather than death. </w:t>
      </w:r>
    </w:p>
    <w:p w14:paraId="7555A07A" w14:textId="05730172" w:rsidR="003E0047" w:rsidRPr="00AB74F4" w:rsidRDefault="003E0047" w:rsidP="003E0047">
      <w:pPr>
        <w:pStyle w:val="Q1Hmid"/>
        <w:spacing w:before="0"/>
        <w:ind w:firstLine="360"/>
        <w:rPr>
          <w:rFonts w:ascii="Times New Roman" w:hAnsi="Times New Roman" w:cs="Times New Roman"/>
          <w:sz w:val="32"/>
          <w:szCs w:val="32"/>
        </w:rPr>
      </w:pPr>
      <w:r w:rsidRPr="00AB74F4">
        <w:rPr>
          <w:rFonts w:ascii="Times New Roman" w:hAnsi="Times New Roman" w:cs="Times New Roman"/>
          <w:sz w:val="32"/>
          <w:szCs w:val="32"/>
        </w:rPr>
        <w:t xml:space="preserve">McCoy rejected his lawyer’s strategy and insisted on proclaiming his innocence. English entered a not guilty plea for McCoy, but in his opening statement, he told the jury that McCoy had committed the killings. McCoy interrupted to object, but English repeated the assertion. The jury found McCoy guilty and sentenced him to death. The Louisiana Supreme Court affirmed. The U.S. Supreme Court </w:t>
      </w:r>
      <w:r w:rsidRPr="00AB74F4">
        <w:rPr>
          <w:rFonts w:ascii="Times New Roman" w:hAnsi="Times New Roman" w:cs="Times New Roman"/>
          <w:sz w:val="32"/>
          <w:szCs w:val="32"/>
        </w:rPr>
        <w:lastRenderedPageBreak/>
        <w:t xml:space="preserve">reversed the conviction, finding that by allowing English to usurp McCoy’s autonomy on an issue that was his sole prerogative, the court had denied McCoy his Sixth Amendment rights. McCoy did not need to show “prejudice” as required by </w:t>
      </w:r>
      <w:r w:rsidRPr="00AB74F4">
        <w:rPr>
          <w:rStyle w:val="ITALIC"/>
          <w:rFonts w:ascii="Times New Roman" w:hAnsi="Times New Roman" w:cs="Times New Roman"/>
          <w:iCs/>
          <w:sz w:val="32"/>
          <w:szCs w:val="32"/>
        </w:rPr>
        <w:t>Strickland</w:t>
      </w:r>
      <w:r w:rsidRPr="00AB74F4">
        <w:rPr>
          <w:rFonts w:ascii="Times New Roman" w:hAnsi="Times New Roman" w:cs="Times New Roman"/>
          <w:sz w:val="32"/>
          <w:szCs w:val="32"/>
        </w:rPr>
        <w:t xml:space="preserve"> because the violation of McCoy’s autonomy was a “structural” error.</w:t>
      </w:r>
      <w:r w:rsidRPr="00AB74F4">
        <w:rPr>
          <w:rStyle w:val="FootnoteReference"/>
          <w:rFonts w:ascii="Times New Roman" w:hAnsi="Times New Roman" w:cs="Times New Roman"/>
          <w:sz w:val="32"/>
          <w:szCs w:val="32"/>
        </w:rPr>
        <w:footnoteReference w:id="13"/>
      </w:r>
      <w:r w:rsidRPr="00AB74F4">
        <w:rPr>
          <w:rStyle w:val="Q1H1"/>
          <w:rFonts w:ascii="Times New Roman" w:hAnsi="Times New Roman" w:cs="Times New Roman"/>
          <w:b/>
          <w:sz w:val="32"/>
          <w:szCs w:val="32"/>
        </w:rPr>
        <w:t xml:space="preserve"> </w:t>
      </w:r>
    </w:p>
    <w:p w14:paraId="70FA4D19" w14:textId="77777777" w:rsidR="003E0047" w:rsidRPr="00AB74F4" w:rsidRDefault="003E0047" w:rsidP="003E0047">
      <w:pPr>
        <w:pStyle w:val="Q1Hmid"/>
        <w:spacing w:before="0"/>
        <w:ind w:firstLine="360"/>
        <w:rPr>
          <w:rFonts w:ascii="Times New Roman" w:hAnsi="Times New Roman" w:cs="Times New Roman"/>
          <w:sz w:val="32"/>
          <w:szCs w:val="32"/>
        </w:rPr>
      </w:pPr>
    </w:p>
    <w:p w14:paraId="4D6C9DC2" w14:textId="1975021D" w:rsidR="003E0047" w:rsidRPr="00AB74F4" w:rsidRDefault="003E0047" w:rsidP="003E0047">
      <w:pPr>
        <w:pStyle w:val="TXT"/>
        <w:ind w:firstLine="0"/>
        <w:rPr>
          <w:rFonts w:ascii="Times New Roman" w:hAnsi="Times New Roman" w:cs="Times New Roman"/>
          <w:sz w:val="32"/>
          <w:szCs w:val="32"/>
        </w:rPr>
      </w:pPr>
      <w:r w:rsidRPr="00AB74F4">
        <w:rPr>
          <w:rFonts w:ascii="Times New Roman" w:hAnsi="Times New Roman" w:cs="Times New Roman"/>
          <w:sz w:val="32"/>
          <w:szCs w:val="32"/>
        </w:rPr>
        <w:t>Wr</w:t>
      </w:r>
      <w:r w:rsidR="0045641A" w:rsidRPr="00AB74F4">
        <w:rPr>
          <w:rFonts w:ascii="Times New Roman" w:hAnsi="Times New Roman" w:cs="Times New Roman"/>
          <w:sz w:val="32"/>
          <w:szCs w:val="32"/>
        </w:rPr>
        <w:t>i</w:t>
      </w:r>
      <w:r w:rsidRPr="00AB74F4">
        <w:rPr>
          <w:rFonts w:ascii="Times New Roman" w:hAnsi="Times New Roman" w:cs="Times New Roman"/>
          <w:sz w:val="32"/>
          <w:szCs w:val="32"/>
        </w:rPr>
        <w:t xml:space="preserve">ting before the ABA adopted the current version of Rule 1.14, Robin Maher, who has represented death penalty defendants and was the director of the ABA’s Death Penalty Representation Project, criticized the </w:t>
      </w:r>
      <w:r w:rsidRPr="00AB74F4">
        <w:rPr>
          <w:rStyle w:val="ITALIC"/>
          <w:rFonts w:ascii="Times New Roman" w:hAnsi="Times New Roman" w:cs="Times New Roman"/>
          <w:iCs/>
          <w:sz w:val="32"/>
          <w:szCs w:val="32"/>
        </w:rPr>
        <w:t>McCoy</w:t>
      </w:r>
      <w:r w:rsidRPr="00AB74F4">
        <w:rPr>
          <w:rFonts w:ascii="Times New Roman" w:hAnsi="Times New Roman" w:cs="Times New Roman"/>
          <w:sz w:val="32"/>
          <w:szCs w:val="32"/>
        </w:rPr>
        <w:t xml:space="preserve"> decision. Maher notes that there were clear signs that McCoy was mentally ill. He had attempted suicide and at times appeared delusional, even though he was judged competent to stand trial. Maher urges that mentally ill defendants charged with serious crimes cannot be expected to make good decisions in their own defense, so their lawyers need to take charge.</w:t>
      </w:r>
      <w:r w:rsidRPr="00AB74F4">
        <w:rPr>
          <w:rStyle w:val="FootnoteReference"/>
          <w:rFonts w:ascii="Times New Roman" w:hAnsi="Times New Roman" w:cs="Times New Roman"/>
          <w:sz w:val="32"/>
          <w:szCs w:val="32"/>
        </w:rPr>
        <w:footnoteReference w:id="14"/>
      </w:r>
    </w:p>
    <w:p w14:paraId="118E8A6B" w14:textId="77777777" w:rsidR="00E54957" w:rsidRPr="00AB74F4" w:rsidRDefault="00E54957" w:rsidP="00E54957">
      <w:pPr>
        <w:pStyle w:val="TXT"/>
        <w:rPr>
          <w:rFonts w:ascii="Times New Roman" w:hAnsi="Times New Roman" w:cs="Times New Roman"/>
          <w:sz w:val="32"/>
          <w:szCs w:val="32"/>
        </w:rPr>
      </w:pPr>
    </w:p>
    <w:p w14:paraId="0C6839A9" w14:textId="2E3DB9D5" w:rsidR="00E54957" w:rsidRPr="00AB74F4" w:rsidRDefault="00E54957" w:rsidP="00E54957">
      <w:pPr>
        <w:pStyle w:val="TXT"/>
        <w:ind w:firstLine="0"/>
        <w:rPr>
          <w:rFonts w:ascii="Times New Roman" w:hAnsi="Times New Roman" w:cs="Times New Roman"/>
          <w:b/>
          <w:bCs/>
          <w:color w:val="000000" w:themeColor="text1"/>
          <w:sz w:val="32"/>
          <w:szCs w:val="32"/>
        </w:rPr>
      </w:pPr>
      <w:r w:rsidRPr="00AB74F4">
        <w:rPr>
          <w:rFonts w:ascii="Times New Roman" w:hAnsi="Times New Roman" w:cs="Times New Roman"/>
          <w:b/>
          <w:bCs/>
          <w:color w:val="000000" w:themeColor="text1"/>
          <w:sz w:val="32"/>
          <w:szCs w:val="32"/>
        </w:rPr>
        <w:t xml:space="preserve">What should a lawyer do if </w:t>
      </w:r>
      <w:r w:rsidR="001147BE" w:rsidRPr="00AB74F4">
        <w:rPr>
          <w:rFonts w:ascii="Times New Roman" w:hAnsi="Times New Roman" w:cs="Times New Roman"/>
          <w:b/>
          <w:bCs/>
          <w:color w:val="000000" w:themeColor="text1"/>
          <w:sz w:val="32"/>
          <w:szCs w:val="32"/>
        </w:rPr>
        <w:t>a client or other person</w:t>
      </w:r>
      <w:r w:rsidRPr="00AB74F4">
        <w:rPr>
          <w:rFonts w:ascii="Times New Roman" w:hAnsi="Times New Roman" w:cs="Times New Roman"/>
          <w:b/>
          <w:bCs/>
          <w:color w:val="000000" w:themeColor="text1"/>
          <w:sz w:val="32"/>
          <w:szCs w:val="32"/>
        </w:rPr>
        <w:t xml:space="preserve"> faces a health or financial emergency but has a condition </w:t>
      </w:r>
      <w:r w:rsidR="001147BE" w:rsidRPr="00AB74F4">
        <w:rPr>
          <w:rFonts w:ascii="Times New Roman" w:hAnsi="Times New Roman" w:cs="Times New Roman"/>
          <w:b/>
          <w:bCs/>
          <w:color w:val="000000" w:themeColor="text1"/>
          <w:sz w:val="32"/>
          <w:szCs w:val="32"/>
        </w:rPr>
        <w:t xml:space="preserve">limits decision making and </w:t>
      </w:r>
      <w:r w:rsidRPr="00AB74F4">
        <w:rPr>
          <w:rFonts w:ascii="Times New Roman" w:hAnsi="Times New Roman" w:cs="Times New Roman"/>
          <w:b/>
          <w:bCs/>
          <w:color w:val="000000" w:themeColor="text1"/>
          <w:sz w:val="32"/>
          <w:szCs w:val="32"/>
        </w:rPr>
        <w:t xml:space="preserve">is so serious that it prevents the </w:t>
      </w:r>
      <w:r w:rsidR="001147BE" w:rsidRPr="00AB74F4">
        <w:rPr>
          <w:rFonts w:ascii="Times New Roman" w:hAnsi="Times New Roman" w:cs="Times New Roman"/>
          <w:b/>
          <w:bCs/>
          <w:color w:val="000000" w:themeColor="text1"/>
          <w:sz w:val="32"/>
          <w:szCs w:val="32"/>
        </w:rPr>
        <w:t xml:space="preserve">person </w:t>
      </w:r>
      <w:r w:rsidRPr="00AB74F4">
        <w:rPr>
          <w:rFonts w:ascii="Times New Roman" w:hAnsi="Times New Roman" w:cs="Times New Roman"/>
          <w:b/>
          <w:bCs/>
          <w:color w:val="000000" w:themeColor="text1"/>
          <w:sz w:val="32"/>
          <w:szCs w:val="32"/>
        </w:rPr>
        <w:t>from even forming or continuing a lawyer-client relationship?</w:t>
      </w:r>
    </w:p>
    <w:p w14:paraId="0A9C3E7A" w14:textId="77777777" w:rsidR="00E54957" w:rsidRPr="00AB74F4" w:rsidRDefault="00E54957" w:rsidP="00E54957">
      <w:pPr>
        <w:pStyle w:val="TXT"/>
        <w:ind w:firstLine="0"/>
        <w:rPr>
          <w:rFonts w:ascii="Times New Roman" w:hAnsi="Times New Roman" w:cs="Times New Roman"/>
          <w:sz w:val="32"/>
          <w:szCs w:val="32"/>
        </w:rPr>
      </w:pPr>
    </w:p>
    <w:p w14:paraId="507FC95C" w14:textId="0435E402" w:rsidR="00E54957" w:rsidRPr="00AB74F4" w:rsidRDefault="00E54957" w:rsidP="0095027B">
      <w:pPr>
        <w:pStyle w:val="TXT"/>
        <w:ind w:firstLine="0"/>
        <w:rPr>
          <w:rFonts w:ascii="Times New Roman" w:hAnsi="Times New Roman" w:cs="Times New Roman"/>
          <w:sz w:val="32"/>
          <w:szCs w:val="32"/>
        </w:rPr>
      </w:pPr>
      <w:r w:rsidRPr="00AB74F4">
        <w:rPr>
          <w:rFonts w:ascii="Times New Roman" w:hAnsi="Times New Roman" w:cs="Times New Roman"/>
          <w:sz w:val="32"/>
          <w:szCs w:val="32"/>
        </w:rPr>
        <w:t xml:space="preserve">Comment </w:t>
      </w:r>
      <w:r w:rsidR="001147BE" w:rsidRPr="00AB74F4">
        <w:rPr>
          <w:rFonts w:ascii="Times New Roman" w:hAnsi="Times New Roman" w:cs="Times New Roman"/>
          <w:sz w:val="32"/>
          <w:szCs w:val="32"/>
        </w:rPr>
        <w:t>19 addresses the situation in which such a person has consulted with a lawyer, or in which someone else has consulted with a lawyer on the person’s behalf. If the person has no other lawyer or other agent available to act, and the person’s substantial health, safety, or financial interest is threatened with irreparable harm, the lawyer may take legal action on behalf of the person.  This appears to be the only situation in which a lawyer can take legal action on behalf of another person without having formed a lawyer-client relationship.</w:t>
      </w:r>
    </w:p>
    <w:p w14:paraId="08C92151" w14:textId="77777777" w:rsidR="00E54957" w:rsidRPr="00AB74F4" w:rsidRDefault="00E54957" w:rsidP="00654EDF">
      <w:pPr>
        <w:pStyle w:val="TXT"/>
        <w:ind w:left="540" w:firstLine="0"/>
        <w:rPr>
          <w:rFonts w:ascii="Times New Roman" w:hAnsi="Times New Roman" w:cs="Times New Roman"/>
          <w:sz w:val="32"/>
          <w:szCs w:val="32"/>
        </w:rPr>
      </w:pPr>
    </w:p>
    <w:p w14:paraId="2758258A" w14:textId="77777777" w:rsidR="006067CF" w:rsidRDefault="006067CF">
      <w:pPr>
        <w:rPr>
          <w:rFonts w:ascii="Times New Roman" w:eastAsia="Times New Roman" w:hAnsi="Times New Roman" w:cs="Times New Roman"/>
          <w:b/>
          <w:bCs/>
          <w:color w:val="000000"/>
          <w:kern w:val="0"/>
          <w:sz w:val="32"/>
          <w:szCs w:val="32"/>
          <w:lang w:eastAsia="en-IN"/>
          <w14:ligatures w14:val="none"/>
        </w:rPr>
      </w:pPr>
      <w:r>
        <w:rPr>
          <w:rFonts w:ascii="Times New Roman" w:hAnsi="Times New Roman" w:cs="Times New Roman"/>
          <w:b/>
          <w:bCs/>
          <w:sz w:val="32"/>
          <w:szCs w:val="32"/>
        </w:rPr>
        <w:br w:type="page"/>
      </w:r>
    </w:p>
    <w:p w14:paraId="626ACA04" w14:textId="2FAD530F" w:rsidR="0045641A" w:rsidRPr="00AB74F4" w:rsidRDefault="0045641A" w:rsidP="0095027B">
      <w:pPr>
        <w:pStyle w:val="TXT"/>
        <w:spacing w:line="240" w:lineRule="auto"/>
        <w:ind w:firstLine="0"/>
        <w:rPr>
          <w:rFonts w:ascii="Times New Roman" w:hAnsi="Times New Roman" w:cs="Times New Roman"/>
          <w:b/>
          <w:bCs/>
          <w:sz w:val="32"/>
          <w:szCs w:val="32"/>
        </w:rPr>
      </w:pPr>
      <w:r w:rsidRPr="00AB74F4">
        <w:rPr>
          <w:rFonts w:ascii="Times New Roman" w:hAnsi="Times New Roman" w:cs="Times New Roman"/>
          <w:b/>
          <w:bCs/>
          <w:sz w:val="32"/>
          <w:szCs w:val="32"/>
        </w:rPr>
        <w:lastRenderedPageBreak/>
        <w:t>PROBLEM 3-5</w:t>
      </w:r>
    </w:p>
    <w:p w14:paraId="39C424D8" w14:textId="49B736FD" w:rsidR="004027AA" w:rsidRPr="00AB74F4" w:rsidRDefault="004027AA" w:rsidP="0095027B">
      <w:pPr>
        <w:pStyle w:val="NEPQH2"/>
        <w:spacing w:line="240" w:lineRule="auto"/>
        <w:rPr>
          <w:rFonts w:ascii="Times New Roman" w:hAnsi="Times New Roman" w:cs="Times New Roman"/>
          <w:b/>
        </w:rPr>
      </w:pPr>
      <w:r w:rsidRPr="00AB74F4">
        <w:rPr>
          <w:rFonts w:ascii="Times New Roman" w:hAnsi="Times New Roman" w:cs="Times New Roman"/>
          <w:b/>
        </w:rPr>
        <w:t>VINYL WINDOWS</w:t>
      </w:r>
    </w:p>
    <w:p w14:paraId="32A5DFCC" w14:textId="6C365136" w:rsidR="004027AA" w:rsidRPr="00AB74F4" w:rsidRDefault="004027AA" w:rsidP="004027AA">
      <w:pPr>
        <w:pStyle w:val="NEPQEXT"/>
        <w:rPr>
          <w:rFonts w:ascii="Times New Roman" w:hAnsi="Times New Roman" w:cs="Times New Roman"/>
          <w:b/>
          <w:sz w:val="32"/>
          <w:szCs w:val="32"/>
        </w:rPr>
      </w:pPr>
      <w:r w:rsidRPr="00AB74F4">
        <w:rPr>
          <w:rStyle w:val="BOLDITAL"/>
          <w:rFonts w:ascii="Times New Roman" w:hAnsi="Times New Roman" w:cs="Times New Roman"/>
          <w:bCs/>
          <w:i/>
          <w:sz w:val="32"/>
          <w:szCs w:val="32"/>
        </w:rPr>
        <w:t>The facts of this problem are drawn from a real case in which the client was represented by students in a law school clinic</w:t>
      </w:r>
      <w:r w:rsidR="0045641A" w:rsidRPr="00AB74F4">
        <w:rPr>
          <w:rStyle w:val="BOLDITAL"/>
          <w:rFonts w:ascii="Times New Roman" w:hAnsi="Times New Roman" w:cs="Times New Roman"/>
          <w:bCs/>
          <w:i/>
          <w:sz w:val="32"/>
          <w:szCs w:val="32"/>
        </w:rPr>
        <w:t>.</w:t>
      </w:r>
    </w:p>
    <w:p w14:paraId="20877385" w14:textId="7AD66B0A" w:rsidR="004027AA" w:rsidRPr="00AB74F4" w:rsidRDefault="004027AA" w:rsidP="004027AA">
      <w:pPr>
        <w:pStyle w:val="NEPQEXT2first"/>
        <w:spacing w:before="120"/>
        <w:rPr>
          <w:rFonts w:ascii="Times New Roman" w:hAnsi="Times New Roman" w:cs="Times New Roman"/>
          <w:sz w:val="32"/>
          <w:szCs w:val="32"/>
        </w:rPr>
      </w:pPr>
      <w:r w:rsidRPr="00AB74F4">
        <w:rPr>
          <w:rFonts w:ascii="Times New Roman" w:hAnsi="Times New Roman" w:cs="Times New Roman"/>
          <w:sz w:val="32"/>
          <w:szCs w:val="32"/>
        </w:rPr>
        <w:t>You work as a staff attorney at the civil legal assistance office. A few days ago, Mary McCabe contacted your office and said that she needed legal help because she had just been sued. She was too old to come to your office. You went to see her at her home.</w:t>
      </w:r>
    </w:p>
    <w:p w14:paraId="07678A10"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McCabe was a small, frail woman. During your first conversation, she told you that she was 83 years old. Her house was a large Tudor-style home which she and her husband had bought nearly 50 years ago. She had been a widow for 8 years. The house appeared to be in good condition. The living room was very cluttered.</w:t>
      </w:r>
    </w:p>
    <w:p w14:paraId="2A284C00"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 xml:space="preserve">McCabe told you that two salesmen for a company called </w:t>
      </w:r>
      <w:proofErr w:type="spellStart"/>
      <w:r w:rsidRPr="00AB74F4">
        <w:rPr>
          <w:rFonts w:ascii="Times New Roman" w:hAnsi="Times New Roman" w:cs="Times New Roman"/>
          <w:sz w:val="32"/>
          <w:szCs w:val="32"/>
        </w:rPr>
        <w:t>Stormguard</w:t>
      </w:r>
      <w:proofErr w:type="spellEnd"/>
      <w:r w:rsidRPr="00AB74F4">
        <w:rPr>
          <w:rFonts w:ascii="Times New Roman" w:hAnsi="Times New Roman" w:cs="Times New Roman"/>
          <w:sz w:val="32"/>
          <w:szCs w:val="32"/>
        </w:rPr>
        <w:t xml:space="preserve"> had come to her door about a year ago and talked with her about installing new vinyl windows in her house. She didn’t think that she needed new windows, but after conversing with them over a cup of tea, she agreed to let them put some windows in. She signed some papers, and the salesmen asked for some money. She didn’t have a checking account or any credit cards, so she went with them to the bank, withdrew money from her account, and gave them a bank check. At the time, she had most of her life savings, $28,000, in that account. She also owns the house. Two weeks later, work on the windows started. Each time the men came to work on the windows, they asked her to go to the bank with them and have the teller give them another bank check for a portion of the amount due.</w:t>
      </w:r>
    </w:p>
    <w:p w14:paraId="66F85AB7"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 xml:space="preserve">Eventually the windows were completed, but when the men asked her to pay the last $1,800, McCabe complained that one of the window frames leaked, and they had damaged one wall while installing one of the windows. She refused to make the last </w:t>
      </w:r>
      <w:r w:rsidRPr="00AB74F4">
        <w:rPr>
          <w:rFonts w:ascii="Times New Roman" w:hAnsi="Times New Roman" w:cs="Times New Roman"/>
          <w:sz w:val="32"/>
          <w:szCs w:val="32"/>
        </w:rPr>
        <w:lastRenderedPageBreak/>
        <w:t>payment. Now the company has sued her for $1,800. She showed you the complaint from the small claims court, which states that she agreed to pay $17,800 but never paid the final $1,800 installment.</w:t>
      </w:r>
    </w:p>
    <w:p w14:paraId="60BCF997"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McCabe was quite confused about how much money she already paid, or when. When you asked to see any contracts, receipts, or other documents the company’s men or the bank might have given her, she got distracted and started talking about “those crazy boys” who were putting in the windows. She told you that the red-headed one made a lot of jokes and that the tall one never seemed quite well. She smiled as she remembered how much they liked the brownies that she made for them. You started wondering whether your client bought the windows because she enjoyed her visits with the installers. McCabe also thinks that one of the installers stole $800 in cash from underneath her mattress.</w:t>
      </w:r>
    </w:p>
    <w:p w14:paraId="4CC01143"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 xml:space="preserve">You laid out the options for McCabe. You told her that you know from prior experience with </w:t>
      </w:r>
      <w:proofErr w:type="spellStart"/>
      <w:r w:rsidRPr="00AB74F4">
        <w:rPr>
          <w:rFonts w:ascii="Times New Roman" w:hAnsi="Times New Roman" w:cs="Times New Roman"/>
          <w:sz w:val="32"/>
          <w:szCs w:val="32"/>
        </w:rPr>
        <w:t>Stormguard’s</w:t>
      </w:r>
      <w:proofErr w:type="spellEnd"/>
      <w:r w:rsidRPr="00AB74F4">
        <w:rPr>
          <w:rFonts w:ascii="Times New Roman" w:hAnsi="Times New Roman" w:cs="Times New Roman"/>
          <w:sz w:val="32"/>
          <w:szCs w:val="32"/>
        </w:rPr>
        <w:t xml:space="preserve"> lawyer (whose name was on the summons) that when he gets to court, he offers to settle for about 50 percent of the amount stated in the complaint. If he takes this course, she could probably terminate the lawsuit by paying $900.</w:t>
      </w:r>
    </w:p>
    <w:p w14:paraId="7F631765" w14:textId="77777777" w:rsidR="004027AA" w:rsidRPr="00AB74F4" w:rsidRDefault="004027AA" w:rsidP="004027AA">
      <w:pPr>
        <w:pStyle w:val="NEPQEXT2"/>
        <w:ind w:firstLine="360"/>
        <w:rPr>
          <w:rFonts w:ascii="Times New Roman" w:hAnsi="Times New Roman" w:cs="Times New Roman"/>
          <w:sz w:val="32"/>
          <w:szCs w:val="32"/>
        </w:rPr>
      </w:pPr>
      <w:r w:rsidRPr="00AB74F4">
        <w:rPr>
          <w:rFonts w:ascii="Times New Roman" w:hAnsi="Times New Roman" w:cs="Times New Roman"/>
          <w:sz w:val="32"/>
          <w:szCs w:val="32"/>
        </w:rPr>
        <w:t>You told her that she could</w:t>
      </w:r>
    </w:p>
    <w:p w14:paraId="178578A7" w14:textId="0ED56A87" w:rsidR="004027AA" w:rsidRPr="00AB74F4" w:rsidRDefault="004027AA" w:rsidP="004027AA">
      <w:pPr>
        <w:pStyle w:val="EXTBL1"/>
        <w:spacing w:before="200"/>
        <w:ind w:left="820"/>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pay the full amount now;</w:t>
      </w:r>
    </w:p>
    <w:p w14:paraId="767254FD" w14:textId="77777777" w:rsidR="004027AA" w:rsidRPr="00AB74F4" w:rsidRDefault="004027AA" w:rsidP="004027AA">
      <w:pPr>
        <w:pStyle w:val="EXTBL1"/>
        <w:ind w:left="820"/>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wait until trial and be prepared to accept an offer to pay about $900;</w:t>
      </w:r>
    </w:p>
    <w:p w14:paraId="1B336234" w14:textId="77777777" w:rsidR="004027AA" w:rsidRPr="00AB74F4" w:rsidRDefault="004027AA" w:rsidP="004027AA">
      <w:pPr>
        <w:pStyle w:val="EXTBL1"/>
        <w:ind w:left="820"/>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defend against the lawsuit (you immediately saw possible defenses based on duress, unconscionability, and misrepresentation);</w:t>
      </w:r>
    </w:p>
    <w:p w14:paraId="1D4B14C6" w14:textId="2C647551" w:rsidR="004027AA" w:rsidRPr="00AB74F4" w:rsidRDefault="004027AA" w:rsidP="004027AA">
      <w:pPr>
        <w:pStyle w:val="EXTBL1"/>
        <w:ind w:left="820"/>
        <w:rPr>
          <w:rFonts w:ascii="Times New Roman" w:hAnsi="Times New Roman" w:cs="Times New Roman"/>
          <w:sz w:val="32"/>
          <w:szCs w:val="32"/>
        </w:rPr>
      </w:pPr>
      <w:r w:rsidRPr="00AB74F4">
        <w:rPr>
          <w:rStyle w:val="BL11"/>
          <w:rFonts w:ascii="Times New Roman" w:hAnsi="Times New Roman" w:cs="Times New Roman"/>
          <w:sz w:val="32"/>
          <w:szCs w:val="32"/>
        </w:rPr>
        <w:t>●</w:t>
      </w:r>
      <w:r w:rsidRPr="00AB74F4">
        <w:rPr>
          <w:rFonts w:ascii="Times New Roman" w:hAnsi="Times New Roman" w:cs="Times New Roman"/>
          <w:sz w:val="32"/>
          <w:szCs w:val="32"/>
        </w:rPr>
        <w:tab/>
        <w:t xml:space="preserve">try to get her money back by filing a counterclaim for damages. You could claim breach of contract based on the windows leaking and on the damage to the wall. You also could argue that because </w:t>
      </w:r>
      <w:proofErr w:type="spellStart"/>
      <w:r w:rsidRPr="00AB74F4">
        <w:rPr>
          <w:rFonts w:ascii="Times New Roman" w:hAnsi="Times New Roman" w:cs="Times New Roman"/>
          <w:sz w:val="32"/>
          <w:szCs w:val="32"/>
        </w:rPr>
        <w:t>Stormguard</w:t>
      </w:r>
      <w:proofErr w:type="spellEnd"/>
      <w:r w:rsidRPr="00AB74F4">
        <w:rPr>
          <w:rFonts w:ascii="Times New Roman" w:hAnsi="Times New Roman" w:cs="Times New Roman"/>
          <w:sz w:val="32"/>
          <w:szCs w:val="32"/>
        </w:rPr>
        <w:t xml:space="preserve"> is not licensed as a home </w:t>
      </w:r>
      <w:r w:rsidRPr="00AB74F4">
        <w:rPr>
          <w:rFonts w:ascii="Times New Roman" w:hAnsi="Times New Roman" w:cs="Times New Roman"/>
          <w:sz w:val="32"/>
          <w:szCs w:val="32"/>
        </w:rPr>
        <w:lastRenderedPageBreak/>
        <w:t>improvement contractor, the company is not permitted to collect any money before completing their work.  </w:t>
      </w:r>
    </w:p>
    <w:p w14:paraId="6468A607" w14:textId="77777777" w:rsidR="004027AA" w:rsidRPr="00AB74F4" w:rsidRDefault="004027AA" w:rsidP="004027AA">
      <w:pPr>
        <w:pStyle w:val="EXTBL1"/>
        <w:spacing w:after="0"/>
        <w:ind w:left="600" w:firstLine="0"/>
        <w:rPr>
          <w:rFonts w:ascii="Times New Roman" w:hAnsi="Times New Roman" w:cs="Times New Roman"/>
          <w:sz w:val="32"/>
          <w:szCs w:val="32"/>
        </w:rPr>
      </w:pPr>
      <w:r w:rsidRPr="00AB74F4">
        <w:rPr>
          <w:rFonts w:ascii="Times New Roman" w:hAnsi="Times New Roman" w:cs="Times New Roman"/>
          <w:sz w:val="32"/>
          <w:szCs w:val="32"/>
        </w:rPr>
        <w:t>You could seek a settlement that would oblige the company to repair the window frame that leaks and repair the wall that was damaged. You could do this through a counterclaim for specific performance.</w:t>
      </w:r>
    </w:p>
    <w:p w14:paraId="1DB639EE" w14:textId="77777777" w:rsidR="004027AA" w:rsidRPr="00AB74F4" w:rsidRDefault="004027AA" w:rsidP="004027AA">
      <w:pPr>
        <w:pStyle w:val="NEPQEXT2first"/>
        <w:ind w:firstLine="360"/>
        <w:rPr>
          <w:rFonts w:ascii="Times New Roman" w:hAnsi="Times New Roman" w:cs="Times New Roman"/>
          <w:sz w:val="32"/>
          <w:szCs w:val="32"/>
        </w:rPr>
      </w:pPr>
      <w:r w:rsidRPr="00AB74F4">
        <w:rPr>
          <w:rFonts w:ascii="Times New Roman" w:hAnsi="Times New Roman" w:cs="Times New Roman"/>
          <w:sz w:val="32"/>
          <w:szCs w:val="32"/>
        </w:rPr>
        <w:t xml:space="preserve">McCabe understood that she needed to respond to the lawsuit, but she had a hard time figuring out what she wanted to do. Whenever you tried to get her to make a decision, she went on about “those crazy boys.” During your first meeting with her, McCabe signed your organization’s standard form retainer in which you agreed to represent her in her dispute with </w:t>
      </w:r>
      <w:proofErr w:type="spellStart"/>
      <w:r w:rsidRPr="00AB74F4">
        <w:rPr>
          <w:rFonts w:ascii="Times New Roman" w:hAnsi="Times New Roman" w:cs="Times New Roman"/>
          <w:sz w:val="32"/>
          <w:szCs w:val="32"/>
        </w:rPr>
        <w:t>Stormguard</w:t>
      </w:r>
      <w:proofErr w:type="spellEnd"/>
      <w:r w:rsidRPr="00AB74F4">
        <w:rPr>
          <w:rFonts w:ascii="Times New Roman" w:hAnsi="Times New Roman" w:cs="Times New Roman"/>
          <w:sz w:val="32"/>
          <w:szCs w:val="32"/>
        </w:rPr>
        <w:t xml:space="preserve"> without charging a fee.</w:t>
      </w:r>
    </w:p>
    <w:p w14:paraId="72D91BB3" w14:textId="77777777" w:rsidR="004027AA" w:rsidRPr="00AB74F4" w:rsidRDefault="004027AA" w:rsidP="004027AA">
      <w:pPr>
        <w:pStyle w:val="NEPQEXT2mid"/>
        <w:rPr>
          <w:rFonts w:ascii="Times New Roman" w:hAnsi="Times New Roman" w:cs="Times New Roman"/>
          <w:sz w:val="32"/>
          <w:szCs w:val="32"/>
        </w:rPr>
      </w:pPr>
      <w:r w:rsidRPr="00AB74F4">
        <w:rPr>
          <w:rFonts w:ascii="Times New Roman" w:hAnsi="Times New Roman" w:cs="Times New Roman"/>
          <w:sz w:val="32"/>
          <w:szCs w:val="32"/>
        </w:rPr>
        <w:t>You asked McCabe if she had any living relatives. She does not; her only brother died a year ago. You asked if there were any friends or neighbors whom she knew well. Her old friends had passed away, but she said she was friendly with her next-door neighbor, Mrs. Houston, whom she sees every week or two.</w:t>
      </w:r>
    </w:p>
    <w:p w14:paraId="0E08A3BB" w14:textId="77777777" w:rsidR="004027AA" w:rsidRPr="00AB74F4" w:rsidRDefault="004027AA" w:rsidP="004027AA">
      <w:pPr>
        <w:pStyle w:val="NEPQEXT2last"/>
        <w:rPr>
          <w:rFonts w:ascii="Times New Roman" w:hAnsi="Times New Roman" w:cs="Times New Roman"/>
          <w:sz w:val="32"/>
          <w:szCs w:val="32"/>
        </w:rPr>
      </w:pPr>
      <w:r w:rsidRPr="00AB74F4">
        <w:rPr>
          <w:rFonts w:ascii="Times New Roman" w:hAnsi="Times New Roman" w:cs="Times New Roman"/>
          <w:sz w:val="32"/>
          <w:szCs w:val="32"/>
        </w:rPr>
        <w:t>The court does not require a written answer if McCabe plans to appear and offer defenses against the claim. You tend to favor aggressive strategies, so you think that she should not pay any more money and should counterclaim. If she wants to file a counterclaim, however, you must file it within a few days. The court has scheduled the trial date one week from today, though you probably could obtain a short continuance. You will see McCabe again this afternoon. If she still can’t decide how she wants to respond to the lawsuit, what should you do?</w:t>
      </w:r>
    </w:p>
    <w:p w14:paraId="7C7E0097" w14:textId="3AEF85E5" w:rsidR="004027AA" w:rsidRPr="00AB74F4" w:rsidRDefault="0045641A" w:rsidP="004027AA">
      <w:pPr>
        <w:pStyle w:val="H3"/>
        <w:spacing w:before="380"/>
        <w:rPr>
          <w:rFonts w:ascii="Times New Roman" w:hAnsi="Times New Roman" w:cs="Times New Roman"/>
          <w:b/>
          <w:i w:val="0"/>
          <w:iCs w:val="0"/>
          <w:sz w:val="32"/>
          <w:szCs w:val="32"/>
        </w:rPr>
      </w:pPr>
      <w:r w:rsidRPr="00AB74F4">
        <w:rPr>
          <w:rFonts w:ascii="Times New Roman" w:hAnsi="Times New Roman" w:cs="Times New Roman"/>
          <w:i w:val="0"/>
          <w:iCs w:val="0"/>
          <w:sz w:val="32"/>
          <w:szCs w:val="32"/>
        </w:rPr>
        <w:t>3. Juveniles</w:t>
      </w:r>
    </w:p>
    <w:p w14:paraId="08E9A1E3" w14:textId="3E981849" w:rsidR="004027AA" w:rsidRPr="00AB74F4" w:rsidRDefault="004027AA" w:rsidP="004027AA">
      <w:pPr>
        <w:pStyle w:val="TXTNI"/>
        <w:rPr>
          <w:rFonts w:ascii="Times New Roman" w:hAnsi="Times New Roman" w:cs="Times New Roman"/>
          <w:sz w:val="32"/>
          <w:szCs w:val="32"/>
        </w:rPr>
      </w:pPr>
      <w:r w:rsidRPr="00AB74F4">
        <w:rPr>
          <w:rFonts w:ascii="Times New Roman" w:hAnsi="Times New Roman" w:cs="Times New Roman"/>
          <w:sz w:val="32"/>
          <w:szCs w:val="32"/>
        </w:rPr>
        <w:t xml:space="preserve">Rule 1.14 applies the same standards to minors as it does to adults with </w:t>
      </w:r>
      <w:r w:rsidR="0045641A" w:rsidRPr="00AB74F4">
        <w:rPr>
          <w:rFonts w:ascii="Times New Roman" w:hAnsi="Times New Roman" w:cs="Times New Roman"/>
          <w:sz w:val="32"/>
          <w:szCs w:val="32"/>
        </w:rPr>
        <w:t>decision-making limitations</w:t>
      </w:r>
      <w:r w:rsidRPr="00AB74F4">
        <w:rPr>
          <w:rFonts w:ascii="Times New Roman" w:hAnsi="Times New Roman" w:cs="Times New Roman"/>
          <w:sz w:val="32"/>
          <w:szCs w:val="32"/>
        </w:rPr>
        <w:t>.</w:t>
      </w:r>
      <w:r w:rsidR="0045641A" w:rsidRPr="00AB74F4">
        <w:rPr>
          <w:rStyle w:val="FootnoteReference"/>
          <w:rFonts w:ascii="Times New Roman" w:hAnsi="Times New Roman" w:cs="Times New Roman"/>
          <w:sz w:val="32"/>
          <w:szCs w:val="32"/>
        </w:rPr>
        <w:footnoteReference w:id="15"/>
      </w:r>
      <w:r w:rsidRPr="00AB74F4">
        <w:rPr>
          <w:rFonts w:ascii="Times New Roman" w:hAnsi="Times New Roman" w:cs="Times New Roman"/>
          <w:sz w:val="32"/>
          <w:szCs w:val="32"/>
        </w:rPr>
        <w:t xml:space="preserve"> This means that lawyers should maintain normal lawyer-client relationships with minors to the extent possible. </w:t>
      </w:r>
      <w:r w:rsidRPr="00AB74F4">
        <w:rPr>
          <w:rFonts w:ascii="Times New Roman" w:hAnsi="Times New Roman" w:cs="Times New Roman"/>
          <w:sz w:val="32"/>
          <w:szCs w:val="32"/>
        </w:rPr>
        <w:lastRenderedPageBreak/>
        <w:t xml:space="preserve">Comment </w:t>
      </w:r>
      <w:r w:rsidR="0045641A" w:rsidRPr="00AB74F4">
        <w:rPr>
          <w:rFonts w:ascii="Times New Roman" w:hAnsi="Times New Roman" w:cs="Times New Roman"/>
          <w:sz w:val="32"/>
          <w:szCs w:val="32"/>
        </w:rPr>
        <w:t xml:space="preserve">2 </w:t>
      </w:r>
      <w:r w:rsidRPr="00AB74F4">
        <w:rPr>
          <w:rFonts w:ascii="Times New Roman" w:hAnsi="Times New Roman" w:cs="Times New Roman"/>
          <w:sz w:val="32"/>
          <w:szCs w:val="32"/>
        </w:rPr>
        <w:t>notes that “</w:t>
      </w:r>
      <w:r w:rsidR="0045641A" w:rsidRPr="00AB74F4">
        <w:rPr>
          <w:rFonts w:ascii="Times New Roman" w:hAnsi="Times New Roman" w:cs="Times New Roman"/>
          <w:sz w:val="32"/>
          <w:szCs w:val="32"/>
        </w:rPr>
        <w:t>even very young minors may have preferences and values that can guide the lawyer’s representation.</w:t>
      </w:r>
      <w:r w:rsidRPr="00AB74F4">
        <w:rPr>
          <w:rFonts w:ascii="Times New Roman" w:hAnsi="Times New Roman" w:cs="Times New Roman"/>
          <w:sz w:val="32"/>
          <w:szCs w:val="32"/>
        </w:rPr>
        <w:t>.” The rule makes no distinctions among the various types of proceedings in which minors may be involved. These include delinquency cases (in which the minor has been charged with an offense), custody or adoption proceedings, abuse and neglect proceedings (in which the state tries to terminate a parent’s custody of a child and place the child with relatives, in institutional care, or in a foster home), and other civil cases (such as personal injury suits by or against minors). Although the ethics rules posit a single rule to cover all these situations, lawyers who represent minors tend to observe norms that are specific to the proceedings involved.</w:t>
      </w:r>
    </w:p>
    <w:p w14:paraId="05F42CB4" w14:textId="77777777" w:rsidR="004027AA" w:rsidRPr="00AB74F4" w:rsidRDefault="004027AA" w:rsidP="004027AA">
      <w:pPr>
        <w:pStyle w:val="TXTNI"/>
        <w:rPr>
          <w:rFonts w:ascii="Times New Roman" w:hAnsi="Times New Roman" w:cs="Times New Roman"/>
          <w:sz w:val="32"/>
          <w:szCs w:val="32"/>
        </w:rPr>
      </w:pPr>
    </w:p>
    <w:p w14:paraId="20358B20" w14:textId="01B0653E" w:rsidR="004027AA" w:rsidRPr="00AB74F4" w:rsidRDefault="004027AA" w:rsidP="004027AA">
      <w:pPr>
        <w:pStyle w:val="TXT"/>
        <w:spacing w:before="140"/>
        <w:rPr>
          <w:rFonts w:ascii="Times New Roman" w:hAnsi="Times New Roman" w:cs="Times New Roman"/>
          <w:sz w:val="32"/>
          <w:szCs w:val="32"/>
        </w:rPr>
      </w:pPr>
      <w:r w:rsidRPr="00AB74F4">
        <w:rPr>
          <w:rStyle w:val="BOLD"/>
          <w:rFonts w:ascii="Times New Roman" w:hAnsi="Times New Roman" w:cs="Times New Roman"/>
          <w:bCs/>
          <w:sz w:val="32"/>
          <w:szCs w:val="32"/>
        </w:rPr>
        <w:t>Delinquency cases:</w:t>
      </w:r>
      <w:r w:rsidRPr="00AB74F4">
        <w:rPr>
          <w:rFonts w:ascii="Times New Roman" w:hAnsi="Times New Roman" w:cs="Times New Roman"/>
          <w:sz w:val="32"/>
          <w:szCs w:val="32"/>
        </w:rPr>
        <w:t> </w:t>
      </w:r>
      <w:r w:rsidRPr="00AB74F4">
        <w:rPr>
          <w:rFonts w:ascii="Times New Roman" w:hAnsi="Times New Roman" w:cs="Times New Roman"/>
          <w:sz w:val="32"/>
          <w:szCs w:val="32"/>
        </w:rPr>
        <w:t>Children charged with juvenile offenses are usually teenagers; these proceedings tend to resemble criminal cases. Substantive law may permit or even require children to have their own lawyers. Most lawyers follow norms of representation similar to those observed by lawyers who represent adult criminal defendants</w:t>
      </w:r>
      <w:r w:rsidR="0045641A" w:rsidRPr="00AB74F4">
        <w:rPr>
          <w:rFonts w:ascii="Times New Roman" w:hAnsi="Times New Roman" w:cs="Times New Roman"/>
          <w:sz w:val="32"/>
          <w:szCs w:val="32"/>
        </w:rPr>
        <w:t>, and Rule 1.14 encourages them to do so</w:t>
      </w:r>
      <w:r w:rsidRPr="00AB74F4">
        <w:rPr>
          <w:rFonts w:ascii="Times New Roman" w:hAnsi="Times New Roman" w:cs="Times New Roman"/>
          <w:sz w:val="32"/>
          <w:szCs w:val="32"/>
        </w:rPr>
        <w:t>.</w:t>
      </w:r>
    </w:p>
    <w:p w14:paraId="41271601" w14:textId="52033369" w:rsidR="004027AA" w:rsidRPr="00AB74F4" w:rsidRDefault="004027AA" w:rsidP="004027AA">
      <w:pPr>
        <w:pStyle w:val="TXT"/>
        <w:spacing w:before="140"/>
        <w:rPr>
          <w:rFonts w:ascii="Times New Roman" w:hAnsi="Times New Roman" w:cs="Times New Roman"/>
          <w:sz w:val="32"/>
          <w:szCs w:val="32"/>
        </w:rPr>
      </w:pPr>
      <w:r w:rsidRPr="00AB74F4">
        <w:rPr>
          <w:rStyle w:val="BOLD"/>
          <w:rFonts w:ascii="Times New Roman" w:hAnsi="Times New Roman" w:cs="Times New Roman"/>
          <w:bCs/>
          <w:sz w:val="32"/>
          <w:szCs w:val="32"/>
        </w:rPr>
        <w:t>Custody, abuse, and neglect proceedings:</w:t>
      </w:r>
      <w:r w:rsidRPr="00AB74F4">
        <w:rPr>
          <w:rFonts w:ascii="Times New Roman" w:hAnsi="Times New Roman" w:cs="Times New Roman"/>
          <w:sz w:val="32"/>
          <w:szCs w:val="32"/>
        </w:rPr>
        <w:t> </w:t>
      </w:r>
      <w:r w:rsidRPr="00AB74F4">
        <w:rPr>
          <w:rFonts w:ascii="Times New Roman" w:hAnsi="Times New Roman" w:cs="Times New Roman"/>
          <w:sz w:val="32"/>
          <w:szCs w:val="32"/>
        </w:rPr>
        <w:t xml:space="preserve">Custody, abuse, and neglect matters, unlike delinquency proceedings, do not resemble criminal cases. They may involve young children, and substantive law may not afford children legal rights such as a right to counsel. </w:t>
      </w:r>
    </w:p>
    <w:p w14:paraId="1383F3DE" w14:textId="77777777" w:rsidR="004027AA" w:rsidRPr="00AB74F4" w:rsidRDefault="004027AA" w:rsidP="004027AA">
      <w:pPr>
        <w:pStyle w:val="TXT"/>
        <w:spacing w:before="140"/>
        <w:rPr>
          <w:rFonts w:ascii="Times New Roman" w:hAnsi="Times New Roman" w:cs="Times New Roman"/>
          <w:sz w:val="32"/>
          <w:szCs w:val="32"/>
        </w:rPr>
      </w:pPr>
      <w:r w:rsidRPr="00AB74F4">
        <w:rPr>
          <w:rFonts w:ascii="Times New Roman" w:hAnsi="Times New Roman" w:cs="Times New Roman"/>
          <w:sz w:val="32"/>
          <w:szCs w:val="32"/>
        </w:rPr>
        <w:t>A fundamental choice may arise for the lawyer in such cases: should he advocate for the child’s stated wishes or the child’s best interests as the lawyer sees them? Either approach can be problematic. While following a child’s stated wishes would enable a child to direct the representation, a child might be too young to state goals or may lack the knowledge and judgment needed to evaluate what she would prefer to do. On the other hand, while a lawyer might feel that his own judgments accurately reflect a juvenile client’s actual best interests, the lawyer’s judgment may depend more on the lawyer’s presuppositions and biases than on the wishes of the child. Also, a lawyer who has a large caseload and not enough time to thoroughly investigate the child’s family situation might make judgments that are not fully informed.</w:t>
      </w:r>
    </w:p>
    <w:p w14:paraId="55FA72CA" w14:textId="77777777" w:rsidR="004027AA" w:rsidRPr="00AB74F4" w:rsidRDefault="004027AA" w:rsidP="004027AA">
      <w:pPr>
        <w:pStyle w:val="TXT"/>
        <w:rPr>
          <w:rFonts w:ascii="Times New Roman" w:hAnsi="Times New Roman" w:cs="Times New Roman"/>
          <w:sz w:val="32"/>
          <w:szCs w:val="32"/>
        </w:rPr>
      </w:pPr>
      <w:r w:rsidRPr="00AB74F4">
        <w:rPr>
          <w:rFonts w:ascii="Times New Roman" w:hAnsi="Times New Roman" w:cs="Times New Roman"/>
          <w:sz w:val="32"/>
          <w:szCs w:val="32"/>
        </w:rPr>
        <w:lastRenderedPageBreak/>
        <w:t>Some advisory standards, particularly the ABA’s Standards of Practice for Lawyers Who Represent Children in Abuse and Neglect Cases (1996),</w:t>
      </w:r>
      <w:r w:rsidRPr="00AB74F4">
        <w:rPr>
          <w:rStyle w:val="FootnoteReference"/>
          <w:rFonts w:ascii="Times New Roman" w:hAnsi="Times New Roman" w:cs="Times New Roman"/>
          <w:sz w:val="32"/>
          <w:szCs w:val="32"/>
        </w:rPr>
        <w:footnoteReference w:id="16"/>
      </w:r>
      <w:r w:rsidRPr="00AB74F4">
        <w:rPr>
          <w:rFonts w:ascii="Times New Roman" w:hAnsi="Times New Roman" w:cs="Times New Roman"/>
          <w:sz w:val="32"/>
          <w:szCs w:val="32"/>
        </w:rPr>
        <w:t xml:space="preserve"> which some states have adopted, provide more guidance. These standards state that a lawyer for a child “owes the same duties of undivided loyalty, confidentiality and competent representation to the child as is due to an adult client” and that the child’s attorney “must advocate the child’s articulated position” rather than what the attorney believes would be in the child’s best interest. The lawyer should “elicit the child’s preferences in a developmentally appropriate manner” and should “follow the child’s direction throughout the course of litigation.”</w:t>
      </w:r>
    </w:p>
    <w:p w14:paraId="041296A3" w14:textId="044699E8" w:rsidR="004027AA" w:rsidRPr="00AB74F4" w:rsidRDefault="004027AA" w:rsidP="004027AA">
      <w:pPr>
        <w:pStyle w:val="TXT"/>
        <w:rPr>
          <w:rFonts w:ascii="Times New Roman" w:hAnsi="Times New Roman" w:cs="Times New Roman"/>
          <w:sz w:val="32"/>
          <w:szCs w:val="32"/>
        </w:rPr>
      </w:pPr>
      <w:r w:rsidRPr="00AB74F4">
        <w:rPr>
          <w:rFonts w:ascii="Times New Roman" w:hAnsi="Times New Roman" w:cs="Times New Roman"/>
          <w:sz w:val="32"/>
          <w:szCs w:val="32"/>
        </w:rPr>
        <w:t>Some jurisdictions encourage lawyers to follow the ABA’s suggested model. A lawyer represents the child’s expressed preferences, but a separate guardian ad litem, sometimes a lawyer and sometimes a nonlawyer represented by a second lawyer, may represent what the guardian believes are in the child’s best interests, especially in cases in which the two opinions conflict.</w:t>
      </w:r>
      <w:r w:rsidRPr="00AB74F4">
        <w:rPr>
          <w:rStyle w:val="FootnoteReference"/>
          <w:rFonts w:ascii="Times New Roman" w:hAnsi="Times New Roman" w:cs="Times New Roman"/>
          <w:sz w:val="32"/>
          <w:szCs w:val="32"/>
        </w:rPr>
        <w:footnoteReference w:id="17"/>
      </w:r>
      <w:r w:rsidRPr="00AB74F4">
        <w:rPr>
          <w:rFonts w:ascii="Times New Roman" w:hAnsi="Times New Roman" w:cs="Times New Roman"/>
          <w:sz w:val="32"/>
          <w:szCs w:val="32"/>
        </w:rPr>
        <w:t xml:space="preserve"> </w:t>
      </w:r>
      <w:r w:rsidR="006366E0" w:rsidRPr="00AB74F4">
        <w:rPr>
          <w:rFonts w:ascii="Times New Roman" w:hAnsi="Times New Roman" w:cs="Times New Roman"/>
          <w:sz w:val="32"/>
          <w:szCs w:val="32"/>
        </w:rPr>
        <w:t>But in some</w:t>
      </w:r>
      <w:r w:rsidRPr="00AB74F4">
        <w:rPr>
          <w:rFonts w:ascii="Times New Roman" w:hAnsi="Times New Roman" w:cs="Times New Roman"/>
          <w:sz w:val="32"/>
          <w:szCs w:val="32"/>
        </w:rPr>
        <w:t xml:space="preserve"> jurisdictions, a lawyer serves as a guardian ad litem and tries to navigate between what they perceive to be the child’s best interests and the child’s preferences. This differs drastically from a conventional lawyer-client relationship.</w:t>
      </w:r>
    </w:p>
    <w:p w14:paraId="26C2DC49" w14:textId="77777777" w:rsidR="004027AA" w:rsidRPr="00AB74F4" w:rsidRDefault="004027AA" w:rsidP="004027AA">
      <w:pPr>
        <w:pStyle w:val="TXT"/>
        <w:rPr>
          <w:rFonts w:ascii="Times New Roman" w:hAnsi="Times New Roman" w:cs="Times New Roman"/>
          <w:sz w:val="32"/>
          <w:szCs w:val="32"/>
        </w:rPr>
      </w:pPr>
      <w:r w:rsidRPr="00AB74F4">
        <w:rPr>
          <w:rFonts w:ascii="Times New Roman" w:hAnsi="Times New Roman" w:cs="Times New Roman"/>
          <w:sz w:val="32"/>
          <w:szCs w:val="32"/>
        </w:rPr>
        <w:t>Frances Gall Hill, the former director of the Child Advocacy Clinic at Indiana University School of Law–Bloomington, disagrees with the ABA’s model. Hill argues that “children have not attained the full measure of cognitive skills, maturity, and judgment necessary for autonomous decision-making.” She urges, therefore, that an attorney representing a child should allow her client to “fully express his needs, concerns, and desires,” but that the lawyer should screen the child’s position for accuracy and investigate it “from the broader perspective of the family system and the long-range interests of the child.” Having done that, she argues, the lawyer should recommend to a court the outcome that “will approximate the best, or at least better, options for the child.”</w:t>
      </w:r>
      <w:r w:rsidRPr="00AB74F4">
        <w:rPr>
          <w:rStyle w:val="FootnoteReference"/>
          <w:rFonts w:ascii="Times New Roman" w:hAnsi="Times New Roman" w:cs="Times New Roman"/>
          <w:sz w:val="32"/>
          <w:szCs w:val="32"/>
        </w:rPr>
        <w:footnoteReference w:id="18"/>
      </w:r>
      <w:r w:rsidRPr="00AB74F4">
        <w:rPr>
          <w:rFonts w:ascii="Times New Roman" w:hAnsi="Times New Roman" w:cs="Times New Roman"/>
          <w:sz w:val="32"/>
          <w:szCs w:val="32"/>
        </w:rPr>
        <w:t xml:space="preserve"> </w:t>
      </w:r>
    </w:p>
    <w:p w14:paraId="1C89A308" w14:textId="77777777" w:rsidR="004027AA" w:rsidRPr="00AB74F4" w:rsidRDefault="004027AA" w:rsidP="004027AA">
      <w:pPr>
        <w:pStyle w:val="TXT"/>
        <w:rPr>
          <w:rFonts w:ascii="Times New Roman" w:hAnsi="Times New Roman" w:cs="Times New Roman"/>
          <w:sz w:val="32"/>
          <w:szCs w:val="32"/>
        </w:rPr>
      </w:pPr>
      <w:r w:rsidRPr="00AB74F4">
        <w:rPr>
          <w:rFonts w:ascii="Times New Roman" w:hAnsi="Times New Roman" w:cs="Times New Roman"/>
          <w:sz w:val="32"/>
          <w:szCs w:val="32"/>
        </w:rPr>
        <w:lastRenderedPageBreak/>
        <w:t>Some states have adopted the guardian ad litem model for representation of abused and neglected children, others appoint lawyers, and still others create overlapping obligations, such as requiring the appointment of attorneys but directing the lawyers to represent the best interests of the child rather than the child’s expressed interests. Lawyers rather than lay guardians currently represent about two-thirds of children in abuse and neglect proceedings.</w:t>
      </w:r>
      <w:r w:rsidRPr="00AB74F4">
        <w:rPr>
          <w:rStyle w:val="FootnoteReference"/>
          <w:rFonts w:ascii="Times New Roman" w:hAnsi="Times New Roman" w:cs="Times New Roman"/>
          <w:sz w:val="32"/>
          <w:szCs w:val="32"/>
        </w:rPr>
        <w:footnoteReference w:id="19"/>
      </w:r>
      <w:r w:rsidRPr="00AB74F4">
        <w:rPr>
          <w:rFonts w:ascii="Times New Roman" w:hAnsi="Times New Roman" w:cs="Times New Roman"/>
          <w:sz w:val="32"/>
          <w:szCs w:val="32"/>
        </w:rPr>
        <w:t xml:space="preserve"> But it can be difficult for a lawyer representing a juvenile client to know whether to hew to the ethical rule or to potentially conflicting state law.</w:t>
      </w:r>
    </w:p>
    <w:p w14:paraId="209F58BF" w14:textId="77777777" w:rsidR="004027AA" w:rsidRPr="00AB74F4" w:rsidRDefault="004027AA">
      <w:pPr>
        <w:rPr>
          <w:rFonts w:ascii="Times New Roman" w:hAnsi="Times New Roman" w:cs="Times New Roman"/>
          <w:sz w:val="32"/>
          <w:szCs w:val="32"/>
        </w:rPr>
      </w:pPr>
    </w:p>
    <w:sectPr w:rsidR="004027AA" w:rsidRPr="00AB74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B7E60" w14:textId="77777777" w:rsidR="00386925" w:rsidRDefault="00386925" w:rsidP="00C81DAD">
      <w:pPr>
        <w:spacing w:after="0" w:line="240" w:lineRule="auto"/>
      </w:pPr>
      <w:r>
        <w:separator/>
      </w:r>
    </w:p>
  </w:endnote>
  <w:endnote w:type="continuationSeparator" w:id="0">
    <w:p w14:paraId="0A8A7BB8" w14:textId="77777777" w:rsidR="00386925" w:rsidRDefault="00386925" w:rsidP="00C8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Pro-Regular">
    <w:altName w:val="Cambria"/>
    <w:panose1 w:val="00000000000000000000"/>
    <w:charset w:val="00"/>
    <w:family w:val="roman"/>
    <w:notTrueType/>
    <w:pitch w:val="variable"/>
    <w:sig w:usb0="60000287" w:usb1="00000001" w:usb2="00000000" w:usb3="00000000" w:csb0="0000019F" w:csb1="00000000"/>
  </w:font>
  <w:font w:name="MinionPro-Bold">
    <w:altName w:val="Cambria"/>
    <w:panose1 w:val="00000000000000000000"/>
    <w:charset w:val="00"/>
    <w:family w:val="roman"/>
    <w:notTrueType/>
    <w:pitch w:val="variable"/>
    <w:sig w:usb0="60000287" w:usb1="00000001" w:usb2="00000000" w:usb3="00000000" w:csb0="0000019F" w:csb1="00000000"/>
  </w:font>
  <w:font w:name="MinionPro-SemiboldIt">
    <w:altName w:val="Cambria"/>
    <w:panose1 w:val="00000000000000000000"/>
    <w:charset w:val="00"/>
    <w:family w:val="roman"/>
    <w:notTrueType/>
    <w:pitch w:val="default"/>
    <w:sig w:usb0="00000003" w:usb1="00000000" w:usb2="00000000" w:usb3="00000000" w:csb0="00000001" w:csb1="00000000"/>
  </w:font>
  <w:font w:name="MinionPro-It">
    <w:altName w:val="Calibri"/>
    <w:panose1 w:val="00000000000000000000"/>
    <w:charset w:val="00"/>
    <w:family w:val="auto"/>
    <w:notTrueType/>
    <w:pitch w:val="default"/>
    <w:sig w:usb0="00000003" w:usb1="00000000" w:usb2="00000000" w:usb3="00000000" w:csb0="00000001" w:csb1="00000000"/>
  </w:font>
  <w:font w:name="MinionStd-Black">
    <w:altName w:val="Cambria"/>
    <w:panose1 w:val="00000000000000000000"/>
    <w:charset w:val="00"/>
    <w:family w:val="roman"/>
    <w:notTrueType/>
    <w:pitch w:val="default"/>
    <w:sig w:usb0="00000003" w:usb1="00000000" w:usb2="00000000" w:usb3="00000000" w:csb0="00000001" w:csb1="00000000"/>
  </w:font>
  <w:font w:name="MathematicalPiLTStd">
    <w:altName w:val="Times New Roman"/>
    <w:panose1 w:val="00000000000000000000"/>
    <w:charset w:val="00"/>
    <w:family w:val="roman"/>
    <w:notTrueType/>
    <w:pitch w:val="default"/>
    <w:sig w:usb0="00000003" w:usb1="00000000" w:usb2="00000000" w:usb3="00000000" w:csb0="00000001" w:csb1="00000000"/>
  </w:font>
  <w:font w:name="MinionPro-Semibold">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0934"/>
      <w:docPartObj>
        <w:docPartGallery w:val="Page Numbers (Bottom of Page)"/>
        <w:docPartUnique/>
      </w:docPartObj>
    </w:sdtPr>
    <w:sdtEndPr>
      <w:rPr>
        <w:noProof/>
      </w:rPr>
    </w:sdtEndPr>
    <w:sdtContent>
      <w:p w14:paraId="12FA3190" w14:textId="035E3C40" w:rsidR="0005417A" w:rsidRDefault="000541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A49C65" w14:textId="77777777" w:rsidR="0005417A" w:rsidRDefault="0005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556E7" w14:textId="77777777" w:rsidR="00386925" w:rsidRDefault="00386925" w:rsidP="00C81DAD">
      <w:pPr>
        <w:spacing w:after="0" w:line="240" w:lineRule="auto"/>
      </w:pPr>
      <w:r>
        <w:separator/>
      </w:r>
    </w:p>
  </w:footnote>
  <w:footnote w:type="continuationSeparator" w:id="0">
    <w:p w14:paraId="488FD613" w14:textId="77777777" w:rsidR="00386925" w:rsidRDefault="00386925" w:rsidP="00C81DAD">
      <w:pPr>
        <w:spacing w:after="0" w:line="240" w:lineRule="auto"/>
      </w:pPr>
      <w:r>
        <w:continuationSeparator/>
      </w:r>
    </w:p>
  </w:footnote>
  <w:footnote w:id="1">
    <w:p w14:paraId="6B77E509" w14:textId="5476087E" w:rsidR="00E21B28" w:rsidRDefault="00E21B28">
      <w:pPr>
        <w:pStyle w:val="FootnoteText"/>
      </w:pPr>
      <w:r>
        <w:rPr>
          <w:rStyle w:val="FootnoteReference"/>
        </w:rPr>
        <w:footnoteRef/>
      </w:r>
      <w:r>
        <w:t xml:space="preserve"> </w:t>
      </w:r>
      <w:r>
        <w:tab/>
        <w:t xml:space="preserve">Nina A. Kohn &amp; Charlie Sabatino, ABA Considers Important Changes to its Ethics Rule Governing Representation of Clients with Decision-Making Limitations, </w:t>
      </w:r>
      <w:r w:rsidR="003C446B">
        <w:t xml:space="preserve">Feb. 9, 2026, available at </w:t>
      </w:r>
      <w:r w:rsidR="003C446B" w:rsidRPr="003C446B">
        <w:t>https://www.americanbar.org/groups/law_aging/publications/bifocal/vol47/vol47issue1/changestomrpc1-14/</w:t>
      </w:r>
      <w:r w:rsidR="003C446B">
        <w:t>.</w:t>
      </w:r>
    </w:p>
  </w:footnote>
  <w:footnote w:id="2">
    <w:p w14:paraId="3DB3D4D2" w14:textId="4E5B437C" w:rsidR="00EB6CD4" w:rsidRDefault="00EB6CD4">
      <w:pPr>
        <w:pStyle w:val="FootnoteText"/>
      </w:pPr>
      <w:r>
        <w:rPr>
          <w:rStyle w:val="FootnoteReference"/>
        </w:rPr>
        <w:footnoteRef/>
      </w:r>
      <w:r>
        <w:t xml:space="preserve"> </w:t>
      </w:r>
      <w:r>
        <w:tab/>
        <w:t>Id.</w:t>
      </w:r>
    </w:p>
  </w:footnote>
  <w:footnote w:id="3">
    <w:p w14:paraId="50DCDD5F" w14:textId="5DFF5E53" w:rsidR="00F04588" w:rsidRDefault="00F04588">
      <w:pPr>
        <w:pStyle w:val="FootnoteText"/>
      </w:pPr>
      <w:r>
        <w:rPr>
          <w:rStyle w:val="FootnoteReference"/>
        </w:rPr>
        <w:footnoteRef/>
      </w:r>
      <w:r>
        <w:t xml:space="preserve"> </w:t>
      </w:r>
      <w:r>
        <w:tab/>
        <w:t xml:space="preserve">As we note in Chapter 5, the presence of third persons to facilitate </w:t>
      </w:r>
      <w:r w:rsidR="007F1E90">
        <w:t>lawyer-client communication does not abrogate lawyer-client privilege, but Comment 5 urges lawyers to document why such persons were present.</w:t>
      </w:r>
    </w:p>
  </w:footnote>
  <w:footnote w:id="4">
    <w:p w14:paraId="6A6DF1BC" w14:textId="3204EAD9" w:rsidR="00A973E1" w:rsidRDefault="00A973E1">
      <w:pPr>
        <w:pStyle w:val="FootnoteText"/>
      </w:pPr>
      <w:r>
        <w:rPr>
          <w:rStyle w:val="FootnoteReference"/>
        </w:rPr>
        <w:footnoteRef/>
      </w:r>
      <w:r>
        <w:t xml:space="preserve"> </w:t>
      </w:r>
      <w:r>
        <w:tab/>
        <w:t>For example, the client may have been diagnosed with a mental disability requiring extra time on school examinations but may be perfectly able to make decisions in a legal case.</w:t>
      </w:r>
    </w:p>
  </w:footnote>
  <w:footnote w:id="5">
    <w:p w14:paraId="3558196C" w14:textId="77777777" w:rsidR="00527C6A" w:rsidRDefault="00527C6A" w:rsidP="00527C6A">
      <w:pPr>
        <w:pStyle w:val="FootnoteText"/>
      </w:pPr>
      <w:r>
        <w:rPr>
          <w:rStyle w:val="FootnoteReference"/>
        </w:rPr>
        <w:footnoteRef/>
      </w:r>
      <w:r w:rsidRPr="00516DB9">
        <w:tab/>
      </w:r>
      <w:r w:rsidRPr="00C82CA9">
        <w:t>Representation of Incompetent by Guardian Ad Litem or Next Friend, 53 Am. Jur. 2d Mentally Impaired Persons § 165 (2011).</w:t>
      </w:r>
    </w:p>
  </w:footnote>
  <w:footnote w:id="6">
    <w:p w14:paraId="0FD406A0" w14:textId="77777777" w:rsidR="00527C6A" w:rsidRDefault="00527C6A" w:rsidP="00527C6A">
      <w:pPr>
        <w:pStyle w:val="FootnoteText"/>
      </w:pPr>
      <w:r>
        <w:rPr>
          <w:rStyle w:val="FootnoteReference"/>
        </w:rPr>
        <w:footnoteRef/>
      </w:r>
      <w:r w:rsidRPr="00516DB9">
        <w:tab/>
      </w:r>
      <w:r w:rsidRPr="00C82CA9">
        <w:t>Unif. Guardianship &amp; Protective Proc. Act (1997). One famous example is that Britney Spears was subject to a conservatorship controlled by her father from 2008 until 2021. This case illustrates some of the thorny issues presented by conservatorship. See Anastasia Tsioulcas, Britney Spears’ Conservatorship Has Finally Ended, NPR</w:t>
      </w:r>
      <w:r>
        <w:t>,</w:t>
      </w:r>
      <w:r w:rsidRPr="00C82CA9">
        <w:t xml:space="preserve"> Nov. 12, 2021, </w:t>
      </w:r>
      <w:r w:rsidRPr="00365E69">
        <w:t>https://perma.cc/62D2-39UR</w:t>
      </w:r>
      <w:r w:rsidRPr="00C82CA9">
        <w:t>.</w:t>
      </w:r>
    </w:p>
  </w:footnote>
  <w:footnote w:id="7">
    <w:p w14:paraId="540ED90D" w14:textId="77777777" w:rsidR="00527C6A" w:rsidRDefault="00527C6A" w:rsidP="00527C6A">
      <w:pPr>
        <w:pStyle w:val="FootnoteText"/>
      </w:pPr>
      <w:r>
        <w:rPr>
          <w:rStyle w:val="FootnoteReference"/>
        </w:rPr>
        <w:footnoteRef/>
      </w:r>
      <w:r w:rsidRPr="00516DB9">
        <w:tab/>
      </w:r>
      <w:r w:rsidRPr="00C82CA9">
        <w:t> Id.</w:t>
      </w:r>
    </w:p>
  </w:footnote>
  <w:footnote w:id="8">
    <w:p w14:paraId="4B6D7AD0" w14:textId="5C7D3ACF" w:rsidR="003E0047" w:rsidRDefault="003E0047" w:rsidP="003E0047">
      <w:pPr>
        <w:pStyle w:val="FootnoteText"/>
      </w:pPr>
      <w:r>
        <w:rPr>
          <w:rStyle w:val="FootnoteReference"/>
        </w:rPr>
        <w:footnoteRef/>
      </w:r>
      <w:r w:rsidRPr="00516DB9">
        <w:tab/>
      </w:r>
      <w:r w:rsidRPr="00C82CA9">
        <w:t xml:space="preserve">Paul Tremblay, On Persuasion and Paternalism: Lawyer Decisionmaking and the Questionably Competent Client, 1987 Utah L. Rev. 515. </w:t>
      </w:r>
    </w:p>
  </w:footnote>
  <w:footnote w:id="9">
    <w:p w14:paraId="5EFC365A" w14:textId="2EE94F50" w:rsidR="0050368D" w:rsidRDefault="0050368D">
      <w:pPr>
        <w:pStyle w:val="FootnoteText"/>
      </w:pPr>
      <w:r>
        <w:rPr>
          <w:rStyle w:val="FootnoteReference"/>
        </w:rPr>
        <w:footnoteRef/>
      </w:r>
      <w:r>
        <w:t xml:space="preserve"> </w:t>
      </w:r>
      <w:r>
        <w:tab/>
        <w:t>Comment 17.</w:t>
      </w:r>
    </w:p>
  </w:footnote>
  <w:footnote w:id="10">
    <w:p w14:paraId="17446150" w14:textId="7B775000" w:rsidR="0050368D" w:rsidRDefault="0050368D">
      <w:pPr>
        <w:pStyle w:val="FootnoteText"/>
      </w:pPr>
      <w:r>
        <w:rPr>
          <w:rStyle w:val="FootnoteReference"/>
        </w:rPr>
        <w:footnoteRef/>
      </w:r>
      <w:r>
        <w:t xml:space="preserve"> </w:t>
      </w:r>
      <w:r>
        <w:tab/>
        <w:t>Comment 16.</w:t>
      </w:r>
    </w:p>
  </w:footnote>
  <w:footnote w:id="11">
    <w:p w14:paraId="62273E39" w14:textId="010A5367" w:rsidR="00654EDF" w:rsidRDefault="00654EDF">
      <w:pPr>
        <w:pStyle w:val="FootnoteText"/>
      </w:pPr>
      <w:r>
        <w:rPr>
          <w:rStyle w:val="FootnoteReference"/>
        </w:rPr>
        <w:footnoteRef/>
      </w:r>
      <w:r>
        <w:t xml:space="preserve"> </w:t>
      </w:r>
      <w:r>
        <w:tab/>
      </w:r>
      <w:r w:rsidRPr="00C82CA9">
        <w:t>Anastasia Tsioulcas, Britney Spears’ Conservatorship Has Finally Ended, NPR</w:t>
      </w:r>
      <w:r>
        <w:t>,</w:t>
      </w:r>
      <w:r w:rsidRPr="00C82CA9">
        <w:t xml:space="preserve"> Nov. 12, 2021, </w:t>
      </w:r>
      <w:hyperlink r:id="rId1" w:history="1">
        <w:r w:rsidRPr="00433B76">
          <w:rPr>
            <w:rStyle w:val="Hyperlink"/>
          </w:rPr>
          <w:t>https://perma.cc/62D2-39UR</w:t>
        </w:r>
      </w:hyperlink>
      <w:r>
        <w:t xml:space="preserve">; Mandalit del Barco, </w:t>
      </w:r>
      <w:r w:rsidRPr="00654EDF">
        <w:t>Judge Suspends Britney Spears' Dad From Her Conservatorship</w:t>
      </w:r>
      <w:r>
        <w:t xml:space="preserve">, NPR, Sept. 30, 2021, </w:t>
      </w:r>
      <w:hyperlink r:id="rId2" w:history="1">
        <w:r w:rsidR="00772AE0" w:rsidRPr="00433B76">
          <w:rPr>
            <w:rStyle w:val="Hyperlink"/>
          </w:rPr>
          <w:t>https://perma.cc/G93X-2UWP</w:t>
        </w:r>
      </w:hyperlink>
      <w:r w:rsidR="00772AE0">
        <w:t xml:space="preserve"> (reporting also that as of 2021, 1.3 million Americans we</w:t>
      </w:r>
      <w:r w:rsidR="00772AE0" w:rsidRPr="00772AE0">
        <w:t xml:space="preserve">re </w:t>
      </w:r>
      <w:r w:rsidR="00772AE0">
        <w:t>“</w:t>
      </w:r>
      <w:r w:rsidR="00772AE0" w:rsidRPr="00772AE0">
        <w:t>controlled by legal arrangements similar to Britney Spears</w:t>
      </w:r>
      <w:r w:rsidR="00772AE0">
        <w:t>”).</w:t>
      </w:r>
    </w:p>
  </w:footnote>
  <w:footnote w:id="12">
    <w:p w14:paraId="0845F4FD" w14:textId="2BF7F321" w:rsidR="00E54957" w:rsidRDefault="00E54957">
      <w:pPr>
        <w:pStyle w:val="FootnoteText"/>
      </w:pPr>
      <w:r>
        <w:rPr>
          <w:rStyle w:val="FootnoteReference"/>
        </w:rPr>
        <w:footnoteRef/>
      </w:r>
      <w:r>
        <w:t xml:space="preserve"> </w:t>
      </w:r>
      <w:r>
        <w:tab/>
        <w:t>Comment 8.</w:t>
      </w:r>
    </w:p>
  </w:footnote>
  <w:footnote w:id="13">
    <w:p w14:paraId="5AED080C" w14:textId="77777777" w:rsidR="003E0047" w:rsidRDefault="003E0047" w:rsidP="003E0047">
      <w:pPr>
        <w:pStyle w:val="FootnoteText"/>
      </w:pPr>
      <w:r>
        <w:rPr>
          <w:rStyle w:val="FootnoteReference"/>
        </w:rPr>
        <w:footnoteRef/>
      </w:r>
      <w:r w:rsidRPr="00516DB9">
        <w:tab/>
      </w:r>
      <w:r w:rsidRPr="00C82CA9">
        <w:t xml:space="preserve">McCoy v. Louisiana, 584 U.S. </w:t>
      </w:r>
      <w:r>
        <w:t>414</w:t>
      </w:r>
      <w:r w:rsidRPr="00C82CA9">
        <w:t>,</w:t>
      </w:r>
      <w:r>
        <w:t xml:space="preserve"> 427-428</w:t>
      </w:r>
      <w:r w:rsidRPr="00C82CA9">
        <w:t xml:space="preserve"> (2018).</w:t>
      </w:r>
    </w:p>
  </w:footnote>
  <w:footnote w:id="14">
    <w:p w14:paraId="525A95C4" w14:textId="77777777" w:rsidR="003E0047" w:rsidRDefault="003E0047" w:rsidP="003E0047">
      <w:pPr>
        <w:pStyle w:val="FootnoteText"/>
      </w:pPr>
      <w:r>
        <w:rPr>
          <w:rStyle w:val="FootnoteReference"/>
        </w:rPr>
        <w:footnoteRef/>
      </w:r>
      <w:r w:rsidRPr="00516DB9">
        <w:tab/>
      </w:r>
      <w:r w:rsidRPr="00C82CA9">
        <w:t xml:space="preserve">Robin M. Maher, </w:t>
      </w:r>
      <w:r w:rsidRPr="00C82CA9">
        <w:rPr>
          <w:rStyle w:val="ITALIC"/>
          <w:iCs/>
          <w:lang w:eastAsia="en-IN"/>
        </w:rPr>
        <w:t>McCoy v. Louisiana</w:t>
      </w:r>
      <w:r w:rsidRPr="00C82CA9">
        <w:t>: New Challenges for Defenders, New Risks for the Mentally Ill, On the Docket (Geo. Wash. L. Rev.), May 23, 2018, https://perma.cc/MJ7E-6G7S.</w:t>
      </w:r>
    </w:p>
  </w:footnote>
  <w:footnote w:id="15">
    <w:p w14:paraId="68FC5841" w14:textId="0E44B349" w:rsidR="0045641A" w:rsidRDefault="0045641A" w:rsidP="0095027B">
      <w:pPr>
        <w:pStyle w:val="FootnoteText"/>
        <w:ind w:firstLine="0"/>
      </w:pPr>
      <w:r>
        <w:rPr>
          <w:rStyle w:val="FootnoteReference"/>
        </w:rPr>
        <w:footnoteRef/>
      </w:r>
      <w:r>
        <w:t xml:space="preserve"> Comment 9 makes this explicit.</w:t>
      </w:r>
    </w:p>
  </w:footnote>
  <w:footnote w:id="16">
    <w:p w14:paraId="2143EF52" w14:textId="19B3E88F" w:rsidR="004027AA" w:rsidRDefault="004027AA" w:rsidP="00B94E94">
      <w:pPr>
        <w:pStyle w:val="FootnoteText"/>
      </w:pPr>
      <w:r>
        <w:rPr>
          <w:rStyle w:val="FootnoteReference"/>
        </w:rPr>
        <w:footnoteRef/>
      </w:r>
      <w:r w:rsidRPr="00516DB9">
        <w:tab/>
      </w:r>
      <w:r w:rsidRPr="00C82CA9">
        <w:t xml:space="preserve">The ABA Standards are available at </w:t>
      </w:r>
      <w:r w:rsidRPr="001F6121">
        <w:t>https://perma.cc/H5XT-EACY</w:t>
      </w:r>
      <w:r w:rsidRPr="00C82CA9">
        <w:t>. The standards are intended to provide guidance for lawyers, but unlike the Model Rules, they are not intended to be promulgated by state courts as formal disciplinary rules.</w:t>
      </w:r>
    </w:p>
  </w:footnote>
  <w:footnote w:id="17">
    <w:p w14:paraId="4640D715" w14:textId="77777777" w:rsidR="004027AA" w:rsidRDefault="004027AA" w:rsidP="004027AA">
      <w:pPr>
        <w:pStyle w:val="FootnoteText"/>
      </w:pPr>
      <w:r>
        <w:rPr>
          <w:rStyle w:val="FootnoteReference"/>
        </w:rPr>
        <w:footnoteRef/>
      </w:r>
      <w:r w:rsidRPr="00516DB9">
        <w:tab/>
      </w:r>
      <w:r w:rsidRPr="00C82CA9">
        <w:t>See D.C. Bar Legal Ethics Comm., Op. 295, Restriction on Communications by a Lawyer Acting as Guardian Ad Litem in a Child Abuse and Neglect Proceeding n. 1 (2000).</w:t>
      </w:r>
    </w:p>
  </w:footnote>
  <w:footnote w:id="18">
    <w:p w14:paraId="4088269B" w14:textId="77777777" w:rsidR="004027AA" w:rsidRDefault="004027AA" w:rsidP="004027AA">
      <w:pPr>
        <w:pStyle w:val="FootnoteText"/>
      </w:pPr>
      <w:r>
        <w:rPr>
          <w:rStyle w:val="FootnoteReference"/>
        </w:rPr>
        <w:footnoteRef/>
      </w:r>
      <w:r w:rsidRPr="00516DB9">
        <w:tab/>
      </w:r>
      <w:r w:rsidRPr="00C82CA9">
        <w:t>Frances Gall Hill, Clinical Education and the “Best Interest” Representation of Children in Custody Disputes: Challenges and Opportunities in Lawyering and Pedagogy, 73 Ind. L.J. 605, 621-624 (1998).</w:t>
      </w:r>
    </w:p>
  </w:footnote>
  <w:footnote w:id="19">
    <w:p w14:paraId="423DEA51" w14:textId="77777777" w:rsidR="004027AA" w:rsidRDefault="004027AA" w:rsidP="004027AA">
      <w:pPr>
        <w:pStyle w:val="FootnoteText"/>
      </w:pPr>
      <w:r>
        <w:rPr>
          <w:rStyle w:val="FootnoteReference"/>
        </w:rPr>
        <w:footnoteRef/>
      </w:r>
      <w:r w:rsidRPr="00516DB9">
        <w:tab/>
      </w:r>
      <w:r w:rsidRPr="00C82CA9">
        <w:t>See Merril Sobie, The Child Client: Representing Children in Child Protective Proceedings, 22 Touro L. Rev. 745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F22"/>
    <w:multiLevelType w:val="hybridMultilevel"/>
    <w:tmpl w:val="937C6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473D24"/>
    <w:multiLevelType w:val="hybridMultilevel"/>
    <w:tmpl w:val="941A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2537E"/>
    <w:multiLevelType w:val="hybridMultilevel"/>
    <w:tmpl w:val="92C04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250353"/>
    <w:multiLevelType w:val="hybridMultilevel"/>
    <w:tmpl w:val="5B7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AD"/>
    <w:rsid w:val="00007E5D"/>
    <w:rsid w:val="00013544"/>
    <w:rsid w:val="00027CE2"/>
    <w:rsid w:val="0005417A"/>
    <w:rsid w:val="00064595"/>
    <w:rsid w:val="00091ADD"/>
    <w:rsid w:val="00096F1E"/>
    <w:rsid w:val="000A0662"/>
    <w:rsid w:val="001147BE"/>
    <w:rsid w:val="0013513D"/>
    <w:rsid w:val="001B487B"/>
    <w:rsid w:val="001C34C6"/>
    <w:rsid w:val="001E4984"/>
    <w:rsid w:val="001E6972"/>
    <w:rsid w:val="00251B24"/>
    <w:rsid w:val="0026687F"/>
    <w:rsid w:val="002D19AC"/>
    <w:rsid w:val="002E4ABE"/>
    <w:rsid w:val="0032780B"/>
    <w:rsid w:val="003609CE"/>
    <w:rsid w:val="00386925"/>
    <w:rsid w:val="003A702C"/>
    <w:rsid w:val="003C446B"/>
    <w:rsid w:val="003E0047"/>
    <w:rsid w:val="004027AA"/>
    <w:rsid w:val="0045641A"/>
    <w:rsid w:val="004904DD"/>
    <w:rsid w:val="004C631A"/>
    <w:rsid w:val="004D2876"/>
    <w:rsid w:val="004D5C12"/>
    <w:rsid w:val="004E197B"/>
    <w:rsid w:val="004F16B4"/>
    <w:rsid w:val="0050368D"/>
    <w:rsid w:val="00523B1B"/>
    <w:rsid w:val="00527C6A"/>
    <w:rsid w:val="00550F05"/>
    <w:rsid w:val="005B4872"/>
    <w:rsid w:val="005B4AAB"/>
    <w:rsid w:val="005F0022"/>
    <w:rsid w:val="006067CF"/>
    <w:rsid w:val="006366E0"/>
    <w:rsid w:val="006542BA"/>
    <w:rsid w:val="00654EDF"/>
    <w:rsid w:val="00681763"/>
    <w:rsid w:val="006F672E"/>
    <w:rsid w:val="007229FA"/>
    <w:rsid w:val="00737556"/>
    <w:rsid w:val="00772AE0"/>
    <w:rsid w:val="0078391C"/>
    <w:rsid w:val="007A4227"/>
    <w:rsid w:val="007C1985"/>
    <w:rsid w:val="007F1E90"/>
    <w:rsid w:val="007F5667"/>
    <w:rsid w:val="008073BA"/>
    <w:rsid w:val="008C2ECA"/>
    <w:rsid w:val="008D4F3B"/>
    <w:rsid w:val="00907D0D"/>
    <w:rsid w:val="0094529C"/>
    <w:rsid w:val="0095027B"/>
    <w:rsid w:val="009B27CE"/>
    <w:rsid w:val="009C3B06"/>
    <w:rsid w:val="009E0E4D"/>
    <w:rsid w:val="00A05FB5"/>
    <w:rsid w:val="00A26EF9"/>
    <w:rsid w:val="00A30B8F"/>
    <w:rsid w:val="00A973E1"/>
    <w:rsid w:val="00AB74F4"/>
    <w:rsid w:val="00AE4378"/>
    <w:rsid w:val="00AE6DE3"/>
    <w:rsid w:val="00AF4204"/>
    <w:rsid w:val="00B01170"/>
    <w:rsid w:val="00B52ACE"/>
    <w:rsid w:val="00B94E94"/>
    <w:rsid w:val="00BE0CC7"/>
    <w:rsid w:val="00C011EE"/>
    <w:rsid w:val="00C2726A"/>
    <w:rsid w:val="00C41A63"/>
    <w:rsid w:val="00C81DAD"/>
    <w:rsid w:val="00D2436F"/>
    <w:rsid w:val="00DC6690"/>
    <w:rsid w:val="00DE6726"/>
    <w:rsid w:val="00DF2204"/>
    <w:rsid w:val="00E0162C"/>
    <w:rsid w:val="00E21B28"/>
    <w:rsid w:val="00E54957"/>
    <w:rsid w:val="00E6159A"/>
    <w:rsid w:val="00EA509D"/>
    <w:rsid w:val="00EB6CD4"/>
    <w:rsid w:val="00ED6D46"/>
    <w:rsid w:val="00EF0C0E"/>
    <w:rsid w:val="00F04588"/>
    <w:rsid w:val="00F22B64"/>
    <w:rsid w:val="00F262C5"/>
    <w:rsid w:val="00F56117"/>
    <w:rsid w:val="00F63F36"/>
    <w:rsid w:val="00F81A04"/>
    <w:rsid w:val="00F869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4893"/>
  <w15:chartTrackingRefBased/>
  <w15:docId w15:val="{51441FB2-438C-5443-BE7D-2C9A35FF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DAD"/>
    <w:rPr>
      <w:rFonts w:eastAsiaTheme="majorEastAsia" w:cstheme="majorBidi"/>
      <w:color w:val="272727" w:themeColor="text1" w:themeTint="D8"/>
    </w:rPr>
  </w:style>
  <w:style w:type="paragraph" w:styleId="Title">
    <w:name w:val="Title"/>
    <w:basedOn w:val="Normal"/>
    <w:next w:val="Normal"/>
    <w:link w:val="TitleChar"/>
    <w:uiPriority w:val="10"/>
    <w:qFormat/>
    <w:rsid w:val="00C81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DAD"/>
    <w:pPr>
      <w:spacing w:before="160"/>
      <w:jc w:val="center"/>
    </w:pPr>
    <w:rPr>
      <w:i/>
      <w:iCs/>
      <w:color w:val="404040" w:themeColor="text1" w:themeTint="BF"/>
    </w:rPr>
  </w:style>
  <w:style w:type="character" w:customStyle="1" w:styleId="QuoteChar">
    <w:name w:val="Quote Char"/>
    <w:basedOn w:val="DefaultParagraphFont"/>
    <w:link w:val="Quote"/>
    <w:uiPriority w:val="29"/>
    <w:rsid w:val="00C81DAD"/>
    <w:rPr>
      <w:i/>
      <w:iCs/>
      <w:color w:val="404040" w:themeColor="text1" w:themeTint="BF"/>
    </w:rPr>
  </w:style>
  <w:style w:type="paragraph" w:styleId="ListParagraph">
    <w:name w:val="List Paragraph"/>
    <w:basedOn w:val="Normal"/>
    <w:uiPriority w:val="34"/>
    <w:qFormat/>
    <w:rsid w:val="00C81DAD"/>
    <w:pPr>
      <w:ind w:left="720"/>
      <w:contextualSpacing/>
    </w:pPr>
  </w:style>
  <w:style w:type="character" w:styleId="IntenseEmphasis">
    <w:name w:val="Intense Emphasis"/>
    <w:basedOn w:val="DefaultParagraphFont"/>
    <w:uiPriority w:val="21"/>
    <w:qFormat/>
    <w:rsid w:val="00C81DAD"/>
    <w:rPr>
      <w:i/>
      <w:iCs/>
      <w:color w:val="0F4761" w:themeColor="accent1" w:themeShade="BF"/>
    </w:rPr>
  </w:style>
  <w:style w:type="paragraph" w:styleId="IntenseQuote">
    <w:name w:val="Intense Quote"/>
    <w:basedOn w:val="Normal"/>
    <w:next w:val="Normal"/>
    <w:link w:val="IntenseQuoteChar"/>
    <w:uiPriority w:val="30"/>
    <w:qFormat/>
    <w:rsid w:val="00C81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DAD"/>
    <w:rPr>
      <w:i/>
      <w:iCs/>
      <w:color w:val="0F4761" w:themeColor="accent1" w:themeShade="BF"/>
    </w:rPr>
  </w:style>
  <w:style w:type="character" w:styleId="IntenseReference">
    <w:name w:val="Intense Reference"/>
    <w:basedOn w:val="DefaultParagraphFont"/>
    <w:uiPriority w:val="32"/>
    <w:qFormat/>
    <w:rsid w:val="00C81DAD"/>
    <w:rPr>
      <w:b/>
      <w:bCs/>
      <w:smallCaps/>
      <w:color w:val="0F4761" w:themeColor="accent1" w:themeShade="BF"/>
      <w:spacing w:val="5"/>
    </w:rPr>
  </w:style>
  <w:style w:type="paragraph" w:customStyle="1" w:styleId="TXT">
    <w:name w:val="TXT"/>
    <w:basedOn w:val="Normal"/>
    <w:uiPriority w:val="99"/>
    <w:rsid w:val="00C81DAD"/>
    <w:pPr>
      <w:widowControl w:val="0"/>
      <w:suppressAutoHyphens/>
      <w:autoSpaceDE w:val="0"/>
      <w:autoSpaceDN w:val="0"/>
      <w:adjustRightInd w:val="0"/>
      <w:spacing w:after="0" w:line="280" w:lineRule="atLeast"/>
      <w:ind w:firstLine="36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TXTNI">
    <w:name w:val="TXT_NI"/>
    <w:basedOn w:val="Normal"/>
    <w:uiPriority w:val="99"/>
    <w:rsid w:val="00C81DAD"/>
    <w:pPr>
      <w:widowControl w:val="0"/>
      <w:suppressAutoHyphens/>
      <w:autoSpaceDE w:val="0"/>
      <w:autoSpaceDN w:val="0"/>
      <w:adjustRightInd w:val="0"/>
      <w:spacing w:after="0" w:line="280" w:lineRule="atLeast"/>
      <w:jc w:val="both"/>
      <w:textAlignment w:val="center"/>
    </w:pPr>
    <w:rPr>
      <w:rFonts w:ascii="MinionPro-Regular" w:eastAsia="Times New Roman" w:hAnsi="MinionPro-Regular" w:cs="MinionPro-Regular"/>
      <w:color w:val="000000"/>
      <w:kern w:val="0"/>
      <w:lang w:eastAsia="en-IN"/>
      <w14:ligatures w14:val="none"/>
    </w:rPr>
  </w:style>
  <w:style w:type="paragraph" w:customStyle="1" w:styleId="NEPQFH">
    <w:name w:val="NEPQ_FH"/>
    <w:basedOn w:val="Normal"/>
    <w:uiPriority w:val="99"/>
    <w:rsid w:val="00C81DAD"/>
    <w:pPr>
      <w:keepNext/>
      <w:keepLines/>
      <w:widowControl w:val="0"/>
      <w:suppressAutoHyphens/>
      <w:autoSpaceDE w:val="0"/>
      <w:autoSpaceDN w:val="0"/>
      <w:adjustRightInd w:val="0"/>
      <w:spacing w:before="280" w:after="140" w:line="280" w:lineRule="atLeast"/>
      <w:textAlignment w:val="center"/>
    </w:pPr>
    <w:rPr>
      <w:rFonts w:ascii="MinionPro-Bold" w:eastAsia="Times New Roman" w:hAnsi="MinionPro-Bold" w:cs="MinionPro-Bold"/>
      <w:b/>
      <w:bCs/>
      <w:color w:val="000000"/>
      <w:kern w:val="0"/>
      <w:lang w:eastAsia="en-IN"/>
      <w14:ligatures w14:val="none"/>
    </w:rPr>
  </w:style>
  <w:style w:type="paragraph" w:customStyle="1" w:styleId="EXT">
    <w:name w:val="EXT"/>
    <w:basedOn w:val="Normal"/>
    <w:uiPriority w:val="99"/>
    <w:rsid w:val="00C81DAD"/>
    <w:pPr>
      <w:widowControl w:val="0"/>
      <w:suppressAutoHyphens/>
      <w:autoSpaceDE w:val="0"/>
      <w:autoSpaceDN w:val="0"/>
      <w:adjustRightInd w:val="0"/>
      <w:spacing w:before="160" w:after="140" w:line="260" w:lineRule="atLeast"/>
      <w:ind w:left="600" w:right="600"/>
      <w:jc w:val="both"/>
      <w:textAlignment w:val="center"/>
    </w:pPr>
    <w:rPr>
      <w:rFonts w:ascii="MinionPro-Regular" w:eastAsia="Times New Roman" w:hAnsi="MinionPro-Regular" w:cs="MinionPro-Regular"/>
      <w:color w:val="000000"/>
      <w:kern w:val="0"/>
      <w:sz w:val="22"/>
      <w:szCs w:val="22"/>
      <w:lang w:eastAsia="en-IN"/>
      <w14:ligatures w14:val="none"/>
    </w:rPr>
  </w:style>
  <w:style w:type="paragraph" w:customStyle="1" w:styleId="Q1H">
    <w:name w:val="Q1H"/>
    <w:basedOn w:val="Normal"/>
    <w:uiPriority w:val="99"/>
    <w:rsid w:val="00C81DAD"/>
    <w:pPr>
      <w:widowControl w:val="0"/>
      <w:suppressAutoHyphens/>
      <w:autoSpaceDE w:val="0"/>
      <w:autoSpaceDN w:val="0"/>
      <w:adjustRightInd w:val="0"/>
      <w:spacing w:before="280" w:after="280" w:line="280" w:lineRule="atLeast"/>
      <w:ind w:left="60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H3">
    <w:name w:val="H3"/>
    <w:basedOn w:val="Normal"/>
    <w:uiPriority w:val="99"/>
    <w:rsid w:val="00C81DAD"/>
    <w:pPr>
      <w:keepNext/>
      <w:keepLines/>
      <w:widowControl w:val="0"/>
      <w:suppressAutoHyphens/>
      <w:autoSpaceDE w:val="0"/>
      <w:autoSpaceDN w:val="0"/>
      <w:adjustRightInd w:val="0"/>
      <w:spacing w:before="240" w:after="140" w:line="320" w:lineRule="atLeast"/>
      <w:textAlignment w:val="center"/>
    </w:pPr>
    <w:rPr>
      <w:rFonts w:ascii="MinionPro-SemiboldIt" w:eastAsia="Times New Roman" w:hAnsi="MinionPro-SemiboldIt" w:cs="MinionPro-SemiboldIt"/>
      <w:i/>
      <w:iCs/>
      <w:color w:val="000000"/>
      <w:kern w:val="0"/>
      <w:sz w:val="30"/>
      <w:szCs w:val="30"/>
      <w:lang w:eastAsia="en-IN"/>
      <w14:ligatures w14:val="none"/>
    </w:rPr>
  </w:style>
  <w:style w:type="paragraph" w:customStyle="1" w:styleId="NEPQBL1">
    <w:name w:val="NEPQ_BL1"/>
    <w:basedOn w:val="Normal"/>
    <w:uiPriority w:val="99"/>
    <w:rsid w:val="00C81DAD"/>
    <w:pPr>
      <w:widowControl w:val="0"/>
      <w:suppressAutoHyphens/>
      <w:autoSpaceDE w:val="0"/>
      <w:autoSpaceDN w:val="0"/>
      <w:adjustRightInd w:val="0"/>
      <w:spacing w:before="140" w:after="140" w:line="280" w:lineRule="atLeast"/>
      <w:ind w:left="580" w:hanging="22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UFGC">
    <w:name w:val="UFGC"/>
    <w:basedOn w:val="Normal"/>
    <w:uiPriority w:val="99"/>
    <w:rsid w:val="00C81DAD"/>
    <w:pPr>
      <w:keepNext/>
      <w:keepLines/>
      <w:widowControl w:val="0"/>
      <w:suppressAutoHyphens/>
      <w:autoSpaceDE w:val="0"/>
      <w:autoSpaceDN w:val="0"/>
      <w:adjustRightInd w:val="0"/>
      <w:spacing w:before="120" w:after="280" w:line="220" w:lineRule="atLeast"/>
      <w:textAlignment w:val="center"/>
    </w:pPr>
    <w:rPr>
      <w:rFonts w:ascii="MinionPro-It" w:eastAsia="Times New Roman" w:hAnsi="MinionPro-It" w:cs="MinionPro-It"/>
      <w:i/>
      <w:iCs/>
      <w:color w:val="000000"/>
      <w:kern w:val="0"/>
      <w:sz w:val="18"/>
      <w:szCs w:val="18"/>
      <w:lang w:eastAsia="en-IN"/>
      <w14:ligatures w14:val="none"/>
    </w:rPr>
  </w:style>
  <w:style w:type="paragraph" w:customStyle="1" w:styleId="EXTSMA">
    <w:name w:val="EXT_SMA"/>
    <w:basedOn w:val="Normal"/>
    <w:uiPriority w:val="99"/>
    <w:rsid w:val="00C81DAD"/>
    <w:pPr>
      <w:widowControl w:val="0"/>
      <w:suppressAutoHyphens/>
      <w:autoSpaceDE w:val="0"/>
      <w:autoSpaceDN w:val="0"/>
      <w:adjustRightInd w:val="0"/>
      <w:spacing w:before="140" w:after="140" w:line="280" w:lineRule="atLeast"/>
      <w:ind w:left="360" w:firstLine="48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Q1Hmid">
    <w:name w:val="Q1H_mid"/>
    <w:basedOn w:val="Normal"/>
    <w:uiPriority w:val="99"/>
    <w:rsid w:val="00C81DAD"/>
    <w:pPr>
      <w:widowControl w:val="0"/>
      <w:suppressAutoHyphens/>
      <w:autoSpaceDE w:val="0"/>
      <w:autoSpaceDN w:val="0"/>
      <w:adjustRightInd w:val="0"/>
      <w:spacing w:before="140" w:after="0" w:line="280" w:lineRule="atLeast"/>
      <w:ind w:left="600"/>
      <w:jc w:val="both"/>
      <w:textAlignment w:val="center"/>
    </w:pPr>
    <w:rPr>
      <w:rFonts w:ascii="MinionPro-Regular" w:eastAsia="Times New Roman" w:hAnsi="MinionPro-Regular" w:cs="MinionPro-Regular"/>
      <w:color w:val="000000"/>
      <w:kern w:val="0"/>
      <w:lang w:eastAsia="en-IN"/>
      <w14:ligatures w14:val="none"/>
    </w:rPr>
  </w:style>
  <w:style w:type="character" w:customStyle="1" w:styleId="BOLD">
    <w:name w:val="BOLD"/>
    <w:uiPriority w:val="99"/>
    <w:rsid w:val="00C81DAD"/>
    <w:rPr>
      <w:b/>
      <w:color w:val="000000"/>
      <w:lang w:val="en-US" w:eastAsia="x-none"/>
    </w:rPr>
  </w:style>
  <w:style w:type="character" w:customStyle="1" w:styleId="Q1H1">
    <w:name w:val="Q1H1"/>
    <w:uiPriority w:val="99"/>
    <w:rsid w:val="00C81DAD"/>
    <w:rPr>
      <w:rFonts w:ascii="MinionStd-Black" w:hAnsi="MinionStd-Black"/>
      <w:color w:val="000000"/>
      <w:lang w:val="en-US" w:eastAsia="x-none"/>
    </w:rPr>
  </w:style>
  <w:style w:type="character" w:customStyle="1" w:styleId="ITALIC">
    <w:name w:val="ITALIC"/>
    <w:uiPriority w:val="99"/>
    <w:rsid w:val="00C81DAD"/>
    <w:rPr>
      <w:i/>
      <w:color w:val="000000"/>
      <w:lang w:val="en-US" w:eastAsia="x-none"/>
    </w:rPr>
  </w:style>
  <w:style w:type="character" w:customStyle="1" w:styleId="BL11">
    <w:name w:val="BL11"/>
    <w:uiPriority w:val="99"/>
    <w:rsid w:val="00C81DAD"/>
    <w:rPr>
      <w:rFonts w:ascii="MathematicalPiLTStd" w:hAnsi="MathematicalPiLTStd"/>
      <w:color w:val="000000"/>
      <w:position w:val="2"/>
      <w:sz w:val="14"/>
      <w:lang w:val="en-US" w:eastAsia="x-none"/>
    </w:rPr>
  </w:style>
  <w:style w:type="paragraph" w:styleId="FootnoteText">
    <w:name w:val="footnote text"/>
    <w:basedOn w:val="Normal"/>
    <w:link w:val="FootnoteTextChar"/>
    <w:uiPriority w:val="99"/>
    <w:rsid w:val="00C81DAD"/>
    <w:pPr>
      <w:spacing w:after="0" w:line="240" w:lineRule="auto"/>
      <w:ind w:left="720" w:hanging="72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C81DAD"/>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C81DAD"/>
    <w:rPr>
      <w:vertAlign w:val="superscript"/>
    </w:rPr>
  </w:style>
  <w:style w:type="paragraph" w:styleId="Revision">
    <w:name w:val="Revision"/>
    <w:hidden/>
    <w:uiPriority w:val="99"/>
    <w:semiHidden/>
    <w:rsid w:val="00550F05"/>
    <w:pPr>
      <w:spacing w:after="0" w:line="240" w:lineRule="auto"/>
    </w:pPr>
  </w:style>
  <w:style w:type="paragraph" w:styleId="NormalWeb">
    <w:name w:val="Normal (Web)"/>
    <w:basedOn w:val="Normal"/>
    <w:uiPriority w:val="99"/>
    <w:semiHidden/>
    <w:unhideWhenUsed/>
    <w:rsid w:val="00550F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UFIG">
    <w:name w:val="UFIG"/>
    <w:basedOn w:val="Normal"/>
    <w:uiPriority w:val="99"/>
    <w:rsid w:val="004027AA"/>
    <w:pPr>
      <w:keepLines/>
      <w:widowControl w:val="0"/>
      <w:suppressAutoHyphens/>
      <w:autoSpaceDE w:val="0"/>
      <w:autoSpaceDN w:val="0"/>
      <w:adjustRightInd w:val="0"/>
      <w:spacing w:before="280" w:after="280" w:line="288" w:lineRule="auto"/>
      <w:jc w:val="center"/>
      <w:textAlignment w:val="center"/>
    </w:pPr>
    <w:rPr>
      <w:rFonts w:ascii="MinionPro-It" w:eastAsia="Times New Roman" w:hAnsi="MinionPro-It" w:cs="MinionPro-It"/>
      <w:i/>
      <w:iCs/>
      <w:color w:val="000000"/>
      <w:kern w:val="0"/>
      <w:sz w:val="18"/>
      <w:szCs w:val="18"/>
      <w:lang w:eastAsia="en-IN"/>
      <w14:ligatures w14:val="none"/>
    </w:rPr>
  </w:style>
  <w:style w:type="paragraph" w:customStyle="1" w:styleId="NEPQH1">
    <w:name w:val="NEPQ_H1"/>
    <w:basedOn w:val="Normal"/>
    <w:uiPriority w:val="99"/>
    <w:rsid w:val="004027AA"/>
    <w:pPr>
      <w:widowControl w:val="0"/>
      <w:pBdr>
        <w:top w:val="single" w:sz="96" w:space="0" w:color="A73439"/>
      </w:pBdr>
      <w:suppressAutoHyphens/>
      <w:autoSpaceDE w:val="0"/>
      <w:autoSpaceDN w:val="0"/>
      <w:adjustRightInd w:val="0"/>
      <w:spacing w:before="520" w:after="0" w:line="280" w:lineRule="atLeast"/>
      <w:ind w:left="60"/>
      <w:textAlignment w:val="center"/>
    </w:pPr>
    <w:rPr>
      <w:rFonts w:ascii="MinionPro-Bold" w:eastAsia="Times New Roman" w:hAnsi="MinionPro-Bold" w:cs="MinionPro-Bold"/>
      <w:b/>
      <w:bCs/>
      <w:color w:val="000000"/>
      <w:kern w:val="0"/>
      <w:sz w:val="28"/>
      <w:szCs w:val="28"/>
      <w:lang w:eastAsia="en-IN"/>
      <w14:ligatures w14:val="none"/>
    </w:rPr>
  </w:style>
  <w:style w:type="paragraph" w:customStyle="1" w:styleId="NEPQH2">
    <w:name w:val="NEPQ_H2"/>
    <w:basedOn w:val="Normal"/>
    <w:uiPriority w:val="99"/>
    <w:rsid w:val="004027AA"/>
    <w:pPr>
      <w:widowControl w:val="0"/>
      <w:suppressAutoHyphens/>
      <w:autoSpaceDE w:val="0"/>
      <w:autoSpaceDN w:val="0"/>
      <w:adjustRightInd w:val="0"/>
      <w:spacing w:before="140" w:after="260" w:line="340" w:lineRule="atLeast"/>
      <w:textAlignment w:val="center"/>
    </w:pPr>
    <w:rPr>
      <w:rFonts w:ascii="MinionPro-Semibold" w:eastAsia="Times New Roman" w:hAnsi="MinionPro-Semibold" w:cs="MinionPro-Semibold"/>
      <w:caps/>
      <w:color w:val="000000"/>
      <w:kern w:val="0"/>
      <w:sz w:val="32"/>
      <w:szCs w:val="32"/>
      <w:lang w:eastAsia="en-IN"/>
      <w14:ligatures w14:val="none"/>
    </w:rPr>
  </w:style>
  <w:style w:type="paragraph" w:customStyle="1" w:styleId="NEPQEXT">
    <w:name w:val="NEPQ_EXT"/>
    <w:basedOn w:val="Normal"/>
    <w:uiPriority w:val="99"/>
    <w:rsid w:val="004027AA"/>
    <w:pPr>
      <w:widowControl w:val="0"/>
      <w:suppressAutoHyphens/>
      <w:autoSpaceDE w:val="0"/>
      <w:autoSpaceDN w:val="0"/>
      <w:adjustRightInd w:val="0"/>
      <w:spacing w:after="260" w:line="280" w:lineRule="atLeast"/>
      <w:ind w:left="120" w:right="120"/>
      <w:jc w:val="both"/>
      <w:textAlignment w:val="center"/>
    </w:pPr>
    <w:rPr>
      <w:rFonts w:ascii="MinionPro-SemiboldIt" w:eastAsia="Times New Roman" w:hAnsi="MinionPro-SemiboldIt" w:cs="MinionPro-SemiboldIt"/>
      <w:i/>
      <w:iCs/>
      <w:color w:val="000000"/>
      <w:kern w:val="0"/>
      <w:lang w:eastAsia="en-IN"/>
      <w14:ligatures w14:val="none"/>
    </w:rPr>
  </w:style>
  <w:style w:type="paragraph" w:customStyle="1" w:styleId="NEPQEXT2first">
    <w:name w:val="NEPQ_EXT2_first"/>
    <w:basedOn w:val="Normal"/>
    <w:uiPriority w:val="99"/>
    <w:rsid w:val="004027AA"/>
    <w:pPr>
      <w:widowControl w:val="0"/>
      <w:suppressAutoHyphens/>
      <w:autoSpaceDE w:val="0"/>
      <w:autoSpaceDN w:val="0"/>
      <w:adjustRightInd w:val="0"/>
      <w:spacing w:after="0" w:line="280" w:lineRule="atLeast"/>
      <w:ind w:left="600" w:right="60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NEPQEXT2mid">
    <w:name w:val="NEPQ_EXT2_mid"/>
    <w:basedOn w:val="Normal"/>
    <w:uiPriority w:val="99"/>
    <w:rsid w:val="004027AA"/>
    <w:pPr>
      <w:widowControl w:val="0"/>
      <w:suppressAutoHyphens/>
      <w:autoSpaceDE w:val="0"/>
      <w:autoSpaceDN w:val="0"/>
      <w:adjustRightInd w:val="0"/>
      <w:spacing w:after="0" w:line="280" w:lineRule="atLeast"/>
      <w:ind w:left="600" w:right="600" w:firstLine="36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NEPQEXT2last">
    <w:name w:val="NEPQ_EXT2_last"/>
    <w:basedOn w:val="Normal"/>
    <w:uiPriority w:val="99"/>
    <w:rsid w:val="004027AA"/>
    <w:pPr>
      <w:widowControl w:val="0"/>
      <w:pBdr>
        <w:bottom w:val="single" w:sz="8" w:space="12" w:color="A73439"/>
      </w:pBdr>
      <w:suppressAutoHyphens/>
      <w:autoSpaceDE w:val="0"/>
      <w:autoSpaceDN w:val="0"/>
      <w:adjustRightInd w:val="0"/>
      <w:spacing w:after="260" w:line="280" w:lineRule="atLeast"/>
      <w:ind w:left="600" w:right="600" w:firstLine="36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NEPQEXT2">
    <w:name w:val="NEPQ_EXT2"/>
    <w:basedOn w:val="Normal"/>
    <w:uiPriority w:val="99"/>
    <w:rsid w:val="004027AA"/>
    <w:pPr>
      <w:widowControl w:val="0"/>
      <w:suppressAutoHyphens/>
      <w:autoSpaceDE w:val="0"/>
      <w:autoSpaceDN w:val="0"/>
      <w:adjustRightInd w:val="0"/>
      <w:spacing w:after="0" w:line="280" w:lineRule="atLeast"/>
      <w:ind w:left="600" w:right="600"/>
      <w:jc w:val="both"/>
      <w:textAlignment w:val="center"/>
    </w:pPr>
    <w:rPr>
      <w:rFonts w:ascii="MinionPro-Regular" w:eastAsia="Times New Roman" w:hAnsi="MinionPro-Regular" w:cs="MinionPro-Regular"/>
      <w:color w:val="000000"/>
      <w:kern w:val="0"/>
      <w:lang w:eastAsia="en-IN"/>
      <w14:ligatures w14:val="none"/>
    </w:rPr>
  </w:style>
  <w:style w:type="paragraph" w:customStyle="1" w:styleId="EXTBL1">
    <w:name w:val="EXT_BL1"/>
    <w:basedOn w:val="Normal"/>
    <w:uiPriority w:val="99"/>
    <w:rsid w:val="004027AA"/>
    <w:pPr>
      <w:widowControl w:val="0"/>
      <w:suppressAutoHyphens/>
      <w:autoSpaceDE w:val="0"/>
      <w:autoSpaceDN w:val="0"/>
      <w:adjustRightInd w:val="0"/>
      <w:spacing w:before="60" w:after="60" w:line="260" w:lineRule="atLeast"/>
      <w:ind w:left="1180" w:right="600" w:hanging="220"/>
      <w:jc w:val="both"/>
      <w:textAlignment w:val="center"/>
    </w:pPr>
    <w:rPr>
      <w:rFonts w:ascii="MinionPro-Regular" w:eastAsia="Times New Roman" w:hAnsi="MinionPro-Regular" w:cs="MinionPro-Regular"/>
      <w:color w:val="000000"/>
      <w:kern w:val="0"/>
      <w:sz w:val="22"/>
      <w:szCs w:val="22"/>
      <w:lang w:eastAsia="en-IN"/>
      <w14:ligatures w14:val="none"/>
    </w:rPr>
  </w:style>
  <w:style w:type="character" w:customStyle="1" w:styleId="BOLDITAL">
    <w:name w:val="BOLDITAL"/>
    <w:uiPriority w:val="99"/>
    <w:rsid w:val="004027AA"/>
    <w:rPr>
      <w:b/>
      <w:i/>
      <w:color w:val="000000"/>
      <w:lang w:val="en-US" w:eastAsia="x-none"/>
    </w:rPr>
  </w:style>
  <w:style w:type="character" w:styleId="CommentReference">
    <w:name w:val="annotation reference"/>
    <w:uiPriority w:val="99"/>
    <w:semiHidden/>
    <w:unhideWhenUsed/>
    <w:rsid w:val="004027AA"/>
    <w:rPr>
      <w:sz w:val="16"/>
      <w:szCs w:val="16"/>
    </w:rPr>
  </w:style>
  <w:style w:type="paragraph" w:styleId="CommentText">
    <w:name w:val="annotation text"/>
    <w:basedOn w:val="Normal"/>
    <w:link w:val="CommentTextChar"/>
    <w:uiPriority w:val="99"/>
    <w:unhideWhenUsed/>
    <w:rsid w:val="004027AA"/>
    <w:pPr>
      <w:spacing w:line="259" w:lineRule="auto"/>
    </w:pPr>
    <w:rPr>
      <w:rFonts w:ascii="Calibri" w:eastAsia="Times New Roman" w:hAnsi="Calibri" w:cs="Times New Roman"/>
      <w:kern w:val="0"/>
      <w:sz w:val="20"/>
      <w:szCs w:val="20"/>
      <w:lang w:val="en-IN"/>
      <w14:ligatures w14:val="none"/>
    </w:rPr>
  </w:style>
  <w:style w:type="character" w:customStyle="1" w:styleId="CommentTextChar">
    <w:name w:val="Comment Text Char"/>
    <w:basedOn w:val="DefaultParagraphFont"/>
    <w:link w:val="CommentText"/>
    <w:uiPriority w:val="99"/>
    <w:rsid w:val="004027AA"/>
    <w:rPr>
      <w:rFonts w:ascii="Calibri" w:eastAsia="Times New Roman" w:hAnsi="Calibri" w:cs="Times New Roman"/>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527C6A"/>
    <w:pPr>
      <w:spacing w:line="240" w:lineRule="auto"/>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527C6A"/>
    <w:rPr>
      <w:rFonts w:ascii="Calibri" w:eastAsia="Times New Roman" w:hAnsi="Calibri" w:cs="Times New Roman"/>
      <w:b/>
      <w:bCs/>
      <w:kern w:val="0"/>
      <w:sz w:val="20"/>
      <w:szCs w:val="20"/>
      <w:lang w:val="en-IN"/>
      <w14:ligatures w14:val="none"/>
    </w:rPr>
  </w:style>
  <w:style w:type="character" w:styleId="Hyperlink">
    <w:name w:val="Hyperlink"/>
    <w:basedOn w:val="DefaultParagraphFont"/>
    <w:uiPriority w:val="99"/>
    <w:unhideWhenUsed/>
    <w:rsid w:val="00654EDF"/>
    <w:rPr>
      <w:color w:val="467886" w:themeColor="hyperlink"/>
      <w:u w:val="single"/>
    </w:rPr>
  </w:style>
  <w:style w:type="character" w:styleId="UnresolvedMention">
    <w:name w:val="Unresolved Mention"/>
    <w:basedOn w:val="DefaultParagraphFont"/>
    <w:uiPriority w:val="99"/>
    <w:semiHidden/>
    <w:unhideWhenUsed/>
    <w:rsid w:val="00654EDF"/>
    <w:rPr>
      <w:color w:val="605E5C"/>
      <w:shd w:val="clear" w:color="auto" w:fill="E1DFDD"/>
    </w:rPr>
  </w:style>
  <w:style w:type="paragraph" w:styleId="Header">
    <w:name w:val="header"/>
    <w:basedOn w:val="Normal"/>
    <w:link w:val="HeaderChar"/>
    <w:uiPriority w:val="99"/>
    <w:unhideWhenUsed/>
    <w:rsid w:val="00054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17A"/>
  </w:style>
  <w:style w:type="paragraph" w:styleId="Footer">
    <w:name w:val="footer"/>
    <w:basedOn w:val="Normal"/>
    <w:link w:val="FooterChar"/>
    <w:uiPriority w:val="99"/>
    <w:unhideWhenUsed/>
    <w:rsid w:val="00054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erma.cc/G93X-2UWP" TargetMode="External"/><Relationship Id="rId1" Type="http://schemas.openxmlformats.org/officeDocument/2006/relationships/hyperlink" Target="https://perma.cc/62D2-39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ADBB-3BB4-478F-BE88-56876901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lerman</dc:creator>
  <cp:keywords/>
  <dc:description/>
  <cp:lastModifiedBy>Kathy Langone</cp:lastModifiedBy>
  <cp:revision>2</cp:revision>
  <cp:lastPrinted>2026-05-30T14:31:00Z</cp:lastPrinted>
  <dcterms:created xsi:type="dcterms:W3CDTF">2026-06-02T16:47:00Z</dcterms:created>
  <dcterms:modified xsi:type="dcterms:W3CDTF">2026-06-02T16:47:00Z</dcterms:modified>
</cp:coreProperties>
</file>