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751F" w14:textId="77777777" w:rsidR="00AD349B" w:rsidRDefault="00000000">
      <w:pPr>
        <w:pStyle w:val="Heading1"/>
        <w:rPr>
          <w:b/>
          <w:sz w:val="46"/>
          <w:szCs w:val="46"/>
        </w:rPr>
      </w:pPr>
      <w:bookmarkStart w:id="0" w:name="_heading=h.h9e7smfp9iri" w:colFirst="0" w:colLast="0"/>
      <w:bookmarkEnd w:id="0"/>
      <w:r>
        <w:rPr>
          <w:b/>
          <w:sz w:val="46"/>
          <w:szCs w:val="46"/>
        </w:rPr>
        <w:t>Extended Reality: Overview</w:t>
      </w:r>
    </w:p>
    <w:p w14:paraId="2E0DD88A" w14:textId="77777777" w:rsidR="00AD349B" w:rsidRDefault="00000000">
      <w:pPr>
        <w:pStyle w:val="Heading2"/>
        <w:rPr>
          <w:b/>
        </w:rPr>
      </w:pPr>
      <w:bookmarkStart w:id="1" w:name="_heading=h.an467by8fngo" w:colFirst="0" w:colLast="0"/>
      <w:bookmarkEnd w:id="1"/>
      <w:r>
        <w:rPr>
          <w:b/>
          <w:noProof/>
        </w:rPr>
        <w:drawing>
          <wp:inline distT="114300" distB="114300" distL="114300" distR="114300" wp14:anchorId="1CD858CA" wp14:editId="32D2EDCA">
            <wp:extent cx="5731200" cy="2451100"/>
            <wp:effectExtent l="0" t="0" r="0" b="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1200" cy="2451100"/>
                    </a:xfrm>
                    <a:prstGeom prst="rect">
                      <a:avLst/>
                    </a:prstGeom>
                    <a:ln/>
                  </pic:spPr>
                </pic:pic>
              </a:graphicData>
            </a:graphic>
          </wp:inline>
        </w:drawing>
      </w:r>
    </w:p>
    <w:p w14:paraId="6438FB66" w14:textId="77777777" w:rsidR="00AD349B" w:rsidRDefault="00000000">
      <w:pPr>
        <w:pStyle w:val="Heading2"/>
      </w:pPr>
      <w:bookmarkStart w:id="2" w:name="_heading=h.sje1vutt6qg4" w:colFirst="0" w:colLast="0"/>
      <w:bookmarkEnd w:id="2"/>
      <w:r>
        <w:rPr>
          <w:b/>
          <w:sz w:val="34"/>
          <w:szCs w:val="34"/>
        </w:rPr>
        <w:t>Stepping into a new reality</w:t>
      </w:r>
    </w:p>
    <w:p w14:paraId="79116D04" w14:textId="77777777" w:rsidR="00AD349B" w:rsidRDefault="00000000">
      <w:pPr>
        <w:spacing w:before="120" w:after="120"/>
      </w:pPr>
      <w:r>
        <w:t xml:space="preserve">Extended reality (XR) is the umbrella term that includes Augmented Reality (AR), Virtual Reality (VR), and Mixed Reality (MR). These segments are characterized by the varying degrees at which reality interacts with the virtual world. </w:t>
      </w:r>
      <w:r>
        <w:tab/>
      </w:r>
    </w:p>
    <w:p w14:paraId="2C90210C" w14:textId="77777777" w:rsidR="00AD349B" w:rsidRDefault="00AD349B">
      <w:pPr>
        <w:spacing w:before="120" w:after="120"/>
      </w:pPr>
    </w:p>
    <w:p w14:paraId="3050A719" w14:textId="77777777" w:rsidR="00AD349B" w:rsidRDefault="00000000">
      <w:pPr>
        <w:numPr>
          <w:ilvl w:val="0"/>
          <w:numId w:val="2"/>
        </w:numPr>
        <w:spacing w:before="120" w:after="200"/>
        <w:rPr>
          <w:rFonts w:ascii="Roboto" w:eastAsia="Roboto" w:hAnsi="Roboto" w:cs="Roboto"/>
        </w:rPr>
      </w:pPr>
      <w:r>
        <w:rPr>
          <w:b/>
        </w:rPr>
        <w:t>AR</w:t>
      </w:r>
      <w:r>
        <w:t xml:space="preserve"> refers to the overlay of computer-generated (CG) content (e.g., video streams, images, interactive data, holograms) in a real-world environment. In this case, the real-world content is not able to interact with the CG content (e.g., an AR object covered by a real-world object would not make the AR object disappear). </w:t>
      </w:r>
    </w:p>
    <w:p w14:paraId="2127267A" w14:textId="77777777" w:rsidR="00AD349B" w:rsidRDefault="00000000">
      <w:pPr>
        <w:numPr>
          <w:ilvl w:val="0"/>
          <w:numId w:val="2"/>
        </w:numPr>
        <w:spacing w:after="200"/>
        <w:rPr>
          <w:rFonts w:ascii="Roboto" w:eastAsia="Roboto" w:hAnsi="Roboto" w:cs="Roboto"/>
        </w:rPr>
      </w:pPr>
      <w:r>
        <w:rPr>
          <w:b/>
        </w:rPr>
        <w:t>VR</w:t>
      </w:r>
      <w:r>
        <w:t xml:space="preserve"> is a fully immersive world made with real-world (360-degree video) or CG content or a mix of both prepared in advance. </w:t>
      </w:r>
    </w:p>
    <w:p w14:paraId="75FBD93A" w14:textId="77777777" w:rsidR="00AD349B" w:rsidRDefault="00000000">
      <w:pPr>
        <w:numPr>
          <w:ilvl w:val="0"/>
          <w:numId w:val="2"/>
        </w:numPr>
        <w:spacing w:before="120" w:after="200"/>
        <w:jc w:val="both"/>
        <w:rPr>
          <w:rFonts w:ascii="Roboto" w:eastAsia="Roboto" w:hAnsi="Roboto" w:cs="Roboto"/>
        </w:rPr>
      </w:pPr>
      <w:r>
        <w:rPr>
          <w:b/>
        </w:rPr>
        <w:t>MR,</w:t>
      </w:r>
      <w:r>
        <w:t xml:space="preserve"> as the name suggests, falls between the AR and VR </w:t>
      </w:r>
      <w:proofErr w:type="gramStart"/>
      <w:r>
        <w:t>mediums</w:t>
      </w:r>
      <w:proofErr w:type="gramEnd"/>
      <w:r>
        <w:t xml:space="preserve"> and refers to CG content that interacts with objects in the real world. This medium removes the boundaries between real and virtual interaction via occlusion. Occlusion refers to CG content that can be visibly obscured by objects in the physical environment. Notably, the Apple Vision Pro launch popularized the term “spatial computing,” which can be considered the next iteration of MR, enabled by improvements in the field (improved spatial anchoring of content and manipulation of real-world content with digital elements).</w:t>
      </w:r>
    </w:p>
    <w:p w14:paraId="59C98E24" w14:textId="77777777" w:rsidR="00AD349B" w:rsidRDefault="00AD349B">
      <w:pPr>
        <w:spacing w:before="120" w:after="120"/>
      </w:pPr>
    </w:p>
    <w:p w14:paraId="245ECF86" w14:textId="77777777" w:rsidR="00AD349B" w:rsidRDefault="00000000">
      <w:pPr>
        <w:rPr>
          <w:color w:val="000000"/>
          <w:sz w:val="26"/>
          <w:szCs w:val="26"/>
        </w:rPr>
      </w:pPr>
      <w:r>
        <w:rPr>
          <w:noProof/>
        </w:rPr>
        <w:lastRenderedPageBreak/>
        <w:drawing>
          <wp:inline distT="114300" distB="114300" distL="114300" distR="114300" wp14:anchorId="60F91EE5" wp14:editId="50232017">
            <wp:extent cx="5731200" cy="3225800"/>
            <wp:effectExtent l="0" t="0" r="0" b="0"/>
            <wp:docPr id="4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5731200" cy="3225800"/>
                    </a:xfrm>
                    <a:prstGeom prst="rect">
                      <a:avLst/>
                    </a:prstGeom>
                    <a:ln/>
                  </pic:spPr>
                </pic:pic>
              </a:graphicData>
            </a:graphic>
          </wp:inline>
        </w:drawing>
      </w:r>
    </w:p>
    <w:p w14:paraId="644C165A" w14:textId="77777777" w:rsidR="00AD349B" w:rsidRDefault="00AD349B"/>
    <w:tbl>
      <w:tblPr>
        <w:tblStyle w:val="a8"/>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850"/>
        <w:gridCol w:w="2370"/>
        <w:gridCol w:w="2160"/>
      </w:tblGrid>
      <w:tr w:rsidR="00AD349B" w14:paraId="0A55B814" w14:textId="77777777">
        <w:tc>
          <w:tcPr>
            <w:tcW w:w="1560" w:type="dxa"/>
            <w:shd w:val="clear" w:color="auto" w:fill="auto"/>
            <w:tcMar>
              <w:top w:w="100" w:type="dxa"/>
              <w:left w:w="100" w:type="dxa"/>
              <w:bottom w:w="100" w:type="dxa"/>
              <w:right w:w="100" w:type="dxa"/>
            </w:tcMar>
          </w:tcPr>
          <w:p w14:paraId="56027042" w14:textId="77777777" w:rsidR="00AD349B" w:rsidRDefault="00000000">
            <w:pPr>
              <w:widowControl w:val="0"/>
              <w:spacing w:line="240" w:lineRule="auto"/>
              <w:rPr>
                <w:b/>
              </w:rPr>
            </w:pPr>
            <w:r>
              <w:rPr>
                <w:b/>
              </w:rPr>
              <w:t>Factor</w:t>
            </w:r>
          </w:p>
        </w:tc>
        <w:tc>
          <w:tcPr>
            <w:tcW w:w="2850" w:type="dxa"/>
            <w:shd w:val="clear" w:color="auto" w:fill="auto"/>
            <w:tcMar>
              <w:top w:w="100" w:type="dxa"/>
              <w:left w:w="100" w:type="dxa"/>
              <w:bottom w:w="100" w:type="dxa"/>
              <w:right w:w="100" w:type="dxa"/>
            </w:tcMar>
          </w:tcPr>
          <w:p w14:paraId="36996D97" w14:textId="77777777" w:rsidR="00AD349B" w:rsidRDefault="00000000">
            <w:pPr>
              <w:widowControl w:val="0"/>
              <w:spacing w:line="240" w:lineRule="auto"/>
              <w:jc w:val="center"/>
              <w:rPr>
                <w:b/>
              </w:rPr>
            </w:pPr>
            <w:r>
              <w:rPr>
                <w:b/>
              </w:rPr>
              <w:t>AR</w:t>
            </w:r>
          </w:p>
        </w:tc>
        <w:tc>
          <w:tcPr>
            <w:tcW w:w="2370" w:type="dxa"/>
            <w:shd w:val="clear" w:color="auto" w:fill="auto"/>
            <w:tcMar>
              <w:top w:w="100" w:type="dxa"/>
              <w:left w:w="100" w:type="dxa"/>
              <w:bottom w:w="100" w:type="dxa"/>
              <w:right w:w="100" w:type="dxa"/>
            </w:tcMar>
          </w:tcPr>
          <w:p w14:paraId="370E1CFD" w14:textId="77777777" w:rsidR="00AD349B" w:rsidRDefault="00000000">
            <w:pPr>
              <w:widowControl w:val="0"/>
              <w:spacing w:line="240" w:lineRule="auto"/>
              <w:jc w:val="center"/>
              <w:rPr>
                <w:b/>
              </w:rPr>
            </w:pPr>
            <w:r>
              <w:rPr>
                <w:b/>
              </w:rPr>
              <w:t>MR</w:t>
            </w:r>
          </w:p>
        </w:tc>
        <w:tc>
          <w:tcPr>
            <w:tcW w:w="2160" w:type="dxa"/>
            <w:shd w:val="clear" w:color="auto" w:fill="auto"/>
            <w:tcMar>
              <w:top w:w="100" w:type="dxa"/>
              <w:left w:w="100" w:type="dxa"/>
              <w:bottom w:w="100" w:type="dxa"/>
              <w:right w:w="100" w:type="dxa"/>
            </w:tcMar>
          </w:tcPr>
          <w:p w14:paraId="337AD54D" w14:textId="77777777" w:rsidR="00AD349B" w:rsidRDefault="00000000">
            <w:pPr>
              <w:widowControl w:val="0"/>
              <w:spacing w:line="240" w:lineRule="auto"/>
              <w:jc w:val="center"/>
              <w:rPr>
                <w:b/>
              </w:rPr>
            </w:pPr>
            <w:r>
              <w:rPr>
                <w:b/>
              </w:rPr>
              <w:t>VR</w:t>
            </w:r>
          </w:p>
        </w:tc>
      </w:tr>
      <w:tr w:rsidR="00AD349B" w14:paraId="6CC93B36" w14:textId="77777777">
        <w:tc>
          <w:tcPr>
            <w:tcW w:w="1560" w:type="dxa"/>
            <w:shd w:val="clear" w:color="auto" w:fill="auto"/>
            <w:tcMar>
              <w:top w:w="100" w:type="dxa"/>
              <w:left w:w="100" w:type="dxa"/>
              <w:bottom w:w="100" w:type="dxa"/>
              <w:right w:w="100" w:type="dxa"/>
            </w:tcMar>
          </w:tcPr>
          <w:p w14:paraId="15838739" w14:textId="77777777" w:rsidR="00AD349B" w:rsidRDefault="00000000">
            <w:pPr>
              <w:widowControl w:val="0"/>
              <w:spacing w:line="240" w:lineRule="auto"/>
              <w:rPr>
                <w:b/>
              </w:rPr>
            </w:pPr>
            <w:r>
              <w:rPr>
                <w:b/>
              </w:rPr>
              <w:t>Premise</w:t>
            </w:r>
          </w:p>
        </w:tc>
        <w:tc>
          <w:tcPr>
            <w:tcW w:w="2850" w:type="dxa"/>
            <w:shd w:val="clear" w:color="auto" w:fill="auto"/>
            <w:tcMar>
              <w:top w:w="100" w:type="dxa"/>
              <w:left w:w="100" w:type="dxa"/>
              <w:bottom w:w="100" w:type="dxa"/>
              <w:right w:w="100" w:type="dxa"/>
            </w:tcMar>
          </w:tcPr>
          <w:p w14:paraId="71E752C5" w14:textId="77777777" w:rsidR="00AD349B" w:rsidRDefault="00000000">
            <w:pPr>
              <w:widowControl w:val="0"/>
              <w:spacing w:line="240" w:lineRule="auto"/>
              <w:jc w:val="center"/>
            </w:pPr>
            <w:r>
              <w:t>Real world becomes the framework within which objects and images are placed</w:t>
            </w:r>
          </w:p>
        </w:tc>
        <w:tc>
          <w:tcPr>
            <w:tcW w:w="2370" w:type="dxa"/>
            <w:shd w:val="clear" w:color="auto" w:fill="auto"/>
            <w:tcMar>
              <w:top w:w="100" w:type="dxa"/>
              <w:left w:w="100" w:type="dxa"/>
              <w:bottom w:w="100" w:type="dxa"/>
              <w:right w:w="100" w:type="dxa"/>
            </w:tcMar>
          </w:tcPr>
          <w:p w14:paraId="525F5131" w14:textId="77777777" w:rsidR="00AD349B" w:rsidRDefault="00000000">
            <w:pPr>
              <w:widowControl w:val="0"/>
              <w:spacing w:line="240" w:lineRule="auto"/>
              <w:jc w:val="center"/>
            </w:pPr>
            <w:r>
              <w:t xml:space="preserve">Real and virtual worlds are intertwined by projecting objects onto the real-world environment </w:t>
            </w:r>
          </w:p>
        </w:tc>
        <w:tc>
          <w:tcPr>
            <w:tcW w:w="2160" w:type="dxa"/>
            <w:shd w:val="clear" w:color="auto" w:fill="auto"/>
            <w:tcMar>
              <w:top w:w="100" w:type="dxa"/>
              <w:left w:w="100" w:type="dxa"/>
              <w:bottom w:w="100" w:type="dxa"/>
              <w:right w:w="100" w:type="dxa"/>
            </w:tcMar>
          </w:tcPr>
          <w:p w14:paraId="2DBAA7EF" w14:textId="77777777" w:rsidR="00AD349B" w:rsidRDefault="00000000">
            <w:pPr>
              <w:widowControl w:val="0"/>
              <w:spacing w:line="240" w:lineRule="auto"/>
              <w:jc w:val="center"/>
            </w:pPr>
            <w:r>
              <w:t>A fully immersive environment is also called a computer-simulated reality</w:t>
            </w:r>
          </w:p>
        </w:tc>
      </w:tr>
      <w:tr w:rsidR="00AD349B" w14:paraId="6EC59381" w14:textId="77777777">
        <w:tc>
          <w:tcPr>
            <w:tcW w:w="1560" w:type="dxa"/>
            <w:shd w:val="clear" w:color="auto" w:fill="auto"/>
            <w:tcMar>
              <w:top w:w="100" w:type="dxa"/>
              <w:left w:w="100" w:type="dxa"/>
              <w:bottom w:w="100" w:type="dxa"/>
              <w:right w:w="100" w:type="dxa"/>
            </w:tcMar>
          </w:tcPr>
          <w:p w14:paraId="7EF17A14" w14:textId="77777777" w:rsidR="00AD349B" w:rsidRDefault="00000000">
            <w:pPr>
              <w:widowControl w:val="0"/>
              <w:spacing w:line="240" w:lineRule="auto"/>
              <w:rPr>
                <w:b/>
              </w:rPr>
            </w:pPr>
            <w:r>
              <w:rPr>
                <w:b/>
              </w:rPr>
              <w:t>Projected data</w:t>
            </w:r>
          </w:p>
        </w:tc>
        <w:tc>
          <w:tcPr>
            <w:tcW w:w="2850" w:type="dxa"/>
            <w:shd w:val="clear" w:color="auto" w:fill="auto"/>
            <w:tcMar>
              <w:top w:w="100" w:type="dxa"/>
              <w:left w:w="100" w:type="dxa"/>
              <w:bottom w:w="100" w:type="dxa"/>
              <w:right w:w="100" w:type="dxa"/>
            </w:tcMar>
          </w:tcPr>
          <w:p w14:paraId="10E54E06" w14:textId="77777777" w:rsidR="00AD349B" w:rsidRDefault="00000000">
            <w:pPr>
              <w:widowControl w:val="0"/>
              <w:spacing w:line="240" w:lineRule="auto"/>
              <w:jc w:val="center"/>
            </w:pPr>
            <w:r>
              <w:t>2D and/or 3D video</w:t>
            </w:r>
          </w:p>
        </w:tc>
        <w:tc>
          <w:tcPr>
            <w:tcW w:w="2370" w:type="dxa"/>
            <w:shd w:val="clear" w:color="auto" w:fill="auto"/>
            <w:tcMar>
              <w:top w:w="100" w:type="dxa"/>
              <w:left w:w="100" w:type="dxa"/>
              <w:bottom w:w="100" w:type="dxa"/>
              <w:right w:w="100" w:type="dxa"/>
            </w:tcMar>
          </w:tcPr>
          <w:p w14:paraId="47EF004A" w14:textId="77777777" w:rsidR="00AD349B" w:rsidRDefault="00000000">
            <w:pPr>
              <w:widowControl w:val="0"/>
              <w:spacing w:line="240" w:lineRule="auto"/>
              <w:jc w:val="center"/>
            </w:pPr>
            <w:r>
              <w:t>3D video</w:t>
            </w:r>
          </w:p>
        </w:tc>
        <w:tc>
          <w:tcPr>
            <w:tcW w:w="2160" w:type="dxa"/>
            <w:shd w:val="clear" w:color="auto" w:fill="auto"/>
            <w:tcMar>
              <w:top w:w="100" w:type="dxa"/>
              <w:left w:w="100" w:type="dxa"/>
              <w:bottom w:w="100" w:type="dxa"/>
              <w:right w:w="100" w:type="dxa"/>
            </w:tcMar>
          </w:tcPr>
          <w:p w14:paraId="36EAF4FE" w14:textId="77777777" w:rsidR="00AD349B" w:rsidRDefault="00000000">
            <w:pPr>
              <w:widowControl w:val="0"/>
              <w:spacing w:line="240" w:lineRule="auto"/>
              <w:jc w:val="center"/>
            </w:pPr>
            <w:r>
              <w:t>3D video</w:t>
            </w:r>
          </w:p>
        </w:tc>
      </w:tr>
      <w:tr w:rsidR="00AD349B" w14:paraId="56AF4385" w14:textId="77777777">
        <w:tc>
          <w:tcPr>
            <w:tcW w:w="1560" w:type="dxa"/>
            <w:shd w:val="clear" w:color="auto" w:fill="auto"/>
            <w:tcMar>
              <w:top w:w="100" w:type="dxa"/>
              <w:left w:w="100" w:type="dxa"/>
              <w:bottom w:w="100" w:type="dxa"/>
              <w:right w:w="100" w:type="dxa"/>
            </w:tcMar>
          </w:tcPr>
          <w:p w14:paraId="2CB8B6E6" w14:textId="77777777" w:rsidR="00AD349B" w:rsidRDefault="00000000">
            <w:pPr>
              <w:widowControl w:val="0"/>
              <w:spacing w:line="240" w:lineRule="auto"/>
              <w:rPr>
                <w:b/>
              </w:rPr>
            </w:pPr>
            <w:r>
              <w:rPr>
                <w:b/>
              </w:rPr>
              <w:t>Interaction with the virtual world</w:t>
            </w:r>
          </w:p>
        </w:tc>
        <w:tc>
          <w:tcPr>
            <w:tcW w:w="2850" w:type="dxa"/>
            <w:shd w:val="clear" w:color="auto" w:fill="auto"/>
            <w:tcMar>
              <w:top w:w="100" w:type="dxa"/>
              <w:left w:w="100" w:type="dxa"/>
              <w:bottom w:w="100" w:type="dxa"/>
              <w:right w:w="100" w:type="dxa"/>
            </w:tcMar>
          </w:tcPr>
          <w:p w14:paraId="454D52EC" w14:textId="77777777" w:rsidR="00AD349B" w:rsidRDefault="00000000">
            <w:pPr>
              <w:widowControl w:val="0"/>
              <w:spacing w:line="240" w:lineRule="auto"/>
              <w:jc w:val="center"/>
            </w:pPr>
            <w:r>
              <w:t>x</w:t>
            </w:r>
          </w:p>
        </w:tc>
        <w:tc>
          <w:tcPr>
            <w:tcW w:w="2370" w:type="dxa"/>
            <w:shd w:val="clear" w:color="auto" w:fill="auto"/>
            <w:tcMar>
              <w:top w:w="100" w:type="dxa"/>
              <w:left w:w="100" w:type="dxa"/>
              <w:bottom w:w="100" w:type="dxa"/>
              <w:right w:w="100" w:type="dxa"/>
            </w:tcMar>
          </w:tcPr>
          <w:p w14:paraId="4272F882" w14:textId="77777777" w:rsidR="00AD349B" w:rsidRDefault="00000000">
            <w:pPr>
              <w:widowControl w:val="0"/>
              <w:spacing w:line="240" w:lineRule="auto"/>
              <w:jc w:val="center"/>
            </w:pPr>
            <w:sdt>
              <w:sdtPr>
                <w:tag w:val="goog_rdk_0"/>
                <w:id w:val="-858507516"/>
              </w:sdtPr>
              <w:sdtContent>
                <w:r>
                  <w:rPr>
                    <w:rFonts w:ascii="Arial Unicode MS" w:eastAsia="Arial Unicode MS" w:hAnsi="Arial Unicode MS" w:cs="Arial Unicode MS"/>
                  </w:rPr>
                  <w:t>✓</w:t>
                </w:r>
              </w:sdtContent>
            </w:sdt>
          </w:p>
        </w:tc>
        <w:tc>
          <w:tcPr>
            <w:tcW w:w="2160" w:type="dxa"/>
            <w:shd w:val="clear" w:color="auto" w:fill="auto"/>
            <w:tcMar>
              <w:top w:w="100" w:type="dxa"/>
              <w:left w:w="100" w:type="dxa"/>
              <w:bottom w:w="100" w:type="dxa"/>
              <w:right w:w="100" w:type="dxa"/>
            </w:tcMar>
          </w:tcPr>
          <w:p w14:paraId="4FB465B9" w14:textId="77777777" w:rsidR="00AD349B" w:rsidRDefault="00000000">
            <w:pPr>
              <w:widowControl w:val="0"/>
              <w:spacing w:line="240" w:lineRule="auto"/>
              <w:jc w:val="center"/>
            </w:pPr>
            <w:sdt>
              <w:sdtPr>
                <w:tag w:val="goog_rdk_1"/>
                <w:id w:val="-463339488"/>
              </w:sdtPr>
              <w:sdtContent>
                <w:r>
                  <w:rPr>
                    <w:rFonts w:ascii="Arial Unicode MS" w:eastAsia="Arial Unicode MS" w:hAnsi="Arial Unicode MS" w:cs="Arial Unicode MS"/>
                  </w:rPr>
                  <w:t>✓</w:t>
                </w:r>
              </w:sdtContent>
            </w:sdt>
          </w:p>
        </w:tc>
      </w:tr>
      <w:tr w:rsidR="00AD349B" w14:paraId="389B1735" w14:textId="77777777">
        <w:tc>
          <w:tcPr>
            <w:tcW w:w="1560" w:type="dxa"/>
            <w:shd w:val="clear" w:color="auto" w:fill="auto"/>
            <w:tcMar>
              <w:top w:w="100" w:type="dxa"/>
              <w:left w:w="100" w:type="dxa"/>
              <w:bottom w:w="100" w:type="dxa"/>
              <w:right w:w="100" w:type="dxa"/>
            </w:tcMar>
          </w:tcPr>
          <w:p w14:paraId="1CBE32F0" w14:textId="77777777" w:rsidR="00AD349B" w:rsidRDefault="00000000">
            <w:pPr>
              <w:widowControl w:val="0"/>
              <w:spacing w:line="240" w:lineRule="auto"/>
              <w:rPr>
                <w:b/>
              </w:rPr>
            </w:pPr>
            <w:r>
              <w:rPr>
                <w:b/>
              </w:rPr>
              <w:t>Type of device</w:t>
            </w:r>
          </w:p>
        </w:tc>
        <w:tc>
          <w:tcPr>
            <w:tcW w:w="2850" w:type="dxa"/>
            <w:shd w:val="clear" w:color="auto" w:fill="auto"/>
            <w:tcMar>
              <w:top w:w="100" w:type="dxa"/>
              <w:left w:w="100" w:type="dxa"/>
              <w:bottom w:w="100" w:type="dxa"/>
              <w:right w:w="100" w:type="dxa"/>
            </w:tcMar>
          </w:tcPr>
          <w:p w14:paraId="47B4F110" w14:textId="77777777" w:rsidR="00AD349B" w:rsidRDefault="00000000">
            <w:pPr>
              <w:widowControl w:val="0"/>
              <w:numPr>
                <w:ilvl w:val="0"/>
                <w:numId w:val="8"/>
              </w:numPr>
              <w:spacing w:line="240" w:lineRule="auto"/>
            </w:pPr>
            <w:r>
              <w:t>AR glasses</w:t>
            </w:r>
          </w:p>
          <w:p w14:paraId="0390BE6B" w14:textId="77777777" w:rsidR="00AD349B" w:rsidRDefault="00000000">
            <w:pPr>
              <w:widowControl w:val="0"/>
              <w:numPr>
                <w:ilvl w:val="0"/>
                <w:numId w:val="8"/>
              </w:numPr>
              <w:spacing w:line="240" w:lineRule="auto"/>
            </w:pPr>
            <w:r>
              <w:t>Smartphone/tablet</w:t>
            </w:r>
          </w:p>
          <w:p w14:paraId="62E5CCE9" w14:textId="77777777" w:rsidR="00AD349B" w:rsidRDefault="00000000">
            <w:pPr>
              <w:widowControl w:val="0"/>
              <w:numPr>
                <w:ilvl w:val="0"/>
                <w:numId w:val="8"/>
              </w:numPr>
              <w:spacing w:line="240" w:lineRule="auto"/>
            </w:pPr>
            <w:r>
              <w:t xml:space="preserve">AR head-mounted display (HMD) </w:t>
            </w:r>
          </w:p>
          <w:p w14:paraId="24F2EFC5" w14:textId="77777777" w:rsidR="00AD349B" w:rsidRDefault="00000000">
            <w:pPr>
              <w:widowControl w:val="0"/>
              <w:numPr>
                <w:ilvl w:val="0"/>
                <w:numId w:val="8"/>
              </w:numPr>
              <w:spacing w:line="240" w:lineRule="auto"/>
            </w:pPr>
            <w:r>
              <w:t>Smart mirrors</w:t>
            </w:r>
          </w:p>
          <w:p w14:paraId="16E52C57" w14:textId="77777777" w:rsidR="00AD349B" w:rsidRDefault="00000000">
            <w:pPr>
              <w:widowControl w:val="0"/>
              <w:numPr>
                <w:ilvl w:val="0"/>
                <w:numId w:val="8"/>
              </w:numPr>
              <w:spacing w:line="240" w:lineRule="auto"/>
            </w:pPr>
            <w:r>
              <w:t>AR heads up displays (HUDs)</w:t>
            </w:r>
          </w:p>
        </w:tc>
        <w:tc>
          <w:tcPr>
            <w:tcW w:w="2370" w:type="dxa"/>
            <w:shd w:val="clear" w:color="auto" w:fill="auto"/>
            <w:tcMar>
              <w:top w:w="100" w:type="dxa"/>
              <w:left w:w="100" w:type="dxa"/>
              <w:bottom w:w="100" w:type="dxa"/>
              <w:right w:w="100" w:type="dxa"/>
            </w:tcMar>
          </w:tcPr>
          <w:p w14:paraId="70E2BBED" w14:textId="77777777" w:rsidR="00AD349B" w:rsidRDefault="00000000">
            <w:pPr>
              <w:widowControl w:val="0"/>
              <w:spacing w:line="240" w:lineRule="auto"/>
            </w:pPr>
            <w:r>
              <w:t>See-through head-mounted display (HMD)</w:t>
            </w:r>
          </w:p>
        </w:tc>
        <w:tc>
          <w:tcPr>
            <w:tcW w:w="2160" w:type="dxa"/>
            <w:shd w:val="clear" w:color="auto" w:fill="auto"/>
            <w:tcMar>
              <w:top w:w="100" w:type="dxa"/>
              <w:left w:w="100" w:type="dxa"/>
              <w:bottom w:w="100" w:type="dxa"/>
              <w:right w:w="100" w:type="dxa"/>
            </w:tcMar>
          </w:tcPr>
          <w:p w14:paraId="45506763" w14:textId="77777777" w:rsidR="00AD349B" w:rsidRDefault="00000000">
            <w:pPr>
              <w:widowControl w:val="0"/>
              <w:spacing w:line="240" w:lineRule="auto"/>
            </w:pPr>
            <w:r>
              <w:t>Non-see-through head-mounted display (HMD)</w:t>
            </w:r>
          </w:p>
        </w:tc>
      </w:tr>
      <w:tr w:rsidR="00AD349B" w14:paraId="26803852" w14:textId="77777777">
        <w:tc>
          <w:tcPr>
            <w:tcW w:w="1560" w:type="dxa"/>
            <w:shd w:val="clear" w:color="auto" w:fill="auto"/>
            <w:tcMar>
              <w:top w:w="100" w:type="dxa"/>
              <w:left w:w="100" w:type="dxa"/>
              <w:bottom w:w="100" w:type="dxa"/>
              <w:right w:w="100" w:type="dxa"/>
            </w:tcMar>
          </w:tcPr>
          <w:p w14:paraId="30D628B7" w14:textId="77777777" w:rsidR="00AD349B" w:rsidRDefault="00000000">
            <w:pPr>
              <w:widowControl w:val="0"/>
              <w:spacing w:line="240" w:lineRule="auto"/>
              <w:rPr>
                <w:b/>
              </w:rPr>
            </w:pPr>
            <w:r>
              <w:rPr>
                <w:b/>
              </w:rPr>
              <w:t>Product examples</w:t>
            </w:r>
          </w:p>
        </w:tc>
        <w:tc>
          <w:tcPr>
            <w:tcW w:w="2850" w:type="dxa"/>
            <w:shd w:val="clear" w:color="auto" w:fill="auto"/>
            <w:tcMar>
              <w:top w:w="100" w:type="dxa"/>
              <w:left w:w="100" w:type="dxa"/>
              <w:bottom w:w="100" w:type="dxa"/>
              <w:right w:w="100" w:type="dxa"/>
            </w:tcMar>
          </w:tcPr>
          <w:p w14:paraId="22E4D3DE" w14:textId="77777777" w:rsidR="00AD349B" w:rsidRDefault="00000000">
            <w:pPr>
              <w:widowControl w:val="0"/>
              <w:numPr>
                <w:ilvl w:val="0"/>
                <w:numId w:val="3"/>
              </w:numPr>
              <w:spacing w:line="240" w:lineRule="auto"/>
              <w:ind w:left="640" w:hanging="283"/>
            </w:pPr>
            <w:proofErr w:type="spellStart"/>
            <w:r>
              <w:t>ThinkReality</w:t>
            </w:r>
            <w:proofErr w:type="spellEnd"/>
            <w:r>
              <w:t xml:space="preserve"> A3 smart glasses (Lenovo)</w:t>
            </w:r>
          </w:p>
          <w:p w14:paraId="3FA0A7E4" w14:textId="77777777" w:rsidR="00AD349B" w:rsidRDefault="00000000">
            <w:pPr>
              <w:widowControl w:val="0"/>
              <w:numPr>
                <w:ilvl w:val="0"/>
                <w:numId w:val="3"/>
              </w:numPr>
              <w:spacing w:line="240" w:lineRule="auto"/>
              <w:ind w:left="640" w:hanging="283"/>
            </w:pPr>
            <w:proofErr w:type="spellStart"/>
            <w:r>
              <w:t>RealWear</w:t>
            </w:r>
            <w:proofErr w:type="spellEnd"/>
            <w:r>
              <w:t xml:space="preserve"> Navigator Z1</w:t>
            </w:r>
          </w:p>
          <w:p w14:paraId="1155B12B" w14:textId="77777777" w:rsidR="00AD349B" w:rsidRDefault="00000000">
            <w:pPr>
              <w:widowControl w:val="0"/>
              <w:numPr>
                <w:ilvl w:val="0"/>
                <w:numId w:val="3"/>
              </w:numPr>
              <w:spacing w:line="240" w:lineRule="auto"/>
              <w:ind w:left="640" w:hanging="283"/>
            </w:pPr>
            <w:proofErr w:type="spellStart"/>
            <w:r>
              <w:t>Xreal</w:t>
            </w:r>
            <w:proofErr w:type="spellEnd"/>
            <w:r>
              <w:t xml:space="preserve"> Air 2</w:t>
            </w:r>
          </w:p>
          <w:p w14:paraId="1F7A8235" w14:textId="77777777" w:rsidR="00AD349B" w:rsidRDefault="00000000">
            <w:pPr>
              <w:widowControl w:val="0"/>
              <w:numPr>
                <w:ilvl w:val="0"/>
                <w:numId w:val="3"/>
              </w:numPr>
              <w:spacing w:line="240" w:lineRule="auto"/>
              <w:ind w:left="640" w:hanging="283"/>
            </w:pPr>
            <w:proofErr w:type="spellStart"/>
            <w:r>
              <w:t>Rokid</w:t>
            </w:r>
            <w:proofErr w:type="spellEnd"/>
            <w:r>
              <w:t xml:space="preserve"> Max </w:t>
            </w:r>
          </w:p>
          <w:p w14:paraId="39E1FEF3" w14:textId="77777777" w:rsidR="00AD349B" w:rsidRDefault="00000000">
            <w:pPr>
              <w:widowControl w:val="0"/>
              <w:numPr>
                <w:ilvl w:val="0"/>
                <w:numId w:val="3"/>
              </w:numPr>
              <w:spacing w:line="240" w:lineRule="auto"/>
              <w:ind w:left="640" w:hanging="283"/>
            </w:pPr>
            <w:proofErr w:type="spellStart"/>
            <w:r>
              <w:t>DigiLens</w:t>
            </w:r>
            <w:proofErr w:type="spellEnd"/>
            <w:r>
              <w:t xml:space="preserve"> ARGO</w:t>
            </w:r>
          </w:p>
          <w:p w14:paraId="2DFE85FF" w14:textId="77777777" w:rsidR="00AD349B" w:rsidRDefault="00000000">
            <w:pPr>
              <w:widowControl w:val="0"/>
              <w:numPr>
                <w:ilvl w:val="0"/>
                <w:numId w:val="3"/>
              </w:numPr>
              <w:spacing w:line="240" w:lineRule="auto"/>
              <w:ind w:left="640" w:hanging="283"/>
            </w:pPr>
            <w:proofErr w:type="spellStart"/>
            <w:r>
              <w:t>Pokemon</w:t>
            </w:r>
            <w:proofErr w:type="spellEnd"/>
            <w:r>
              <w:t xml:space="preserve"> Go (Niantic)</w:t>
            </w:r>
          </w:p>
          <w:p w14:paraId="186759B0" w14:textId="77777777" w:rsidR="00AD349B" w:rsidRDefault="00000000">
            <w:pPr>
              <w:widowControl w:val="0"/>
              <w:numPr>
                <w:ilvl w:val="0"/>
                <w:numId w:val="3"/>
              </w:numPr>
              <w:spacing w:line="240" w:lineRule="auto"/>
              <w:ind w:left="640" w:hanging="283"/>
            </w:pPr>
            <w:r>
              <w:lastRenderedPageBreak/>
              <w:t>AR mirror (Zero10)</w:t>
            </w:r>
          </w:p>
          <w:p w14:paraId="4FE86471" w14:textId="77777777" w:rsidR="00AD349B" w:rsidRDefault="00000000">
            <w:pPr>
              <w:widowControl w:val="0"/>
              <w:numPr>
                <w:ilvl w:val="0"/>
                <w:numId w:val="3"/>
              </w:numPr>
              <w:spacing w:line="240" w:lineRule="auto"/>
              <w:ind w:left="640" w:hanging="283"/>
            </w:pPr>
            <w:r>
              <w:t>AR HUDs (</w:t>
            </w:r>
            <w:proofErr w:type="spellStart"/>
            <w:r>
              <w:t>Envisics</w:t>
            </w:r>
            <w:proofErr w:type="spellEnd"/>
            <w:r>
              <w:t xml:space="preserve">, </w:t>
            </w:r>
            <w:proofErr w:type="spellStart"/>
            <w:r>
              <w:t>WayRay</w:t>
            </w:r>
            <w:proofErr w:type="spellEnd"/>
            <w:r>
              <w:t>)</w:t>
            </w:r>
          </w:p>
          <w:p w14:paraId="21622309" w14:textId="77777777" w:rsidR="00AD349B" w:rsidRDefault="00AD349B">
            <w:pPr>
              <w:widowControl w:val="0"/>
              <w:spacing w:line="240" w:lineRule="auto"/>
            </w:pPr>
          </w:p>
        </w:tc>
        <w:tc>
          <w:tcPr>
            <w:tcW w:w="2370" w:type="dxa"/>
            <w:shd w:val="clear" w:color="auto" w:fill="auto"/>
            <w:tcMar>
              <w:top w:w="100" w:type="dxa"/>
              <w:left w:w="100" w:type="dxa"/>
              <w:bottom w:w="100" w:type="dxa"/>
              <w:right w:w="100" w:type="dxa"/>
            </w:tcMar>
          </w:tcPr>
          <w:p w14:paraId="4CE6DDE5" w14:textId="77777777" w:rsidR="00AD349B" w:rsidRDefault="00000000">
            <w:pPr>
              <w:widowControl w:val="0"/>
              <w:numPr>
                <w:ilvl w:val="0"/>
                <w:numId w:val="1"/>
              </w:numPr>
              <w:spacing w:line="240" w:lineRule="auto"/>
            </w:pPr>
            <w:r>
              <w:lastRenderedPageBreak/>
              <w:t>Apple Vision Pro</w:t>
            </w:r>
          </w:p>
          <w:p w14:paraId="4FDB7AEC" w14:textId="77777777" w:rsidR="00AD349B" w:rsidRDefault="00000000">
            <w:pPr>
              <w:widowControl w:val="0"/>
              <w:numPr>
                <w:ilvl w:val="0"/>
                <w:numId w:val="1"/>
              </w:numPr>
              <w:spacing w:line="240" w:lineRule="auto"/>
            </w:pPr>
            <w:r>
              <w:t>Meta Quest 3</w:t>
            </w:r>
          </w:p>
          <w:p w14:paraId="32079CAE" w14:textId="77777777" w:rsidR="00AD349B" w:rsidRDefault="00000000">
            <w:pPr>
              <w:widowControl w:val="0"/>
              <w:numPr>
                <w:ilvl w:val="0"/>
                <w:numId w:val="1"/>
              </w:numPr>
              <w:spacing w:line="240" w:lineRule="auto"/>
            </w:pPr>
            <w:r>
              <w:t>Microsoft HoloLens 2</w:t>
            </w:r>
          </w:p>
          <w:p w14:paraId="69129D18" w14:textId="77777777" w:rsidR="00AD349B" w:rsidRDefault="00000000">
            <w:pPr>
              <w:widowControl w:val="0"/>
              <w:numPr>
                <w:ilvl w:val="0"/>
                <w:numId w:val="1"/>
              </w:numPr>
              <w:spacing w:line="240" w:lineRule="auto"/>
            </w:pPr>
            <w:r>
              <w:t>Magic Leap 2</w:t>
            </w:r>
          </w:p>
          <w:p w14:paraId="0A21926A" w14:textId="77777777" w:rsidR="00AD349B" w:rsidRDefault="00000000">
            <w:pPr>
              <w:widowControl w:val="0"/>
              <w:numPr>
                <w:ilvl w:val="0"/>
                <w:numId w:val="1"/>
              </w:numPr>
              <w:spacing w:line="240" w:lineRule="auto"/>
            </w:pPr>
            <w:proofErr w:type="spellStart"/>
            <w:r>
              <w:t>Varjo</w:t>
            </w:r>
            <w:proofErr w:type="spellEnd"/>
            <w:r>
              <w:t xml:space="preserve"> XR-4</w:t>
            </w:r>
          </w:p>
          <w:p w14:paraId="44FAA72D" w14:textId="77777777" w:rsidR="00AD349B" w:rsidRDefault="00AD349B">
            <w:pPr>
              <w:widowControl w:val="0"/>
              <w:spacing w:line="240" w:lineRule="auto"/>
            </w:pPr>
          </w:p>
        </w:tc>
        <w:tc>
          <w:tcPr>
            <w:tcW w:w="2160" w:type="dxa"/>
            <w:shd w:val="clear" w:color="auto" w:fill="auto"/>
            <w:tcMar>
              <w:top w:w="100" w:type="dxa"/>
              <w:left w:w="100" w:type="dxa"/>
              <w:bottom w:w="100" w:type="dxa"/>
              <w:right w:w="100" w:type="dxa"/>
            </w:tcMar>
          </w:tcPr>
          <w:p w14:paraId="5EEC4BCD" w14:textId="77777777" w:rsidR="00AD349B" w:rsidRDefault="00000000">
            <w:pPr>
              <w:widowControl w:val="0"/>
              <w:numPr>
                <w:ilvl w:val="0"/>
                <w:numId w:val="4"/>
              </w:numPr>
              <w:spacing w:line="240" w:lineRule="auto"/>
            </w:pPr>
            <w:r>
              <w:t>Sony PSVR 2</w:t>
            </w:r>
          </w:p>
          <w:p w14:paraId="2A24EB3D" w14:textId="77777777" w:rsidR="00AD349B" w:rsidRDefault="00000000">
            <w:pPr>
              <w:widowControl w:val="0"/>
              <w:numPr>
                <w:ilvl w:val="0"/>
                <w:numId w:val="4"/>
              </w:numPr>
              <w:spacing w:line="240" w:lineRule="auto"/>
            </w:pPr>
            <w:proofErr w:type="spellStart"/>
            <w:r>
              <w:t>Bigscreen</w:t>
            </w:r>
            <w:proofErr w:type="spellEnd"/>
            <w:r>
              <w:t xml:space="preserve"> Beyond</w:t>
            </w:r>
          </w:p>
          <w:p w14:paraId="65614EFC" w14:textId="77777777" w:rsidR="00AD349B" w:rsidRDefault="00000000">
            <w:pPr>
              <w:widowControl w:val="0"/>
              <w:numPr>
                <w:ilvl w:val="0"/>
                <w:numId w:val="4"/>
              </w:numPr>
              <w:spacing w:line="240" w:lineRule="auto"/>
            </w:pPr>
            <w:r>
              <w:t>Pico 4 Enterprise</w:t>
            </w:r>
          </w:p>
          <w:p w14:paraId="612012DB" w14:textId="77777777" w:rsidR="00AD349B" w:rsidRDefault="00000000">
            <w:pPr>
              <w:widowControl w:val="0"/>
              <w:numPr>
                <w:ilvl w:val="0"/>
                <w:numId w:val="4"/>
              </w:numPr>
              <w:spacing w:line="240" w:lineRule="auto"/>
            </w:pPr>
            <w:proofErr w:type="spellStart"/>
            <w:r>
              <w:t>Pimax</w:t>
            </w:r>
            <w:proofErr w:type="spellEnd"/>
            <w:r>
              <w:t xml:space="preserve"> Crystal</w:t>
            </w:r>
          </w:p>
        </w:tc>
      </w:tr>
    </w:tbl>
    <w:p w14:paraId="1FFD76AF" w14:textId="628351C3" w:rsidR="00AD349B" w:rsidRDefault="00000000">
      <w:r>
        <w:rPr>
          <w:sz w:val="17"/>
          <w:szCs w:val="17"/>
        </w:rPr>
        <w:t xml:space="preserve">Source: </w:t>
      </w:r>
      <w:r w:rsidR="00D43C77">
        <w:rPr>
          <w:sz w:val="17"/>
          <w:szCs w:val="17"/>
        </w:rPr>
        <w:t>SPEEDA Edge research</w:t>
      </w:r>
    </w:p>
    <w:p w14:paraId="59BEE9B2" w14:textId="77777777" w:rsidR="00AD349B" w:rsidRDefault="00000000">
      <w:pPr>
        <w:pStyle w:val="Heading2"/>
        <w:rPr>
          <w:b/>
          <w:sz w:val="34"/>
          <w:szCs w:val="34"/>
        </w:rPr>
      </w:pPr>
      <w:bookmarkStart w:id="3" w:name="_heading=h.khlb422badrv" w:colFirst="0" w:colLast="0"/>
      <w:bookmarkEnd w:id="3"/>
      <w:r>
        <w:rPr>
          <w:b/>
          <w:sz w:val="34"/>
          <w:szCs w:val="34"/>
        </w:rPr>
        <w:t xml:space="preserve">Outright sales and subscription offerings are common XR business models   </w:t>
      </w:r>
    </w:p>
    <w:p w14:paraId="0C182E81" w14:textId="77777777" w:rsidR="00AD349B" w:rsidRDefault="00AD349B">
      <w:pPr>
        <w:rPr>
          <w:rFonts w:ascii="Roboto" w:eastAsia="Roboto" w:hAnsi="Roboto" w:cs="Roboto"/>
        </w:rPr>
      </w:pPr>
    </w:p>
    <w:p w14:paraId="16BCC05D" w14:textId="77777777" w:rsidR="00AD349B" w:rsidRDefault="00000000">
      <w:pPr>
        <w:jc w:val="both"/>
      </w:pPr>
      <w:r>
        <w:t>Headset, tracking, and other hardware device manufacturers mainly generate revenue through outright sales. Prices of consumer-oriented devices generally range from USD 400 (</w:t>
      </w:r>
      <w:proofErr w:type="spellStart"/>
      <w:r>
        <w:t>XReal</w:t>
      </w:r>
      <w:proofErr w:type="spellEnd"/>
      <w:r>
        <w:t xml:space="preserve"> Air 2) to USD 1,800 (</w:t>
      </w:r>
      <w:proofErr w:type="spellStart"/>
      <w:r>
        <w:t>Pimax</w:t>
      </w:r>
      <w:proofErr w:type="spellEnd"/>
      <w:r>
        <w:t xml:space="preserve"> Crystal), although Apple’s Vision Pro headset is a notable exception (starting at USD 3,499). Enterprise-oriented device price ranges vary from USD 3,200 (Magic Leap 2) to USD 10,000 (</w:t>
      </w:r>
      <w:proofErr w:type="spellStart"/>
      <w:r>
        <w:t>Varjo’s</w:t>
      </w:r>
      <w:proofErr w:type="spellEnd"/>
      <w:r>
        <w:t xml:space="preserve"> XR-4 Focal Edition). Location-based VR players resort to ticket sales that vary based on a combination of experience type, location, and booking date. Subscription-based offerings are common among content development platforms (e.g., DEVAR), with AR/VR gaming platforms generating revenue from in-app purchases (e.g., Niantic).</w:t>
      </w:r>
    </w:p>
    <w:p w14:paraId="622C7DC9" w14:textId="77777777" w:rsidR="00AD349B" w:rsidRDefault="00000000">
      <w:pPr>
        <w:pStyle w:val="Heading3"/>
        <w:rPr>
          <w:b/>
          <w:color w:val="000000"/>
        </w:rPr>
      </w:pPr>
      <w:bookmarkStart w:id="4" w:name="_heading=h.e0blqn7e7mdv" w:colFirst="0" w:colLast="0"/>
      <w:bookmarkEnd w:id="4"/>
      <w:r>
        <w:rPr>
          <w:b/>
          <w:color w:val="1DBDCB"/>
          <w:sz w:val="26"/>
          <w:szCs w:val="26"/>
        </w:rPr>
        <w:t>Examples of XR business models</w:t>
      </w:r>
    </w:p>
    <w:p w14:paraId="5FE2653B" w14:textId="77777777" w:rsidR="00AD349B" w:rsidRDefault="00AD349B"/>
    <w:tbl>
      <w:tblPr>
        <w:tblStyle w:val="a9"/>
        <w:tblW w:w="11070"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25"/>
        <w:gridCol w:w="1155"/>
        <w:gridCol w:w="1095"/>
        <w:gridCol w:w="1275"/>
        <w:gridCol w:w="1200"/>
        <w:gridCol w:w="3060"/>
      </w:tblGrid>
      <w:tr w:rsidR="00AD349B" w14:paraId="36700BED" w14:textId="77777777">
        <w:tc>
          <w:tcPr>
            <w:tcW w:w="1560" w:type="dxa"/>
            <w:shd w:val="clear" w:color="auto" w:fill="auto"/>
            <w:tcMar>
              <w:top w:w="100" w:type="dxa"/>
              <w:left w:w="100" w:type="dxa"/>
              <w:bottom w:w="100" w:type="dxa"/>
              <w:right w:w="100" w:type="dxa"/>
            </w:tcMar>
          </w:tcPr>
          <w:p w14:paraId="0B5260C7" w14:textId="77777777" w:rsidR="00AD349B" w:rsidRDefault="00000000">
            <w:pPr>
              <w:widowControl w:val="0"/>
              <w:spacing w:line="240" w:lineRule="auto"/>
              <w:rPr>
                <w:b/>
              </w:rPr>
            </w:pPr>
            <w:r>
              <w:rPr>
                <w:b/>
              </w:rPr>
              <w:t>Company</w:t>
            </w:r>
          </w:p>
        </w:tc>
        <w:tc>
          <w:tcPr>
            <w:tcW w:w="1725" w:type="dxa"/>
            <w:shd w:val="clear" w:color="auto" w:fill="auto"/>
            <w:tcMar>
              <w:top w:w="100" w:type="dxa"/>
              <w:left w:w="100" w:type="dxa"/>
              <w:bottom w:w="100" w:type="dxa"/>
              <w:right w:w="100" w:type="dxa"/>
            </w:tcMar>
          </w:tcPr>
          <w:p w14:paraId="72576BAF" w14:textId="77777777" w:rsidR="00AD349B" w:rsidRDefault="00000000">
            <w:pPr>
              <w:widowControl w:val="0"/>
              <w:spacing w:line="240" w:lineRule="auto"/>
              <w:rPr>
                <w:b/>
              </w:rPr>
            </w:pPr>
            <w:r>
              <w:rPr>
                <w:b/>
              </w:rPr>
              <w:t>Segment</w:t>
            </w:r>
          </w:p>
        </w:tc>
        <w:tc>
          <w:tcPr>
            <w:tcW w:w="1155" w:type="dxa"/>
            <w:shd w:val="clear" w:color="auto" w:fill="auto"/>
            <w:tcMar>
              <w:top w:w="100" w:type="dxa"/>
              <w:left w:w="100" w:type="dxa"/>
              <w:bottom w:w="100" w:type="dxa"/>
              <w:right w:w="100" w:type="dxa"/>
            </w:tcMar>
          </w:tcPr>
          <w:p w14:paraId="1ECB1E06" w14:textId="77777777" w:rsidR="00AD349B" w:rsidRDefault="00000000">
            <w:pPr>
              <w:widowControl w:val="0"/>
              <w:spacing w:line="240" w:lineRule="auto"/>
              <w:rPr>
                <w:b/>
              </w:rPr>
            </w:pPr>
            <w:r>
              <w:rPr>
                <w:b/>
              </w:rPr>
              <w:t>In-app purchases</w:t>
            </w:r>
          </w:p>
        </w:tc>
        <w:tc>
          <w:tcPr>
            <w:tcW w:w="1095" w:type="dxa"/>
            <w:shd w:val="clear" w:color="auto" w:fill="auto"/>
            <w:tcMar>
              <w:top w:w="100" w:type="dxa"/>
              <w:left w:w="100" w:type="dxa"/>
              <w:bottom w:w="100" w:type="dxa"/>
              <w:right w:w="100" w:type="dxa"/>
            </w:tcMar>
          </w:tcPr>
          <w:p w14:paraId="714B92FC" w14:textId="77777777" w:rsidR="00AD349B" w:rsidRDefault="00000000">
            <w:pPr>
              <w:widowControl w:val="0"/>
              <w:spacing w:line="240" w:lineRule="auto"/>
              <w:rPr>
                <w:b/>
              </w:rPr>
            </w:pPr>
            <w:r>
              <w:rPr>
                <w:b/>
              </w:rPr>
              <w:t>Outright sales</w:t>
            </w:r>
          </w:p>
        </w:tc>
        <w:tc>
          <w:tcPr>
            <w:tcW w:w="1275" w:type="dxa"/>
            <w:shd w:val="clear" w:color="auto" w:fill="auto"/>
            <w:tcMar>
              <w:top w:w="100" w:type="dxa"/>
              <w:left w:w="100" w:type="dxa"/>
              <w:bottom w:w="100" w:type="dxa"/>
              <w:right w:w="100" w:type="dxa"/>
            </w:tcMar>
          </w:tcPr>
          <w:p w14:paraId="7B52C055" w14:textId="77777777" w:rsidR="00AD349B" w:rsidRDefault="00000000">
            <w:pPr>
              <w:widowControl w:val="0"/>
              <w:spacing w:line="240" w:lineRule="auto"/>
              <w:rPr>
                <w:b/>
              </w:rPr>
            </w:pPr>
            <w:r>
              <w:rPr>
                <w:b/>
              </w:rPr>
              <w:t>Subscription-based</w:t>
            </w:r>
          </w:p>
        </w:tc>
        <w:tc>
          <w:tcPr>
            <w:tcW w:w="1200" w:type="dxa"/>
            <w:shd w:val="clear" w:color="auto" w:fill="auto"/>
            <w:tcMar>
              <w:top w:w="100" w:type="dxa"/>
              <w:left w:w="100" w:type="dxa"/>
              <w:bottom w:w="100" w:type="dxa"/>
              <w:right w:w="100" w:type="dxa"/>
            </w:tcMar>
          </w:tcPr>
          <w:p w14:paraId="30A98793" w14:textId="77777777" w:rsidR="00AD349B" w:rsidRDefault="00000000">
            <w:pPr>
              <w:widowControl w:val="0"/>
              <w:spacing w:line="240" w:lineRule="auto"/>
              <w:rPr>
                <w:b/>
              </w:rPr>
            </w:pPr>
            <w:r>
              <w:rPr>
                <w:b/>
              </w:rPr>
              <w:t>Ticket sales</w:t>
            </w:r>
          </w:p>
        </w:tc>
        <w:tc>
          <w:tcPr>
            <w:tcW w:w="3060" w:type="dxa"/>
            <w:shd w:val="clear" w:color="auto" w:fill="auto"/>
            <w:tcMar>
              <w:top w:w="100" w:type="dxa"/>
              <w:left w:w="100" w:type="dxa"/>
              <w:bottom w:w="100" w:type="dxa"/>
              <w:right w:w="100" w:type="dxa"/>
            </w:tcMar>
          </w:tcPr>
          <w:p w14:paraId="72C2CE44" w14:textId="77777777" w:rsidR="00AD349B" w:rsidRDefault="00000000">
            <w:pPr>
              <w:widowControl w:val="0"/>
              <w:spacing w:line="240" w:lineRule="auto"/>
              <w:rPr>
                <w:b/>
              </w:rPr>
            </w:pPr>
            <w:r>
              <w:rPr>
                <w:b/>
              </w:rPr>
              <w:t>Comment</w:t>
            </w:r>
          </w:p>
        </w:tc>
      </w:tr>
      <w:tr w:rsidR="00AD349B" w14:paraId="13B0C486" w14:textId="77777777">
        <w:tc>
          <w:tcPr>
            <w:tcW w:w="1560" w:type="dxa"/>
            <w:shd w:val="clear" w:color="auto" w:fill="auto"/>
            <w:tcMar>
              <w:top w:w="100" w:type="dxa"/>
              <w:left w:w="100" w:type="dxa"/>
              <w:bottom w:w="100" w:type="dxa"/>
              <w:right w:w="100" w:type="dxa"/>
            </w:tcMar>
          </w:tcPr>
          <w:p w14:paraId="03865B71" w14:textId="77777777" w:rsidR="00AD349B" w:rsidRDefault="00000000">
            <w:pPr>
              <w:widowControl w:val="0"/>
              <w:spacing w:line="240" w:lineRule="auto"/>
            </w:pPr>
            <w:r>
              <w:t>Meta</w:t>
            </w:r>
          </w:p>
        </w:tc>
        <w:tc>
          <w:tcPr>
            <w:tcW w:w="1725" w:type="dxa"/>
            <w:shd w:val="clear" w:color="auto" w:fill="auto"/>
            <w:tcMar>
              <w:top w:w="100" w:type="dxa"/>
              <w:left w:w="100" w:type="dxa"/>
              <w:bottom w:w="100" w:type="dxa"/>
              <w:right w:w="100" w:type="dxa"/>
            </w:tcMar>
          </w:tcPr>
          <w:p w14:paraId="546EB772" w14:textId="77777777" w:rsidR="00AD349B" w:rsidRDefault="00000000">
            <w:pPr>
              <w:widowControl w:val="0"/>
              <w:spacing w:line="240" w:lineRule="auto"/>
            </w:pPr>
            <w:r>
              <w:t>Hardware manufacturers</w:t>
            </w:r>
          </w:p>
        </w:tc>
        <w:tc>
          <w:tcPr>
            <w:tcW w:w="1155" w:type="dxa"/>
            <w:shd w:val="clear" w:color="auto" w:fill="auto"/>
            <w:tcMar>
              <w:top w:w="100" w:type="dxa"/>
              <w:left w:w="100" w:type="dxa"/>
              <w:bottom w:w="100" w:type="dxa"/>
              <w:right w:w="100" w:type="dxa"/>
            </w:tcMar>
          </w:tcPr>
          <w:p w14:paraId="36806F80"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7842483B" w14:textId="77777777" w:rsidR="00AD349B" w:rsidRDefault="00000000">
            <w:pPr>
              <w:widowControl w:val="0"/>
              <w:spacing w:line="240" w:lineRule="auto"/>
              <w:jc w:val="center"/>
            </w:pPr>
            <w:sdt>
              <w:sdtPr>
                <w:tag w:val="goog_rdk_2"/>
                <w:id w:val="206844520"/>
              </w:sdtPr>
              <w:sdtContent>
                <w:r>
                  <w:rPr>
                    <w:rFonts w:ascii="Arial Unicode MS" w:eastAsia="Arial Unicode MS" w:hAnsi="Arial Unicode MS" w:cs="Arial Unicode MS"/>
                  </w:rPr>
                  <w:t>✓</w:t>
                </w:r>
              </w:sdtContent>
            </w:sdt>
          </w:p>
        </w:tc>
        <w:tc>
          <w:tcPr>
            <w:tcW w:w="1275" w:type="dxa"/>
            <w:shd w:val="clear" w:color="auto" w:fill="auto"/>
            <w:tcMar>
              <w:top w:w="100" w:type="dxa"/>
              <w:left w:w="100" w:type="dxa"/>
              <w:bottom w:w="100" w:type="dxa"/>
              <w:right w:w="100" w:type="dxa"/>
            </w:tcMar>
          </w:tcPr>
          <w:p w14:paraId="21D9EB42"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40230523"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1A88F878" w14:textId="77777777" w:rsidR="00AD349B" w:rsidRDefault="00000000">
            <w:pPr>
              <w:widowControl w:val="0"/>
              <w:spacing w:line="240" w:lineRule="auto"/>
            </w:pPr>
            <w:r>
              <w:t>The Meta Quest 3 is priced at USD 499.</w:t>
            </w:r>
          </w:p>
        </w:tc>
      </w:tr>
      <w:tr w:rsidR="00AD349B" w14:paraId="6780E486" w14:textId="77777777">
        <w:tc>
          <w:tcPr>
            <w:tcW w:w="1560" w:type="dxa"/>
            <w:shd w:val="clear" w:color="auto" w:fill="auto"/>
            <w:tcMar>
              <w:top w:w="100" w:type="dxa"/>
              <w:left w:w="100" w:type="dxa"/>
              <w:bottom w:w="100" w:type="dxa"/>
              <w:right w:w="100" w:type="dxa"/>
            </w:tcMar>
          </w:tcPr>
          <w:p w14:paraId="7F70139B" w14:textId="77777777" w:rsidR="00AD349B" w:rsidRDefault="00000000">
            <w:pPr>
              <w:widowControl w:val="0"/>
              <w:spacing w:line="240" w:lineRule="auto"/>
            </w:pPr>
            <w:r>
              <w:t>Apple</w:t>
            </w:r>
          </w:p>
        </w:tc>
        <w:tc>
          <w:tcPr>
            <w:tcW w:w="1725" w:type="dxa"/>
            <w:shd w:val="clear" w:color="auto" w:fill="auto"/>
            <w:tcMar>
              <w:top w:w="100" w:type="dxa"/>
              <w:left w:w="100" w:type="dxa"/>
              <w:bottom w:w="100" w:type="dxa"/>
              <w:right w:w="100" w:type="dxa"/>
            </w:tcMar>
          </w:tcPr>
          <w:p w14:paraId="09AD13BA" w14:textId="77777777" w:rsidR="00AD349B" w:rsidRDefault="00000000">
            <w:pPr>
              <w:widowControl w:val="0"/>
              <w:spacing w:line="240" w:lineRule="auto"/>
            </w:pPr>
            <w:r>
              <w:t>Hardware manufacturers</w:t>
            </w:r>
          </w:p>
        </w:tc>
        <w:tc>
          <w:tcPr>
            <w:tcW w:w="1155" w:type="dxa"/>
            <w:shd w:val="clear" w:color="auto" w:fill="auto"/>
            <w:tcMar>
              <w:top w:w="100" w:type="dxa"/>
              <w:left w:w="100" w:type="dxa"/>
              <w:bottom w:w="100" w:type="dxa"/>
              <w:right w:w="100" w:type="dxa"/>
            </w:tcMar>
          </w:tcPr>
          <w:p w14:paraId="4FDA8822" w14:textId="77777777" w:rsidR="00AD349B" w:rsidRDefault="00AD349B">
            <w:pPr>
              <w:widowControl w:val="0"/>
              <w:spacing w:line="240" w:lineRule="auto"/>
            </w:pPr>
          </w:p>
        </w:tc>
        <w:tc>
          <w:tcPr>
            <w:tcW w:w="1095" w:type="dxa"/>
            <w:shd w:val="clear" w:color="auto" w:fill="auto"/>
            <w:tcMar>
              <w:top w:w="100" w:type="dxa"/>
              <w:left w:w="100" w:type="dxa"/>
              <w:bottom w:w="100" w:type="dxa"/>
              <w:right w:w="100" w:type="dxa"/>
            </w:tcMar>
          </w:tcPr>
          <w:p w14:paraId="0DA557B9" w14:textId="77777777" w:rsidR="00AD349B" w:rsidRDefault="00000000">
            <w:pPr>
              <w:widowControl w:val="0"/>
              <w:spacing w:line="240" w:lineRule="auto"/>
              <w:jc w:val="center"/>
            </w:pPr>
            <w:sdt>
              <w:sdtPr>
                <w:tag w:val="goog_rdk_3"/>
                <w:id w:val="109631556"/>
              </w:sdtPr>
              <w:sdtContent>
                <w:r>
                  <w:rPr>
                    <w:rFonts w:ascii="Arial Unicode MS" w:eastAsia="Arial Unicode MS" w:hAnsi="Arial Unicode MS" w:cs="Arial Unicode MS"/>
                  </w:rPr>
                  <w:t>✓</w:t>
                </w:r>
              </w:sdtContent>
            </w:sdt>
          </w:p>
        </w:tc>
        <w:tc>
          <w:tcPr>
            <w:tcW w:w="1275" w:type="dxa"/>
            <w:shd w:val="clear" w:color="auto" w:fill="auto"/>
            <w:tcMar>
              <w:top w:w="100" w:type="dxa"/>
              <w:left w:w="100" w:type="dxa"/>
              <w:bottom w:w="100" w:type="dxa"/>
              <w:right w:w="100" w:type="dxa"/>
            </w:tcMar>
          </w:tcPr>
          <w:p w14:paraId="1B22FFBE"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28B9E3F5"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7E6AEFDD" w14:textId="77777777" w:rsidR="00AD349B" w:rsidRDefault="00000000">
            <w:pPr>
              <w:widowControl w:val="0"/>
              <w:spacing w:line="240" w:lineRule="auto"/>
            </w:pPr>
            <w:r>
              <w:t>The Apple Vision Pro is priced at USD 3,499</w:t>
            </w:r>
          </w:p>
        </w:tc>
      </w:tr>
      <w:tr w:rsidR="00AD349B" w14:paraId="08B12ADD" w14:textId="77777777">
        <w:tc>
          <w:tcPr>
            <w:tcW w:w="1560" w:type="dxa"/>
            <w:shd w:val="clear" w:color="auto" w:fill="auto"/>
            <w:tcMar>
              <w:top w:w="100" w:type="dxa"/>
              <w:left w:w="100" w:type="dxa"/>
              <w:bottom w:w="100" w:type="dxa"/>
              <w:right w:w="100" w:type="dxa"/>
            </w:tcMar>
          </w:tcPr>
          <w:p w14:paraId="56CBD09B" w14:textId="77777777" w:rsidR="00AD349B" w:rsidRDefault="00000000">
            <w:pPr>
              <w:widowControl w:val="0"/>
              <w:spacing w:line="240" w:lineRule="auto"/>
            </w:pPr>
            <w:r>
              <w:t>Microsoft</w:t>
            </w:r>
          </w:p>
        </w:tc>
        <w:tc>
          <w:tcPr>
            <w:tcW w:w="1725" w:type="dxa"/>
            <w:shd w:val="clear" w:color="auto" w:fill="auto"/>
            <w:tcMar>
              <w:top w:w="100" w:type="dxa"/>
              <w:left w:w="100" w:type="dxa"/>
              <w:bottom w:w="100" w:type="dxa"/>
              <w:right w:w="100" w:type="dxa"/>
            </w:tcMar>
          </w:tcPr>
          <w:p w14:paraId="640EA1AC" w14:textId="77777777" w:rsidR="00AD349B" w:rsidRDefault="00000000">
            <w:pPr>
              <w:widowControl w:val="0"/>
              <w:spacing w:line="240" w:lineRule="auto"/>
            </w:pPr>
            <w:r>
              <w:t>Hardware manufacturers</w:t>
            </w:r>
          </w:p>
        </w:tc>
        <w:tc>
          <w:tcPr>
            <w:tcW w:w="1155" w:type="dxa"/>
            <w:shd w:val="clear" w:color="auto" w:fill="auto"/>
            <w:tcMar>
              <w:top w:w="100" w:type="dxa"/>
              <w:left w:w="100" w:type="dxa"/>
              <w:bottom w:w="100" w:type="dxa"/>
              <w:right w:w="100" w:type="dxa"/>
            </w:tcMar>
          </w:tcPr>
          <w:p w14:paraId="205D3BBF" w14:textId="77777777" w:rsidR="00AD349B" w:rsidRDefault="00AD349B">
            <w:pPr>
              <w:widowControl w:val="0"/>
              <w:spacing w:line="240" w:lineRule="auto"/>
            </w:pPr>
          </w:p>
        </w:tc>
        <w:tc>
          <w:tcPr>
            <w:tcW w:w="1095" w:type="dxa"/>
            <w:shd w:val="clear" w:color="auto" w:fill="auto"/>
            <w:tcMar>
              <w:top w:w="100" w:type="dxa"/>
              <w:left w:w="100" w:type="dxa"/>
              <w:bottom w:w="100" w:type="dxa"/>
              <w:right w:w="100" w:type="dxa"/>
            </w:tcMar>
          </w:tcPr>
          <w:p w14:paraId="33C9D652" w14:textId="77777777" w:rsidR="00AD349B" w:rsidRDefault="00000000">
            <w:pPr>
              <w:widowControl w:val="0"/>
              <w:spacing w:line="240" w:lineRule="auto"/>
              <w:jc w:val="center"/>
            </w:pPr>
            <w:sdt>
              <w:sdtPr>
                <w:tag w:val="goog_rdk_4"/>
                <w:id w:val="490294943"/>
              </w:sdtPr>
              <w:sdtContent>
                <w:r>
                  <w:rPr>
                    <w:rFonts w:ascii="Arial Unicode MS" w:eastAsia="Arial Unicode MS" w:hAnsi="Arial Unicode MS" w:cs="Arial Unicode MS"/>
                  </w:rPr>
                  <w:t>✓</w:t>
                </w:r>
              </w:sdtContent>
            </w:sdt>
          </w:p>
        </w:tc>
        <w:tc>
          <w:tcPr>
            <w:tcW w:w="1275" w:type="dxa"/>
            <w:shd w:val="clear" w:color="auto" w:fill="auto"/>
            <w:tcMar>
              <w:top w:w="100" w:type="dxa"/>
              <w:left w:w="100" w:type="dxa"/>
              <w:bottom w:w="100" w:type="dxa"/>
              <w:right w:w="100" w:type="dxa"/>
            </w:tcMar>
          </w:tcPr>
          <w:p w14:paraId="612FC9A6"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0157D88C"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221B3446" w14:textId="77777777" w:rsidR="00AD349B" w:rsidRDefault="00000000">
            <w:pPr>
              <w:widowControl w:val="0"/>
              <w:spacing w:line="240" w:lineRule="auto"/>
            </w:pPr>
            <w:r>
              <w:t>Versions of the Microsoft HoloLens 2 range USD 3,500-5,200.</w:t>
            </w:r>
          </w:p>
        </w:tc>
      </w:tr>
      <w:tr w:rsidR="00AD349B" w14:paraId="533E4879" w14:textId="77777777">
        <w:tc>
          <w:tcPr>
            <w:tcW w:w="1560" w:type="dxa"/>
            <w:shd w:val="clear" w:color="auto" w:fill="auto"/>
            <w:tcMar>
              <w:top w:w="100" w:type="dxa"/>
              <w:left w:w="100" w:type="dxa"/>
              <w:bottom w:w="100" w:type="dxa"/>
              <w:right w:w="100" w:type="dxa"/>
            </w:tcMar>
          </w:tcPr>
          <w:p w14:paraId="0FC61F91" w14:textId="77777777" w:rsidR="00AD349B" w:rsidRDefault="00000000">
            <w:pPr>
              <w:widowControl w:val="0"/>
              <w:spacing w:line="240" w:lineRule="auto"/>
            </w:pPr>
            <w:proofErr w:type="spellStart"/>
            <w:r>
              <w:t>ByteDance</w:t>
            </w:r>
            <w:proofErr w:type="spellEnd"/>
          </w:p>
        </w:tc>
        <w:tc>
          <w:tcPr>
            <w:tcW w:w="1725" w:type="dxa"/>
            <w:shd w:val="clear" w:color="auto" w:fill="auto"/>
            <w:tcMar>
              <w:top w:w="100" w:type="dxa"/>
              <w:left w:w="100" w:type="dxa"/>
              <w:bottom w:w="100" w:type="dxa"/>
              <w:right w:w="100" w:type="dxa"/>
            </w:tcMar>
          </w:tcPr>
          <w:p w14:paraId="3EB5AD25" w14:textId="77777777" w:rsidR="00AD349B" w:rsidRDefault="00000000">
            <w:pPr>
              <w:widowControl w:val="0"/>
              <w:spacing w:line="240" w:lineRule="auto"/>
            </w:pPr>
            <w:r>
              <w:t>Hardware manufacturers</w:t>
            </w:r>
          </w:p>
        </w:tc>
        <w:tc>
          <w:tcPr>
            <w:tcW w:w="1155" w:type="dxa"/>
            <w:shd w:val="clear" w:color="auto" w:fill="auto"/>
            <w:tcMar>
              <w:top w:w="100" w:type="dxa"/>
              <w:left w:w="100" w:type="dxa"/>
              <w:bottom w:w="100" w:type="dxa"/>
              <w:right w:w="100" w:type="dxa"/>
            </w:tcMar>
          </w:tcPr>
          <w:p w14:paraId="5AC02DC2"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19A84E62" w14:textId="77777777" w:rsidR="00AD349B" w:rsidRDefault="00000000">
            <w:pPr>
              <w:widowControl w:val="0"/>
              <w:spacing w:line="240" w:lineRule="auto"/>
              <w:jc w:val="center"/>
            </w:pPr>
            <w:sdt>
              <w:sdtPr>
                <w:tag w:val="goog_rdk_5"/>
                <w:id w:val="-2076737139"/>
              </w:sdtPr>
              <w:sdtContent>
                <w:r>
                  <w:rPr>
                    <w:rFonts w:ascii="Arial Unicode MS" w:eastAsia="Arial Unicode MS" w:hAnsi="Arial Unicode MS" w:cs="Arial Unicode MS"/>
                  </w:rPr>
                  <w:t>✓</w:t>
                </w:r>
              </w:sdtContent>
            </w:sdt>
          </w:p>
        </w:tc>
        <w:tc>
          <w:tcPr>
            <w:tcW w:w="1275" w:type="dxa"/>
            <w:shd w:val="clear" w:color="auto" w:fill="auto"/>
            <w:tcMar>
              <w:top w:w="100" w:type="dxa"/>
              <w:left w:w="100" w:type="dxa"/>
              <w:bottom w:w="100" w:type="dxa"/>
              <w:right w:w="100" w:type="dxa"/>
            </w:tcMar>
          </w:tcPr>
          <w:p w14:paraId="68D3D672"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21D6D33E"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4972C6B7" w14:textId="77777777" w:rsidR="00AD349B" w:rsidRDefault="00000000">
            <w:pPr>
              <w:widowControl w:val="0"/>
              <w:spacing w:line="240" w:lineRule="auto"/>
            </w:pPr>
            <w:proofErr w:type="spellStart"/>
            <w:r>
              <w:t>ByteDance</w:t>
            </w:r>
            <w:proofErr w:type="spellEnd"/>
            <w:r>
              <w:t xml:space="preserve"> subsidiary Pico Interactive’s Pico G3 headset is priced at EUR 399 (~USD 430). </w:t>
            </w:r>
          </w:p>
        </w:tc>
      </w:tr>
      <w:tr w:rsidR="00AD349B" w14:paraId="6AB4BD80" w14:textId="77777777">
        <w:tc>
          <w:tcPr>
            <w:tcW w:w="1560" w:type="dxa"/>
            <w:shd w:val="clear" w:color="auto" w:fill="auto"/>
            <w:tcMar>
              <w:top w:w="100" w:type="dxa"/>
              <w:left w:w="100" w:type="dxa"/>
              <w:bottom w:w="100" w:type="dxa"/>
              <w:right w:w="100" w:type="dxa"/>
            </w:tcMar>
          </w:tcPr>
          <w:p w14:paraId="176F3CAD" w14:textId="77777777" w:rsidR="00AD349B" w:rsidRDefault="00000000">
            <w:pPr>
              <w:widowControl w:val="0"/>
              <w:spacing w:line="240" w:lineRule="auto"/>
            </w:pPr>
            <w:proofErr w:type="spellStart"/>
            <w:r>
              <w:t>Xreal</w:t>
            </w:r>
            <w:proofErr w:type="spellEnd"/>
          </w:p>
        </w:tc>
        <w:tc>
          <w:tcPr>
            <w:tcW w:w="1725" w:type="dxa"/>
            <w:shd w:val="clear" w:color="auto" w:fill="auto"/>
            <w:tcMar>
              <w:top w:w="100" w:type="dxa"/>
              <w:left w:w="100" w:type="dxa"/>
              <w:bottom w:w="100" w:type="dxa"/>
              <w:right w:w="100" w:type="dxa"/>
            </w:tcMar>
          </w:tcPr>
          <w:p w14:paraId="21776FD9" w14:textId="77777777" w:rsidR="00AD349B" w:rsidRDefault="00000000">
            <w:pPr>
              <w:widowControl w:val="0"/>
              <w:spacing w:line="240" w:lineRule="auto"/>
            </w:pPr>
            <w:r>
              <w:t>Hardware manufacturers</w:t>
            </w:r>
          </w:p>
        </w:tc>
        <w:tc>
          <w:tcPr>
            <w:tcW w:w="1155" w:type="dxa"/>
            <w:shd w:val="clear" w:color="auto" w:fill="auto"/>
            <w:tcMar>
              <w:top w:w="100" w:type="dxa"/>
              <w:left w:w="100" w:type="dxa"/>
              <w:bottom w:w="100" w:type="dxa"/>
              <w:right w:w="100" w:type="dxa"/>
            </w:tcMar>
          </w:tcPr>
          <w:p w14:paraId="7E0A97BE"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776C51E6" w14:textId="77777777" w:rsidR="00AD349B" w:rsidRDefault="00000000">
            <w:pPr>
              <w:widowControl w:val="0"/>
              <w:spacing w:line="240" w:lineRule="auto"/>
              <w:jc w:val="center"/>
            </w:pPr>
            <w:sdt>
              <w:sdtPr>
                <w:tag w:val="goog_rdk_6"/>
                <w:id w:val="1339579053"/>
              </w:sdtPr>
              <w:sdtContent>
                <w:r>
                  <w:rPr>
                    <w:rFonts w:ascii="Arial Unicode MS" w:eastAsia="Arial Unicode MS" w:hAnsi="Arial Unicode MS" w:cs="Arial Unicode MS"/>
                  </w:rPr>
                  <w:t>✓</w:t>
                </w:r>
              </w:sdtContent>
            </w:sdt>
          </w:p>
        </w:tc>
        <w:tc>
          <w:tcPr>
            <w:tcW w:w="1275" w:type="dxa"/>
            <w:shd w:val="clear" w:color="auto" w:fill="auto"/>
            <w:tcMar>
              <w:top w:w="100" w:type="dxa"/>
              <w:left w:w="100" w:type="dxa"/>
              <w:bottom w:w="100" w:type="dxa"/>
              <w:right w:w="100" w:type="dxa"/>
            </w:tcMar>
          </w:tcPr>
          <w:p w14:paraId="118EEAC1"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32D0ADE1"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0AAB5A52" w14:textId="77777777" w:rsidR="00AD349B" w:rsidRDefault="00000000">
            <w:pPr>
              <w:widowControl w:val="0"/>
              <w:spacing w:line="240" w:lineRule="auto"/>
            </w:pPr>
            <w:proofErr w:type="spellStart"/>
            <w:r>
              <w:t>Xreal’s</w:t>
            </w:r>
            <w:proofErr w:type="spellEnd"/>
            <w:r>
              <w:t xml:space="preserve"> smart glasses, </w:t>
            </w:r>
            <w:proofErr w:type="spellStart"/>
            <w:r>
              <w:t>Xreal</w:t>
            </w:r>
            <w:proofErr w:type="spellEnd"/>
            <w:r>
              <w:t xml:space="preserve"> Air 2, retails at USD 399.</w:t>
            </w:r>
          </w:p>
        </w:tc>
      </w:tr>
      <w:tr w:rsidR="00AD349B" w14:paraId="4A697A63" w14:textId="77777777">
        <w:tc>
          <w:tcPr>
            <w:tcW w:w="1560" w:type="dxa"/>
            <w:shd w:val="clear" w:color="auto" w:fill="auto"/>
            <w:tcMar>
              <w:top w:w="100" w:type="dxa"/>
              <w:left w:w="100" w:type="dxa"/>
              <w:bottom w:w="100" w:type="dxa"/>
              <w:right w:w="100" w:type="dxa"/>
            </w:tcMar>
          </w:tcPr>
          <w:p w14:paraId="32D6BCCE" w14:textId="77777777" w:rsidR="00AD349B" w:rsidRDefault="00000000">
            <w:pPr>
              <w:widowControl w:val="0"/>
              <w:spacing w:line="240" w:lineRule="auto"/>
            </w:pPr>
            <w:r>
              <w:t>Matterport</w:t>
            </w:r>
          </w:p>
        </w:tc>
        <w:tc>
          <w:tcPr>
            <w:tcW w:w="1725" w:type="dxa"/>
            <w:shd w:val="clear" w:color="auto" w:fill="auto"/>
            <w:tcMar>
              <w:top w:w="100" w:type="dxa"/>
              <w:left w:w="100" w:type="dxa"/>
              <w:bottom w:w="100" w:type="dxa"/>
              <w:right w:w="100" w:type="dxa"/>
            </w:tcMar>
          </w:tcPr>
          <w:p w14:paraId="7315F47D" w14:textId="77777777" w:rsidR="00AD349B" w:rsidRDefault="00000000">
            <w:pPr>
              <w:widowControl w:val="0"/>
              <w:spacing w:line="240" w:lineRule="auto"/>
            </w:pPr>
            <w:r>
              <w:t>Content</w:t>
            </w:r>
          </w:p>
        </w:tc>
        <w:tc>
          <w:tcPr>
            <w:tcW w:w="1155" w:type="dxa"/>
            <w:shd w:val="clear" w:color="auto" w:fill="auto"/>
            <w:tcMar>
              <w:top w:w="100" w:type="dxa"/>
              <w:left w:w="100" w:type="dxa"/>
              <w:bottom w:w="100" w:type="dxa"/>
              <w:right w:w="100" w:type="dxa"/>
            </w:tcMar>
          </w:tcPr>
          <w:p w14:paraId="2C514E75"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463B9979"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777B8EEB" w14:textId="77777777" w:rsidR="00AD349B" w:rsidRDefault="00000000">
            <w:pPr>
              <w:widowControl w:val="0"/>
              <w:spacing w:line="240" w:lineRule="auto"/>
              <w:jc w:val="center"/>
            </w:pPr>
            <w:sdt>
              <w:sdtPr>
                <w:tag w:val="goog_rdk_7"/>
                <w:id w:val="-92173639"/>
              </w:sdtPr>
              <w:sdtContent>
                <w:r>
                  <w:rPr>
                    <w:rFonts w:ascii="Arial Unicode MS" w:eastAsia="Arial Unicode MS" w:hAnsi="Arial Unicode MS" w:cs="Arial Unicode MS"/>
                  </w:rPr>
                  <w:t>✓</w:t>
                </w:r>
              </w:sdtContent>
            </w:sdt>
          </w:p>
        </w:tc>
        <w:tc>
          <w:tcPr>
            <w:tcW w:w="1200" w:type="dxa"/>
            <w:shd w:val="clear" w:color="auto" w:fill="auto"/>
            <w:tcMar>
              <w:top w:w="100" w:type="dxa"/>
              <w:left w:w="100" w:type="dxa"/>
              <w:bottom w:w="100" w:type="dxa"/>
              <w:right w:w="100" w:type="dxa"/>
            </w:tcMar>
          </w:tcPr>
          <w:p w14:paraId="5A26D703"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1F1381DB" w14:textId="77777777" w:rsidR="00AD349B" w:rsidRDefault="00000000">
            <w:pPr>
              <w:widowControl w:val="0"/>
              <w:spacing w:line="240" w:lineRule="auto"/>
            </w:pPr>
            <w:r>
              <w:t xml:space="preserve">Cloud-based subscription revenue for hosting its clients' virtual tours amounted to USD 157.7 million in 2023. </w:t>
            </w:r>
          </w:p>
        </w:tc>
      </w:tr>
      <w:tr w:rsidR="00AD349B" w14:paraId="3F1F8032" w14:textId="77777777">
        <w:tc>
          <w:tcPr>
            <w:tcW w:w="1560" w:type="dxa"/>
            <w:shd w:val="clear" w:color="auto" w:fill="auto"/>
            <w:tcMar>
              <w:top w:w="100" w:type="dxa"/>
              <w:left w:w="100" w:type="dxa"/>
              <w:bottom w:w="100" w:type="dxa"/>
              <w:right w:w="100" w:type="dxa"/>
            </w:tcMar>
          </w:tcPr>
          <w:p w14:paraId="4B88FAE9" w14:textId="77777777" w:rsidR="00AD349B" w:rsidRDefault="00000000">
            <w:pPr>
              <w:widowControl w:val="0"/>
              <w:spacing w:line="240" w:lineRule="auto"/>
            </w:pPr>
            <w:r>
              <w:lastRenderedPageBreak/>
              <w:t>DEVAR</w:t>
            </w:r>
          </w:p>
        </w:tc>
        <w:tc>
          <w:tcPr>
            <w:tcW w:w="1725" w:type="dxa"/>
            <w:shd w:val="clear" w:color="auto" w:fill="auto"/>
            <w:tcMar>
              <w:top w:w="100" w:type="dxa"/>
              <w:left w:w="100" w:type="dxa"/>
              <w:bottom w:w="100" w:type="dxa"/>
              <w:right w:w="100" w:type="dxa"/>
            </w:tcMar>
          </w:tcPr>
          <w:p w14:paraId="610E9967" w14:textId="77777777" w:rsidR="00AD349B" w:rsidRDefault="00000000">
            <w:pPr>
              <w:widowControl w:val="0"/>
              <w:spacing w:line="240" w:lineRule="auto"/>
            </w:pPr>
            <w:r>
              <w:t>Content</w:t>
            </w:r>
          </w:p>
        </w:tc>
        <w:tc>
          <w:tcPr>
            <w:tcW w:w="1155" w:type="dxa"/>
            <w:shd w:val="clear" w:color="auto" w:fill="auto"/>
            <w:tcMar>
              <w:top w:w="100" w:type="dxa"/>
              <w:left w:w="100" w:type="dxa"/>
              <w:bottom w:w="100" w:type="dxa"/>
              <w:right w:w="100" w:type="dxa"/>
            </w:tcMar>
          </w:tcPr>
          <w:p w14:paraId="081FFFAE"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4EA061F8"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79DB43ED" w14:textId="77777777" w:rsidR="00AD349B" w:rsidRDefault="00000000">
            <w:pPr>
              <w:widowControl w:val="0"/>
              <w:spacing w:line="240" w:lineRule="auto"/>
              <w:jc w:val="center"/>
            </w:pPr>
            <w:sdt>
              <w:sdtPr>
                <w:tag w:val="goog_rdk_8"/>
                <w:id w:val="1061372936"/>
              </w:sdtPr>
              <w:sdtContent>
                <w:r>
                  <w:rPr>
                    <w:rFonts w:ascii="Arial Unicode MS" w:eastAsia="Arial Unicode MS" w:hAnsi="Arial Unicode MS" w:cs="Arial Unicode MS"/>
                  </w:rPr>
                  <w:t>✓</w:t>
                </w:r>
              </w:sdtContent>
            </w:sdt>
          </w:p>
        </w:tc>
        <w:tc>
          <w:tcPr>
            <w:tcW w:w="1200" w:type="dxa"/>
            <w:shd w:val="clear" w:color="auto" w:fill="auto"/>
            <w:tcMar>
              <w:top w:w="100" w:type="dxa"/>
              <w:left w:w="100" w:type="dxa"/>
              <w:bottom w:w="100" w:type="dxa"/>
              <w:right w:w="100" w:type="dxa"/>
            </w:tcMar>
          </w:tcPr>
          <w:p w14:paraId="6BC9DD52"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3A3C874E" w14:textId="77777777" w:rsidR="00AD349B" w:rsidRDefault="00000000">
            <w:pPr>
              <w:widowControl w:val="0"/>
              <w:spacing w:line="240" w:lineRule="auto"/>
            </w:pPr>
            <w:r>
              <w:t xml:space="preserve">Monthly subscription costs range USD 39–1,199. </w:t>
            </w:r>
          </w:p>
        </w:tc>
      </w:tr>
      <w:tr w:rsidR="00AD349B" w14:paraId="70CF3655" w14:textId="77777777">
        <w:tc>
          <w:tcPr>
            <w:tcW w:w="1560" w:type="dxa"/>
            <w:shd w:val="clear" w:color="auto" w:fill="auto"/>
            <w:tcMar>
              <w:top w:w="100" w:type="dxa"/>
              <w:left w:w="100" w:type="dxa"/>
              <w:bottom w:w="100" w:type="dxa"/>
              <w:right w:w="100" w:type="dxa"/>
            </w:tcMar>
          </w:tcPr>
          <w:p w14:paraId="3685D53B" w14:textId="77777777" w:rsidR="00AD349B" w:rsidRDefault="00000000">
            <w:pPr>
              <w:widowControl w:val="0"/>
              <w:spacing w:line="240" w:lineRule="auto"/>
            </w:pPr>
            <w:r>
              <w:t>Niantic</w:t>
            </w:r>
          </w:p>
        </w:tc>
        <w:tc>
          <w:tcPr>
            <w:tcW w:w="1725" w:type="dxa"/>
            <w:shd w:val="clear" w:color="auto" w:fill="auto"/>
            <w:tcMar>
              <w:top w:w="100" w:type="dxa"/>
              <w:left w:w="100" w:type="dxa"/>
              <w:bottom w:w="100" w:type="dxa"/>
              <w:right w:w="100" w:type="dxa"/>
            </w:tcMar>
          </w:tcPr>
          <w:p w14:paraId="475214D2" w14:textId="77777777" w:rsidR="00AD349B" w:rsidRDefault="00000000">
            <w:pPr>
              <w:widowControl w:val="0"/>
              <w:spacing w:line="240" w:lineRule="auto"/>
            </w:pPr>
            <w:r>
              <w:t>AR/VR platforms</w:t>
            </w:r>
          </w:p>
        </w:tc>
        <w:tc>
          <w:tcPr>
            <w:tcW w:w="1155" w:type="dxa"/>
            <w:shd w:val="clear" w:color="auto" w:fill="auto"/>
            <w:tcMar>
              <w:top w:w="100" w:type="dxa"/>
              <w:left w:w="100" w:type="dxa"/>
              <w:bottom w:w="100" w:type="dxa"/>
              <w:right w:w="100" w:type="dxa"/>
            </w:tcMar>
          </w:tcPr>
          <w:p w14:paraId="32F594B5" w14:textId="77777777" w:rsidR="00AD349B" w:rsidRDefault="00000000">
            <w:pPr>
              <w:widowControl w:val="0"/>
              <w:spacing w:line="240" w:lineRule="auto"/>
              <w:jc w:val="center"/>
            </w:pPr>
            <w:sdt>
              <w:sdtPr>
                <w:tag w:val="goog_rdk_9"/>
                <w:id w:val="1227109322"/>
              </w:sdtPr>
              <w:sdtContent>
                <w:r>
                  <w:rPr>
                    <w:rFonts w:ascii="Arial Unicode MS" w:eastAsia="Arial Unicode MS" w:hAnsi="Arial Unicode MS" w:cs="Arial Unicode MS"/>
                  </w:rPr>
                  <w:t>✓</w:t>
                </w:r>
              </w:sdtContent>
            </w:sdt>
          </w:p>
        </w:tc>
        <w:tc>
          <w:tcPr>
            <w:tcW w:w="1095" w:type="dxa"/>
            <w:shd w:val="clear" w:color="auto" w:fill="auto"/>
            <w:tcMar>
              <w:top w:w="100" w:type="dxa"/>
              <w:left w:w="100" w:type="dxa"/>
              <w:bottom w:w="100" w:type="dxa"/>
              <w:right w:w="100" w:type="dxa"/>
            </w:tcMar>
          </w:tcPr>
          <w:p w14:paraId="1256A41F"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20E2EDDD"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3CCBFE65"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78EB2AA0" w14:textId="77777777" w:rsidR="00AD349B" w:rsidRDefault="00000000">
            <w:pPr>
              <w:widowControl w:val="0"/>
              <w:spacing w:line="240" w:lineRule="auto"/>
            </w:pPr>
            <w:r>
              <w:t xml:space="preserve">As of June 2022, Niantic was estimated to have generated over USD 6 billion in revenue from </w:t>
            </w:r>
            <w:proofErr w:type="spellStart"/>
            <w:r>
              <w:t>Pokemon</w:t>
            </w:r>
            <w:proofErr w:type="spellEnd"/>
            <w:r>
              <w:t xml:space="preserve"> Go since its inception.</w:t>
            </w:r>
          </w:p>
        </w:tc>
      </w:tr>
      <w:tr w:rsidR="00AD349B" w14:paraId="28D120A8" w14:textId="77777777">
        <w:tc>
          <w:tcPr>
            <w:tcW w:w="1560" w:type="dxa"/>
            <w:shd w:val="clear" w:color="auto" w:fill="auto"/>
            <w:tcMar>
              <w:top w:w="100" w:type="dxa"/>
              <w:left w:w="100" w:type="dxa"/>
              <w:bottom w:w="100" w:type="dxa"/>
              <w:right w:w="100" w:type="dxa"/>
            </w:tcMar>
          </w:tcPr>
          <w:p w14:paraId="58643E9B" w14:textId="77777777" w:rsidR="00AD349B" w:rsidRDefault="00000000">
            <w:pPr>
              <w:widowControl w:val="0"/>
              <w:spacing w:line="240" w:lineRule="auto"/>
            </w:pPr>
            <w:r>
              <w:t>Rec Room</w:t>
            </w:r>
          </w:p>
        </w:tc>
        <w:tc>
          <w:tcPr>
            <w:tcW w:w="1725" w:type="dxa"/>
            <w:shd w:val="clear" w:color="auto" w:fill="auto"/>
            <w:tcMar>
              <w:top w:w="100" w:type="dxa"/>
              <w:left w:w="100" w:type="dxa"/>
              <w:bottom w:w="100" w:type="dxa"/>
              <w:right w:w="100" w:type="dxa"/>
            </w:tcMar>
          </w:tcPr>
          <w:p w14:paraId="18C2B786" w14:textId="77777777" w:rsidR="00AD349B" w:rsidRDefault="00000000">
            <w:pPr>
              <w:widowControl w:val="0"/>
              <w:spacing w:line="240" w:lineRule="auto"/>
            </w:pPr>
            <w:r>
              <w:t>AR/VR platforms</w:t>
            </w:r>
          </w:p>
        </w:tc>
        <w:tc>
          <w:tcPr>
            <w:tcW w:w="1155" w:type="dxa"/>
            <w:shd w:val="clear" w:color="auto" w:fill="auto"/>
            <w:tcMar>
              <w:top w:w="100" w:type="dxa"/>
              <w:left w:w="100" w:type="dxa"/>
              <w:bottom w:w="100" w:type="dxa"/>
              <w:right w:w="100" w:type="dxa"/>
            </w:tcMar>
          </w:tcPr>
          <w:p w14:paraId="010742C9" w14:textId="77777777" w:rsidR="00AD349B" w:rsidRDefault="00000000">
            <w:pPr>
              <w:widowControl w:val="0"/>
              <w:spacing w:line="240" w:lineRule="auto"/>
              <w:jc w:val="center"/>
            </w:pPr>
            <w:sdt>
              <w:sdtPr>
                <w:tag w:val="goog_rdk_10"/>
                <w:id w:val="394630107"/>
              </w:sdtPr>
              <w:sdtContent>
                <w:r>
                  <w:rPr>
                    <w:rFonts w:ascii="Arial Unicode MS" w:eastAsia="Arial Unicode MS" w:hAnsi="Arial Unicode MS" w:cs="Arial Unicode MS"/>
                  </w:rPr>
                  <w:t>✓</w:t>
                </w:r>
              </w:sdtContent>
            </w:sdt>
          </w:p>
        </w:tc>
        <w:tc>
          <w:tcPr>
            <w:tcW w:w="1095" w:type="dxa"/>
            <w:shd w:val="clear" w:color="auto" w:fill="auto"/>
            <w:tcMar>
              <w:top w:w="100" w:type="dxa"/>
              <w:left w:w="100" w:type="dxa"/>
              <w:bottom w:w="100" w:type="dxa"/>
              <w:right w:w="100" w:type="dxa"/>
            </w:tcMar>
          </w:tcPr>
          <w:p w14:paraId="0E99C7DA"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3C94BDD4" w14:textId="77777777" w:rsidR="00AD349B" w:rsidRDefault="00000000">
            <w:pPr>
              <w:widowControl w:val="0"/>
              <w:spacing w:line="240" w:lineRule="auto"/>
              <w:jc w:val="center"/>
            </w:pPr>
            <w:sdt>
              <w:sdtPr>
                <w:tag w:val="goog_rdk_11"/>
                <w:id w:val="-1909762386"/>
              </w:sdtPr>
              <w:sdtContent>
                <w:r>
                  <w:rPr>
                    <w:rFonts w:ascii="Arial Unicode MS" w:eastAsia="Arial Unicode MS" w:hAnsi="Arial Unicode MS" w:cs="Arial Unicode MS"/>
                  </w:rPr>
                  <w:t>✓</w:t>
                </w:r>
              </w:sdtContent>
            </w:sdt>
          </w:p>
        </w:tc>
        <w:tc>
          <w:tcPr>
            <w:tcW w:w="1200" w:type="dxa"/>
            <w:shd w:val="clear" w:color="auto" w:fill="auto"/>
            <w:tcMar>
              <w:top w:w="100" w:type="dxa"/>
              <w:left w:w="100" w:type="dxa"/>
              <w:bottom w:w="100" w:type="dxa"/>
              <w:right w:w="100" w:type="dxa"/>
            </w:tcMar>
          </w:tcPr>
          <w:p w14:paraId="314345DF"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7CDC41B1" w14:textId="77777777" w:rsidR="00AD349B" w:rsidRDefault="00000000">
            <w:pPr>
              <w:widowControl w:val="0"/>
              <w:spacing w:line="240" w:lineRule="auto"/>
            </w:pPr>
            <w:r>
              <w:t>Paid membership plan priced at USD 8 per month, with in-app purchases ranging USD 5–50.</w:t>
            </w:r>
          </w:p>
        </w:tc>
      </w:tr>
      <w:tr w:rsidR="00AD349B" w14:paraId="3A465887" w14:textId="77777777">
        <w:tc>
          <w:tcPr>
            <w:tcW w:w="1560" w:type="dxa"/>
            <w:shd w:val="clear" w:color="auto" w:fill="auto"/>
            <w:tcMar>
              <w:top w:w="100" w:type="dxa"/>
              <w:left w:w="100" w:type="dxa"/>
              <w:bottom w:w="100" w:type="dxa"/>
              <w:right w:w="100" w:type="dxa"/>
            </w:tcMar>
          </w:tcPr>
          <w:p w14:paraId="79DEA285" w14:textId="77777777" w:rsidR="00AD349B" w:rsidRDefault="00000000">
            <w:pPr>
              <w:widowControl w:val="0"/>
              <w:spacing w:line="240" w:lineRule="auto"/>
            </w:pPr>
            <w:r>
              <w:t>8th Wall</w:t>
            </w:r>
          </w:p>
        </w:tc>
        <w:tc>
          <w:tcPr>
            <w:tcW w:w="1725" w:type="dxa"/>
            <w:shd w:val="clear" w:color="auto" w:fill="auto"/>
            <w:tcMar>
              <w:top w:w="100" w:type="dxa"/>
              <w:left w:w="100" w:type="dxa"/>
              <w:bottom w:w="100" w:type="dxa"/>
              <w:right w:w="100" w:type="dxa"/>
            </w:tcMar>
          </w:tcPr>
          <w:p w14:paraId="6D0DD22F" w14:textId="77777777" w:rsidR="00AD349B" w:rsidRDefault="00000000">
            <w:pPr>
              <w:widowControl w:val="0"/>
              <w:spacing w:line="240" w:lineRule="auto"/>
            </w:pPr>
            <w:r>
              <w:t>AR/VR platforms</w:t>
            </w:r>
          </w:p>
        </w:tc>
        <w:tc>
          <w:tcPr>
            <w:tcW w:w="1155" w:type="dxa"/>
            <w:shd w:val="clear" w:color="auto" w:fill="auto"/>
            <w:tcMar>
              <w:top w:w="100" w:type="dxa"/>
              <w:left w:w="100" w:type="dxa"/>
              <w:bottom w:w="100" w:type="dxa"/>
              <w:right w:w="100" w:type="dxa"/>
            </w:tcMar>
          </w:tcPr>
          <w:p w14:paraId="4645374E"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68678A45"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67305839" w14:textId="77777777" w:rsidR="00AD349B" w:rsidRDefault="00000000">
            <w:pPr>
              <w:widowControl w:val="0"/>
              <w:spacing w:line="240" w:lineRule="auto"/>
              <w:jc w:val="center"/>
            </w:pPr>
            <w:sdt>
              <w:sdtPr>
                <w:tag w:val="goog_rdk_12"/>
                <w:id w:val="-1558467494"/>
              </w:sdtPr>
              <w:sdtContent>
                <w:r>
                  <w:rPr>
                    <w:rFonts w:ascii="Arial Unicode MS" w:eastAsia="Arial Unicode MS" w:hAnsi="Arial Unicode MS" w:cs="Arial Unicode MS"/>
                  </w:rPr>
                  <w:t>✓</w:t>
                </w:r>
              </w:sdtContent>
            </w:sdt>
          </w:p>
        </w:tc>
        <w:tc>
          <w:tcPr>
            <w:tcW w:w="1200" w:type="dxa"/>
            <w:shd w:val="clear" w:color="auto" w:fill="auto"/>
            <w:tcMar>
              <w:top w:w="100" w:type="dxa"/>
              <w:left w:w="100" w:type="dxa"/>
              <w:bottom w:w="100" w:type="dxa"/>
              <w:right w:w="100" w:type="dxa"/>
            </w:tcMar>
          </w:tcPr>
          <w:p w14:paraId="44B576C5" w14:textId="77777777" w:rsidR="00AD349B" w:rsidRDefault="00AD349B">
            <w:pPr>
              <w:widowControl w:val="0"/>
              <w:spacing w:line="240" w:lineRule="auto"/>
            </w:pPr>
          </w:p>
        </w:tc>
        <w:tc>
          <w:tcPr>
            <w:tcW w:w="3060" w:type="dxa"/>
            <w:shd w:val="clear" w:color="auto" w:fill="auto"/>
            <w:tcMar>
              <w:top w:w="100" w:type="dxa"/>
              <w:left w:w="100" w:type="dxa"/>
              <w:bottom w:w="100" w:type="dxa"/>
              <w:right w:w="100" w:type="dxa"/>
            </w:tcMar>
          </w:tcPr>
          <w:p w14:paraId="009A4B45" w14:textId="77777777" w:rsidR="00AD349B" w:rsidRDefault="00000000">
            <w:pPr>
              <w:widowControl w:val="0"/>
              <w:spacing w:line="240" w:lineRule="auto"/>
            </w:pPr>
            <w:r>
              <w:t>Subscription pricing ranges from USD 9-99.</w:t>
            </w:r>
          </w:p>
        </w:tc>
      </w:tr>
      <w:tr w:rsidR="00AD349B" w14:paraId="6099AC0A" w14:textId="77777777">
        <w:tc>
          <w:tcPr>
            <w:tcW w:w="1560" w:type="dxa"/>
            <w:shd w:val="clear" w:color="auto" w:fill="auto"/>
            <w:tcMar>
              <w:top w:w="100" w:type="dxa"/>
              <w:left w:w="100" w:type="dxa"/>
              <w:bottom w:w="100" w:type="dxa"/>
              <w:right w:w="100" w:type="dxa"/>
            </w:tcMar>
          </w:tcPr>
          <w:p w14:paraId="37BF114E" w14:textId="77777777" w:rsidR="00AD349B" w:rsidRDefault="00000000">
            <w:pPr>
              <w:widowControl w:val="0"/>
              <w:spacing w:line="240" w:lineRule="auto"/>
            </w:pPr>
            <w:r>
              <w:t>Meow Wolf</w:t>
            </w:r>
          </w:p>
        </w:tc>
        <w:tc>
          <w:tcPr>
            <w:tcW w:w="1725" w:type="dxa"/>
            <w:shd w:val="clear" w:color="auto" w:fill="auto"/>
            <w:tcMar>
              <w:top w:w="100" w:type="dxa"/>
              <w:left w:w="100" w:type="dxa"/>
              <w:bottom w:w="100" w:type="dxa"/>
              <w:right w:w="100" w:type="dxa"/>
            </w:tcMar>
          </w:tcPr>
          <w:p w14:paraId="3807AF9C" w14:textId="77777777" w:rsidR="00AD349B" w:rsidRDefault="00000000">
            <w:pPr>
              <w:widowControl w:val="0"/>
              <w:spacing w:line="240" w:lineRule="auto"/>
            </w:pPr>
            <w:r>
              <w:t>Location-based AR/VR</w:t>
            </w:r>
          </w:p>
        </w:tc>
        <w:tc>
          <w:tcPr>
            <w:tcW w:w="1155" w:type="dxa"/>
            <w:shd w:val="clear" w:color="auto" w:fill="auto"/>
            <w:tcMar>
              <w:top w:w="100" w:type="dxa"/>
              <w:left w:w="100" w:type="dxa"/>
              <w:bottom w:w="100" w:type="dxa"/>
              <w:right w:w="100" w:type="dxa"/>
            </w:tcMar>
          </w:tcPr>
          <w:p w14:paraId="19E8B816"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0FEAD141"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3E6A5300" w14:textId="77777777" w:rsidR="00AD349B" w:rsidRDefault="00AD349B">
            <w:pPr>
              <w:widowControl w:val="0"/>
              <w:spacing w:line="240" w:lineRule="auto"/>
            </w:pPr>
          </w:p>
        </w:tc>
        <w:tc>
          <w:tcPr>
            <w:tcW w:w="1200" w:type="dxa"/>
            <w:shd w:val="clear" w:color="auto" w:fill="auto"/>
            <w:tcMar>
              <w:top w:w="100" w:type="dxa"/>
              <w:left w:w="100" w:type="dxa"/>
              <w:bottom w:w="100" w:type="dxa"/>
              <w:right w:w="100" w:type="dxa"/>
            </w:tcMar>
          </w:tcPr>
          <w:p w14:paraId="0FFEFD2C" w14:textId="77777777" w:rsidR="00AD349B" w:rsidRDefault="00000000">
            <w:pPr>
              <w:widowControl w:val="0"/>
              <w:spacing w:line="240" w:lineRule="auto"/>
              <w:jc w:val="center"/>
            </w:pPr>
            <w:sdt>
              <w:sdtPr>
                <w:tag w:val="goog_rdk_13"/>
                <w:id w:val="1721178136"/>
              </w:sdtPr>
              <w:sdtContent>
                <w:r>
                  <w:rPr>
                    <w:rFonts w:ascii="Arial Unicode MS" w:eastAsia="Arial Unicode MS" w:hAnsi="Arial Unicode MS" w:cs="Arial Unicode MS"/>
                  </w:rPr>
                  <w:t>✓</w:t>
                </w:r>
              </w:sdtContent>
            </w:sdt>
          </w:p>
        </w:tc>
        <w:tc>
          <w:tcPr>
            <w:tcW w:w="3060" w:type="dxa"/>
            <w:shd w:val="clear" w:color="auto" w:fill="auto"/>
            <w:tcMar>
              <w:top w:w="100" w:type="dxa"/>
              <w:left w:w="100" w:type="dxa"/>
              <w:bottom w:w="100" w:type="dxa"/>
              <w:right w:w="100" w:type="dxa"/>
            </w:tcMar>
          </w:tcPr>
          <w:p w14:paraId="4443301D" w14:textId="77777777" w:rsidR="00AD349B" w:rsidRDefault="00000000">
            <w:pPr>
              <w:widowControl w:val="0"/>
              <w:spacing w:line="240" w:lineRule="auto"/>
            </w:pPr>
            <w:r>
              <w:t xml:space="preserve">Prices range USD 40–64 depending on the experience type and booking date. </w:t>
            </w:r>
          </w:p>
        </w:tc>
      </w:tr>
      <w:tr w:rsidR="00AD349B" w14:paraId="1CBCF501" w14:textId="77777777">
        <w:tc>
          <w:tcPr>
            <w:tcW w:w="1560" w:type="dxa"/>
            <w:shd w:val="clear" w:color="auto" w:fill="auto"/>
            <w:tcMar>
              <w:top w:w="100" w:type="dxa"/>
              <w:left w:w="100" w:type="dxa"/>
              <w:bottom w:w="100" w:type="dxa"/>
              <w:right w:w="100" w:type="dxa"/>
            </w:tcMar>
          </w:tcPr>
          <w:p w14:paraId="0269DDDE" w14:textId="77777777" w:rsidR="00AD349B" w:rsidRDefault="00000000">
            <w:pPr>
              <w:widowControl w:val="0"/>
              <w:spacing w:line="240" w:lineRule="auto"/>
            </w:pPr>
            <w:r>
              <w:t>Sandbox VR</w:t>
            </w:r>
          </w:p>
        </w:tc>
        <w:tc>
          <w:tcPr>
            <w:tcW w:w="1725" w:type="dxa"/>
            <w:shd w:val="clear" w:color="auto" w:fill="auto"/>
            <w:tcMar>
              <w:top w:w="100" w:type="dxa"/>
              <w:left w:w="100" w:type="dxa"/>
              <w:bottom w:w="100" w:type="dxa"/>
              <w:right w:w="100" w:type="dxa"/>
            </w:tcMar>
          </w:tcPr>
          <w:p w14:paraId="32714625" w14:textId="77777777" w:rsidR="00AD349B" w:rsidRDefault="00000000">
            <w:pPr>
              <w:widowControl w:val="0"/>
              <w:spacing w:line="240" w:lineRule="auto"/>
            </w:pPr>
            <w:r>
              <w:t>Location-based AR/VR</w:t>
            </w:r>
          </w:p>
        </w:tc>
        <w:tc>
          <w:tcPr>
            <w:tcW w:w="1155" w:type="dxa"/>
            <w:shd w:val="clear" w:color="auto" w:fill="auto"/>
            <w:tcMar>
              <w:top w:w="100" w:type="dxa"/>
              <w:left w:w="100" w:type="dxa"/>
              <w:bottom w:w="100" w:type="dxa"/>
              <w:right w:w="100" w:type="dxa"/>
            </w:tcMar>
          </w:tcPr>
          <w:p w14:paraId="3E9CD1A2" w14:textId="77777777" w:rsidR="00AD349B" w:rsidRDefault="00AD349B">
            <w:pPr>
              <w:widowControl w:val="0"/>
              <w:spacing w:line="240" w:lineRule="auto"/>
              <w:jc w:val="center"/>
            </w:pPr>
          </w:p>
        </w:tc>
        <w:tc>
          <w:tcPr>
            <w:tcW w:w="1095" w:type="dxa"/>
            <w:shd w:val="clear" w:color="auto" w:fill="auto"/>
            <w:tcMar>
              <w:top w:w="100" w:type="dxa"/>
              <w:left w:w="100" w:type="dxa"/>
              <w:bottom w:w="100" w:type="dxa"/>
              <w:right w:w="100" w:type="dxa"/>
            </w:tcMar>
          </w:tcPr>
          <w:p w14:paraId="21231CAE" w14:textId="77777777" w:rsidR="00AD349B" w:rsidRDefault="00AD349B">
            <w:pPr>
              <w:widowControl w:val="0"/>
              <w:spacing w:line="240" w:lineRule="auto"/>
            </w:pPr>
          </w:p>
        </w:tc>
        <w:tc>
          <w:tcPr>
            <w:tcW w:w="1275" w:type="dxa"/>
            <w:shd w:val="clear" w:color="auto" w:fill="auto"/>
            <w:tcMar>
              <w:top w:w="100" w:type="dxa"/>
              <w:left w:w="100" w:type="dxa"/>
              <w:bottom w:w="100" w:type="dxa"/>
              <w:right w:w="100" w:type="dxa"/>
            </w:tcMar>
          </w:tcPr>
          <w:p w14:paraId="5B0FF71B" w14:textId="77777777" w:rsidR="00AD349B" w:rsidRDefault="00AD349B">
            <w:pPr>
              <w:widowControl w:val="0"/>
              <w:spacing w:line="240" w:lineRule="auto"/>
              <w:jc w:val="center"/>
            </w:pPr>
          </w:p>
        </w:tc>
        <w:tc>
          <w:tcPr>
            <w:tcW w:w="1200" w:type="dxa"/>
            <w:shd w:val="clear" w:color="auto" w:fill="auto"/>
            <w:tcMar>
              <w:top w:w="100" w:type="dxa"/>
              <w:left w:w="100" w:type="dxa"/>
              <w:bottom w:w="100" w:type="dxa"/>
              <w:right w:w="100" w:type="dxa"/>
            </w:tcMar>
          </w:tcPr>
          <w:p w14:paraId="0E87B3FC" w14:textId="77777777" w:rsidR="00AD349B" w:rsidRDefault="00000000">
            <w:pPr>
              <w:widowControl w:val="0"/>
              <w:spacing w:line="240" w:lineRule="auto"/>
              <w:jc w:val="center"/>
            </w:pPr>
            <w:sdt>
              <w:sdtPr>
                <w:tag w:val="goog_rdk_14"/>
                <w:id w:val="-1367678479"/>
              </w:sdtPr>
              <w:sdtContent>
                <w:r>
                  <w:rPr>
                    <w:rFonts w:ascii="Arial Unicode MS" w:eastAsia="Arial Unicode MS" w:hAnsi="Arial Unicode MS" w:cs="Arial Unicode MS"/>
                  </w:rPr>
                  <w:t>✓</w:t>
                </w:r>
              </w:sdtContent>
            </w:sdt>
          </w:p>
        </w:tc>
        <w:tc>
          <w:tcPr>
            <w:tcW w:w="3060" w:type="dxa"/>
            <w:shd w:val="clear" w:color="auto" w:fill="auto"/>
            <w:tcMar>
              <w:top w:w="100" w:type="dxa"/>
              <w:left w:w="100" w:type="dxa"/>
              <w:bottom w:w="100" w:type="dxa"/>
              <w:right w:w="100" w:type="dxa"/>
            </w:tcMar>
          </w:tcPr>
          <w:p w14:paraId="0710709D" w14:textId="77777777" w:rsidR="00AD349B" w:rsidRDefault="00000000">
            <w:pPr>
              <w:widowControl w:val="0"/>
              <w:spacing w:line="240" w:lineRule="auto"/>
            </w:pPr>
            <w:r>
              <w:t xml:space="preserve">Prices range USD 50–60 based on location. </w:t>
            </w:r>
          </w:p>
        </w:tc>
      </w:tr>
    </w:tbl>
    <w:p w14:paraId="180FE329" w14:textId="50EF5A26" w:rsidR="00AD349B" w:rsidRDefault="00000000">
      <w:r>
        <w:rPr>
          <w:sz w:val="17"/>
          <w:szCs w:val="17"/>
        </w:rPr>
        <w:t xml:space="preserve">Source: </w:t>
      </w:r>
      <w:r w:rsidR="001A6AAA">
        <w:rPr>
          <w:sz w:val="17"/>
          <w:szCs w:val="17"/>
        </w:rPr>
        <w:t>SPEEDA Edge research</w:t>
      </w:r>
    </w:p>
    <w:p w14:paraId="348A4D6C" w14:textId="77777777" w:rsidR="00AD349B" w:rsidRDefault="00000000">
      <w:pPr>
        <w:pStyle w:val="Heading2"/>
        <w:rPr>
          <w:sz w:val="34"/>
          <w:szCs w:val="34"/>
        </w:rPr>
      </w:pPr>
      <w:bookmarkStart w:id="5" w:name="_heading=h.d5zmmwc4stfm" w:colFirst="0" w:colLast="0"/>
      <w:bookmarkEnd w:id="5"/>
      <w:r>
        <w:rPr>
          <w:b/>
          <w:sz w:val="34"/>
          <w:szCs w:val="34"/>
        </w:rPr>
        <w:t>XR use cases beyond the gaming Industry</w:t>
      </w:r>
    </w:p>
    <w:p w14:paraId="38C9048C" w14:textId="77777777" w:rsidR="00AD349B" w:rsidRDefault="00000000">
      <w:pPr>
        <w:jc w:val="both"/>
      </w:pPr>
      <w:r>
        <w:t>According to Market.us (February 2024), gaming is the most prominent use case for XR, accounting for an estimated 45% of XR revenue. Incorporating XR in gaming allows players to interact in virtual worlds and adds to the realism of gaming genres. While this use case is already well established, the debate always has been when and in which areas XR will go mainstream. Additionally, eMarketer predicts that the number of users for the AR and VR market in the US is expected to reach 185.4 million by 2027.</w:t>
      </w:r>
    </w:p>
    <w:p w14:paraId="12C0404F" w14:textId="77777777" w:rsidR="00AD349B" w:rsidRDefault="00AD349B">
      <w:pPr>
        <w:jc w:val="both"/>
        <w:rPr>
          <w:color w:val="1D1C1D"/>
        </w:rPr>
      </w:pPr>
    </w:p>
    <w:p w14:paraId="746FDB2E" w14:textId="77777777" w:rsidR="00AD349B" w:rsidRDefault="00000000">
      <w:pPr>
        <w:jc w:val="both"/>
      </w:pPr>
      <w:r>
        <w:rPr>
          <w:color w:val="1D1C1D"/>
        </w:rPr>
        <w:t>While g</w:t>
      </w:r>
      <w:r>
        <w:t xml:space="preserve">aming has been a focal point for XR, the February 2024 debut of the Apple Vision Pro marked a shift toward a broader spectrum of XR applications such as immersive viewing experiences, productivity (meetings using Apple’s Persona avatars) and enterprise applications (3D visualization and surgical planning). In line with this, a survey by Amdocs (January 2024) revealed that while nearly half the consumers are interested in AR for gaming (49%), non-gaming-related applications (workouts, shopping, etc.) account for a sizable amount of interest as well.  </w:t>
      </w:r>
    </w:p>
    <w:p w14:paraId="023874AB" w14:textId="77777777" w:rsidR="00AD349B" w:rsidRDefault="00AD349B">
      <w:pPr>
        <w:jc w:val="both"/>
      </w:pPr>
    </w:p>
    <w:p w14:paraId="4AE06876" w14:textId="77777777" w:rsidR="00AD349B" w:rsidRDefault="00000000">
      <w:pPr>
        <w:jc w:val="both"/>
      </w:pPr>
      <w:r>
        <w:t xml:space="preserve">Further, a YouGov survey from January 2024 indicated that 48% of consumers see gaming as being enhanced by VR or spatial computing headsets, while 30% and 32% believe watching movies and learning about destinations before visiting, respectively, can also benefit from the tech. Future advancements in headset field of view, eye-tracking, and pass-through capabilities, are likely to continue to improve these perceptions. </w:t>
      </w:r>
    </w:p>
    <w:p w14:paraId="1E145462" w14:textId="77777777" w:rsidR="00AD349B" w:rsidRDefault="00AD349B">
      <w:pPr>
        <w:jc w:val="both"/>
      </w:pPr>
    </w:p>
    <w:p w14:paraId="0CF5F218" w14:textId="77777777" w:rsidR="00AD349B" w:rsidRDefault="00000000">
      <w:pPr>
        <w:jc w:val="both"/>
        <w:rPr>
          <w:rFonts w:ascii="Roboto" w:eastAsia="Roboto" w:hAnsi="Roboto" w:cs="Roboto"/>
        </w:rPr>
      </w:pPr>
      <w:r>
        <w:rPr>
          <w:rFonts w:ascii="Roboto" w:eastAsia="Roboto" w:hAnsi="Roboto" w:cs="Roboto"/>
          <w:noProof/>
        </w:rPr>
        <w:lastRenderedPageBreak/>
        <w:drawing>
          <wp:inline distT="114300" distB="114300" distL="114300" distR="114300" wp14:anchorId="6E92F795" wp14:editId="1730F82E">
            <wp:extent cx="2819064" cy="1914655"/>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819064" cy="1914655"/>
                    </a:xfrm>
                    <a:prstGeom prst="rect">
                      <a:avLst/>
                    </a:prstGeom>
                    <a:ln/>
                  </pic:spPr>
                </pic:pic>
              </a:graphicData>
            </a:graphic>
          </wp:inline>
        </w:drawing>
      </w:r>
      <w:r>
        <w:rPr>
          <w:rFonts w:ascii="Roboto" w:eastAsia="Roboto" w:hAnsi="Roboto" w:cs="Roboto"/>
          <w:noProof/>
        </w:rPr>
        <w:drawing>
          <wp:inline distT="114300" distB="114300" distL="114300" distR="114300" wp14:anchorId="4CADC9A9" wp14:editId="421E4724">
            <wp:extent cx="2829368" cy="191148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829368" cy="1911480"/>
                    </a:xfrm>
                    <a:prstGeom prst="rect">
                      <a:avLst/>
                    </a:prstGeom>
                    <a:ln/>
                  </pic:spPr>
                </pic:pic>
              </a:graphicData>
            </a:graphic>
          </wp:inline>
        </w:drawing>
      </w:r>
    </w:p>
    <w:p w14:paraId="525548ED" w14:textId="77777777" w:rsidR="00AD349B" w:rsidRDefault="00AD349B">
      <w:pPr>
        <w:jc w:val="both"/>
        <w:rPr>
          <w:rFonts w:ascii="Roboto" w:eastAsia="Roboto" w:hAnsi="Roboto" w:cs="Roboto"/>
        </w:rPr>
      </w:pPr>
    </w:p>
    <w:p w14:paraId="7DD06CCB" w14:textId="06DF190C" w:rsidR="00AD349B" w:rsidRPr="00056BA0" w:rsidRDefault="00000000">
      <w:pPr>
        <w:jc w:val="both"/>
      </w:pPr>
      <w:r>
        <w:t xml:space="preserve">The use of XR headsets is pivotal to the social experiences and human connection that the metaverse, which is a network of interconnected virtual spaces, promises. Pure-play social platforms (e.g., </w:t>
      </w:r>
      <w:hyperlink r:id="rId12">
        <w:r>
          <w:rPr>
            <w:color w:val="1155CC"/>
            <w:u w:val="single"/>
          </w:rPr>
          <w:t>Rec Room</w:t>
        </w:r>
      </w:hyperlink>
      <w:r>
        <w:t xml:space="preserve">, </w:t>
      </w:r>
      <w:hyperlink r:id="rId13">
        <w:proofErr w:type="spellStart"/>
        <w:r>
          <w:rPr>
            <w:color w:val="1155CC"/>
            <w:u w:val="single"/>
          </w:rPr>
          <w:t>VRChat</w:t>
        </w:r>
        <w:proofErr w:type="spellEnd"/>
      </w:hyperlink>
      <w:r>
        <w:t xml:space="preserve">) are a common testing ground for social connections in the metaverse; the use of XR is also present in the digital retail, remote work, factory assembly, therapy, </w:t>
      </w:r>
      <w:proofErr w:type="spellStart"/>
      <w:r>
        <w:t>defense</w:t>
      </w:r>
      <w:proofErr w:type="spellEnd"/>
      <w:r>
        <w:t>, and automotive sectors. We have identified common XR use cases (non-gaming) below, with training, product demos, and field assistance use cases being the most widely adopted across industries:</w:t>
      </w:r>
    </w:p>
    <w:p w14:paraId="3FEAAD45" w14:textId="77777777" w:rsidR="00AD349B" w:rsidRDefault="00AD349B"/>
    <w:p w14:paraId="2905FDEB" w14:textId="77777777" w:rsidR="00AD349B" w:rsidRDefault="00000000">
      <w:pPr>
        <w:numPr>
          <w:ilvl w:val="0"/>
          <w:numId w:val="7"/>
        </w:numPr>
        <w:jc w:val="both"/>
        <w:rPr>
          <w:rFonts w:ascii="Roboto" w:eastAsia="Roboto" w:hAnsi="Roboto" w:cs="Roboto"/>
          <w:b/>
        </w:rPr>
      </w:pPr>
      <w:r>
        <w:rPr>
          <w:b/>
        </w:rPr>
        <w:t xml:space="preserve">Field assistance and factory process training: </w:t>
      </w:r>
      <w:r>
        <w:t>Common use cases include real-time remote AR field service assistance to technicians (</w:t>
      </w:r>
      <w:proofErr w:type="spellStart"/>
      <w:r>
        <w:fldChar w:fldCharType="begin"/>
      </w:r>
      <w:r>
        <w:instrText>HYPERLINK "https://sp-edge.com/companies/405298" \h</w:instrText>
      </w:r>
      <w:r>
        <w:fldChar w:fldCharType="separate"/>
      </w:r>
      <w:r>
        <w:rPr>
          <w:color w:val="1155CC"/>
          <w:u w:val="single"/>
        </w:rPr>
        <w:t>TechSee</w:t>
      </w:r>
      <w:proofErr w:type="spellEnd"/>
      <w:r>
        <w:rPr>
          <w:color w:val="1155CC"/>
          <w:u w:val="single"/>
        </w:rPr>
        <w:fldChar w:fldCharType="end"/>
      </w:r>
      <w:r>
        <w:t>); AR solutions for assembly manufacturing, maintenance, and repairs (</w:t>
      </w:r>
      <w:hyperlink r:id="rId14">
        <w:r>
          <w:rPr>
            <w:color w:val="1155CC"/>
            <w:u w:val="single"/>
          </w:rPr>
          <w:t>New Forge</w:t>
        </w:r>
      </w:hyperlink>
      <w:r>
        <w:t>); and VR simulations for process and safety training solutions for industries including automotive, aerospace, manufacturing, and construction (</w:t>
      </w:r>
      <w:proofErr w:type="spellStart"/>
      <w:r>
        <w:fldChar w:fldCharType="begin"/>
      </w:r>
      <w:r>
        <w:instrText>HYPERLINK "https://sp-edge.com/companies/662653" \h</w:instrText>
      </w:r>
      <w:r>
        <w:fldChar w:fldCharType="separate"/>
      </w:r>
      <w:r>
        <w:rPr>
          <w:color w:val="1155CC"/>
          <w:u w:val="single"/>
        </w:rPr>
        <w:t>Transfr</w:t>
      </w:r>
      <w:proofErr w:type="spellEnd"/>
      <w:r>
        <w:rPr>
          <w:color w:val="1155CC"/>
          <w:u w:val="single"/>
        </w:rPr>
        <w:fldChar w:fldCharType="end"/>
      </w:r>
      <w:r>
        <w:t xml:space="preserve">). </w:t>
      </w:r>
    </w:p>
    <w:p w14:paraId="65EAEFA5" w14:textId="77777777" w:rsidR="00AD349B" w:rsidRDefault="00AD349B">
      <w:pPr>
        <w:ind w:left="720"/>
        <w:jc w:val="both"/>
        <w:rPr>
          <w:b/>
        </w:rPr>
      </w:pPr>
    </w:p>
    <w:p w14:paraId="00F86D87" w14:textId="77777777" w:rsidR="00AD349B" w:rsidRDefault="00000000">
      <w:pPr>
        <w:numPr>
          <w:ilvl w:val="0"/>
          <w:numId w:val="7"/>
        </w:numPr>
        <w:jc w:val="both"/>
        <w:rPr>
          <w:rFonts w:ascii="Roboto" w:eastAsia="Roboto" w:hAnsi="Roboto" w:cs="Roboto"/>
          <w:b/>
        </w:rPr>
      </w:pPr>
      <w:r>
        <w:rPr>
          <w:b/>
        </w:rPr>
        <w:t>Product demos, visualizations, and virtual fitting rooms:</w:t>
      </w:r>
      <w:r>
        <w:t xml:space="preserve"> </w:t>
      </w:r>
      <w:hyperlink r:id="rId15">
        <w:r>
          <w:rPr>
            <w:color w:val="1155CC"/>
            <w:u w:val="single"/>
          </w:rPr>
          <w:t>Lowe’s</w:t>
        </w:r>
      </w:hyperlink>
      <w:r>
        <w:t xml:space="preserve"> “Style Studio” mixed reality app allows users to visualize kitchen fittings, with companies such as </w:t>
      </w:r>
      <w:hyperlink r:id="rId16">
        <w:r>
          <w:rPr>
            <w:color w:val="1155CC"/>
            <w:u w:val="single"/>
          </w:rPr>
          <w:t>Zero10</w:t>
        </w:r>
      </w:hyperlink>
      <w:r>
        <w:t xml:space="preserve"> building AR mirrors for apparel retail to enhance ecommerce experiences. Additionally, XR environments created on </w:t>
      </w:r>
      <w:hyperlink r:id="rId17">
        <w:r>
          <w:rPr>
            <w:color w:val="1155CC"/>
            <w:u w:val="single"/>
          </w:rPr>
          <w:t>Unity</w:t>
        </w:r>
      </w:hyperlink>
      <w:r>
        <w:t xml:space="preserve"> can be used for pre-experiencing capital-intensive project outcomes, while companies such as </w:t>
      </w:r>
      <w:hyperlink r:id="rId18">
        <w:r>
          <w:rPr>
            <w:color w:val="1155CC"/>
            <w:u w:val="single"/>
          </w:rPr>
          <w:t>Matterport</w:t>
        </w:r>
      </w:hyperlink>
      <w:r>
        <w:t xml:space="preserve"> develop virtual home tours for real estate listings.</w:t>
      </w:r>
    </w:p>
    <w:p w14:paraId="558E8CB0" w14:textId="77777777" w:rsidR="00AD349B" w:rsidRDefault="00AD349B">
      <w:pPr>
        <w:jc w:val="both"/>
      </w:pPr>
    </w:p>
    <w:p w14:paraId="58B82211" w14:textId="77777777" w:rsidR="00AD349B" w:rsidRDefault="00000000">
      <w:pPr>
        <w:numPr>
          <w:ilvl w:val="0"/>
          <w:numId w:val="7"/>
        </w:numPr>
        <w:jc w:val="both"/>
        <w:rPr>
          <w:rFonts w:ascii="Roboto" w:eastAsia="Roboto" w:hAnsi="Roboto" w:cs="Roboto"/>
          <w:b/>
        </w:rPr>
      </w:pPr>
      <w:r>
        <w:rPr>
          <w:b/>
        </w:rPr>
        <w:t xml:space="preserve">Virtual therapy, medical training, surgical assistance, and health monitoring: </w:t>
      </w:r>
      <w:r>
        <w:t>This includes the use of XR technology to offer digital therapies for brain repair and neurorehabilitation (</w:t>
      </w:r>
      <w:proofErr w:type="spellStart"/>
      <w:r>
        <w:fldChar w:fldCharType="begin"/>
      </w:r>
      <w:r>
        <w:instrText>HYPERLINK "https://sp-edge.com/companies/274434" \h</w:instrText>
      </w:r>
      <w:r>
        <w:fldChar w:fldCharType="separate"/>
      </w:r>
      <w:r>
        <w:rPr>
          <w:color w:val="1155CC"/>
          <w:u w:val="single"/>
        </w:rPr>
        <w:t>MindMaze</w:t>
      </w:r>
      <w:proofErr w:type="spellEnd"/>
      <w:r>
        <w:rPr>
          <w:color w:val="1155CC"/>
          <w:u w:val="single"/>
        </w:rPr>
        <w:fldChar w:fldCharType="end"/>
      </w:r>
      <w:r>
        <w:t xml:space="preserve">), on-demand remote health monitoring solutions and therapy for </w:t>
      </w:r>
      <w:proofErr w:type="spellStart"/>
      <w:r>
        <w:t>behavioral</w:t>
      </w:r>
      <w:proofErr w:type="spellEnd"/>
      <w:r>
        <w:t xml:space="preserve"> health, memory and cognitive training (</w:t>
      </w:r>
      <w:proofErr w:type="spellStart"/>
      <w:r>
        <w:fldChar w:fldCharType="begin"/>
      </w:r>
      <w:r>
        <w:instrText>HYPERLINK "https://sp-edge.com/companies/512074" \h</w:instrText>
      </w:r>
      <w:r>
        <w:fldChar w:fldCharType="separate"/>
      </w:r>
      <w:r>
        <w:rPr>
          <w:color w:val="1155CC"/>
          <w:u w:val="single"/>
        </w:rPr>
        <w:t>XRHealth</w:t>
      </w:r>
      <w:proofErr w:type="spellEnd"/>
      <w:r>
        <w:rPr>
          <w:color w:val="1155CC"/>
          <w:u w:val="single"/>
        </w:rPr>
        <w:fldChar w:fldCharType="end"/>
      </w:r>
      <w:r>
        <w:t>), VR training for medical practitioners (</w:t>
      </w:r>
      <w:hyperlink r:id="rId19">
        <w:r>
          <w:rPr>
            <w:color w:val="1155CC"/>
            <w:u w:val="single"/>
          </w:rPr>
          <w:t>Osso VR</w:t>
        </w:r>
      </w:hyperlink>
      <w:r>
        <w:t xml:space="preserve">), AR-based surgical guidance in operating </w:t>
      </w:r>
      <w:proofErr w:type="spellStart"/>
      <w:r>
        <w:t>theaters</w:t>
      </w:r>
      <w:proofErr w:type="spellEnd"/>
      <w:r>
        <w:t xml:space="preserve"> (</w:t>
      </w:r>
      <w:proofErr w:type="spellStart"/>
      <w:r>
        <w:fldChar w:fldCharType="begin"/>
      </w:r>
      <w:r>
        <w:instrText>HYPERLINK "https://sp-edge.com/companies/412275" \h</w:instrText>
      </w:r>
      <w:r>
        <w:fldChar w:fldCharType="separate"/>
      </w:r>
      <w:r>
        <w:rPr>
          <w:color w:val="1155CC"/>
          <w:u w:val="single"/>
        </w:rPr>
        <w:t>Augmedics</w:t>
      </w:r>
      <w:proofErr w:type="spellEnd"/>
      <w:r>
        <w:rPr>
          <w:color w:val="1155CC"/>
          <w:u w:val="single"/>
        </w:rPr>
        <w:fldChar w:fldCharType="end"/>
      </w:r>
      <w:r>
        <w:t>), and combating social isolation of seniors through virtual tours of significant landmarks from the past (</w:t>
      </w:r>
      <w:proofErr w:type="spellStart"/>
      <w:r>
        <w:fldChar w:fldCharType="begin"/>
      </w:r>
      <w:r>
        <w:instrText>HYPERLINK "https://sp-edge.com/companies/461650" \h</w:instrText>
      </w:r>
      <w:r>
        <w:fldChar w:fldCharType="separate"/>
      </w:r>
      <w:r>
        <w:rPr>
          <w:color w:val="1155CC"/>
          <w:u w:val="single"/>
        </w:rPr>
        <w:t>Rendever</w:t>
      </w:r>
      <w:proofErr w:type="spellEnd"/>
      <w:r>
        <w:rPr>
          <w:color w:val="1155CC"/>
          <w:u w:val="single"/>
        </w:rPr>
        <w:fldChar w:fldCharType="end"/>
      </w:r>
      <w:r>
        <w:t>).</w:t>
      </w:r>
    </w:p>
    <w:p w14:paraId="2AFFBB39" w14:textId="77777777" w:rsidR="00AD349B" w:rsidRDefault="00AD349B">
      <w:pPr>
        <w:jc w:val="both"/>
      </w:pPr>
    </w:p>
    <w:p w14:paraId="2FBE3367" w14:textId="77777777" w:rsidR="00AD349B" w:rsidRDefault="00000000">
      <w:pPr>
        <w:numPr>
          <w:ilvl w:val="0"/>
          <w:numId w:val="7"/>
        </w:numPr>
        <w:jc w:val="both"/>
        <w:rPr>
          <w:rFonts w:ascii="Roboto" w:eastAsia="Roboto" w:hAnsi="Roboto" w:cs="Roboto"/>
        </w:rPr>
      </w:pPr>
      <w:r>
        <w:rPr>
          <w:b/>
        </w:rPr>
        <w:t>Facilitating remote work:</w:t>
      </w:r>
      <w:r>
        <w:t xml:space="preserve"> Meta’s VR remote work platform, Horizon Workrooms, emulates the office environment using spatial audio and 3D-animated spaces. Similarly, Microsoft Mesh, a platform accessible through Microsoft Teams, enables users to meet virtually in 3D spaces by appearing on screen as avatars or animated characters. </w:t>
      </w:r>
    </w:p>
    <w:p w14:paraId="2EC6CB03" w14:textId="77777777" w:rsidR="00AD349B" w:rsidRDefault="00AD349B"/>
    <w:p w14:paraId="1B670EB4" w14:textId="77777777" w:rsidR="00AD349B" w:rsidRDefault="00000000">
      <w:pPr>
        <w:numPr>
          <w:ilvl w:val="0"/>
          <w:numId w:val="7"/>
        </w:numPr>
        <w:jc w:val="both"/>
        <w:rPr>
          <w:rFonts w:ascii="Roboto" w:eastAsia="Roboto" w:hAnsi="Roboto" w:cs="Roboto"/>
          <w:b/>
        </w:rPr>
      </w:pPr>
      <w:r>
        <w:rPr>
          <w:b/>
        </w:rPr>
        <w:lastRenderedPageBreak/>
        <w:t>Interactive educational experiences and training:</w:t>
      </w:r>
      <w:r>
        <w:t xml:space="preserve"> In the education sector, XR can facilitate interactive educational experiences and training. XR content developed using 3D images can explain abstract concepts through visual learning, especially for Science, Technology, Engineering, and Mathematics (STEM) courses. Specific examples include adding AR content to textbooks (</w:t>
      </w:r>
      <w:proofErr w:type="spellStart"/>
      <w:r>
        <w:fldChar w:fldCharType="begin"/>
      </w:r>
      <w:r>
        <w:instrText>HYPERLINK "https://sp-edge.com/companies/927604" \h</w:instrText>
      </w:r>
      <w:r>
        <w:fldChar w:fldCharType="separate"/>
      </w:r>
      <w:r>
        <w:rPr>
          <w:color w:val="1155CC"/>
          <w:u w:val="single"/>
        </w:rPr>
        <w:t>Ludenso</w:t>
      </w:r>
      <w:proofErr w:type="spellEnd"/>
      <w:r>
        <w:rPr>
          <w:color w:val="1155CC"/>
          <w:u w:val="single"/>
        </w:rPr>
        <w:t>)</w:t>
      </w:r>
      <w:r>
        <w:rPr>
          <w:color w:val="1155CC"/>
          <w:u w:val="single"/>
        </w:rPr>
        <w:fldChar w:fldCharType="end"/>
      </w:r>
      <w:r>
        <w:t>, VR environments such as virtual biology labs (</w:t>
      </w:r>
      <w:hyperlink r:id="rId20">
        <w:r>
          <w:rPr>
            <w:color w:val="1155CC"/>
            <w:u w:val="single"/>
          </w:rPr>
          <w:t>Dreamscape Learn)</w:t>
        </w:r>
      </w:hyperlink>
      <w:r>
        <w:t xml:space="preserve"> and gamified VR learning scenarios (</w:t>
      </w:r>
      <w:hyperlink r:id="rId21">
        <w:r>
          <w:rPr>
            <w:color w:val="1155CC"/>
            <w:u w:val="single"/>
          </w:rPr>
          <w:t>Prisms VR</w:t>
        </w:r>
      </w:hyperlink>
      <w:r>
        <w:t>).</w:t>
      </w:r>
    </w:p>
    <w:p w14:paraId="5BABD659" w14:textId="77777777" w:rsidR="00AD349B" w:rsidRDefault="00AD349B">
      <w:pPr>
        <w:ind w:left="720"/>
        <w:jc w:val="both"/>
      </w:pPr>
    </w:p>
    <w:p w14:paraId="6A4AEEB1" w14:textId="77777777" w:rsidR="00AD349B" w:rsidRDefault="00000000">
      <w:pPr>
        <w:numPr>
          <w:ilvl w:val="0"/>
          <w:numId w:val="6"/>
        </w:numPr>
        <w:jc w:val="both"/>
        <w:rPr>
          <w:rFonts w:ascii="Roboto" w:eastAsia="Roboto" w:hAnsi="Roboto" w:cs="Roboto"/>
          <w:b/>
        </w:rPr>
      </w:pPr>
      <w:r>
        <w:rPr>
          <w:b/>
        </w:rPr>
        <w:t xml:space="preserve">Military operations and training: </w:t>
      </w:r>
      <w:r>
        <w:t xml:space="preserve">Microsoft's HoloLens Integrated Visual Augmentation System (IVAS) is designed for US military use and includes features like position identification, virtual terrain mapping, thermal imaging for low-light conditions, microdrone management, and health monitoring via biometric trackers.  Additionally, </w:t>
      </w:r>
      <w:hyperlink r:id="rId22">
        <w:proofErr w:type="spellStart"/>
        <w:r>
          <w:rPr>
            <w:color w:val="1155CC"/>
            <w:u w:val="single"/>
          </w:rPr>
          <w:t>SimX</w:t>
        </w:r>
        <w:proofErr w:type="spellEnd"/>
      </w:hyperlink>
      <w:r>
        <w:t xml:space="preserve"> offers VR modules for military medical training, while </w:t>
      </w:r>
      <w:hyperlink r:id="rId23">
        <w:proofErr w:type="spellStart"/>
        <w:r>
          <w:rPr>
            <w:color w:val="1155CC"/>
            <w:u w:val="single"/>
          </w:rPr>
          <w:t>VRgineers</w:t>
        </w:r>
        <w:proofErr w:type="spellEnd"/>
      </w:hyperlink>
      <w:r>
        <w:t xml:space="preserve"> and</w:t>
      </w:r>
      <w:hyperlink r:id="rId24">
        <w:r>
          <w:rPr>
            <w:color w:val="1155CC"/>
            <w:u w:val="single"/>
          </w:rPr>
          <w:t xml:space="preserve"> Red 6</w:t>
        </w:r>
      </w:hyperlink>
      <w:r>
        <w:t xml:space="preserve"> offer XR systems for military pilot training. </w:t>
      </w:r>
    </w:p>
    <w:p w14:paraId="57B3FEC0" w14:textId="77777777" w:rsidR="00AD349B" w:rsidRDefault="00AD349B">
      <w:pPr>
        <w:ind w:left="720"/>
        <w:jc w:val="both"/>
      </w:pPr>
    </w:p>
    <w:p w14:paraId="691073E0" w14:textId="0377EEF9" w:rsidR="00AD349B" w:rsidRPr="00922ECA" w:rsidRDefault="00000000" w:rsidP="00922ECA">
      <w:pPr>
        <w:numPr>
          <w:ilvl w:val="0"/>
          <w:numId w:val="7"/>
        </w:numPr>
        <w:jc w:val="both"/>
        <w:rPr>
          <w:rFonts w:ascii="Roboto" w:eastAsia="Roboto" w:hAnsi="Roboto" w:cs="Roboto"/>
        </w:rPr>
      </w:pPr>
      <w:r>
        <w:rPr>
          <w:b/>
        </w:rPr>
        <w:t xml:space="preserve">Driver experience and vehicle safety: </w:t>
      </w:r>
      <w:hyperlink r:id="rId25">
        <w:proofErr w:type="spellStart"/>
        <w:r>
          <w:rPr>
            <w:color w:val="1155CC"/>
            <w:u w:val="single"/>
          </w:rPr>
          <w:t>WayRay</w:t>
        </w:r>
        <w:proofErr w:type="spellEnd"/>
      </w:hyperlink>
      <w:r>
        <w:t xml:space="preserve"> and </w:t>
      </w:r>
      <w:hyperlink r:id="rId26">
        <w:proofErr w:type="spellStart"/>
        <w:r>
          <w:rPr>
            <w:color w:val="1155CC"/>
            <w:u w:val="single"/>
          </w:rPr>
          <w:t>Envisics</w:t>
        </w:r>
        <w:proofErr w:type="spellEnd"/>
      </w:hyperlink>
      <w:r>
        <w:t xml:space="preserve"> offer AR heads-up displays (HUDs) that overlay real-time information on dashboards to drivers with features such as mapping, navigation guidance, and hazard warnings, without blocking the driver’s field of view.</w:t>
      </w:r>
      <w:r>
        <w:rPr>
          <w:rFonts w:ascii="Roboto" w:eastAsia="Roboto" w:hAnsi="Roboto" w:cs="Roboto"/>
        </w:rPr>
        <w:t xml:space="preserve"> </w:t>
      </w:r>
    </w:p>
    <w:p w14:paraId="373A5834" w14:textId="77777777" w:rsidR="00AD349B" w:rsidRDefault="00000000">
      <w:pPr>
        <w:pStyle w:val="Heading1"/>
        <w:rPr>
          <w:sz w:val="46"/>
          <w:szCs w:val="46"/>
        </w:rPr>
      </w:pPr>
      <w:bookmarkStart w:id="6" w:name="_heading=h.8s4qaa2bkgtd" w:colFirst="0" w:colLast="0"/>
      <w:bookmarkEnd w:id="6"/>
      <w:r>
        <w:rPr>
          <w:b/>
          <w:sz w:val="46"/>
          <w:szCs w:val="46"/>
        </w:rPr>
        <w:t>Driving factors</w:t>
      </w:r>
    </w:p>
    <w:p w14:paraId="54569815" w14:textId="77777777" w:rsidR="00AD349B" w:rsidRDefault="00000000">
      <w:pPr>
        <w:pStyle w:val="Heading2"/>
        <w:rPr>
          <w:b/>
          <w:sz w:val="34"/>
          <w:szCs w:val="34"/>
        </w:rPr>
      </w:pPr>
      <w:bookmarkStart w:id="7" w:name="_heading=h.8wcd3foz412y" w:colFirst="0" w:colLast="0"/>
      <w:bookmarkEnd w:id="7"/>
      <w:r>
        <w:rPr>
          <w:b/>
        </w:rPr>
        <w:t>1</w:t>
      </w:r>
      <w:r>
        <w:rPr>
          <w:b/>
          <w:sz w:val="34"/>
          <w:szCs w:val="34"/>
        </w:rPr>
        <w:t>. Retail ecommerce boom</w:t>
      </w:r>
    </w:p>
    <w:p w14:paraId="19154BA0" w14:textId="77777777" w:rsidR="00AD349B" w:rsidRDefault="00000000">
      <w:pPr>
        <w:jc w:val="both"/>
      </w:pPr>
      <w:r>
        <w:t xml:space="preserve">As consumers shifted away from brick-and-mortar retail shopping post-pandemic, total US ecommerce sales hit an all-time high in 2023, reaching USD 1.1 trillion. Moreover, the share of retail ecommerce is expected to grow to 20.6% of total retail sales by 2027 from 15.6% in 2022. The use of XR has continued to grow since the pandemic-induced retail ecommerce boom, as it offers new ways to engage customers and cater to their general tendency toward the “try-before-you-buy” concept. The product’s fit and appearance tend to feature high among reasons for returns. The use of XR can solve multiple retailer pain points arising from this—the risk of low conversion rates and higher returns—by increasing consumer confidence. This was evidenced by Snap’s June 2022 survey, which reported that two out of three shoppers are less likely to return a product after using AR. </w:t>
      </w:r>
    </w:p>
    <w:p w14:paraId="6103057A" w14:textId="77777777" w:rsidR="00AD349B" w:rsidRDefault="00AD349B">
      <w:pPr>
        <w:jc w:val="both"/>
      </w:pPr>
    </w:p>
    <w:p w14:paraId="4BF5F6AE" w14:textId="77777777" w:rsidR="00AD349B" w:rsidRDefault="00000000">
      <w:pPr>
        <w:jc w:val="both"/>
      </w:pPr>
      <w:r>
        <w:t xml:space="preserve">Further, a consumer survey published by Klarna in May 2023 revealed that 74% of Gen Z and Millennial consumers expect AR to enhance their in-store shopping experiences, with most fashion shoppers opting for non-physical clothing try-ons (48% want to use virtual dressing rooms; 28% want to use AR). In line with this, the virtual fitting room market is expected to grow at a CAGR of 25.2% to USD 4.3 billion by 2028, which bodes well for the XR market. </w:t>
      </w:r>
    </w:p>
    <w:p w14:paraId="3605577D" w14:textId="77777777" w:rsidR="00AD349B" w:rsidRDefault="00000000">
      <w:pPr>
        <w:pStyle w:val="Heading3"/>
        <w:rPr>
          <w:b/>
          <w:color w:val="000000"/>
          <w:sz w:val="26"/>
          <w:szCs w:val="26"/>
        </w:rPr>
      </w:pPr>
      <w:bookmarkStart w:id="8" w:name="_heading=h.c5a925kfg6aq" w:colFirst="0" w:colLast="0"/>
      <w:bookmarkEnd w:id="8"/>
      <w:r>
        <w:rPr>
          <w:b/>
          <w:color w:val="000000"/>
          <w:sz w:val="26"/>
          <w:szCs w:val="26"/>
        </w:rPr>
        <w:lastRenderedPageBreak/>
        <w:t>Ecommerce sales are expected to account for an increasing share of US retail sales</w:t>
      </w:r>
    </w:p>
    <w:p w14:paraId="05FA2DEE" w14:textId="77777777" w:rsidR="00AD349B" w:rsidRDefault="00000000">
      <w:pPr>
        <w:widowControl w:val="0"/>
        <w:spacing w:line="240" w:lineRule="auto"/>
      </w:pPr>
      <w:r>
        <w:rPr>
          <w:rFonts w:ascii="Roboto" w:eastAsia="Roboto" w:hAnsi="Roboto" w:cs="Roboto"/>
          <w:noProof/>
        </w:rPr>
        <w:drawing>
          <wp:inline distT="114300" distB="114300" distL="114300" distR="114300" wp14:anchorId="1E9BF564" wp14:editId="6021B17A">
            <wp:extent cx="2724150" cy="1841500"/>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t="105" b="105"/>
                    <a:stretch>
                      <a:fillRect/>
                    </a:stretch>
                  </pic:blipFill>
                  <pic:spPr>
                    <a:xfrm>
                      <a:off x="0" y="0"/>
                      <a:ext cx="2724150" cy="1841500"/>
                    </a:xfrm>
                    <a:prstGeom prst="rect">
                      <a:avLst/>
                    </a:prstGeom>
                    <a:ln/>
                  </pic:spPr>
                </pic:pic>
              </a:graphicData>
            </a:graphic>
          </wp:inline>
        </w:drawing>
      </w:r>
      <w:r>
        <w:rPr>
          <w:rFonts w:ascii="Roboto" w:eastAsia="Roboto" w:hAnsi="Roboto" w:cs="Roboto"/>
          <w:noProof/>
        </w:rPr>
        <w:drawing>
          <wp:inline distT="114300" distB="114300" distL="114300" distR="114300" wp14:anchorId="07A27F59" wp14:editId="7FFC2DA1">
            <wp:extent cx="2724150" cy="1714500"/>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2724150" cy="1714500"/>
                    </a:xfrm>
                    <a:prstGeom prst="rect">
                      <a:avLst/>
                    </a:prstGeom>
                    <a:ln/>
                  </pic:spPr>
                </pic:pic>
              </a:graphicData>
            </a:graphic>
          </wp:inline>
        </w:drawing>
      </w:r>
    </w:p>
    <w:p w14:paraId="69C0BCEE" w14:textId="77777777" w:rsidR="00AD349B" w:rsidRDefault="00000000">
      <w:pPr>
        <w:pStyle w:val="Heading2"/>
        <w:jc w:val="both"/>
        <w:rPr>
          <w:b/>
          <w:sz w:val="36"/>
          <w:szCs w:val="36"/>
        </w:rPr>
      </w:pPr>
      <w:bookmarkStart w:id="9" w:name="_heading=h.n0h8ts3ga7s0" w:colFirst="0" w:colLast="0"/>
      <w:bookmarkEnd w:id="9"/>
      <w:r>
        <w:rPr>
          <w:b/>
          <w:sz w:val="34"/>
          <w:szCs w:val="34"/>
        </w:rPr>
        <w:t xml:space="preserve">2. Growth in streaming services and remote work arrangements </w:t>
      </w:r>
    </w:p>
    <w:p w14:paraId="221CDC84" w14:textId="77777777" w:rsidR="00AD349B" w:rsidRDefault="00000000">
      <w:pPr>
        <w:jc w:val="both"/>
      </w:pPr>
      <w:r>
        <w:t xml:space="preserve">The growth in streaming services in the US, alongside an increasing preference toward remote work post-Covid-19, has allowed XR to emerge as a sector to facilitate and enhance such use cases. Specifically, data from Nielsen showed that streaming accounted for the highest percentage (38.4%) of total TV usage (April 2024), beating out cable TV (29.1%). The trend complements the launch of the Meta Quest 3 and Apple Vision Pro, which offer high-fidelity immersive viewing experiences on a large virtual canvas. In addition, the use of spatial audio, which allows for a 3D listening experience, has helped the headsets recreate a cinema-like experience.  </w:t>
      </w:r>
    </w:p>
    <w:p w14:paraId="48447690" w14:textId="77777777" w:rsidR="00AD349B" w:rsidRDefault="00AD349B"/>
    <w:p w14:paraId="05855E83" w14:textId="77777777" w:rsidR="00AD349B" w:rsidRDefault="00000000">
      <w:pPr>
        <w:jc w:val="both"/>
      </w:pPr>
      <w:r>
        <w:rPr>
          <w:rFonts w:ascii="Roboto" w:eastAsia="Roboto" w:hAnsi="Roboto" w:cs="Roboto"/>
          <w:noProof/>
        </w:rPr>
        <w:drawing>
          <wp:inline distT="114300" distB="114300" distL="114300" distR="114300" wp14:anchorId="086F7174" wp14:editId="36601B46">
            <wp:extent cx="5731200" cy="3289300"/>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5731200" cy="3289300"/>
                    </a:xfrm>
                    <a:prstGeom prst="rect">
                      <a:avLst/>
                    </a:prstGeom>
                    <a:ln/>
                  </pic:spPr>
                </pic:pic>
              </a:graphicData>
            </a:graphic>
          </wp:inline>
        </w:drawing>
      </w:r>
    </w:p>
    <w:p w14:paraId="68878627" w14:textId="77777777" w:rsidR="00AD349B" w:rsidRDefault="00AD349B"/>
    <w:p w14:paraId="323279B5" w14:textId="77777777" w:rsidR="00AD349B" w:rsidRDefault="00AD349B"/>
    <w:p w14:paraId="5573F20A" w14:textId="77777777" w:rsidR="00AD349B" w:rsidRDefault="00000000">
      <w:pPr>
        <w:jc w:val="both"/>
      </w:pPr>
      <w:r>
        <w:lastRenderedPageBreak/>
        <w:t>Concurrently, the pandemic has accelerated the shift toward hybrid work arrangements, with 40% of US employees working remotely at least one day a week (July 2023). Further, data from Upwork estimated that ~22% of the workforce (32.6 million Americans) would be working remotely by 2025. The availability of remote work software on mixed reality headsets capable of displaying ultra-wide virtual screens streamlines this process.</w:t>
      </w:r>
    </w:p>
    <w:p w14:paraId="5C1948F1" w14:textId="77777777" w:rsidR="00AD349B" w:rsidRDefault="00000000">
      <w:pPr>
        <w:pStyle w:val="Heading2"/>
        <w:jc w:val="both"/>
        <w:rPr>
          <w:rFonts w:ascii="Roboto" w:eastAsia="Roboto" w:hAnsi="Roboto" w:cs="Roboto"/>
          <w:sz w:val="34"/>
          <w:szCs w:val="34"/>
        </w:rPr>
      </w:pPr>
      <w:bookmarkStart w:id="10" w:name="_heading=h.ye1autyllndo" w:colFirst="0" w:colLast="0"/>
      <w:bookmarkEnd w:id="10"/>
      <w:r>
        <w:rPr>
          <w:b/>
          <w:sz w:val="34"/>
          <w:szCs w:val="34"/>
        </w:rPr>
        <w:t>3. Inclusion of social aspects in gaming that appeal to Millennial and Gen Z gamers further supports XR</w:t>
      </w:r>
    </w:p>
    <w:p w14:paraId="51102130" w14:textId="77777777" w:rsidR="00AD349B" w:rsidRDefault="00000000">
      <w:pPr>
        <w:jc w:val="both"/>
      </w:pPr>
      <w:r>
        <w:t xml:space="preserve">The development of new forms of social gaming, such as ones consisting of vast open worlds, is also likely to further support the XR industry. XR brings real-time interaction and engaging content to game development that could appeal to Millennial and Gen Z demographics, given that individuals aged 18–34 and 35–44 account for 36% and 13% of dedicated gamers in the US, respectively (2022). The latest available data (as of October 2022) on the core gamer base of </w:t>
      </w:r>
      <w:proofErr w:type="spellStart"/>
      <w:r>
        <w:t>Pokemon</w:t>
      </w:r>
      <w:proofErr w:type="spellEnd"/>
      <w:r>
        <w:t xml:space="preserve"> Go, an AR mobile game developed by Niantic, also indicated that users in these demographic groups dominated. Therefore, it is </w:t>
      </w:r>
      <w:proofErr w:type="spellStart"/>
      <w:r>
        <w:t>favorable</w:t>
      </w:r>
      <w:proofErr w:type="spellEnd"/>
      <w:r>
        <w:t xml:space="preserve"> that Millennials and Gen Z will continue to account for a significant portion of the (38%) of the US population by 2030. </w:t>
      </w:r>
    </w:p>
    <w:p w14:paraId="72D60DE5" w14:textId="77777777" w:rsidR="00AD349B" w:rsidRDefault="00AD349B">
      <w:pPr>
        <w:jc w:val="both"/>
      </w:pPr>
    </w:p>
    <w:p w14:paraId="18DFF3C5" w14:textId="77777777" w:rsidR="00AD349B" w:rsidRDefault="00000000">
      <w:pPr>
        <w:jc w:val="both"/>
      </w:pPr>
      <w:r>
        <w:rPr>
          <w:rFonts w:ascii="Roboto" w:eastAsia="Roboto" w:hAnsi="Roboto" w:cs="Roboto"/>
          <w:noProof/>
        </w:rPr>
        <w:drawing>
          <wp:inline distT="114300" distB="114300" distL="114300" distR="114300" wp14:anchorId="200325BF" wp14:editId="33CBD7A5">
            <wp:extent cx="5731200" cy="4267200"/>
            <wp:effectExtent l="0" t="0" r="0"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5731200" cy="4267200"/>
                    </a:xfrm>
                    <a:prstGeom prst="rect">
                      <a:avLst/>
                    </a:prstGeom>
                    <a:ln/>
                  </pic:spPr>
                </pic:pic>
              </a:graphicData>
            </a:graphic>
          </wp:inline>
        </w:drawing>
      </w:r>
    </w:p>
    <w:p w14:paraId="62977D7E" w14:textId="77777777" w:rsidR="00AD349B" w:rsidRDefault="00AD349B"/>
    <w:p w14:paraId="68B63C10" w14:textId="77777777" w:rsidR="00AD349B" w:rsidRDefault="00000000">
      <w:pPr>
        <w:rPr>
          <w:sz w:val="24"/>
          <w:szCs w:val="24"/>
        </w:rPr>
      </w:pPr>
      <w:r>
        <w:rPr>
          <w:b/>
          <w:sz w:val="34"/>
          <w:szCs w:val="34"/>
        </w:rPr>
        <w:t xml:space="preserve">4. Increasing adoption of </w:t>
      </w:r>
      <w:proofErr w:type="spellStart"/>
      <w:r>
        <w:rPr>
          <w:b/>
          <w:sz w:val="34"/>
          <w:szCs w:val="34"/>
        </w:rPr>
        <w:t>OpenXR</w:t>
      </w:r>
      <w:proofErr w:type="spellEnd"/>
      <w:r>
        <w:rPr>
          <w:b/>
          <w:sz w:val="34"/>
          <w:szCs w:val="34"/>
        </w:rPr>
        <w:t xml:space="preserve"> and the growth of generative AI tools</w:t>
      </w:r>
    </w:p>
    <w:p w14:paraId="322B243B" w14:textId="77777777" w:rsidR="00AD349B" w:rsidRDefault="00AD349B"/>
    <w:p w14:paraId="3C19ACEC" w14:textId="77777777" w:rsidR="00AD349B" w:rsidRDefault="00000000">
      <w:r>
        <w:lastRenderedPageBreak/>
        <w:t xml:space="preserve">The increasing adoption of the </w:t>
      </w:r>
      <w:proofErr w:type="spellStart"/>
      <w:r>
        <w:t>OpenXR</w:t>
      </w:r>
      <w:proofErr w:type="spellEnd"/>
      <w:r>
        <w:t xml:space="preserve"> standard (a protocol that aims to standardize the development of VR and AR applications) by key players in the XR market has allowed content developed to be democratized across multiple VR headsets, without requiring specialized code for each device. XR devices compatible with the standard include those by Meta and Microsoft (July 2020), HTC (November 2020), Pico Interactive (February 2023), and Magic Leap (April 2023).</w:t>
      </w:r>
    </w:p>
    <w:p w14:paraId="400BAA22" w14:textId="77777777" w:rsidR="00AD349B" w:rsidRDefault="00AD349B"/>
    <w:p w14:paraId="1A8AB05F" w14:textId="77777777" w:rsidR="00AD349B" w:rsidRDefault="00000000">
      <w:r>
        <w:t xml:space="preserve">Additionally, the growth of </w:t>
      </w:r>
      <w:hyperlink r:id="rId31">
        <w:r>
          <w:rPr>
            <w:color w:val="1155CC"/>
            <w:u w:val="single"/>
          </w:rPr>
          <w:t>generative AI (</w:t>
        </w:r>
        <w:proofErr w:type="spellStart"/>
        <w:r>
          <w:rPr>
            <w:color w:val="1155CC"/>
            <w:u w:val="single"/>
          </w:rPr>
          <w:t>GenAI</w:t>
        </w:r>
        <w:proofErr w:type="spellEnd"/>
        <w:r>
          <w:rPr>
            <w:color w:val="1155CC"/>
            <w:u w:val="single"/>
          </w:rPr>
          <w:t>)</w:t>
        </w:r>
      </w:hyperlink>
      <w:r>
        <w:t xml:space="preserve"> has led to improvements in the ease of content creation for XR purposes. Notable </w:t>
      </w:r>
      <w:proofErr w:type="spellStart"/>
      <w:r>
        <w:t>GenAI</w:t>
      </w:r>
      <w:proofErr w:type="spellEnd"/>
      <w:r>
        <w:t xml:space="preserve">-focused </w:t>
      </w:r>
      <w:proofErr w:type="spellStart"/>
      <w:r>
        <w:t>startups</w:t>
      </w:r>
      <w:proofErr w:type="spellEnd"/>
      <w:r>
        <w:t xml:space="preserve"> with applications in the XR space include Inworld AI (AI-powered non-player character [NPC] interactions), Atlas, and </w:t>
      </w:r>
      <w:proofErr w:type="spellStart"/>
      <w:r>
        <w:t>Zibra</w:t>
      </w:r>
      <w:proofErr w:type="spellEnd"/>
      <w:r>
        <w:t xml:space="preserve"> AI (AI-powered in-game asset creation). Given its potential, more </w:t>
      </w:r>
      <w:proofErr w:type="spellStart"/>
      <w:r>
        <w:t>GenAI</w:t>
      </w:r>
      <w:proofErr w:type="spellEnd"/>
      <w:r>
        <w:t xml:space="preserve"> </w:t>
      </w:r>
      <w:proofErr w:type="spellStart"/>
      <w:r>
        <w:t>startups</w:t>
      </w:r>
      <w:proofErr w:type="spellEnd"/>
      <w:r>
        <w:t xml:space="preserve"> are likely to proliferate the sector, especially as </w:t>
      </w:r>
      <w:proofErr w:type="spellStart"/>
      <w:r>
        <w:t>GenAI’s</w:t>
      </w:r>
      <w:proofErr w:type="spellEnd"/>
      <w:r>
        <w:t xml:space="preserve"> incremental revenue for the gaming market is forecasted to grow at a CAGR of 23% until 2032, driven by developments in level generation, creation of NPCs, and the enhancement of in-game graphics.</w:t>
      </w:r>
    </w:p>
    <w:p w14:paraId="559CF411" w14:textId="77777777" w:rsidR="00AD349B" w:rsidRDefault="00AD349B"/>
    <w:p w14:paraId="5FD80E37" w14:textId="10910A45" w:rsidR="00AD349B" w:rsidRDefault="00000000">
      <w:r>
        <w:t xml:space="preserve">Apart from </w:t>
      </w:r>
      <w:proofErr w:type="spellStart"/>
      <w:r>
        <w:t>GenAI</w:t>
      </w:r>
      <w:proofErr w:type="spellEnd"/>
      <w:r>
        <w:t xml:space="preserve">-focused </w:t>
      </w:r>
      <w:proofErr w:type="spellStart"/>
      <w:r>
        <w:t>startups</w:t>
      </w:r>
      <w:proofErr w:type="spellEnd"/>
      <w:r>
        <w:t xml:space="preserve">, existing players in the XR space have also started integrating </w:t>
      </w:r>
      <w:proofErr w:type="spellStart"/>
      <w:r>
        <w:t>GenAI</w:t>
      </w:r>
      <w:proofErr w:type="spellEnd"/>
      <w:r>
        <w:t xml:space="preserve"> capabilities into their products, with applications that streamline asset creation, improve in-game interactions, and improve field service assistance. </w:t>
      </w:r>
    </w:p>
    <w:p w14:paraId="4A07799A" w14:textId="2743B071" w:rsidR="00AD349B" w:rsidRPr="0056197D" w:rsidRDefault="00000000" w:rsidP="0056197D">
      <w:pPr>
        <w:pStyle w:val="Heading3"/>
        <w:jc w:val="both"/>
        <w:rPr>
          <w:b/>
          <w:color w:val="000000"/>
        </w:rPr>
      </w:pPr>
      <w:bookmarkStart w:id="11" w:name="_heading=h.4oe5ki9fil2" w:colFirst="0" w:colLast="0"/>
      <w:bookmarkEnd w:id="11"/>
      <w:r>
        <w:rPr>
          <w:b/>
          <w:color w:val="000000"/>
        </w:rPr>
        <w:t xml:space="preserve">Recent integrations of </w:t>
      </w:r>
      <w:proofErr w:type="spellStart"/>
      <w:r>
        <w:rPr>
          <w:b/>
          <w:color w:val="000000"/>
        </w:rPr>
        <w:t>GenAI</w:t>
      </w:r>
      <w:proofErr w:type="spellEnd"/>
      <w:r>
        <w:rPr>
          <w:b/>
          <w:color w:val="000000"/>
        </w:rPr>
        <w:t xml:space="preserve"> features into existing XR products </w:t>
      </w:r>
    </w:p>
    <w:p w14:paraId="1BD0F55E" w14:textId="77777777" w:rsidR="00AD349B" w:rsidRDefault="00AD349B"/>
    <w:sdt>
      <w:sdtPr>
        <w:tag w:val="goog_rdk_15"/>
        <w:id w:val="1484894654"/>
        <w:lock w:val="contentLocked"/>
      </w:sdtPr>
      <w:sdtContent>
        <w:tbl>
          <w:tblPr>
            <w:tblStyle w:val="aa"/>
            <w:tblW w:w="11280" w:type="dxa"/>
            <w:tblInd w:w="-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6"/>
            <w:gridCol w:w="1290"/>
            <w:gridCol w:w="1320"/>
            <w:gridCol w:w="1684"/>
            <w:gridCol w:w="4255"/>
            <w:gridCol w:w="1305"/>
          </w:tblGrid>
          <w:tr w:rsidR="00AD349B" w14:paraId="64BE53D2" w14:textId="77777777">
            <w:tc>
              <w:tcPr>
                <w:tcW w:w="1425" w:type="dxa"/>
                <w:shd w:val="clear" w:color="auto" w:fill="auto"/>
                <w:tcMar>
                  <w:top w:w="100" w:type="dxa"/>
                  <w:left w:w="100" w:type="dxa"/>
                  <w:bottom w:w="100" w:type="dxa"/>
                  <w:right w:w="100" w:type="dxa"/>
                </w:tcMar>
              </w:tcPr>
              <w:p w14:paraId="3A61EA9F" w14:textId="77777777" w:rsidR="00AD349B" w:rsidRDefault="00000000">
                <w:pPr>
                  <w:widowControl w:val="0"/>
                  <w:spacing w:line="240" w:lineRule="auto"/>
                  <w:rPr>
                    <w:b/>
                  </w:rPr>
                </w:pPr>
                <w:r>
                  <w:rPr>
                    <w:b/>
                  </w:rPr>
                  <w:t>Company</w:t>
                </w:r>
              </w:p>
            </w:tc>
            <w:tc>
              <w:tcPr>
                <w:tcW w:w="1290" w:type="dxa"/>
                <w:shd w:val="clear" w:color="auto" w:fill="auto"/>
                <w:tcMar>
                  <w:top w:w="100" w:type="dxa"/>
                  <w:left w:w="100" w:type="dxa"/>
                  <w:bottom w:w="100" w:type="dxa"/>
                  <w:right w:w="100" w:type="dxa"/>
                </w:tcMar>
              </w:tcPr>
              <w:p w14:paraId="59729693" w14:textId="77777777" w:rsidR="00AD349B" w:rsidRDefault="00000000">
                <w:pPr>
                  <w:widowControl w:val="0"/>
                  <w:spacing w:line="240" w:lineRule="auto"/>
                  <w:rPr>
                    <w:b/>
                  </w:rPr>
                </w:pPr>
                <w:r>
                  <w:rPr>
                    <w:b/>
                  </w:rPr>
                  <w:t>Segment</w:t>
                </w:r>
              </w:p>
            </w:tc>
            <w:tc>
              <w:tcPr>
                <w:tcW w:w="1320" w:type="dxa"/>
                <w:shd w:val="clear" w:color="auto" w:fill="auto"/>
                <w:tcMar>
                  <w:top w:w="100" w:type="dxa"/>
                  <w:left w:w="100" w:type="dxa"/>
                  <w:bottom w:w="100" w:type="dxa"/>
                  <w:right w:w="100" w:type="dxa"/>
                </w:tcMar>
              </w:tcPr>
              <w:p w14:paraId="1C0763D1" w14:textId="77777777" w:rsidR="00AD349B" w:rsidRDefault="00000000">
                <w:pPr>
                  <w:widowControl w:val="0"/>
                  <w:spacing w:line="240" w:lineRule="auto"/>
                  <w:rPr>
                    <w:b/>
                  </w:rPr>
                </w:pPr>
                <w:r>
                  <w:rPr>
                    <w:b/>
                  </w:rPr>
                  <w:t>Stage</w:t>
                </w:r>
              </w:p>
            </w:tc>
            <w:tc>
              <w:tcPr>
                <w:tcW w:w="1684" w:type="dxa"/>
                <w:shd w:val="clear" w:color="auto" w:fill="auto"/>
                <w:tcMar>
                  <w:top w:w="100" w:type="dxa"/>
                  <w:left w:w="100" w:type="dxa"/>
                  <w:bottom w:w="100" w:type="dxa"/>
                  <w:right w:w="100" w:type="dxa"/>
                </w:tcMar>
              </w:tcPr>
              <w:p w14:paraId="628CF74E" w14:textId="77777777" w:rsidR="00AD349B" w:rsidRDefault="00000000">
                <w:pPr>
                  <w:widowControl w:val="0"/>
                  <w:spacing w:line="240" w:lineRule="auto"/>
                  <w:rPr>
                    <w:b/>
                  </w:rPr>
                </w:pPr>
                <w:r>
                  <w:rPr>
                    <w:b/>
                  </w:rPr>
                  <w:t>Use case</w:t>
                </w:r>
              </w:p>
            </w:tc>
            <w:tc>
              <w:tcPr>
                <w:tcW w:w="4255" w:type="dxa"/>
                <w:shd w:val="clear" w:color="auto" w:fill="auto"/>
                <w:tcMar>
                  <w:top w:w="100" w:type="dxa"/>
                  <w:left w:w="100" w:type="dxa"/>
                  <w:bottom w:w="100" w:type="dxa"/>
                  <w:right w:w="100" w:type="dxa"/>
                </w:tcMar>
              </w:tcPr>
              <w:p w14:paraId="54F855E2" w14:textId="77777777" w:rsidR="00AD349B" w:rsidRDefault="00000000">
                <w:pPr>
                  <w:widowControl w:val="0"/>
                  <w:spacing w:line="240" w:lineRule="auto"/>
                  <w:rPr>
                    <w:b/>
                  </w:rPr>
                </w:pPr>
                <w:r>
                  <w:rPr>
                    <w:b/>
                  </w:rPr>
                  <w:t>Description</w:t>
                </w:r>
              </w:p>
            </w:tc>
            <w:tc>
              <w:tcPr>
                <w:tcW w:w="1305" w:type="dxa"/>
                <w:shd w:val="clear" w:color="auto" w:fill="auto"/>
                <w:tcMar>
                  <w:top w:w="100" w:type="dxa"/>
                  <w:left w:w="100" w:type="dxa"/>
                  <w:bottom w:w="100" w:type="dxa"/>
                  <w:right w:w="100" w:type="dxa"/>
                </w:tcMar>
              </w:tcPr>
              <w:p w14:paraId="5603A42E" w14:textId="77777777" w:rsidR="00AD349B" w:rsidRDefault="00000000">
                <w:pPr>
                  <w:widowControl w:val="0"/>
                  <w:spacing w:line="240" w:lineRule="auto"/>
                  <w:rPr>
                    <w:b/>
                  </w:rPr>
                </w:pPr>
                <w:r>
                  <w:rPr>
                    <w:b/>
                  </w:rPr>
                  <w:t>Date</w:t>
                </w:r>
              </w:p>
            </w:tc>
          </w:tr>
          <w:tr w:rsidR="00AD349B" w14:paraId="3DD2A067" w14:textId="77777777">
            <w:tc>
              <w:tcPr>
                <w:tcW w:w="1425" w:type="dxa"/>
                <w:tcBorders>
                  <w:top w:val="single" w:sz="5" w:space="0" w:color="000000"/>
                  <w:left w:val="single" w:sz="5" w:space="0" w:color="000000"/>
                  <w:bottom w:val="single" w:sz="5" w:space="0" w:color="000000"/>
                  <w:right w:val="single" w:sz="5" w:space="0" w:color="000000"/>
                </w:tcBorders>
                <w:tcMar>
                  <w:top w:w="20" w:type="dxa"/>
                  <w:left w:w="20" w:type="dxa"/>
                  <w:bottom w:w="100" w:type="dxa"/>
                  <w:right w:w="20" w:type="dxa"/>
                </w:tcMar>
                <w:vAlign w:val="bottom"/>
              </w:tcPr>
              <w:p w14:paraId="74A29AB1" w14:textId="77777777" w:rsidR="00AD349B" w:rsidRDefault="00000000">
                <w:pPr>
                  <w:widowControl w:val="0"/>
                  <w:spacing w:line="240" w:lineRule="auto"/>
                </w:pPr>
                <w:r>
                  <w:t>Niantic</w:t>
                </w:r>
              </w:p>
            </w:tc>
            <w:tc>
              <w:tcPr>
                <w:tcW w:w="1290" w:type="dxa"/>
                <w:tcBorders>
                  <w:top w:val="single" w:sz="5" w:space="0" w:color="000000"/>
                  <w:left w:val="nil"/>
                  <w:bottom w:val="single" w:sz="5" w:space="0" w:color="000000"/>
                  <w:right w:val="single" w:sz="5" w:space="0" w:color="000000"/>
                </w:tcBorders>
                <w:tcMar>
                  <w:top w:w="20" w:type="dxa"/>
                  <w:left w:w="20" w:type="dxa"/>
                  <w:bottom w:w="100" w:type="dxa"/>
                  <w:right w:w="20" w:type="dxa"/>
                </w:tcMar>
                <w:vAlign w:val="bottom"/>
              </w:tcPr>
              <w:p w14:paraId="1D157EB9" w14:textId="77777777" w:rsidR="00AD349B" w:rsidRDefault="00000000">
                <w:pPr>
                  <w:widowControl w:val="0"/>
                  <w:spacing w:line="240" w:lineRule="auto"/>
                </w:pPr>
                <w:r>
                  <w:t>AR/VR platforms</w:t>
                </w:r>
              </w:p>
            </w:tc>
            <w:tc>
              <w:tcPr>
                <w:tcW w:w="1320" w:type="dxa"/>
                <w:tcBorders>
                  <w:top w:val="single" w:sz="5" w:space="0" w:color="000000"/>
                  <w:left w:val="nil"/>
                  <w:bottom w:val="single" w:sz="5" w:space="0" w:color="000000"/>
                  <w:right w:val="single" w:sz="5" w:space="0" w:color="000000"/>
                </w:tcBorders>
                <w:tcMar>
                  <w:top w:w="20" w:type="dxa"/>
                  <w:left w:w="20" w:type="dxa"/>
                  <w:bottom w:w="100" w:type="dxa"/>
                  <w:right w:w="20" w:type="dxa"/>
                </w:tcMar>
                <w:vAlign w:val="bottom"/>
              </w:tcPr>
              <w:p w14:paraId="5CAB53F3" w14:textId="77777777" w:rsidR="00AD349B" w:rsidRDefault="00000000">
                <w:pPr>
                  <w:widowControl w:val="0"/>
                  <w:spacing w:line="240" w:lineRule="auto"/>
                </w:pPr>
                <w:r>
                  <w:t>Growth</w:t>
                </w:r>
              </w:p>
            </w:tc>
            <w:tc>
              <w:tcPr>
                <w:tcW w:w="1684" w:type="dxa"/>
                <w:tcBorders>
                  <w:top w:val="single" w:sz="5" w:space="0" w:color="000000"/>
                  <w:left w:val="nil"/>
                  <w:bottom w:val="single" w:sz="5" w:space="0" w:color="000000"/>
                  <w:right w:val="single" w:sz="5" w:space="0" w:color="000000"/>
                </w:tcBorders>
                <w:tcMar>
                  <w:top w:w="20" w:type="dxa"/>
                  <w:left w:w="20" w:type="dxa"/>
                  <w:bottom w:w="100" w:type="dxa"/>
                  <w:right w:w="20" w:type="dxa"/>
                </w:tcMar>
                <w:vAlign w:val="bottom"/>
              </w:tcPr>
              <w:p w14:paraId="33C07BD4" w14:textId="77777777" w:rsidR="00AD349B" w:rsidRDefault="00000000">
                <w:pPr>
                  <w:widowControl w:val="0"/>
                  <w:spacing w:line="240" w:lineRule="auto"/>
                </w:pPr>
                <w:r>
                  <w:t>Personalized in-game interactions</w:t>
                </w:r>
              </w:p>
            </w:tc>
            <w:tc>
              <w:tcPr>
                <w:tcW w:w="4255" w:type="dxa"/>
                <w:tcBorders>
                  <w:top w:val="single" w:sz="5" w:space="0" w:color="000000"/>
                  <w:left w:val="nil"/>
                  <w:bottom w:val="single" w:sz="5" w:space="0" w:color="000000"/>
                  <w:right w:val="single" w:sz="5" w:space="0" w:color="000000"/>
                </w:tcBorders>
                <w:tcMar>
                  <w:top w:w="20" w:type="dxa"/>
                  <w:left w:w="20" w:type="dxa"/>
                  <w:bottom w:w="100" w:type="dxa"/>
                  <w:right w:w="20" w:type="dxa"/>
                </w:tcMar>
                <w:vAlign w:val="bottom"/>
              </w:tcPr>
              <w:p w14:paraId="7A5B32BA" w14:textId="77777777" w:rsidR="00AD349B" w:rsidRDefault="00000000">
                <w:pPr>
                  <w:widowControl w:val="0"/>
                  <w:spacing w:line="240" w:lineRule="auto"/>
                </w:pPr>
                <w:r>
                  <w:t>Utilizes LLMs to analyze real-world objects captured by the phone's camera, converting them into words for the AI to interpret and respond to in its Peridot geo-location AR game</w:t>
                </w:r>
              </w:p>
            </w:tc>
            <w:tc>
              <w:tcPr>
                <w:tcW w:w="1305" w:type="dxa"/>
                <w:tcBorders>
                  <w:top w:val="single" w:sz="5" w:space="0" w:color="000000"/>
                  <w:left w:val="nil"/>
                  <w:bottom w:val="single" w:sz="5" w:space="0" w:color="000000"/>
                  <w:right w:val="single" w:sz="5" w:space="0" w:color="000000"/>
                </w:tcBorders>
                <w:tcMar>
                  <w:top w:w="20" w:type="dxa"/>
                  <w:left w:w="20" w:type="dxa"/>
                  <w:bottom w:w="100" w:type="dxa"/>
                  <w:right w:w="20" w:type="dxa"/>
                </w:tcMar>
                <w:vAlign w:val="bottom"/>
              </w:tcPr>
              <w:p w14:paraId="17B60B0D" w14:textId="77777777" w:rsidR="00AD349B" w:rsidRDefault="00000000">
                <w:pPr>
                  <w:widowControl w:val="0"/>
                  <w:spacing w:line="240" w:lineRule="auto"/>
                </w:pPr>
                <w:r>
                  <w:t>November 2023</w:t>
                </w:r>
              </w:p>
            </w:tc>
          </w:tr>
          <w:tr w:rsidR="00AD349B" w14:paraId="0F6C1E50"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54606F7A" w14:textId="77777777" w:rsidR="00AD349B" w:rsidRDefault="00000000">
                <w:pPr>
                  <w:widowControl w:val="0"/>
                  <w:spacing w:line="240" w:lineRule="auto"/>
                </w:pPr>
                <w:r>
                  <w:t>JigSpace</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2A16FEB"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564F409E" w14:textId="77777777" w:rsidR="00AD349B" w:rsidRDefault="00000000">
                <w:pPr>
                  <w:widowControl w:val="0"/>
                  <w:spacing w:line="240" w:lineRule="auto"/>
                </w:pPr>
                <w:r>
                  <w:t>Growth</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396EDAB8" w14:textId="77777777" w:rsidR="00AD349B" w:rsidRDefault="00000000">
                <w:pPr>
                  <w:widowControl w:val="0"/>
                  <w:spacing w:line="240" w:lineRule="auto"/>
                </w:pPr>
                <w:r>
                  <w:t>Business process improvement</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CC99F34" w14:textId="77777777" w:rsidR="00AD349B" w:rsidRDefault="00000000">
                <w:pPr>
                  <w:widowControl w:val="0"/>
                  <w:spacing w:line="240" w:lineRule="auto"/>
                </w:pPr>
                <w:r>
                  <w:t>Launched Spark, a tool that uses GenAI to create 3D product presentations for AR devices</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0DED9058" w14:textId="77777777" w:rsidR="00AD349B" w:rsidRDefault="00AD349B">
                <w:pPr>
                  <w:widowControl w:val="0"/>
                  <w:spacing w:line="240" w:lineRule="auto"/>
                </w:pPr>
              </w:p>
              <w:p w14:paraId="6DC73C95" w14:textId="77777777" w:rsidR="00AD349B" w:rsidRDefault="00000000">
                <w:pPr>
                  <w:widowControl w:val="0"/>
                  <w:spacing w:line="240" w:lineRule="auto"/>
                </w:pPr>
                <w:r>
                  <w:t>November 2023</w:t>
                </w:r>
              </w:p>
            </w:tc>
          </w:tr>
          <w:tr w:rsidR="00AD349B" w14:paraId="5BEE22BB"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41D3920B" w14:textId="77777777" w:rsidR="00AD349B" w:rsidRDefault="00000000">
                <w:pPr>
                  <w:widowControl w:val="0"/>
                  <w:spacing w:line="240" w:lineRule="auto"/>
                </w:pPr>
                <w:r>
                  <w:t>Snap</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C968590"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58ECFC9" w14:textId="77777777" w:rsidR="00AD349B" w:rsidRDefault="00000000">
                <w:pPr>
                  <w:widowControl w:val="0"/>
                  <w:spacing w:line="240" w:lineRule="auto"/>
                </w:pPr>
                <w:r>
                  <w:t>Incumbent</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32C63035"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8342117" w14:textId="77777777" w:rsidR="00AD349B" w:rsidRDefault="00000000">
                <w:pPr>
                  <w:widowControl w:val="0"/>
                  <w:spacing w:line="240" w:lineRule="auto"/>
                </w:pPr>
                <w:r>
                  <w:t>Launched Lens Studio 5.0 Beta, which introduces a ChatGPT Remote API for generating text-based content for lenses developed, such as a randomly generated quiz</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02E66645" w14:textId="77777777" w:rsidR="00AD349B" w:rsidRDefault="00000000">
                <w:pPr>
                  <w:widowControl w:val="0"/>
                  <w:spacing w:line="240" w:lineRule="auto"/>
                </w:pPr>
                <w:r>
                  <w:t>November 2023</w:t>
                </w:r>
              </w:p>
            </w:tc>
          </w:tr>
          <w:tr w:rsidR="00AD349B" w14:paraId="19812FA1"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59B74C95" w14:textId="77777777" w:rsidR="00AD349B" w:rsidRDefault="00000000">
                <w:pPr>
                  <w:widowControl w:val="0"/>
                  <w:spacing w:line="240" w:lineRule="auto"/>
                </w:pPr>
                <w:r>
                  <w:t>Microsoft</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801C924" w14:textId="77777777" w:rsidR="00AD349B" w:rsidRDefault="00000000">
                <w:pPr>
                  <w:widowControl w:val="0"/>
                  <w:spacing w:line="240" w:lineRule="auto"/>
                </w:pPr>
                <w:r>
                  <w:t>AR/VR platforms</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278E6231" w14:textId="77777777" w:rsidR="00AD349B" w:rsidRDefault="00000000">
                <w:pPr>
                  <w:widowControl w:val="0"/>
                  <w:spacing w:line="240" w:lineRule="auto"/>
                </w:pPr>
                <w:r>
                  <w:t>Incumbent</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C59ABCC"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37207B37" w14:textId="77777777" w:rsidR="00AD349B" w:rsidRDefault="00000000">
                <w:pPr>
                  <w:widowControl w:val="0"/>
                  <w:spacing w:line="240" w:lineRule="auto"/>
                </w:pPr>
                <w:r>
                  <w:t>Introduced Copilot into its Dynamics 365 Guides application for field assistance, allowing for mixed reality content generation</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423B91B" w14:textId="77777777" w:rsidR="00AD349B" w:rsidRDefault="00000000">
                <w:pPr>
                  <w:widowControl w:val="0"/>
                  <w:spacing w:line="240" w:lineRule="auto"/>
                </w:pPr>
                <w:r>
                  <w:t>November 2023</w:t>
                </w:r>
              </w:p>
            </w:tc>
          </w:tr>
          <w:tr w:rsidR="00AD349B" w14:paraId="45FA79A5"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0C0CFFD8" w14:textId="77777777" w:rsidR="00AD349B" w:rsidRDefault="00000000">
                <w:pPr>
                  <w:widowControl w:val="0"/>
                  <w:spacing w:line="240" w:lineRule="auto"/>
                </w:pPr>
                <w:r>
                  <w:t>Nanome</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9BFB877" w14:textId="77777777" w:rsidR="00AD349B" w:rsidRDefault="00000000">
                <w:pPr>
                  <w:widowControl w:val="0"/>
                  <w:spacing w:line="240" w:lineRule="auto"/>
                </w:pPr>
                <w:r>
                  <w:t>AR/VR platforms</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B149381" w14:textId="77777777" w:rsidR="00AD349B" w:rsidRDefault="00000000">
                <w:pPr>
                  <w:widowControl w:val="0"/>
                  <w:spacing w:line="240" w:lineRule="auto"/>
                </w:pPr>
                <w:r>
                  <w:t>Early</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5F6BB9BE" w14:textId="77777777" w:rsidR="00AD349B" w:rsidRDefault="00000000">
                <w:pPr>
                  <w:widowControl w:val="0"/>
                  <w:spacing w:line="240" w:lineRule="auto"/>
                </w:pPr>
                <w:r>
                  <w:t>Business process improvement</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42C18DDB" w14:textId="77777777" w:rsidR="00AD349B" w:rsidRDefault="00000000">
                <w:pPr>
                  <w:widowControl w:val="0"/>
                  <w:spacing w:line="240" w:lineRule="auto"/>
                </w:pPr>
                <w:r>
                  <w:t>Launched MARA, a GenAI copilot designed to assist chemists in biopharma R&amp;D (exploring, preparing, and rectifying various molecular file formats; complex multi-step processes across different tools and databases)</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66BF09D" w14:textId="77777777" w:rsidR="00AD349B" w:rsidRDefault="00000000">
                <w:pPr>
                  <w:widowControl w:val="0"/>
                  <w:spacing w:line="240" w:lineRule="auto"/>
                </w:pPr>
                <w:r>
                  <w:t>October 2023</w:t>
                </w:r>
              </w:p>
            </w:tc>
          </w:tr>
          <w:tr w:rsidR="00AD349B" w14:paraId="5537C99E"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35199B24" w14:textId="77777777" w:rsidR="00AD349B" w:rsidRDefault="00000000">
                <w:pPr>
                  <w:widowControl w:val="0"/>
                  <w:spacing w:line="240" w:lineRule="auto"/>
                </w:pPr>
                <w:r>
                  <w:t>Niantic</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326172A5"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5F77F11E" w14:textId="77777777" w:rsidR="00AD349B" w:rsidRDefault="00000000">
                <w:pPr>
                  <w:widowControl w:val="0"/>
                  <w:spacing w:line="240" w:lineRule="auto"/>
                </w:pPr>
                <w:r>
                  <w:t>Growth</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769E930" w14:textId="77777777" w:rsidR="00AD349B" w:rsidRDefault="00000000">
                <w:pPr>
                  <w:widowControl w:val="0"/>
                  <w:spacing w:line="240" w:lineRule="auto"/>
                </w:pPr>
                <w:r>
                  <w:t>Asset creation, Personalized in-</w:t>
                </w:r>
                <w:r>
                  <w:lastRenderedPageBreak/>
                  <w:t>game interactions</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55238F62" w14:textId="77777777" w:rsidR="00AD349B" w:rsidRDefault="00000000">
                <w:pPr>
                  <w:widowControl w:val="0"/>
                  <w:spacing w:line="240" w:lineRule="auto"/>
                </w:pPr>
                <w:r>
                  <w:lastRenderedPageBreak/>
                  <w:t xml:space="preserve">Launched GenAI modules for developers to integrate with tools such as DALL·E for </w:t>
                </w:r>
                <w:r>
                  <w:lastRenderedPageBreak/>
                  <w:t>text-to-image input, Blockade Labs for 360-degree images, Inworld AI for lifelike interactive characters, and more</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50407E3D" w14:textId="77777777" w:rsidR="00AD349B" w:rsidRDefault="00000000">
                <w:pPr>
                  <w:widowControl w:val="0"/>
                  <w:spacing w:line="240" w:lineRule="auto"/>
                </w:pPr>
                <w:r>
                  <w:lastRenderedPageBreak/>
                  <w:t>August 2023</w:t>
                </w:r>
              </w:p>
            </w:tc>
          </w:tr>
          <w:tr w:rsidR="00AD349B" w14:paraId="0DE33AD8"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583E9BF9" w14:textId="77777777" w:rsidR="00AD349B" w:rsidRDefault="00000000">
                <w:pPr>
                  <w:widowControl w:val="0"/>
                  <w:spacing w:line="240" w:lineRule="auto"/>
                </w:pPr>
                <w:r>
                  <w:t>Strivr</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4F276AC" w14:textId="77777777" w:rsidR="00AD349B" w:rsidRDefault="00000000">
                <w:pPr>
                  <w:widowControl w:val="0"/>
                  <w:spacing w:line="240" w:lineRule="auto"/>
                </w:pPr>
                <w:r>
                  <w:t>AR/VR platforms</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4BF8ED0" w14:textId="77777777" w:rsidR="00AD349B" w:rsidRDefault="00000000">
                <w:pPr>
                  <w:widowControl w:val="0"/>
                  <w:spacing w:line="240" w:lineRule="auto"/>
                </w:pPr>
                <w:r>
                  <w:t>Early</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3D66B73"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23E4E2DC" w14:textId="77777777" w:rsidR="00AD349B" w:rsidRDefault="00000000">
                <w:pPr>
                  <w:widowControl w:val="0"/>
                  <w:spacing w:line="240" w:lineRule="auto"/>
                </w:pPr>
                <w:r>
                  <w:t>Launched GenAI features which allowed for improved storytelling, animation, and asset creation, alongside optimization of visual and content-driven features</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EDFE1B9" w14:textId="77777777" w:rsidR="00AD349B" w:rsidRDefault="00000000">
                <w:pPr>
                  <w:widowControl w:val="0"/>
                  <w:spacing w:line="240" w:lineRule="auto"/>
                </w:pPr>
                <w:r>
                  <w:t>May 2023</w:t>
                </w:r>
              </w:p>
            </w:tc>
          </w:tr>
          <w:tr w:rsidR="00AD349B" w14:paraId="1AF54928" w14:textId="77777777">
            <w:trPr>
              <w:trHeight w:val="1664"/>
            </w:trPr>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615532A1" w14:textId="77777777" w:rsidR="00AD349B" w:rsidRDefault="00000000">
                <w:pPr>
                  <w:widowControl w:val="0"/>
                  <w:spacing w:line="240" w:lineRule="auto"/>
                </w:pPr>
                <w:r>
                  <w:t>Talespin</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C84333E"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6AE8274" w14:textId="77777777" w:rsidR="00AD349B" w:rsidRDefault="00000000">
                <w:pPr>
                  <w:widowControl w:val="0"/>
                  <w:spacing w:line="240" w:lineRule="auto"/>
                </w:pPr>
                <w:r>
                  <w:t>Early</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3FCF6712"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2B1E998" w14:textId="77777777" w:rsidR="00AD349B" w:rsidRDefault="00000000">
                <w:pPr>
                  <w:widowControl w:val="0"/>
                  <w:spacing w:line="240" w:lineRule="auto"/>
                </w:pPr>
                <w:r>
                  <w:t>Launched Copilot Designer allowing for the creation of custom XR simulations for conversational training–without the use of coding</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4E5B2DB5" w14:textId="77777777" w:rsidR="00AD349B" w:rsidRDefault="00000000">
                <w:pPr>
                  <w:widowControl w:val="0"/>
                  <w:spacing w:line="240" w:lineRule="auto"/>
                </w:pPr>
                <w:r>
                  <w:t>April 2023</w:t>
                </w:r>
              </w:p>
            </w:tc>
          </w:tr>
          <w:tr w:rsidR="00AD349B" w14:paraId="7D741FB5"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4F04332F" w14:textId="77777777" w:rsidR="00AD349B" w:rsidRDefault="00000000">
                <w:pPr>
                  <w:widowControl w:val="0"/>
                  <w:spacing w:line="240" w:lineRule="auto"/>
                </w:pPr>
                <w:r>
                  <w:t>NVIDIA</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6F2C7FFE"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9371F06" w14:textId="77777777" w:rsidR="00AD349B" w:rsidRDefault="00000000">
                <w:pPr>
                  <w:widowControl w:val="0"/>
                  <w:spacing w:line="240" w:lineRule="auto"/>
                </w:pPr>
                <w:r>
                  <w:t>Incumbent</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2ADE472" w14:textId="77777777" w:rsidR="00AD349B" w:rsidRDefault="00000000">
                <w:pPr>
                  <w:widowControl w:val="0"/>
                  <w:spacing w:line="240" w:lineRule="auto"/>
                </w:pPr>
                <w:r>
                  <w:t>Personalized in-game interactions</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421DD42" w14:textId="77777777" w:rsidR="00AD349B" w:rsidRDefault="00000000">
                <w:pPr>
                  <w:widowControl w:val="0"/>
                  <w:spacing w:line="240" w:lineRule="auto"/>
                </w:pPr>
                <w:r>
                  <w:t xml:space="preserve">Upgraded its Audio2Face app to include GenAI APIs for realistic facial animations of in-game characters from audio </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7231D98E" w14:textId="77777777" w:rsidR="00AD349B" w:rsidRDefault="00000000">
                <w:pPr>
                  <w:widowControl w:val="0"/>
                  <w:spacing w:line="240" w:lineRule="auto"/>
                </w:pPr>
                <w:r>
                  <w:t>April 2023</w:t>
                </w:r>
              </w:p>
            </w:tc>
          </w:tr>
          <w:tr w:rsidR="00AD349B" w14:paraId="6CECD28F"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6AF15E29" w14:textId="77777777" w:rsidR="00AD349B" w:rsidRDefault="00000000">
                <w:pPr>
                  <w:widowControl w:val="0"/>
                  <w:spacing w:line="240" w:lineRule="auto"/>
                </w:pPr>
                <w:r>
                  <w:t>DEVAR</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48B62B07"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0F9D872F" w14:textId="77777777" w:rsidR="00AD349B" w:rsidRDefault="00000000">
                <w:pPr>
                  <w:widowControl w:val="0"/>
                  <w:spacing w:line="240" w:lineRule="auto"/>
                </w:pPr>
                <w:r>
                  <w:t>Growth</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2957CF2C"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28B38E32" w14:textId="77777777" w:rsidR="00AD349B" w:rsidRDefault="00000000">
                <w:pPr>
                  <w:widowControl w:val="0"/>
                  <w:spacing w:line="240" w:lineRule="auto"/>
                </w:pPr>
                <w:r>
                  <w:t>Launched the world’s first GenAI neural network for AR that allows people to create 3D objects and other AR assets</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0B62EB62" w14:textId="77777777" w:rsidR="00AD349B" w:rsidRDefault="00000000">
                <w:pPr>
                  <w:widowControl w:val="0"/>
                  <w:spacing w:line="240" w:lineRule="auto"/>
                </w:pPr>
                <w:r>
                  <w:t>March 2023</w:t>
                </w:r>
              </w:p>
            </w:tc>
          </w:tr>
          <w:tr w:rsidR="00AD349B" w14:paraId="7DA4AED5" w14:textId="77777777">
            <w:tc>
              <w:tcPr>
                <w:tcW w:w="1425" w:type="dxa"/>
                <w:tcBorders>
                  <w:top w:val="nil"/>
                  <w:left w:val="single" w:sz="5" w:space="0" w:color="000000"/>
                  <w:bottom w:val="single" w:sz="5" w:space="0" w:color="000000"/>
                  <w:right w:val="single" w:sz="5" w:space="0" w:color="000000"/>
                </w:tcBorders>
                <w:tcMar>
                  <w:top w:w="20" w:type="dxa"/>
                  <w:left w:w="20" w:type="dxa"/>
                  <w:bottom w:w="100" w:type="dxa"/>
                  <w:right w:w="20" w:type="dxa"/>
                </w:tcMar>
                <w:vAlign w:val="bottom"/>
              </w:tcPr>
              <w:p w14:paraId="5456AE7C" w14:textId="77777777" w:rsidR="00AD349B" w:rsidRDefault="00000000">
                <w:pPr>
                  <w:widowControl w:val="0"/>
                  <w:spacing w:line="240" w:lineRule="auto"/>
                </w:pPr>
                <w:r>
                  <w:t>NextechAR</w:t>
                </w:r>
              </w:p>
            </w:tc>
            <w:tc>
              <w:tcPr>
                <w:tcW w:w="129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1C70B2AD" w14:textId="77777777" w:rsidR="00AD349B" w:rsidRDefault="00000000">
                <w:pPr>
                  <w:widowControl w:val="0"/>
                  <w:spacing w:line="240" w:lineRule="auto"/>
                </w:pPr>
                <w:r>
                  <w:t>Content</w:t>
                </w:r>
              </w:p>
            </w:tc>
            <w:tc>
              <w:tcPr>
                <w:tcW w:w="1320"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2A835258" w14:textId="77777777" w:rsidR="00AD349B" w:rsidRDefault="00000000">
                <w:pPr>
                  <w:widowControl w:val="0"/>
                  <w:spacing w:line="240" w:lineRule="auto"/>
                </w:pPr>
                <w:r>
                  <w:t>Growth</w:t>
                </w:r>
              </w:p>
            </w:tc>
            <w:tc>
              <w:tcPr>
                <w:tcW w:w="1684"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0AFAB5FD" w14:textId="77777777" w:rsidR="00AD349B" w:rsidRDefault="00000000">
                <w:pPr>
                  <w:widowControl w:val="0"/>
                  <w:spacing w:line="240" w:lineRule="auto"/>
                </w:pPr>
                <w:r>
                  <w:t>Asset creation</w:t>
                </w:r>
              </w:p>
            </w:tc>
            <w:tc>
              <w:tcPr>
                <w:tcW w:w="425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4F247158" w14:textId="77777777" w:rsidR="00AD349B" w:rsidRDefault="00000000">
                <w:pPr>
                  <w:widowControl w:val="0"/>
                  <w:spacing w:line="240" w:lineRule="auto"/>
                </w:pPr>
                <w:r>
                  <w:t>Launched GenAI tech which allows for texture upscaling of AR models</w:t>
                </w:r>
              </w:p>
            </w:tc>
            <w:tc>
              <w:tcPr>
                <w:tcW w:w="1305" w:type="dxa"/>
                <w:tcBorders>
                  <w:top w:val="nil"/>
                  <w:left w:val="nil"/>
                  <w:bottom w:val="single" w:sz="5" w:space="0" w:color="000000"/>
                  <w:right w:val="single" w:sz="5" w:space="0" w:color="000000"/>
                </w:tcBorders>
                <w:tcMar>
                  <w:top w:w="20" w:type="dxa"/>
                  <w:left w:w="20" w:type="dxa"/>
                  <w:bottom w:w="100" w:type="dxa"/>
                  <w:right w:w="20" w:type="dxa"/>
                </w:tcMar>
                <w:vAlign w:val="bottom"/>
              </w:tcPr>
              <w:p w14:paraId="441D0CEB" w14:textId="77777777" w:rsidR="00AD349B" w:rsidRDefault="00000000">
                <w:pPr>
                  <w:widowControl w:val="0"/>
                  <w:spacing w:line="240" w:lineRule="auto"/>
                </w:pPr>
                <w:r>
                  <w:t>February 2023</w:t>
                </w:r>
              </w:p>
              <w:p w14:paraId="298565F2" w14:textId="77777777" w:rsidR="00AD349B" w:rsidRDefault="00000000">
                <w:pPr>
                  <w:widowControl w:val="0"/>
                  <w:spacing w:line="240" w:lineRule="auto"/>
                </w:pPr>
                <w:r>
                  <w:t xml:space="preserve"> </w:t>
                </w:r>
              </w:p>
            </w:tc>
          </w:tr>
        </w:tbl>
      </w:sdtContent>
    </w:sdt>
    <w:p w14:paraId="31D40AE1" w14:textId="0D2C4DED" w:rsidR="00AD349B" w:rsidRDefault="00000000">
      <w:pPr>
        <w:pStyle w:val="Heading1"/>
        <w:rPr>
          <w:b/>
        </w:rPr>
      </w:pPr>
      <w:bookmarkStart w:id="12" w:name="_heading=h.aquwn6bcykk3" w:colFirst="0" w:colLast="0"/>
      <w:bookmarkEnd w:id="12"/>
      <w:r>
        <w:rPr>
          <w:sz w:val="18"/>
          <w:szCs w:val="18"/>
        </w:rPr>
        <w:t>Source:</w:t>
      </w:r>
      <w:r w:rsidR="002905F8">
        <w:rPr>
          <w:sz w:val="18"/>
          <w:szCs w:val="18"/>
        </w:rPr>
        <w:t xml:space="preserve"> SPEEDA Edge research</w:t>
      </w:r>
    </w:p>
    <w:p w14:paraId="2EB229FD" w14:textId="77777777" w:rsidR="00AD349B" w:rsidRDefault="00000000">
      <w:pPr>
        <w:pStyle w:val="Heading1"/>
        <w:rPr>
          <w:b/>
          <w:sz w:val="46"/>
          <w:szCs w:val="46"/>
        </w:rPr>
      </w:pPr>
      <w:bookmarkStart w:id="13" w:name="_heading=h.t5wqk9w6queh" w:colFirst="0" w:colLast="0"/>
      <w:bookmarkEnd w:id="13"/>
      <w:r>
        <w:rPr>
          <w:b/>
          <w:sz w:val="46"/>
          <w:szCs w:val="46"/>
        </w:rPr>
        <w:t>Risks to growth</w:t>
      </w:r>
    </w:p>
    <w:p w14:paraId="040196FF" w14:textId="77777777" w:rsidR="00AD349B" w:rsidRDefault="00000000">
      <w:pPr>
        <w:pStyle w:val="Heading2"/>
        <w:rPr>
          <w:b/>
          <w:sz w:val="34"/>
          <w:szCs w:val="34"/>
        </w:rPr>
      </w:pPr>
      <w:bookmarkStart w:id="14" w:name="_heading=h.tjar0aujp1hh" w:colFirst="0" w:colLast="0"/>
      <w:bookmarkEnd w:id="14"/>
      <w:r>
        <w:rPr>
          <w:b/>
          <w:sz w:val="34"/>
          <w:szCs w:val="34"/>
        </w:rPr>
        <w:t>1. Capital-intensive nature of hardware development</w:t>
      </w:r>
    </w:p>
    <w:p w14:paraId="4C0A5E12" w14:textId="77777777" w:rsidR="00AD349B" w:rsidRDefault="00000000">
      <w:pPr>
        <w:jc w:val="both"/>
      </w:pPr>
      <w:r>
        <w:t xml:space="preserve">Hardware manufacturers run on high funding that is spent on extensive research and development required to improve accessibility. This includes headset portability, a higher field of view (the extent of the observable world at any given moment), and degrees of freedom (power of in-VR movement). As a result, it is common for </w:t>
      </w:r>
      <w:proofErr w:type="spellStart"/>
      <w:r>
        <w:t>startups</w:t>
      </w:r>
      <w:proofErr w:type="spellEnd"/>
      <w:r>
        <w:t xml:space="preserve"> to be unprofitable and even file for bankruptcy; prime examples are </w:t>
      </w:r>
      <w:proofErr w:type="spellStart"/>
      <w:r>
        <w:t>Osterhout</w:t>
      </w:r>
      <w:proofErr w:type="spellEnd"/>
      <w:r>
        <w:t xml:space="preserve"> Design Group (ODG) and “Meta Glasses,” who put their assets up for sale in 2019. This also includes Magic Leap, which narrowly avoided bankruptcy in 2020 and Sandbox VR's </w:t>
      </w:r>
      <w:proofErr w:type="spellStart"/>
      <w:r>
        <w:t>Glostation</w:t>
      </w:r>
      <w:proofErr w:type="spellEnd"/>
      <w:r>
        <w:t xml:space="preserve"> USA subsidiary, which emerged from Chapter 11 bankruptcy after reorganization in 2020.</w:t>
      </w:r>
    </w:p>
    <w:p w14:paraId="44C7C389" w14:textId="77777777" w:rsidR="00AD349B" w:rsidRDefault="00000000">
      <w:pPr>
        <w:pStyle w:val="Heading2"/>
      </w:pPr>
      <w:bookmarkStart w:id="15" w:name="_heading=h.3p3j52j6ehbz" w:colFirst="0" w:colLast="0"/>
      <w:bookmarkEnd w:id="15"/>
      <w:r>
        <w:rPr>
          <w:b/>
          <w:sz w:val="34"/>
          <w:szCs w:val="34"/>
        </w:rPr>
        <w:t>2. Mass adoption restricted due to hardware limitations</w:t>
      </w:r>
    </w:p>
    <w:p w14:paraId="3EA5474B" w14:textId="77777777" w:rsidR="00AD349B" w:rsidRDefault="00000000">
      <w:pPr>
        <w:jc w:val="both"/>
      </w:pPr>
      <w:r>
        <w:t xml:space="preserve">The mass adoption of XR could be restricted due to steep hardware price points (ranging ~USD 350–3,500), the short battery life of untethered VR/MR headsets (ranging two to three hours on average), and the weight of the headset (ranging ~400 g–600 g on average), which may lead to neck pain from prolonged usage. Additionally, concerns about motion sickness could limit usage, with 25%–40% of VR headset wearers experiencing motion sickness and </w:t>
      </w:r>
      <w:r>
        <w:lastRenderedPageBreak/>
        <w:t>48% citing motion sickness as their reason for not using VR more frequently. The risk of users experiencing recurring motion sickness is negligible, with only 3% of users being unable to adapt after continued use, although it still results in a barrier to adoption. Further, research from Stanford University noted that prolonged mixed reality headset use could result in eye strain, nausea, and headaches, despite not being fully immersed in a virtual environment.</w:t>
      </w:r>
    </w:p>
    <w:p w14:paraId="65ACF0FE" w14:textId="77777777" w:rsidR="00AD349B" w:rsidRDefault="00000000">
      <w:pPr>
        <w:pStyle w:val="Heading2"/>
        <w:rPr>
          <w:b/>
          <w:sz w:val="34"/>
          <w:szCs w:val="34"/>
        </w:rPr>
      </w:pPr>
      <w:bookmarkStart w:id="16" w:name="_heading=h.4jzw9uk3xfi0" w:colFirst="0" w:colLast="0"/>
      <w:bookmarkEnd w:id="16"/>
      <w:r>
        <w:rPr>
          <w:b/>
          <w:sz w:val="34"/>
          <w:szCs w:val="34"/>
        </w:rPr>
        <w:t>3. Intellectual property (IP) licensing issues</w:t>
      </w:r>
    </w:p>
    <w:p w14:paraId="36A63DEE" w14:textId="77777777" w:rsidR="00AD349B" w:rsidRDefault="00000000">
      <w:pPr>
        <w:jc w:val="both"/>
      </w:pPr>
      <w:r>
        <w:t xml:space="preserve">The incorrect use of IP in the industry can bring about hefty fines for players. One such incident, related to the use of real-world IP in the virtual world, led to Meta settling a lawsuit with video game company </w:t>
      </w:r>
      <w:proofErr w:type="spellStart"/>
      <w:r>
        <w:t>ZeniMax</w:t>
      </w:r>
      <w:proofErr w:type="spellEnd"/>
      <w:r>
        <w:t xml:space="preserve"> for an undisclosed amount. Meta was initially directed to pay USD 500 million due to the copyright infringement of </w:t>
      </w:r>
      <w:proofErr w:type="spellStart"/>
      <w:r>
        <w:t>ZeniMax’s</w:t>
      </w:r>
      <w:proofErr w:type="spellEnd"/>
      <w:r>
        <w:t xml:space="preserve"> trademark technology in its VR products.  </w:t>
      </w:r>
    </w:p>
    <w:p w14:paraId="22A29E64" w14:textId="77777777" w:rsidR="00AD349B" w:rsidRDefault="00000000">
      <w:pPr>
        <w:pStyle w:val="Heading2"/>
        <w:rPr>
          <w:b/>
          <w:sz w:val="34"/>
          <w:szCs w:val="34"/>
        </w:rPr>
      </w:pPr>
      <w:bookmarkStart w:id="17" w:name="_heading=h.15yxk66f7rt3" w:colFirst="0" w:colLast="0"/>
      <w:bookmarkEnd w:id="17"/>
      <w:r>
        <w:rPr>
          <w:b/>
          <w:sz w:val="34"/>
          <w:szCs w:val="34"/>
        </w:rPr>
        <w:t>4. Privacy and security concerns</w:t>
      </w:r>
    </w:p>
    <w:p w14:paraId="6543786D" w14:textId="77777777" w:rsidR="003E4F0C" w:rsidRDefault="00000000">
      <w:r>
        <w:t>XR products face scrutiny due to the amount and sensitivity of the data they collect. Personal data, including appearance, body movements, location, and biometrics, are collected. Although policies specific to XR are not widely applied, the existing federal and state laws on data privacy regulate the collection of such data for immersive experiences. State laws include the California Consumer Privacy Act (CCPA) while Illinois, Texas, and Washington have issued regulations for biometric data collection and facial recognition technologies. Implementing stricter laws could hinder certain functionalities of XR (e.g., eye and motion tracking).</w:t>
      </w:r>
      <w:bookmarkStart w:id="18" w:name="_heading=h.43afmwqlfe0i" w:colFirst="0" w:colLast="0"/>
      <w:bookmarkEnd w:id="18"/>
    </w:p>
    <w:p w14:paraId="263CA317" w14:textId="77777777" w:rsidR="003E4F0C" w:rsidRDefault="003E4F0C"/>
    <w:p w14:paraId="31D9A2B1" w14:textId="686FDB4A" w:rsidR="00AD349B" w:rsidRPr="003E4F0C" w:rsidRDefault="00000000">
      <w:r>
        <w:rPr>
          <w:i/>
        </w:rPr>
        <w:t>Last updated: May 2024</w:t>
      </w:r>
    </w:p>
    <w:p w14:paraId="054321B8" w14:textId="77777777" w:rsidR="00AD349B" w:rsidRDefault="00AD349B">
      <w:pPr>
        <w:rPr>
          <w:i/>
        </w:rPr>
      </w:pPr>
    </w:p>
    <w:p w14:paraId="3F7AA685" w14:textId="77777777" w:rsidR="003E4F0C" w:rsidRDefault="003E4F0C">
      <w:pPr>
        <w:rPr>
          <w:rFonts w:ascii="Courier New" w:eastAsia="Courier New" w:hAnsi="Courier New" w:cs="Courier New"/>
          <w:color w:val="1D1C1D"/>
          <w:sz w:val="18"/>
          <w:szCs w:val="18"/>
        </w:rPr>
      </w:pPr>
      <w:r>
        <w:rPr>
          <w:rFonts w:ascii="Courier New" w:eastAsia="Courier New" w:hAnsi="Courier New" w:cs="Courier New"/>
          <w:color w:val="1D1C1D"/>
          <w:sz w:val="18"/>
          <w:szCs w:val="18"/>
        </w:rPr>
        <w:br w:type="page"/>
      </w:r>
    </w:p>
    <w:p w14:paraId="7B7149E9" w14:textId="7F4970D5" w:rsidR="00AD349B" w:rsidRDefault="00000000">
      <w:r>
        <w:rPr>
          <w:rFonts w:ascii="Courier New" w:eastAsia="Courier New" w:hAnsi="Courier New" w:cs="Courier New"/>
          <w:color w:val="1D1C1D"/>
          <w:sz w:val="18"/>
          <w:szCs w:val="18"/>
        </w:rPr>
        <w:lastRenderedPageBreak/>
        <w:t xml:space="preserve">©2024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All Rights Reserved. The information contained herein: (1) is proprietary to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and/or its content providers; (2) may not be copied or distributed; and (3) is not warranted to be accurate, </w:t>
      </w:r>
      <w:proofErr w:type="gramStart"/>
      <w:r>
        <w:rPr>
          <w:rFonts w:ascii="Courier New" w:eastAsia="Courier New" w:hAnsi="Courier New" w:cs="Courier New"/>
          <w:color w:val="1D1C1D"/>
          <w:sz w:val="18"/>
          <w:szCs w:val="18"/>
        </w:rPr>
        <w:t>complete</w:t>
      </w:r>
      <w:proofErr w:type="gramEnd"/>
      <w:r>
        <w:rPr>
          <w:rFonts w:ascii="Courier New" w:eastAsia="Courier New" w:hAnsi="Courier New" w:cs="Courier New"/>
          <w:color w:val="1D1C1D"/>
          <w:sz w:val="18"/>
          <w:szCs w:val="18"/>
        </w:rPr>
        <w:t xml:space="preserve"> or timely. Neither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nor its content providers are responsible for any damages or losses arising from any use of this information.</w:t>
      </w:r>
    </w:p>
    <w:p w14:paraId="442D6715" w14:textId="77777777" w:rsidR="00AD349B" w:rsidRDefault="00AD349B"/>
    <w:sectPr w:rsidR="00AD349B">
      <w:headerReference w:type="default" r:id="rId32"/>
      <w:footerReference w:type="default" r:id="rI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CB04" w14:textId="77777777" w:rsidR="007E785A" w:rsidRDefault="007E785A">
      <w:pPr>
        <w:spacing w:line="240" w:lineRule="auto"/>
      </w:pPr>
      <w:r>
        <w:separator/>
      </w:r>
    </w:p>
  </w:endnote>
  <w:endnote w:type="continuationSeparator" w:id="0">
    <w:p w14:paraId="67C63E17" w14:textId="77777777" w:rsidR="007E785A" w:rsidRDefault="007E7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664A" w14:textId="77777777" w:rsidR="00AD349B" w:rsidRDefault="00000000">
    <w:pPr>
      <w:ind w:right="-1986"/>
      <w:rPr>
        <w:color w:val="999999"/>
      </w:rPr>
    </w:pPr>
    <w:r>
      <w:rPr>
        <w:color w:val="999999"/>
      </w:rPr>
      <w:t xml:space="preserve">Copyright © </w:t>
    </w:r>
    <w:proofErr w:type="spellStart"/>
    <w:r>
      <w:rPr>
        <w:color w:val="999999"/>
      </w:rPr>
      <w:t>Uzabase</w:t>
    </w:r>
    <w:proofErr w:type="spellEnd"/>
    <w:r>
      <w:rPr>
        <w:color w:val="999999"/>
      </w:rPr>
      <w:t>, Inc.</w:t>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056BA0">
      <w:rPr>
        <w:noProof/>
        <w:color w:val="999999"/>
      </w:rPr>
      <w:t>1</w:t>
    </w:r>
    <w:r>
      <w:rPr>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1F87" w14:textId="77777777" w:rsidR="007E785A" w:rsidRDefault="007E785A">
      <w:pPr>
        <w:spacing w:line="240" w:lineRule="auto"/>
      </w:pPr>
      <w:r>
        <w:separator/>
      </w:r>
    </w:p>
  </w:footnote>
  <w:footnote w:type="continuationSeparator" w:id="0">
    <w:p w14:paraId="7A539CBB" w14:textId="77777777" w:rsidR="007E785A" w:rsidRDefault="007E7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9520" w14:textId="77777777" w:rsidR="00AD349B" w:rsidRDefault="00000000">
    <w:pPr>
      <w:ind w:right="-1986"/>
      <w:jc w:val="right"/>
    </w:pPr>
    <w:r>
      <w:rPr>
        <w:noProof/>
      </w:rPr>
      <w:drawing>
        <wp:anchor distT="19050" distB="19050" distL="19050" distR="19050" simplePos="0" relativeHeight="251658240" behindDoc="0" locked="0" layoutInCell="1" hidden="0" allowOverlap="1" wp14:anchorId="57B7B170" wp14:editId="3D1EEDE1">
          <wp:simplePos x="0" y="0"/>
          <wp:positionH relativeFrom="column">
            <wp:posOffset>5220000</wp:posOffset>
          </wp:positionH>
          <wp:positionV relativeFrom="paragraph">
            <wp:posOffset>1</wp:posOffset>
          </wp:positionV>
          <wp:extent cx="921808" cy="319088"/>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1808" cy="319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197"/>
    <w:multiLevelType w:val="multilevel"/>
    <w:tmpl w:val="08FE3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513B8"/>
    <w:multiLevelType w:val="multilevel"/>
    <w:tmpl w:val="5BCC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06322"/>
    <w:multiLevelType w:val="multilevel"/>
    <w:tmpl w:val="909E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12A51"/>
    <w:multiLevelType w:val="multilevel"/>
    <w:tmpl w:val="441E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2A066E"/>
    <w:multiLevelType w:val="multilevel"/>
    <w:tmpl w:val="AA725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5D3270"/>
    <w:multiLevelType w:val="multilevel"/>
    <w:tmpl w:val="6E5AF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EE0A4C"/>
    <w:multiLevelType w:val="multilevel"/>
    <w:tmpl w:val="5F00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E4419B"/>
    <w:multiLevelType w:val="multilevel"/>
    <w:tmpl w:val="4E84ABC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0857342">
    <w:abstractNumId w:val="2"/>
  </w:num>
  <w:num w:numId="2" w16cid:durableId="60832945">
    <w:abstractNumId w:val="4"/>
  </w:num>
  <w:num w:numId="3" w16cid:durableId="2142116497">
    <w:abstractNumId w:val="1"/>
  </w:num>
  <w:num w:numId="4" w16cid:durableId="1940142379">
    <w:abstractNumId w:val="3"/>
  </w:num>
  <w:num w:numId="5" w16cid:durableId="1664091999">
    <w:abstractNumId w:val="7"/>
  </w:num>
  <w:num w:numId="6" w16cid:durableId="1245458816">
    <w:abstractNumId w:val="6"/>
  </w:num>
  <w:num w:numId="7" w16cid:durableId="1864441714">
    <w:abstractNumId w:val="0"/>
  </w:num>
  <w:num w:numId="8" w16cid:durableId="65545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9B"/>
    <w:rsid w:val="00056BA0"/>
    <w:rsid w:val="001A6AAA"/>
    <w:rsid w:val="002905F8"/>
    <w:rsid w:val="003E4F0C"/>
    <w:rsid w:val="0056197D"/>
    <w:rsid w:val="007E785A"/>
    <w:rsid w:val="00922ECA"/>
    <w:rsid w:val="00AD349B"/>
    <w:rsid w:val="00D0408E"/>
    <w:rsid w:val="00D43C77"/>
  </w:rsids>
  <m:mathPr>
    <m:mathFont m:val="Cambria Math"/>
    <m:brkBin m:val="before"/>
    <m:brkBinSub m:val="--"/>
    <m:smallFrac m:val="0"/>
    <m:dispDef/>
    <m:lMargin m:val="0"/>
    <m:rMargin m:val="0"/>
    <m:defJc m:val="centerGroup"/>
    <m:wrapIndent m:val="1440"/>
    <m:intLim m:val="subSup"/>
    <m:naryLim m:val="undOvr"/>
  </m:mathPr>
  <w:themeFontLang w:val="en-L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A12F47"/>
  <w15:docId w15:val="{8E550B95-7A83-3E44-8D57-29F2DB83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5F2D"/>
    <w:rPr>
      <w:color w:val="0000FF" w:themeColor="hyperlink"/>
      <w:u w:val="single"/>
    </w:rPr>
  </w:style>
  <w:style w:type="character" w:styleId="UnresolvedMention">
    <w:name w:val="Unresolved Mention"/>
    <w:basedOn w:val="DefaultParagraphFont"/>
    <w:uiPriority w:val="99"/>
    <w:semiHidden/>
    <w:unhideWhenUsed/>
    <w:rsid w:val="00EF5F2D"/>
    <w:rPr>
      <w:color w:val="605E5C"/>
      <w:shd w:val="clear" w:color="auto" w:fill="E1DFDD"/>
    </w:rPr>
  </w:style>
  <w:style w:type="paragraph" w:styleId="ListParagraph">
    <w:name w:val="List Paragraph"/>
    <w:basedOn w:val="Normal"/>
    <w:uiPriority w:val="34"/>
    <w:qFormat/>
    <w:rsid w:val="00EF5F2D"/>
    <w:pPr>
      <w:ind w:left="720"/>
      <w:contextualSpacing/>
    </w:pPr>
  </w:style>
  <w:style w:type="paragraph" w:styleId="Header">
    <w:name w:val="header"/>
    <w:basedOn w:val="Normal"/>
    <w:link w:val="HeaderChar"/>
    <w:uiPriority w:val="99"/>
    <w:unhideWhenUsed/>
    <w:rsid w:val="005C3273"/>
    <w:pPr>
      <w:tabs>
        <w:tab w:val="center" w:pos="4513"/>
        <w:tab w:val="right" w:pos="9026"/>
      </w:tabs>
      <w:spacing w:line="240" w:lineRule="auto"/>
    </w:pPr>
  </w:style>
  <w:style w:type="character" w:customStyle="1" w:styleId="HeaderChar">
    <w:name w:val="Header Char"/>
    <w:basedOn w:val="DefaultParagraphFont"/>
    <w:link w:val="Header"/>
    <w:uiPriority w:val="99"/>
    <w:rsid w:val="005C3273"/>
  </w:style>
  <w:style w:type="paragraph" w:styleId="Footer">
    <w:name w:val="footer"/>
    <w:basedOn w:val="Normal"/>
    <w:link w:val="FooterChar"/>
    <w:uiPriority w:val="99"/>
    <w:unhideWhenUsed/>
    <w:rsid w:val="005C3273"/>
    <w:pPr>
      <w:tabs>
        <w:tab w:val="center" w:pos="4513"/>
        <w:tab w:val="right" w:pos="9026"/>
      </w:tabs>
      <w:spacing w:line="240" w:lineRule="auto"/>
    </w:pPr>
  </w:style>
  <w:style w:type="character" w:customStyle="1" w:styleId="FooterChar">
    <w:name w:val="Footer Char"/>
    <w:basedOn w:val="DefaultParagraphFont"/>
    <w:link w:val="Footer"/>
    <w:uiPriority w:val="99"/>
    <w:rsid w:val="005C3273"/>
  </w:style>
  <w:style w:type="character" w:customStyle="1" w:styleId="Heading1Char">
    <w:name w:val="Heading 1 Char"/>
    <w:basedOn w:val="DefaultParagraphFont"/>
    <w:link w:val="Heading1"/>
    <w:uiPriority w:val="9"/>
    <w:rsid w:val="00372F6C"/>
    <w:rPr>
      <w:sz w:val="40"/>
      <w:szCs w:val="40"/>
    </w:rPr>
  </w:style>
  <w:style w:type="paragraph" w:customStyle="1" w:styleId="msonormal0">
    <w:name w:val="msonormal"/>
    <w:basedOn w:val="Normal"/>
    <w:rsid w:val="00372F6C"/>
    <w:pPr>
      <w:spacing w:before="100" w:beforeAutospacing="1" w:after="100" w:afterAutospacing="1" w:line="240" w:lineRule="auto"/>
    </w:pPr>
    <w:rPr>
      <w:rFonts w:ascii="Times New Roman" w:eastAsia="Times New Roman" w:hAnsi="Times New Roman" w:cs="Times New Roman"/>
      <w:sz w:val="24"/>
      <w:szCs w:val="24"/>
      <w:lang w:val="en-LK"/>
    </w:rPr>
  </w:style>
  <w:style w:type="paragraph" w:styleId="NormalWeb">
    <w:name w:val="Normal (Web)"/>
    <w:basedOn w:val="Normal"/>
    <w:uiPriority w:val="99"/>
    <w:semiHidden/>
    <w:unhideWhenUsed/>
    <w:rsid w:val="00372F6C"/>
    <w:pPr>
      <w:spacing w:before="100" w:beforeAutospacing="1" w:after="100" w:afterAutospacing="1" w:line="240" w:lineRule="auto"/>
    </w:pPr>
    <w:rPr>
      <w:rFonts w:ascii="Times New Roman" w:eastAsia="Times New Roman" w:hAnsi="Times New Roman" w:cs="Times New Roman"/>
      <w:sz w:val="24"/>
      <w:szCs w:val="24"/>
      <w:lang w:val="en-LK"/>
    </w:rPr>
  </w:style>
  <w:style w:type="character" w:styleId="FollowedHyperlink">
    <w:name w:val="FollowedHyperlink"/>
    <w:basedOn w:val="DefaultParagraphFont"/>
    <w:uiPriority w:val="99"/>
    <w:semiHidden/>
    <w:unhideWhenUsed/>
    <w:rsid w:val="00372F6C"/>
    <w:rPr>
      <w:color w:val="800080"/>
      <w:u w:val="single"/>
    </w:rPr>
  </w:style>
  <w:style w:type="character" w:customStyle="1" w:styleId="apple-tab-span">
    <w:name w:val="apple-tab-span"/>
    <w:basedOn w:val="DefaultParagraphFont"/>
    <w:rsid w:val="00372F6C"/>
  </w:style>
  <w:style w:type="paragraph" w:styleId="CommentText">
    <w:name w:val="annotation text"/>
    <w:basedOn w:val="Normal"/>
    <w:link w:val="CommentTextChar"/>
    <w:uiPriority w:val="99"/>
    <w:semiHidden/>
    <w:unhideWhenUsed/>
    <w:rsid w:val="00E06B13"/>
    <w:pPr>
      <w:spacing w:line="240" w:lineRule="auto"/>
    </w:pPr>
    <w:rPr>
      <w:sz w:val="20"/>
      <w:szCs w:val="20"/>
      <w:lang w:val="en"/>
    </w:rPr>
  </w:style>
  <w:style w:type="character" w:customStyle="1" w:styleId="CommentTextChar">
    <w:name w:val="Comment Text Char"/>
    <w:basedOn w:val="DefaultParagraphFont"/>
    <w:link w:val="CommentText"/>
    <w:uiPriority w:val="99"/>
    <w:semiHidden/>
    <w:rsid w:val="00E06B13"/>
    <w:rPr>
      <w:sz w:val="20"/>
      <w:szCs w:val="20"/>
      <w:lang w:val="en" w:eastAsia="ja-JP"/>
    </w:rPr>
  </w:style>
  <w:style w:type="character" w:styleId="CommentReference">
    <w:name w:val="annotation reference"/>
    <w:basedOn w:val="DefaultParagraphFont"/>
    <w:uiPriority w:val="99"/>
    <w:semiHidden/>
    <w:unhideWhenUsed/>
    <w:rsid w:val="00E06B13"/>
    <w:rPr>
      <w:sz w:val="16"/>
      <w:szCs w:val="16"/>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p-edge.com/companies/322187" TargetMode="External"/><Relationship Id="rId18" Type="http://schemas.openxmlformats.org/officeDocument/2006/relationships/hyperlink" Target="https://sp-edge.com/companies/102115" TargetMode="External"/><Relationship Id="rId26" Type="http://schemas.openxmlformats.org/officeDocument/2006/relationships/hyperlink" Target="https://sp-edge.com/companies/661597" TargetMode="External"/><Relationship Id="rId3" Type="http://schemas.openxmlformats.org/officeDocument/2006/relationships/styles" Target="styles.xml"/><Relationship Id="rId21" Type="http://schemas.openxmlformats.org/officeDocument/2006/relationships/hyperlink" Target="https://sp-edge.com/companies/15966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edge.com/companies/669986" TargetMode="External"/><Relationship Id="rId17" Type="http://schemas.openxmlformats.org/officeDocument/2006/relationships/hyperlink" Target="https://sp-edge.com/companies/14927" TargetMode="External"/><Relationship Id="rId25" Type="http://schemas.openxmlformats.org/officeDocument/2006/relationships/hyperlink" Target="https://sp-edge.com/companies/25594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p-edge.com/companies/2197434" TargetMode="External"/><Relationship Id="rId20" Type="http://schemas.openxmlformats.org/officeDocument/2006/relationships/hyperlink" Target="https://sp-edge.com/companies/2603259"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p-edge.com/companies/106117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p-edge.com/companies/122021" TargetMode="External"/><Relationship Id="rId23" Type="http://schemas.openxmlformats.org/officeDocument/2006/relationships/hyperlink" Target="https://sp-edge.com/companies/495343" TargetMode="Externa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sp-edge.com/companies/410647" TargetMode="External"/><Relationship Id="rId31" Type="http://schemas.openxmlformats.org/officeDocument/2006/relationships/hyperlink" Target="https://sp-edge.com/industry/16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p-edge.com/companies/2027594" TargetMode="External"/><Relationship Id="rId22" Type="http://schemas.openxmlformats.org/officeDocument/2006/relationships/hyperlink" Target="https://sp-edge.com/companies/233368"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SOF9e2SZq9c3YU0QpD5n84ak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malitha goonaratne</cp:lastModifiedBy>
  <cp:revision>8</cp:revision>
  <dcterms:created xsi:type="dcterms:W3CDTF">2024-05-06T03:40:00Z</dcterms:created>
  <dcterms:modified xsi:type="dcterms:W3CDTF">2024-07-06T00:54:00Z</dcterms:modified>
</cp:coreProperties>
</file>