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66F46" w14:textId="77777777" w:rsidR="0025302F" w:rsidRPr="00BC6EA9" w:rsidRDefault="0025302F" w:rsidP="0025302F">
      <w:pPr>
        <w:autoSpaceDE w:val="0"/>
        <w:autoSpaceDN w:val="0"/>
        <w:adjustRightInd w:val="0"/>
        <w:spacing w:after="0" w:line="240" w:lineRule="auto"/>
        <w:rPr>
          <w:rFonts w:eastAsia="Cambria" w:cstheme="minorHAnsi"/>
          <w:color w:val="4F81BD"/>
        </w:rPr>
      </w:pPr>
      <w:r w:rsidRPr="00BC6EA9">
        <w:rPr>
          <w:rFonts w:eastAsia="Cambria" w:cstheme="minorHAnsi"/>
          <w:b/>
          <w:color w:val="4F81BD"/>
          <w:lang w:val="en-GB"/>
        </w:rPr>
        <w:t>[Please note – providers should be sure to follow individual payers’ requirements for preparing and submitting appeals. Although this template letter is intended to support an appeal, providers may need to comply with additional requirements to appeal an adverse coverage decision.]</w:t>
      </w:r>
    </w:p>
    <w:p w14:paraId="3427839B" w14:textId="77777777" w:rsidR="0025302F" w:rsidRPr="00BC6EA9" w:rsidRDefault="0025302F" w:rsidP="0025302F">
      <w:pPr>
        <w:autoSpaceDE w:val="0"/>
        <w:autoSpaceDN w:val="0"/>
        <w:adjustRightInd w:val="0"/>
        <w:spacing w:after="0" w:line="240" w:lineRule="auto"/>
        <w:rPr>
          <w:rFonts w:eastAsia="Cambria" w:cstheme="minorHAnsi"/>
        </w:rPr>
      </w:pPr>
    </w:p>
    <w:p w14:paraId="2A41BA0D"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 xml:space="preserve">[Contact name of Pharmacy Director or </w:t>
      </w:r>
      <w:proofErr w:type="gramStart"/>
      <w:r w:rsidRPr="00BC6EA9">
        <w:rPr>
          <w:rFonts w:eastAsia="Cambria" w:cstheme="minorHAnsi"/>
          <w:color w:val="FF0000"/>
          <w:lang w:val="en-GB"/>
        </w:rPr>
        <w:t>other</w:t>
      </w:r>
      <w:proofErr w:type="gramEnd"/>
      <w:r w:rsidRPr="00BC6EA9">
        <w:rPr>
          <w:rFonts w:eastAsia="Cambria" w:cstheme="minorHAnsi"/>
          <w:color w:val="FF0000"/>
          <w:lang w:val="en-GB"/>
        </w:rPr>
        <w:t xml:space="preserve"> payer representative]</w:t>
      </w:r>
    </w:p>
    <w:p w14:paraId="368B5306"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[Contact title]</w:t>
      </w:r>
    </w:p>
    <w:p w14:paraId="19FCDFE7"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[Name of health insurance company]</w:t>
      </w:r>
    </w:p>
    <w:p w14:paraId="152668C7"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[Address]</w:t>
      </w:r>
    </w:p>
    <w:p w14:paraId="7D8E552F" w14:textId="77777777" w:rsidR="00BC6EA9" w:rsidRPr="00BC6EA9" w:rsidRDefault="00BC6EA9" w:rsidP="00BC6EA9">
      <w:pPr>
        <w:autoSpaceDE w:val="0"/>
        <w:autoSpaceDN w:val="0"/>
        <w:adjustRightInd w:val="0"/>
        <w:spacing w:after="0" w:line="240" w:lineRule="auto"/>
        <w:ind w:right="-864"/>
        <w:rPr>
          <w:rFonts w:eastAsia="Cambria" w:cstheme="minorHAnsi"/>
          <w:color w:val="FF0000"/>
          <w:lang w:val="en-GB"/>
        </w:rPr>
      </w:pPr>
      <w:r w:rsidRPr="00BC6EA9">
        <w:rPr>
          <w:rFonts w:eastAsia="Cambria" w:cstheme="minorHAnsi"/>
          <w:color w:val="FF0000"/>
          <w:lang w:val="en-GB"/>
        </w:rPr>
        <w:t xml:space="preserve">[City, State, ZIP] </w:t>
      </w:r>
    </w:p>
    <w:p w14:paraId="5D5CB97C" w14:textId="77777777" w:rsidR="0025302F" w:rsidRPr="00BC6EA9" w:rsidRDefault="0025302F" w:rsidP="0025302F">
      <w:pPr>
        <w:autoSpaceDE w:val="0"/>
        <w:autoSpaceDN w:val="0"/>
        <w:adjustRightInd w:val="0"/>
        <w:spacing w:after="0" w:line="240" w:lineRule="auto"/>
        <w:rPr>
          <w:rFonts w:eastAsia="Cambria" w:cstheme="minorHAnsi"/>
          <w:lang w:val="en-GB"/>
        </w:rPr>
      </w:pPr>
    </w:p>
    <w:p w14:paraId="4944BB1D" w14:textId="77777777" w:rsidR="0025302F" w:rsidRPr="00BC6EA9" w:rsidRDefault="0025302F" w:rsidP="0025302F">
      <w:pPr>
        <w:autoSpaceDE w:val="0"/>
        <w:autoSpaceDN w:val="0"/>
        <w:adjustRightInd w:val="0"/>
        <w:spacing w:after="0" w:line="240" w:lineRule="auto"/>
        <w:rPr>
          <w:rFonts w:eastAsia="Cambria" w:cstheme="minorHAnsi"/>
          <w:lang w:val="en-GB"/>
        </w:rPr>
      </w:pPr>
      <w:r w:rsidRPr="00BC6EA9">
        <w:rPr>
          <w:rFonts w:eastAsia="Cambria" w:cstheme="minorHAnsi"/>
          <w:lang w:val="en-GB"/>
        </w:rPr>
        <w:t xml:space="preserve">RE: Appeal of denied claim for NUPLAZID® (pimavanserin) </w:t>
      </w:r>
    </w:p>
    <w:p w14:paraId="6CCB250B" w14:textId="77777777" w:rsidR="0025302F" w:rsidRPr="00BC6EA9" w:rsidRDefault="0025302F" w:rsidP="0025302F">
      <w:pPr>
        <w:autoSpaceDE w:val="0"/>
        <w:autoSpaceDN w:val="0"/>
        <w:adjustRightInd w:val="0"/>
        <w:spacing w:after="0" w:line="240" w:lineRule="auto"/>
        <w:rPr>
          <w:rFonts w:eastAsia="Cambria" w:cstheme="minorHAnsi"/>
          <w:sz w:val="24"/>
          <w:szCs w:val="24"/>
          <w:lang w:val="en-GB"/>
        </w:rPr>
      </w:pPr>
    </w:p>
    <w:p w14:paraId="4CC5A630" w14:textId="77777777" w:rsidR="00BC6EA9" w:rsidRPr="00BC6EA9" w:rsidRDefault="00BC6EA9" w:rsidP="00BC6EA9">
      <w:pPr>
        <w:spacing w:after="0" w:line="240" w:lineRule="auto"/>
        <w:ind w:right="-864"/>
        <w:rPr>
          <w:rFonts w:cstheme="minorHAnsi"/>
        </w:rPr>
      </w:pPr>
      <w:r w:rsidRPr="00BC6EA9">
        <w:rPr>
          <w:rFonts w:cstheme="minorHAnsi"/>
          <w:b/>
        </w:rPr>
        <w:t>Patient:</w:t>
      </w:r>
      <w:r w:rsidRPr="00BC6EA9">
        <w:rPr>
          <w:rFonts w:cstheme="minorHAnsi"/>
        </w:rPr>
        <w:t xml:space="preserve"> </w:t>
      </w:r>
      <w:r w:rsidRPr="00BC6EA9">
        <w:rPr>
          <w:rFonts w:cstheme="minorHAnsi"/>
          <w:color w:val="FF0000"/>
        </w:rPr>
        <w:t>[Patient name]</w:t>
      </w:r>
    </w:p>
    <w:p w14:paraId="55856005" w14:textId="77777777" w:rsidR="00BC6EA9" w:rsidRPr="00BC6EA9" w:rsidRDefault="00BC6EA9" w:rsidP="00BC6EA9">
      <w:pPr>
        <w:spacing w:after="0" w:line="240" w:lineRule="auto"/>
        <w:ind w:right="-864"/>
        <w:rPr>
          <w:rFonts w:cstheme="minorHAnsi"/>
        </w:rPr>
      </w:pPr>
      <w:r w:rsidRPr="00BC6EA9">
        <w:rPr>
          <w:rFonts w:cstheme="minorHAnsi"/>
          <w:b/>
        </w:rPr>
        <w:t>Date of birth:</w:t>
      </w:r>
      <w:r w:rsidRPr="00BC6EA9">
        <w:rPr>
          <w:rFonts w:cstheme="minorHAnsi"/>
        </w:rPr>
        <w:t xml:space="preserve"> </w:t>
      </w:r>
      <w:r w:rsidRPr="00BC6EA9">
        <w:rPr>
          <w:rFonts w:cstheme="minorHAnsi"/>
          <w:color w:val="FF0000"/>
        </w:rPr>
        <w:t>[Date]</w:t>
      </w:r>
    </w:p>
    <w:p w14:paraId="78C17ED3" w14:textId="77777777" w:rsidR="00BC6EA9" w:rsidRPr="00BC6EA9" w:rsidRDefault="00BC6EA9" w:rsidP="00BC6EA9">
      <w:pPr>
        <w:spacing w:after="0" w:line="240" w:lineRule="auto"/>
        <w:ind w:right="-864"/>
        <w:rPr>
          <w:rFonts w:cstheme="minorHAnsi"/>
        </w:rPr>
      </w:pPr>
      <w:r w:rsidRPr="00BC6EA9">
        <w:rPr>
          <w:rFonts w:cstheme="minorHAnsi"/>
          <w:b/>
        </w:rPr>
        <w:t>Group/policy number:</w:t>
      </w:r>
      <w:r w:rsidRPr="00BC6EA9">
        <w:rPr>
          <w:rFonts w:cstheme="minorHAnsi"/>
        </w:rPr>
        <w:t xml:space="preserve"> </w:t>
      </w:r>
      <w:r w:rsidRPr="00BC6EA9">
        <w:rPr>
          <w:rFonts w:cstheme="minorHAnsi"/>
          <w:color w:val="FF0000"/>
        </w:rPr>
        <w:t>[Number]</w:t>
      </w:r>
    </w:p>
    <w:p w14:paraId="322B4AC8" w14:textId="77777777" w:rsidR="00BC6EA9" w:rsidRPr="00BC6EA9" w:rsidRDefault="00BC6EA9" w:rsidP="00BC6EA9">
      <w:pPr>
        <w:spacing w:after="0" w:line="240" w:lineRule="auto"/>
        <w:ind w:right="-864"/>
        <w:rPr>
          <w:rFonts w:cstheme="minorHAnsi"/>
        </w:rPr>
      </w:pPr>
      <w:r w:rsidRPr="00BC6EA9">
        <w:rPr>
          <w:rFonts w:cstheme="minorHAnsi"/>
          <w:b/>
        </w:rPr>
        <w:t>Policyholder:</w:t>
      </w:r>
      <w:r w:rsidRPr="00BC6EA9">
        <w:rPr>
          <w:rFonts w:cstheme="minorHAnsi"/>
        </w:rPr>
        <w:t xml:space="preserve"> </w:t>
      </w:r>
      <w:r w:rsidRPr="00BC6EA9">
        <w:rPr>
          <w:rFonts w:cstheme="minorHAnsi"/>
          <w:color w:val="FF0000"/>
        </w:rPr>
        <w:t>[Policyholder’s name]</w:t>
      </w:r>
    </w:p>
    <w:p w14:paraId="41E0A450" w14:textId="77777777" w:rsidR="00BC6EA9" w:rsidRPr="00BC6EA9" w:rsidRDefault="00BC6EA9" w:rsidP="00BC6EA9">
      <w:pPr>
        <w:tabs>
          <w:tab w:val="left" w:pos="1987"/>
        </w:tabs>
        <w:spacing w:after="120" w:line="240" w:lineRule="auto"/>
        <w:ind w:right="-864"/>
        <w:rPr>
          <w:rFonts w:cstheme="minorHAnsi"/>
        </w:rPr>
      </w:pPr>
      <w:r w:rsidRPr="00BC6EA9">
        <w:rPr>
          <w:rFonts w:cstheme="minorHAnsi"/>
        </w:rPr>
        <w:tab/>
      </w:r>
    </w:p>
    <w:p w14:paraId="620C59BE" w14:textId="77777777" w:rsidR="00BC6EA9" w:rsidRPr="00BC6EA9" w:rsidRDefault="00BC6EA9" w:rsidP="00BC6EA9">
      <w:pPr>
        <w:ind w:right="-864"/>
        <w:rPr>
          <w:rFonts w:cstheme="minorHAnsi"/>
        </w:rPr>
      </w:pPr>
      <w:r w:rsidRPr="00BC6EA9">
        <w:rPr>
          <w:rFonts w:cstheme="minorHAnsi"/>
        </w:rPr>
        <w:t xml:space="preserve">Dear </w:t>
      </w:r>
      <w:r w:rsidRPr="00BC6EA9">
        <w:rPr>
          <w:rFonts w:cstheme="minorHAnsi"/>
          <w:color w:val="FF0000"/>
        </w:rPr>
        <w:t>[Contac</w:t>
      </w:r>
      <w:r w:rsidRPr="00BC6EA9">
        <w:rPr>
          <w:rFonts w:cstheme="minorHAnsi"/>
          <w:color w:val="FF0000"/>
          <w:spacing w:val="-1"/>
        </w:rPr>
        <w:t>t name</w:t>
      </w:r>
      <w:r w:rsidRPr="00BC6EA9">
        <w:rPr>
          <w:rFonts w:cstheme="minorHAnsi"/>
          <w:color w:val="FF0000"/>
        </w:rPr>
        <w:t>]</w:t>
      </w:r>
      <w:r w:rsidRPr="00BC6EA9">
        <w:rPr>
          <w:rFonts w:cstheme="minorHAnsi"/>
        </w:rPr>
        <w:t>:</w:t>
      </w:r>
    </w:p>
    <w:p w14:paraId="2C4CE66C" w14:textId="77777777" w:rsidR="0025302F" w:rsidRPr="00BC6EA9" w:rsidRDefault="0025302F" w:rsidP="0025302F">
      <w:pPr>
        <w:spacing w:after="120" w:line="240" w:lineRule="auto"/>
        <w:rPr>
          <w:rFonts w:eastAsia="Cambria" w:cstheme="minorHAnsi"/>
          <w:lang w:val="en-GB"/>
        </w:rPr>
      </w:pPr>
      <w:r w:rsidRPr="00BC6EA9">
        <w:rPr>
          <w:rFonts w:eastAsia="Cambria" w:cstheme="minorHAnsi"/>
          <w:lang w:val="en-GB"/>
        </w:rPr>
        <w:t>I am writing on behalf of my patient, [</w:t>
      </w:r>
      <w:r w:rsidRPr="00BC6EA9">
        <w:rPr>
          <w:rFonts w:eastAsia="Cambria" w:cstheme="minorHAnsi"/>
          <w:color w:val="FF0000"/>
          <w:lang w:val="en-GB"/>
        </w:rPr>
        <w:t>Patient name</w:t>
      </w:r>
      <w:r w:rsidRPr="00BC6EA9">
        <w:rPr>
          <w:rFonts w:eastAsia="Cambria" w:cstheme="minorHAnsi"/>
          <w:lang w:val="en-GB"/>
        </w:rPr>
        <w:t>], to support [</w:t>
      </w:r>
      <w:r w:rsidRPr="00BC6EA9">
        <w:rPr>
          <w:rFonts w:eastAsia="Cambria" w:cstheme="minorHAnsi"/>
          <w:color w:val="FF0000"/>
          <w:lang w:val="en-GB"/>
        </w:rPr>
        <w:t>his/her</w:t>
      </w:r>
      <w:r w:rsidRPr="00BC6EA9">
        <w:rPr>
          <w:rFonts w:eastAsia="Cambria" w:cstheme="minorHAnsi"/>
          <w:lang w:val="en-GB"/>
        </w:rPr>
        <w:t>] appeal of [</w:t>
      </w:r>
      <w:r w:rsidRPr="00BC6EA9">
        <w:rPr>
          <w:rFonts w:eastAsia="Cambria" w:cstheme="minorHAnsi"/>
          <w:color w:val="FF0000"/>
          <w:lang w:val="en-GB"/>
        </w:rPr>
        <w:t>Payer name</w:t>
      </w:r>
      <w:r w:rsidRPr="00BC6EA9">
        <w:rPr>
          <w:rFonts w:eastAsia="Cambria" w:cstheme="minorHAnsi"/>
          <w:lang w:val="en-GB"/>
        </w:rPr>
        <w:t>]’s denial of a prior authorization request for NUPLAZID® (pimavanserin), a medication that is approved by the US Food and Drug Administration (FDA) for the treatment of hallucinations and delusions associated with Parkinson’s disease (PD) psychosis. I believe NUPLAZID is medically necessary for the treatment of [</w:t>
      </w:r>
      <w:r w:rsidRPr="00BC6EA9">
        <w:rPr>
          <w:rFonts w:eastAsia="Cambria" w:cstheme="minorHAnsi"/>
          <w:color w:val="FF0000"/>
          <w:lang w:val="en-GB"/>
        </w:rPr>
        <w:t>Patient name</w:t>
      </w:r>
      <w:r w:rsidRPr="00BC6EA9">
        <w:rPr>
          <w:rFonts w:eastAsia="Cambria" w:cstheme="minorHAnsi"/>
          <w:lang w:val="en-GB"/>
        </w:rPr>
        <w:t xml:space="preserve">]’s PD psychosis and should be covered.  </w:t>
      </w:r>
    </w:p>
    <w:p w14:paraId="293081DA" w14:textId="1B6A4173" w:rsidR="00BC6EA9" w:rsidRPr="00BC6EA9" w:rsidRDefault="00BC6EA9" w:rsidP="00BC6EA9">
      <w:pPr>
        <w:spacing w:after="0" w:line="240" w:lineRule="auto"/>
        <w:rPr>
          <w:rFonts w:eastAsia="Cambria" w:cstheme="minorHAnsi"/>
        </w:rPr>
      </w:pPr>
      <w:r w:rsidRPr="00BC6EA9">
        <w:rPr>
          <w:rFonts w:eastAsia="Cambria" w:cstheme="minorHAnsi"/>
        </w:rPr>
        <w:t>In April 2016, the FDA approved NUPLAZID 34 mg for the treatment of hallucinations and delusions associated with PD psychosis, and is the only product approved by the FDA for this indication.</w:t>
      </w:r>
      <w:r w:rsidRPr="00BC6EA9">
        <w:rPr>
          <w:rFonts w:eastAsia="Cambria" w:cstheme="minorHAnsi"/>
          <w:vertAlign w:val="superscript"/>
        </w:rPr>
        <w:t>1</w:t>
      </w:r>
      <w:r w:rsidRPr="00BC6EA9">
        <w:rPr>
          <w:rFonts w:eastAsia="Cambria" w:cstheme="minorHAnsi"/>
        </w:rPr>
        <w:t xml:space="preserve"> NUPLAZID is a selective serotonin inverse agonist/antagonist with a high binding affinity to the 5-HT</w:t>
      </w:r>
      <w:r w:rsidRPr="00BC6EA9">
        <w:rPr>
          <w:rFonts w:eastAsia="Cambria" w:cstheme="minorHAnsi"/>
          <w:vertAlign w:val="subscript"/>
        </w:rPr>
        <w:t>2A</w:t>
      </w:r>
      <w:r w:rsidRPr="00BC6EA9">
        <w:rPr>
          <w:rFonts w:eastAsia="Cambria" w:cstheme="minorHAnsi"/>
        </w:rPr>
        <w:t xml:space="preserve"> receptor and to a lesser extent 5-HT</w:t>
      </w:r>
      <w:r w:rsidRPr="00BC6EA9">
        <w:rPr>
          <w:rFonts w:eastAsia="Cambria" w:cstheme="minorHAnsi"/>
          <w:vertAlign w:val="subscript"/>
        </w:rPr>
        <w:t>2C</w:t>
      </w:r>
      <w:r w:rsidRPr="00BC6EA9">
        <w:rPr>
          <w:rFonts w:eastAsia="Cambria" w:cstheme="minorHAnsi"/>
        </w:rPr>
        <w:t>.</w:t>
      </w:r>
      <w:r w:rsidRPr="00BC6EA9">
        <w:rPr>
          <w:rFonts w:eastAsia="Cambria" w:cstheme="minorHAnsi"/>
          <w:vertAlign w:val="superscript"/>
        </w:rPr>
        <w:t>1</w:t>
      </w:r>
      <w:r w:rsidRPr="00BC6EA9">
        <w:rPr>
          <w:rFonts w:eastAsia="Cambria" w:cstheme="minorHAnsi"/>
        </w:rPr>
        <w:t xml:space="preserve"> The efficacy of NUPLAZID for the treatment of hallucinations and delusions associated with PD psychosis was established in a randomized, double-blind, placebo-controlled study (Study ACP-103-020) of 199 adults (aged ≥40 years, mean age 72).</w:t>
      </w:r>
      <w:r w:rsidRPr="00BC6EA9">
        <w:rPr>
          <w:rFonts w:eastAsia="Cambria" w:cstheme="minorHAnsi"/>
          <w:vertAlign w:val="superscript"/>
        </w:rPr>
        <w:t>1,2</w:t>
      </w:r>
      <w:r w:rsidRPr="00BC6EA9">
        <w:rPr>
          <w:rFonts w:eastAsia="Cambria" w:cstheme="minorHAnsi"/>
        </w:rPr>
        <w:t xml:space="preserve"> In the primary analysis, the Parkinson’s disease–adapted scale for assessment of positive symptoms (SAPS-PD) demonstrated that NUPLAZID significantly reduced hallucinations and delusions associated with PD psychosis compared with placebo (a mean point change from baseline: –5.79 vs –2.73 [37% vs 14% improvement, </w:t>
      </w:r>
      <w:r w:rsidRPr="00BC6EA9">
        <w:rPr>
          <w:rFonts w:eastAsia="Cambria" w:cstheme="minorHAnsi"/>
          <w:i/>
        </w:rPr>
        <w:t>P</w:t>
      </w:r>
      <w:r w:rsidRPr="00BC6EA9">
        <w:rPr>
          <w:rFonts w:eastAsia="Cambria" w:cstheme="minorHAnsi"/>
        </w:rPr>
        <w:t>=0.0014]) at Week 6.</w:t>
      </w:r>
      <w:r w:rsidRPr="00BC6EA9">
        <w:rPr>
          <w:rFonts w:eastAsia="Cambria" w:cstheme="minorHAnsi"/>
          <w:vertAlign w:val="superscript"/>
        </w:rPr>
        <w:t>1,2</w:t>
      </w:r>
      <w:r w:rsidRPr="00BC6EA9">
        <w:rPr>
          <w:rFonts w:eastAsia="Cambria" w:cstheme="minorHAnsi"/>
        </w:rPr>
        <w:t xml:space="preserve"> </w:t>
      </w:r>
      <w:r w:rsidR="006615F2" w:rsidRPr="006615F2">
        <w:rPr>
          <w:rFonts w:eastAsia="Cambria" w:cstheme="minorHAnsi"/>
        </w:rPr>
        <w:t>Drug-induced involuntary body movements and motor complications can significantly contribute to overall disability</w:t>
      </w:r>
      <w:r w:rsidR="006615F2">
        <w:rPr>
          <w:rFonts w:eastAsia="Cambria" w:cstheme="minorHAnsi"/>
        </w:rPr>
        <w:t xml:space="preserve"> in Parkinson’s disease.</w:t>
      </w:r>
      <w:r w:rsidR="006615F2">
        <w:rPr>
          <w:rFonts w:eastAsia="Cambria" w:cstheme="minorHAnsi"/>
          <w:vertAlign w:val="superscript"/>
        </w:rPr>
        <w:t>3</w:t>
      </w:r>
      <w:r w:rsidR="006615F2">
        <w:rPr>
          <w:rFonts w:eastAsia="Cambria" w:cstheme="minorHAnsi"/>
        </w:rPr>
        <w:t xml:space="preserve"> </w:t>
      </w:r>
      <w:r w:rsidRPr="00BC6EA9">
        <w:rPr>
          <w:rFonts w:eastAsia="Cambria" w:cstheme="minorHAnsi"/>
        </w:rPr>
        <w:t>NUPLAZID 34 mg did not show an effect compared to placebo on motor function, as measured using the Unified Parkinson's Disease Rating Scale Parts II and III.</w:t>
      </w:r>
      <w:r w:rsidRPr="00BC6EA9">
        <w:rPr>
          <w:rFonts w:eastAsia="Cambria" w:cstheme="minorHAnsi"/>
          <w:vertAlign w:val="superscript"/>
        </w:rPr>
        <w:t>1</w:t>
      </w:r>
      <w:r w:rsidRPr="00BC6EA9">
        <w:rPr>
          <w:rFonts w:eastAsia="Cambria" w:cstheme="minorHAnsi"/>
        </w:rPr>
        <w:t xml:space="preserve"> In the clinical trials, the most common side effects were peripheral edema and </w:t>
      </w:r>
      <w:proofErr w:type="spellStart"/>
      <w:r w:rsidRPr="00BC6EA9">
        <w:rPr>
          <w:rFonts w:eastAsia="Cambria" w:cstheme="minorHAnsi"/>
        </w:rPr>
        <w:t>confusional</w:t>
      </w:r>
      <w:proofErr w:type="spellEnd"/>
      <w:r w:rsidRPr="00BC6EA9">
        <w:rPr>
          <w:rFonts w:eastAsia="Cambria" w:cstheme="minorHAnsi"/>
        </w:rPr>
        <w:t xml:space="preserve"> state. The discontinuation rates due to adverse reactions were 8% (16/202) with NUPLAZID vs 4% (10/231) with placebo, based on 6-week studies.</w:t>
      </w:r>
      <w:r w:rsidRPr="00BC6EA9">
        <w:rPr>
          <w:rFonts w:eastAsia="Cambria" w:cstheme="minorHAnsi"/>
          <w:vertAlign w:val="superscript"/>
        </w:rPr>
        <w:t>1,2</w:t>
      </w:r>
      <w:r w:rsidRPr="00BC6EA9">
        <w:rPr>
          <w:rFonts w:eastAsia="Cambria" w:cstheme="minorHAnsi"/>
        </w:rPr>
        <w:t xml:space="preserve"> </w:t>
      </w:r>
      <w:r w:rsidRPr="00BC6EA9">
        <w:rPr>
          <w:rFonts w:eastAsia="Cambria" w:cstheme="minorHAnsi"/>
          <w:color w:val="FF0000"/>
        </w:rPr>
        <w:t>[Please see NUPLAZID Prescribing Information and Cummings et al 2014 study for additional details.]</w:t>
      </w:r>
    </w:p>
    <w:p w14:paraId="1EFE8398" w14:textId="77777777" w:rsidR="00BC6EA9" w:rsidRPr="00BC6EA9" w:rsidRDefault="00BC6EA9" w:rsidP="00BC6EA9">
      <w:pPr>
        <w:spacing w:after="0" w:line="240" w:lineRule="auto"/>
        <w:rPr>
          <w:rFonts w:eastAsia="Cambria" w:cstheme="minorHAnsi"/>
        </w:rPr>
      </w:pPr>
    </w:p>
    <w:p w14:paraId="24C68D86" w14:textId="44F25047" w:rsidR="00BC6EA9" w:rsidRPr="00BC6EA9" w:rsidRDefault="00BC6EA9" w:rsidP="00BC6EA9">
      <w:pPr>
        <w:spacing w:after="0" w:line="240" w:lineRule="auto"/>
        <w:rPr>
          <w:rFonts w:eastAsia="Cambria" w:cstheme="minorHAnsi"/>
        </w:rPr>
      </w:pPr>
      <w:r w:rsidRPr="00BC6EA9">
        <w:rPr>
          <w:rFonts w:eastAsia="Arial" w:cstheme="minorHAnsi"/>
          <w:u w:val="single" w:color="000000"/>
        </w:rPr>
        <w:t>Patient Medical History and Diagnosis</w:t>
      </w:r>
    </w:p>
    <w:p w14:paraId="70300559" w14:textId="77777777" w:rsidR="00BC6EA9" w:rsidRPr="00BC6EA9" w:rsidRDefault="00BC6EA9" w:rsidP="00BC6EA9">
      <w:pPr>
        <w:widowControl w:val="0"/>
        <w:spacing w:after="0" w:line="240" w:lineRule="auto"/>
        <w:ind w:right="5544" w:firstLine="720"/>
        <w:contextualSpacing/>
        <w:jc w:val="both"/>
        <w:outlineLvl w:val="0"/>
        <w:rPr>
          <w:rFonts w:eastAsia="Arial" w:cstheme="minorHAnsi"/>
        </w:rPr>
      </w:pPr>
    </w:p>
    <w:p w14:paraId="7D4A25F5" w14:textId="77777777" w:rsidR="00BC6EA9" w:rsidRPr="00BC6EA9" w:rsidRDefault="00BC6EA9" w:rsidP="00BC6EA9">
      <w:pPr>
        <w:widowControl w:val="0"/>
        <w:spacing w:after="0" w:line="240" w:lineRule="auto"/>
        <w:ind w:right="60"/>
        <w:contextualSpacing/>
        <w:rPr>
          <w:rFonts w:eastAsia="Arial" w:cstheme="minorHAnsi"/>
          <w:color w:val="000000"/>
        </w:rPr>
      </w:pPr>
      <w:r w:rsidRPr="00BC6EA9">
        <w:rPr>
          <w:rFonts w:eastAsia="Arial" w:cstheme="minorHAnsi"/>
          <w:color w:val="FF0000"/>
        </w:rPr>
        <w:t xml:space="preserve">[Patient name] </w:t>
      </w:r>
      <w:r w:rsidRPr="00BC6EA9">
        <w:rPr>
          <w:rFonts w:eastAsia="Arial" w:cstheme="minorHAnsi"/>
          <w:color w:val="000000"/>
        </w:rPr>
        <w:t xml:space="preserve">is a </w:t>
      </w:r>
      <w:r w:rsidRPr="00BC6EA9">
        <w:rPr>
          <w:rFonts w:eastAsia="Arial" w:cstheme="minorHAnsi"/>
          <w:color w:val="FF0000"/>
        </w:rPr>
        <w:t>[age]</w:t>
      </w:r>
      <w:r w:rsidRPr="00BC6EA9">
        <w:rPr>
          <w:rFonts w:eastAsia="Arial" w:cstheme="minorHAnsi"/>
          <w:color w:val="000000"/>
        </w:rPr>
        <w:t xml:space="preserve">-year-old </w:t>
      </w:r>
      <w:r w:rsidRPr="00BC6EA9">
        <w:rPr>
          <w:rFonts w:eastAsia="Arial" w:cstheme="minorHAnsi"/>
          <w:color w:val="FF0000"/>
        </w:rPr>
        <w:t>[male/female]</w:t>
      </w:r>
      <w:r w:rsidRPr="00BC6EA9">
        <w:rPr>
          <w:rFonts w:eastAsia="Arial" w:cstheme="minorHAnsi"/>
          <w:color w:val="000000"/>
        </w:rPr>
        <w:t xml:space="preserve"> diagnosed with Parkinson’s disease (ICD-10-CM </w:t>
      </w:r>
      <w:r w:rsidRPr="00BC6EA9">
        <w:rPr>
          <w:rFonts w:eastAsia="Arial" w:cstheme="minorHAnsi"/>
          <w:color w:val="FF0000"/>
        </w:rPr>
        <w:t>[insert code]</w:t>
      </w:r>
      <w:r w:rsidRPr="00BC6EA9">
        <w:rPr>
          <w:rFonts w:eastAsia="Arial" w:cstheme="minorHAnsi"/>
          <w:color w:val="000000"/>
        </w:rPr>
        <w:t xml:space="preserve">). </w:t>
      </w:r>
      <w:r w:rsidRPr="00BC6EA9">
        <w:rPr>
          <w:rFonts w:eastAsia="Arial" w:cstheme="minorHAnsi"/>
          <w:color w:val="FF0000"/>
        </w:rPr>
        <w:t xml:space="preserve">[Patient name] </w:t>
      </w:r>
      <w:r w:rsidRPr="00BC6EA9">
        <w:rPr>
          <w:rFonts w:eastAsia="Arial" w:cstheme="minorHAnsi"/>
          <w:color w:val="000000"/>
        </w:rPr>
        <w:t xml:space="preserve">has been in my care since </w:t>
      </w:r>
      <w:r w:rsidRPr="00BC6EA9">
        <w:rPr>
          <w:rFonts w:eastAsia="Arial" w:cstheme="minorHAnsi"/>
          <w:color w:val="FF0000"/>
        </w:rPr>
        <w:t>[date]</w:t>
      </w:r>
      <w:r w:rsidRPr="00BC6EA9">
        <w:rPr>
          <w:rFonts w:eastAsia="Arial" w:cstheme="minorHAnsi"/>
          <w:color w:val="000000"/>
        </w:rPr>
        <w:t>, and in addition to</w:t>
      </w:r>
      <w:r w:rsidRPr="00BC6EA9">
        <w:rPr>
          <w:rFonts w:eastAsia="Arial" w:cstheme="minorHAnsi"/>
        </w:rPr>
        <w:t xml:space="preserve"> Parkinson’s disease, has also been diagnosed with </w:t>
      </w:r>
      <w:r w:rsidRPr="00BC6EA9">
        <w:rPr>
          <w:rFonts w:eastAsia="Arial" w:cstheme="minorHAnsi"/>
          <w:color w:val="FF0000"/>
        </w:rPr>
        <w:t>[insert description of psychosis,</w:t>
      </w:r>
      <w:r w:rsidRPr="00BC6EA9">
        <w:rPr>
          <w:rFonts w:eastAsia="Arial" w:cstheme="minorHAnsi"/>
          <w:color w:val="FF0000"/>
          <w:w w:val="99"/>
        </w:rPr>
        <w:t xml:space="preserve"> </w:t>
      </w:r>
      <w:r w:rsidRPr="00BC6EA9">
        <w:rPr>
          <w:rFonts w:eastAsia="Arial" w:cstheme="minorHAnsi"/>
          <w:color w:val="FF0000"/>
        </w:rPr>
        <w:t>hallucinations, and/or delusions]</w:t>
      </w:r>
      <w:r w:rsidRPr="00BC6EA9">
        <w:rPr>
          <w:rFonts w:eastAsia="Arial" w:cstheme="minorHAnsi"/>
          <w:color w:val="000000"/>
        </w:rPr>
        <w:t xml:space="preserve"> (ICD-10-CM </w:t>
      </w:r>
      <w:r w:rsidRPr="00BC6EA9">
        <w:rPr>
          <w:rFonts w:eastAsia="Arial" w:cstheme="minorHAnsi"/>
          <w:color w:val="FF0000"/>
        </w:rPr>
        <w:t>[insert code]</w:t>
      </w:r>
      <w:r w:rsidRPr="00BC6EA9">
        <w:rPr>
          <w:rFonts w:eastAsia="Arial" w:cstheme="minorHAnsi"/>
          <w:color w:val="000000"/>
        </w:rPr>
        <w:t>), which, in my clinical judgment</w:t>
      </w:r>
      <w:r w:rsidRPr="00BC6EA9">
        <w:rPr>
          <w:rFonts w:eastAsia="Arial" w:cstheme="minorHAnsi"/>
          <w:color w:val="FF0000"/>
        </w:rPr>
        <w:t>, [is/are]</w:t>
      </w:r>
      <w:r w:rsidRPr="00BC6EA9">
        <w:rPr>
          <w:rFonts w:eastAsia="Arial" w:cstheme="minorHAnsi"/>
          <w:color w:val="FF0000"/>
          <w:w w:val="99"/>
        </w:rPr>
        <w:t xml:space="preserve"> </w:t>
      </w:r>
      <w:r w:rsidRPr="00BC6EA9">
        <w:rPr>
          <w:rFonts w:eastAsia="Arial" w:cstheme="minorHAnsi"/>
          <w:color w:val="000000"/>
        </w:rPr>
        <w:t xml:space="preserve">attributable to Parkinson’s disease. This condition </w:t>
      </w:r>
      <w:r w:rsidRPr="00BC6EA9">
        <w:rPr>
          <w:rFonts w:eastAsia="Arial" w:cstheme="minorHAnsi"/>
          <w:color w:val="000000"/>
        </w:rPr>
        <w:lastRenderedPageBreak/>
        <w:t xml:space="preserve">impacts </w:t>
      </w:r>
      <w:r w:rsidRPr="00BC6EA9">
        <w:rPr>
          <w:rFonts w:eastAsia="Arial" w:cstheme="minorHAnsi"/>
          <w:color w:val="FF0000"/>
        </w:rPr>
        <w:t>[Patient name]</w:t>
      </w:r>
      <w:r w:rsidRPr="00BC6EA9">
        <w:rPr>
          <w:rFonts w:eastAsia="Arial" w:cstheme="minorHAnsi"/>
          <w:color w:val="000000"/>
        </w:rPr>
        <w:t xml:space="preserve">’s ability to </w:t>
      </w:r>
      <w:r w:rsidRPr="00BC6EA9">
        <w:rPr>
          <w:rFonts w:eastAsia="Arial" w:cstheme="minorHAnsi"/>
          <w:color w:val="FF0000"/>
        </w:rPr>
        <w:t>[insert, if</w:t>
      </w:r>
      <w:r w:rsidRPr="00BC6EA9">
        <w:rPr>
          <w:rFonts w:eastAsia="Arial" w:cstheme="minorHAnsi"/>
          <w:color w:val="FF0000"/>
          <w:w w:val="99"/>
        </w:rPr>
        <w:t xml:space="preserve"> </w:t>
      </w:r>
      <w:r w:rsidRPr="00BC6EA9">
        <w:rPr>
          <w:rFonts w:eastAsia="Arial" w:cstheme="minorHAnsi"/>
          <w:color w:val="FF0000"/>
        </w:rPr>
        <w:t>appropriate, description of how condition affects activities of daily living or other outcome measures]</w:t>
      </w:r>
      <w:r w:rsidRPr="00BC6EA9">
        <w:rPr>
          <w:rFonts w:eastAsia="Arial" w:cstheme="minorHAnsi"/>
          <w:color w:val="000000"/>
        </w:rPr>
        <w:t>.</w:t>
      </w:r>
      <w:r w:rsidRPr="00BC6EA9">
        <w:rPr>
          <w:rFonts w:eastAsia="Arial" w:cstheme="minorHAnsi"/>
          <w:color w:val="000000"/>
          <w:w w:val="99"/>
        </w:rPr>
        <w:t xml:space="preserve"> </w:t>
      </w:r>
      <w:r w:rsidRPr="00BC6EA9">
        <w:rPr>
          <w:rFonts w:eastAsia="Arial" w:cstheme="minorHAnsi"/>
          <w:color w:val="FF0000"/>
        </w:rPr>
        <w:t>[If other treatments for PD psychosis were used prior to NUPLAZID, indicate what was prescribed as well as the outcome(s).]</w:t>
      </w:r>
      <w:r w:rsidRPr="00BC6EA9">
        <w:rPr>
          <w:rFonts w:eastAsia="Arial" w:cstheme="minorHAnsi"/>
          <w:color w:val="000000"/>
        </w:rPr>
        <w:t xml:space="preserve"> The attached medical records support </w:t>
      </w:r>
      <w:r w:rsidRPr="00BC6EA9">
        <w:rPr>
          <w:rFonts w:eastAsia="Arial" w:cstheme="minorHAnsi"/>
          <w:color w:val="FF0000"/>
        </w:rPr>
        <w:t>[Patient name]</w:t>
      </w:r>
      <w:r w:rsidRPr="00BC6EA9">
        <w:rPr>
          <w:rFonts w:eastAsia="Arial" w:cstheme="minorHAnsi"/>
          <w:color w:val="000000"/>
        </w:rPr>
        <w:t>’s diagnosis of hallucinations and delusions associated with PD psychosis and the medical necessity of NUPLAZID®</w:t>
      </w:r>
      <w:r w:rsidRPr="00BC6EA9">
        <w:rPr>
          <w:rFonts w:eastAsia="Arial" w:cstheme="minorHAnsi"/>
          <w:color w:val="000000"/>
          <w:spacing w:val="-3"/>
        </w:rPr>
        <w:t xml:space="preserve"> (pimavanserin) </w:t>
      </w:r>
      <w:r w:rsidRPr="00BC6EA9">
        <w:rPr>
          <w:rFonts w:eastAsia="Arial" w:cstheme="minorHAnsi"/>
          <w:color w:val="000000"/>
        </w:rPr>
        <w:t xml:space="preserve">for the treatment of this condition. This patient is appropriate for NUPLAZID because </w:t>
      </w:r>
      <w:r w:rsidRPr="00BC6EA9">
        <w:rPr>
          <w:rFonts w:eastAsia="Arial" w:cstheme="minorHAnsi"/>
          <w:color w:val="FF0000"/>
        </w:rPr>
        <w:t>[insert verification: for example, the patient does not have a contraindication to the drug, the patient does not have any of the heart problems (eg, QT prolongation, history of cardiac arrhythmias) described in the prescribing information for NUPLAZID, and is not on another medication known to prolong the QT interval]</w:t>
      </w:r>
      <w:r w:rsidRPr="00BC6EA9">
        <w:rPr>
          <w:rFonts w:eastAsia="Arial" w:cstheme="minorHAnsi"/>
          <w:color w:val="000000"/>
        </w:rPr>
        <w:t>.</w:t>
      </w:r>
    </w:p>
    <w:p w14:paraId="209F274F" w14:textId="77777777" w:rsidR="00BC6EA9" w:rsidRPr="00BC6EA9" w:rsidRDefault="00BC6EA9" w:rsidP="00BC6EA9">
      <w:pPr>
        <w:widowControl w:val="0"/>
        <w:spacing w:before="4" w:after="0" w:line="200" w:lineRule="exact"/>
        <w:ind w:right="-30" w:firstLine="720"/>
        <w:rPr>
          <w:rFonts w:eastAsia="Calibri" w:cstheme="minorHAnsi"/>
        </w:rPr>
      </w:pPr>
    </w:p>
    <w:p w14:paraId="793F633E" w14:textId="53DD9954" w:rsidR="0025302F" w:rsidRPr="00BC6EA9" w:rsidRDefault="0025302F" w:rsidP="0025302F">
      <w:pPr>
        <w:spacing w:after="200" w:line="240" w:lineRule="auto"/>
        <w:rPr>
          <w:rFonts w:eastAsia="Cambria" w:cstheme="minorHAnsi"/>
          <w:lang w:val="en-GB"/>
        </w:rPr>
      </w:pPr>
      <w:r w:rsidRPr="00BC6EA9">
        <w:rPr>
          <w:rFonts w:eastAsia="Cambria" w:cstheme="minorHAnsi"/>
          <w:lang w:val="en-GB"/>
        </w:rPr>
        <w:t xml:space="preserve">Based on the above, as well as the enclosed attachments, I </w:t>
      </w:r>
      <w:r w:rsidR="006615F2">
        <w:rPr>
          <w:rFonts w:eastAsia="Cambria" w:cstheme="minorHAnsi"/>
          <w:lang w:val="en-GB"/>
        </w:rPr>
        <w:t>respectfully request</w:t>
      </w:r>
      <w:r w:rsidR="006615F2" w:rsidRPr="00BC6EA9">
        <w:rPr>
          <w:rFonts w:eastAsia="Cambria" w:cstheme="minorHAnsi"/>
          <w:lang w:val="en-GB"/>
        </w:rPr>
        <w:t xml:space="preserve"> </w:t>
      </w:r>
      <w:r w:rsidRPr="00BC6EA9">
        <w:rPr>
          <w:rFonts w:eastAsia="Cambria" w:cstheme="minorHAnsi"/>
          <w:lang w:val="en-GB"/>
        </w:rPr>
        <w:t>[</w:t>
      </w:r>
      <w:r w:rsidRPr="00BC6EA9">
        <w:rPr>
          <w:rFonts w:eastAsia="Cambria" w:cstheme="minorHAnsi"/>
          <w:color w:val="FF0000"/>
          <w:lang w:val="en-GB"/>
        </w:rPr>
        <w:t>Payer name</w:t>
      </w:r>
      <w:r w:rsidRPr="00BC6EA9">
        <w:rPr>
          <w:rFonts w:eastAsia="Cambria" w:cstheme="minorHAnsi"/>
          <w:lang w:val="en-GB"/>
        </w:rPr>
        <w:t>] to reconsider its denial of this prior authorization for the clinical rationale summarized above. If [</w:t>
      </w:r>
      <w:r w:rsidRPr="00BC6EA9">
        <w:rPr>
          <w:rFonts w:eastAsia="Cambria" w:cstheme="minorHAnsi"/>
          <w:color w:val="FF0000"/>
          <w:lang w:val="en-GB"/>
        </w:rPr>
        <w:t>Payer name</w:t>
      </w:r>
      <w:r w:rsidRPr="00BC6EA9">
        <w:rPr>
          <w:rFonts w:eastAsia="Cambria" w:cstheme="minorHAnsi"/>
          <w:lang w:val="en-GB"/>
        </w:rPr>
        <w:t>] chooses to reject this appeal, please provide in writing the non–FDA-approved alternative therapy you are willing to cover for this patient.</w:t>
      </w:r>
    </w:p>
    <w:p w14:paraId="0FCF4CF8" w14:textId="77777777" w:rsidR="0025302F" w:rsidRPr="00BC6EA9" w:rsidRDefault="0025302F" w:rsidP="0025302F">
      <w:pPr>
        <w:spacing w:after="0" w:line="240" w:lineRule="auto"/>
        <w:rPr>
          <w:rFonts w:eastAsia="Cambria" w:cstheme="minorHAnsi"/>
          <w:lang w:val="en-GB"/>
        </w:rPr>
      </w:pPr>
      <w:r w:rsidRPr="00BC6EA9">
        <w:rPr>
          <w:rFonts w:eastAsia="Cambria" w:cstheme="minorHAnsi"/>
          <w:lang w:val="en-GB"/>
        </w:rPr>
        <w:t xml:space="preserve">Please refer to the enclosed supporting documents for further details, and please don’t hesitate to contact me if you have any further questions regarding this request.   </w:t>
      </w:r>
      <w:r w:rsidRPr="00BC6EA9">
        <w:rPr>
          <w:rFonts w:eastAsia="Cambria" w:cstheme="minorHAnsi"/>
          <w:lang w:val="en-GB"/>
        </w:rPr>
        <w:br/>
      </w:r>
    </w:p>
    <w:p w14:paraId="1EC87AEC" w14:textId="77777777" w:rsidR="0025302F" w:rsidRPr="00BC6EA9" w:rsidRDefault="0025302F" w:rsidP="0025302F">
      <w:pPr>
        <w:spacing w:after="200" w:line="240" w:lineRule="auto"/>
        <w:rPr>
          <w:rFonts w:eastAsia="Cambria" w:cstheme="minorHAnsi"/>
          <w:lang w:val="en-GB"/>
        </w:rPr>
      </w:pPr>
      <w:r w:rsidRPr="00BC6EA9">
        <w:rPr>
          <w:rFonts w:eastAsia="Cambria" w:cstheme="minorHAnsi"/>
          <w:lang w:val="en-GB"/>
        </w:rPr>
        <w:t>Thank you for your prompt attention to this matter.</w:t>
      </w:r>
    </w:p>
    <w:p w14:paraId="0C206563" w14:textId="77777777" w:rsidR="0025302F" w:rsidRPr="00BC6EA9" w:rsidRDefault="0025302F" w:rsidP="0025302F">
      <w:pPr>
        <w:spacing w:after="200" w:line="240" w:lineRule="auto"/>
        <w:rPr>
          <w:rFonts w:eastAsia="Cambria" w:cstheme="minorHAnsi"/>
          <w:lang w:val="en-GB"/>
        </w:rPr>
      </w:pPr>
      <w:r w:rsidRPr="00BC6EA9">
        <w:rPr>
          <w:rFonts w:eastAsia="Cambria" w:cstheme="minorHAnsi"/>
          <w:lang w:val="en-GB"/>
        </w:rPr>
        <w:t>Sincerely,</w:t>
      </w:r>
    </w:p>
    <w:p w14:paraId="7F9D0684" w14:textId="77777777" w:rsidR="00BC6EA9" w:rsidRPr="00BC6EA9" w:rsidRDefault="00BC6EA9" w:rsidP="00BC6EA9">
      <w:pPr>
        <w:widowControl w:val="0"/>
        <w:spacing w:before="5" w:after="0" w:line="413" w:lineRule="auto"/>
        <w:ind w:right="6000"/>
        <w:rPr>
          <w:rFonts w:eastAsia="Arial" w:cstheme="minorHAnsi"/>
          <w:color w:val="000000"/>
        </w:rPr>
      </w:pPr>
      <w:r w:rsidRPr="00BC6EA9">
        <w:rPr>
          <w:rFonts w:eastAsia="Arial" w:cstheme="minorHAnsi"/>
          <w:color w:val="FF0000"/>
        </w:rPr>
        <w:t>[Prescriber’s name]</w:t>
      </w:r>
      <w:r w:rsidRPr="00BC6EA9">
        <w:rPr>
          <w:rFonts w:eastAsia="Arial" w:cstheme="minorHAnsi"/>
          <w:color w:val="000000"/>
        </w:rPr>
        <w:t xml:space="preserve">, </w:t>
      </w:r>
      <w:r w:rsidRPr="00BC6EA9">
        <w:rPr>
          <w:rFonts w:eastAsia="Arial" w:cstheme="minorHAnsi"/>
          <w:color w:val="FF0000"/>
        </w:rPr>
        <w:t xml:space="preserve">[Credential] </w:t>
      </w:r>
    </w:p>
    <w:p w14:paraId="460FE85E" w14:textId="77777777" w:rsidR="00BC6EA9" w:rsidRPr="00BC6EA9" w:rsidRDefault="00BC6EA9" w:rsidP="00BC6EA9">
      <w:pPr>
        <w:widowControl w:val="0"/>
        <w:spacing w:before="5" w:after="0" w:line="413" w:lineRule="auto"/>
        <w:ind w:right="6000"/>
        <w:rPr>
          <w:rFonts w:eastAsia="Arial" w:cstheme="minorHAnsi"/>
        </w:rPr>
      </w:pPr>
      <w:r w:rsidRPr="00BC6EA9">
        <w:rPr>
          <w:rFonts w:eastAsia="Arial" w:cstheme="minorHAnsi"/>
          <w:color w:val="000000"/>
        </w:rPr>
        <w:t xml:space="preserve">cc: </w:t>
      </w:r>
      <w:r w:rsidRPr="00BC6EA9">
        <w:rPr>
          <w:rFonts w:eastAsia="Arial" w:cstheme="minorHAnsi"/>
          <w:color w:val="FF0000"/>
        </w:rPr>
        <w:t>[Patient name]</w:t>
      </w:r>
    </w:p>
    <w:p w14:paraId="317696F3" w14:textId="77777777" w:rsidR="00BC6EA9" w:rsidRPr="00BC6EA9" w:rsidRDefault="00BC6EA9" w:rsidP="00BC6EA9">
      <w:pPr>
        <w:widowControl w:val="0"/>
        <w:spacing w:before="10" w:after="0" w:line="240" w:lineRule="auto"/>
        <w:ind w:right="690"/>
        <w:rPr>
          <w:rFonts w:eastAsia="Arial" w:cstheme="minorHAnsi"/>
        </w:rPr>
      </w:pPr>
      <w:r w:rsidRPr="00BC6EA9">
        <w:rPr>
          <w:rFonts w:eastAsia="Arial" w:cstheme="minorHAnsi"/>
          <w:u w:val="single" w:color="000000"/>
        </w:rPr>
        <w:t>Optional enclosures</w:t>
      </w:r>
      <w:r w:rsidRPr="00BC6EA9">
        <w:rPr>
          <w:rFonts w:eastAsia="Arial" w:cstheme="minorHAnsi"/>
        </w:rPr>
        <w:t xml:space="preserve">: </w:t>
      </w:r>
      <w:r w:rsidRPr="00BC6EA9">
        <w:rPr>
          <w:rFonts w:eastAsia="Arial" w:cstheme="minorHAnsi"/>
          <w:spacing w:val="-1"/>
        </w:rPr>
        <w:t xml:space="preserve">NUPLAZID Prescribing Information (PI), clinical notes and records, </w:t>
      </w:r>
      <w:r w:rsidRPr="00BC6EA9">
        <w:rPr>
          <w:rFonts w:eastAsia="Arial" w:cstheme="minorHAnsi"/>
          <w:color w:val="FF0000"/>
          <w:spacing w:val="-1"/>
        </w:rPr>
        <w:t>[variable published literature]</w:t>
      </w:r>
      <w:r w:rsidRPr="00BC6EA9">
        <w:rPr>
          <w:rFonts w:eastAsia="Arial" w:cstheme="minorHAnsi"/>
          <w:spacing w:val="-1"/>
        </w:rPr>
        <w:t>.</w:t>
      </w:r>
    </w:p>
    <w:p w14:paraId="0D78718A" w14:textId="4CD56453" w:rsidR="0025302F" w:rsidRPr="00BC6EA9" w:rsidRDefault="0025302F" w:rsidP="000A236D">
      <w:pPr>
        <w:spacing w:after="0" w:line="240" w:lineRule="auto"/>
        <w:ind w:right="-25"/>
        <w:rPr>
          <w:rFonts w:eastAsia="Cambria" w:cstheme="minorHAnsi"/>
          <w:sz w:val="24"/>
          <w:szCs w:val="24"/>
          <w:lang w:val="en-GB"/>
        </w:rPr>
      </w:pPr>
    </w:p>
    <w:p w14:paraId="48E6CDE9" w14:textId="77777777" w:rsidR="00BC6EA9" w:rsidRPr="00BC6EA9" w:rsidRDefault="00BC6EA9" w:rsidP="00BC6EA9">
      <w:pPr>
        <w:widowControl w:val="0"/>
        <w:spacing w:after="0" w:line="240" w:lineRule="auto"/>
        <w:rPr>
          <w:rFonts w:eastAsia="Arial" w:cstheme="minorHAnsi"/>
        </w:rPr>
      </w:pPr>
      <w:r w:rsidRPr="00BC6EA9">
        <w:rPr>
          <w:rFonts w:eastAsia="Arial" w:cstheme="minorHAnsi"/>
          <w:u w:val="single" w:color="000000"/>
        </w:rPr>
        <w:t>Healthcare</w:t>
      </w:r>
      <w:r w:rsidRPr="00BC6EA9">
        <w:rPr>
          <w:rFonts w:eastAsia="Arial" w:cstheme="minorHAnsi"/>
          <w:spacing w:val="-2"/>
          <w:u w:val="single" w:color="000000"/>
        </w:rPr>
        <w:t xml:space="preserve"> </w:t>
      </w:r>
      <w:r w:rsidRPr="00BC6EA9">
        <w:rPr>
          <w:rFonts w:eastAsia="Arial" w:cstheme="minorHAnsi"/>
          <w:spacing w:val="-1"/>
          <w:u w:val="single" w:color="000000"/>
        </w:rPr>
        <w:t>P</w:t>
      </w:r>
      <w:r w:rsidRPr="00BC6EA9">
        <w:rPr>
          <w:rFonts w:eastAsia="Arial" w:cstheme="minorHAnsi"/>
          <w:u w:val="single" w:color="000000"/>
        </w:rPr>
        <w:t>rofessional</w:t>
      </w:r>
      <w:r w:rsidRPr="00BC6EA9">
        <w:rPr>
          <w:rFonts w:eastAsia="Arial" w:cstheme="minorHAnsi"/>
          <w:spacing w:val="-2"/>
          <w:u w:val="single" w:color="000000"/>
        </w:rPr>
        <w:t xml:space="preserve"> </w:t>
      </w:r>
      <w:r w:rsidRPr="00BC6EA9">
        <w:rPr>
          <w:rFonts w:eastAsia="Arial" w:cstheme="minorHAnsi"/>
          <w:u w:val="single" w:color="000000"/>
        </w:rPr>
        <w:t>Not</w:t>
      </w:r>
      <w:r w:rsidRPr="00BC6EA9">
        <w:rPr>
          <w:rFonts w:eastAsia="Arial" w:cstheme="minorHAnsi"/>
          <w:spacing w:val="-1"/>
          <w:u w:val="single" w:color="000000"/>
        </w:rPr>
        <w:t>e</w:t>
      </w:r>
      <w:r w:rsidRPr="00BC6EA9">
        <w:rPr>
          <w:rFonts w:eastAsia="Arial" w:cstheme="minorHAnsi"/>
        </w:rPr>
        <w:t>:</w:t>
      </w:r>
      <w:r w:rsidRPr="00BC6EA9">
        <w:rPr>
          <w:rFonts w:eastAsia="Arial" w:cstheme="minorHAnsi"/>
          <w:spacing w:val="-2"/>
        </w:rPr>
        <w:t xml:space="preserve"> </w:t>
      </w:r>
      <w:r w:rsidRPr="00BC6EA9">
        <w:rPr>
          <w:rFonts w:eastAsia="Arial" w:cstheme="minorHAnsi"/>
        </w:rPr>
        <w:t>The</w:t>
      </w:r>
      <w:r w:rsidRPr="00BC6EA9">
        <w:rPr>
          <w:rFonts w:eastAsia="Arial" w:cstheme="minorHAnsi"/>
          <w:spacing w:val="-2"/>
        </w:rPr>
        <w:t xml:space="preserve"> </w:t>
      </w:r>
      <w:r w:rsidRPr="00BC6EA9">
        <w:rPr>
          <w:rFonts w:eastAsia="Arial" w:cstheme="minorHAnsi"/>
        </w:rPr>
        <w:t>Important</w:t>
      </w:r>
      <w:r w:rsidRPr="00BC6EA9">
        <w:rPr>
          <w:rFonts w:eastAsia="Arial" w:cstheme="minorHAnsi"/>
          <w:spacing w:val="-2"/>
        </w:rPr>
        <w:t xml:space="preserve"> </w:t>
      </w:r>
      <w:r w:rsidRPr="00BC6EA9">
        <w:rPr>
          <w:rFonts w:eastAsia="Arial" w:cstheme="minorHAnsi"/>
        </w:rPr>
        <w:t>Safety</w:t>
      </w:r>
      <w:r w:rsidRPr="00BC6EA9">
        <w:rPr>
          <w:rFonts w:eastAsia="Arial" w:cstheme="minorHAnsi"/>
          <w:spacing w:val="-1"/>
        </w:rPr>
        <w:t xml:space="preserve"> </w:t>
      </w:r>
      <w:r w:rsidRPr="00BC6EA9">
        <w:rPr>
          <w:rFonts w:eastAsia="Arial" w:cstheme="minorHAnsi"/>
        </w:rPr>
        <w:t>Information</w:t>
      </w:r>
      <w:r w:rsidRPr="00BC6EA9">
        <w:rPr>
          <w:rFonts w:eastAsia="Arial" w:cstheme="minorHAnsi"/>
          <w:spacing w:val="-2"/>
        </w:rPr>
        <w:t xml:space="preserve"> </w:t>
      </w:r>
      <w:r w:rsidRPr="00BC6EA9">
        <w:rPr>
          <w:rFonts w:eastAsia="Arial" w:cstheme="minorHAnsi"/>
        </w:rPr>
        <w:t>on</w:t>
      </w:r>
      <w:r w:rsidRPr="00BC6EA9">
        <w:rPr>
          <w:rFonts w:eastAsia="Arial" w:cstheme="minorHAnsi"/>
          <w:spacing w:val="-2"/>
        </w:rPr>
        <w:t xml:space="preserve"> </w:t>
      </w:r>
      <w:r w:rsidRPr="00BC6EA9">
        <w:rPr>
          <w:rFonts w:eastAsia="Arial" w:cstheme="minorHAnsi"/>
        </w:rPr>
        <w:t>the</w:t>
      </w:r>
      <w:r w:rsidRPr="00BC6EA9">
        <w:rPr>
          <w:rFonts w:eastAsia="Arial" w:cstheme="minorHAnsi"/>
          <w:spacing w:val="-2"/>
        </w:rPr>
        <w:t xml:space="preserve"> </w:t>
      </w:r>
      <w:r w:rsidRPr="00BC6EA9">
        <w:rPr>
          <w:rFonts w:eastAsia="Arial" w:cstheme="minorHAnsi"/>
        </w:rPr>
        <w:t>following</w:t>
      </w:r>
      <w:r w:rsidRPr="00BC6EA9">
        <w:rPr>
          <w:rFonts w:eastAsia="Arial" w:cstheme="minorHAnsi"/>
          <w:spacing w:val="-2"/>
        </w:rPr>
        <w:t xml:space="preserve"> </w:t>
      </w:r>
      <w:r w:rsidRPr="00BC6EA9">
        <w:rPr>
          <w:rFonts w:eastAsia="Arial" w:cstheme="minorHAnsi"/>
        </w:rPr>
        <w:t>page</w:t>
      </w:r>
      <w:r w:rsidRPr="00BC6EA9">
        <w:rPr>
          <w:rFonts w:eastAsia="Arial" w:cstheme="minorHAnsi"/>
          <w:spacing w:val="-3"/>
        </w:rPr>
        <w:t xml:space="preserve"> </w:t>
      </w:r>
      <w:r w:rsidRPr="00BC6EA9">
        <w:rPr>
          <w:rFonts w:eastAsia="Arial" w:cstheme="minorHAnsi"/>
        </w:rPr>
        <w:t>is</w:t>
      </w:r>
      <w:r w:rsidRPr="00BC6EA9">
        <w:rPr>
          <w:rFonts w:eastAsia="Arial" w:cstheme="minorHAnsi"/>
          <w:spacing w:val="-2"/>
        </w:rPr>
        <w:t xml:space="preserve"> </w:t>
      </w:r>
      <w:r w:rsidRPr="00BC6EA9">
        <w:rPr>
          <w:rFonts w:eastAsia="Arial" w:cstheme="minorHAnsi"/>
        </w:rPr>
        <w:t>for</w:t>
      </w:r>
      <w:r w:rsidRPr="00BC6EA9">
        <w:rPr>
          <w:rFonts w:eastAsia="Arial" w:cstheme="minorHAnsi"/>
          <w:spacing w:val="-2"/>
        </w:rPr>
        <w:t xml:space="preserve"> </w:t>
      </w:r>
      <w:r w:rsidRPr="00BC6EA9">
        <w:rPr>
          <w:rFonts w:eastAsia="Arial" w:cstheme="minorHAnsi"/>
        </w:rPr>
        <w:t>your reference</w:t>
      </w:r>
      <w:r w:rsidRPr="00BC6EA9">
        <w:rPr>
          <w:rFonts w:eastAsia="Arial" w:cstheme="minorHAnsi"/>
          <w:spacing w:val="-2"/>
        </w:rPr>
        <w:t xml:space="preserve"> </w:t>
      </w:r>
      <w:r w:rsidRPr="00BC6EA9">
        <w:rPr>
          <w:rFonts w:eastAsia="Arial" w:cstheme="minorHAnsi"/>
        </w:rPr>
        <w:t>only and</w:t>
      </w:r>
      <w:r w:rsidRPr="00BC6EA9">
        <w:rPr>
          <w:rFonts w:eastAsia="Arial" w:cstheme="minorHAnsi"/>
          <w:spacing w:val="-1"/>
        </w:rPr>
        <w:t xml:space="preserve"> </w:t>
      </w:r>
      <w:r w:rsidRPr="00BC6EA9">
        <w:rPr>
          <w:rFonts w:eastAsia="Arial" w:cstheme="minorHAnsi"/>
        </w:rPr>
        <w:t>does</w:t>
      </w:r>
      <w:r w:rsidRPr="00BC6EA9">
        <w:rPr>
          <w:rFonts w:eastAsia="Arial" w:cstheme="minorHAnsi"/>
          <w:spacing w:val="-2"/>
        </w:rPr>
        <w:t xml:space="preserve"> </w:t>
      </w:r>
      <w:r w:rsidRPr="00BC6EA9">
        <w:rPr>
          <w:rFonts w:eastAsia="Arial" w:cstheme="minorHAnsi"/>
        </w:rPr>
        <w:t>not</w:t>
      </w:r>
      <w:r w:rsidRPr="00BC6EA9">
        <w:rPr>
          <w:rFonts w:eastAsia="Arial" w:cstheme="minorHAnsi"/>
          <w:spacing w:val="-1"/>
        </w:rPr>
        <w:t xml:space="preserve"> </w:t>
      </w:r>
      <w:r w:rsidRPr="00BC6EA9">
        <w:rPr>
          <w:rFonts w:eastAsia="Arial" w:cstheme="minorHAnsi"/>
        </w:rPr>
        <w:t>need</w:t>
      </w:r>
      <w:r w:rsidRPr="00BC6EA9">
        <w:rPr>
          <w:rFonts w:eastAsia="Arial" w:cstheme="minorHAnsi"/>
          <w:spacing w:val="-1"/>
        </w:rPr>
        <w:t xml:space="preserve"> </w:t>
      </w:r>
      <w:r w:rsidRPr="00BC6EA9">
        <w:rPr>
          <w:rFonts w:eastAsia="Arial" w:cstheme="minorHAnsi"/>
        </w:rPr>
        <w:t>to</w:t>
      </w:r>
      <w:r w:rsidRPr="00BC6EA9">
        <w:rPr>
          <w:rFonts w:eastAsia="Arial" w:cstheme="minorHAnsi"/>
          <w:spacing w:val="-2"/>
        </w:rPr>
        <w:t xml:space="preserve"> </w:t>
      </w:r>
      <w:r w:rsidRPr="00BC6EA9">
        <w:rPr>
          <w:rFonts w:eastAsia="Arial" w:cstheme="minorHAnsi"/>
        </w:rPr>
        <w:t>be</w:t>
      </w:r>
      <w:r w:rsidRPr="00BC6EA9">
        <w:rPr>
          <w:rFonts w:eastAsia="Arial" w:cstheme="minorHAnsi"/>
          <w:spacing w:val="-1"/>
        </w:rPr>
        <w:t xml:space="preserve"> </w:t>
      </w:r>
      <w:r w:rsidRPr="00BC6EA9">
        <w:rPr>
          <w:rFonts w:eastAsia="Arial" w:cstheme="minorHAnsi"/>
        </w:rPr>
        <w:t>sent</w:t>
      </w:r>
      <w:r w:rsidRPr="00BC6EA9">
        <w:rPr>
          <w:rFonts w:eastAsia="Arial" w:cstheme="minorHAnsi"/>
          <w:spacing w:val="-1"/>
        </w:rPr>
        <w:t xml:space="preserve"> </w:t>
      </w:r>
      <w:r w:rsidRPr="00BC6EA9">
        <w:rPr>
          <w:rFonts w:eastAsia="Arial" w:cstheme="minorHAnsi"/>
        </w:rPr>
        <w:t>to</w:t>
      </w:r>
      <w:r w:rsidRPr="00BC6EA9">
        <w:rPr>
          <w:rFonts w:eastAsia="Arial" w:cstheme="minorHAnsi"/>
          <w:spacing w:val="-2"/>
        </w:rPr>
        <w:t xml:space="preserve"> </w:t>
      </w:r>
      <w:r w:rsidRPr="00BC6EA9">
        <w:rPr>
          <w:rFonts w:eastAsia="Arial" w:cstheme="minorHAnsi"/>
        </w:rPr>
        <w:t>the</w:t>
      </w:r>
      <w:r w:rsidRPr="00BC6EA9">
        <w:rPr>
          <w:rFonts w:eastAsia="Arial" w:cstheme="minorHAnsi"/>
          <w:spacing w:val="-1"/>
        </w:rPr>
        <w:t xml:space="preserve"> </w:t>
      </w:r>
      <w:r w:rsidRPr="00BC6EA9">
        <w:rPr>
          <w:rFonts w:eastAsia="Arial" w:cstheme="minorHAnsi"/>
        </w:rPr>
        <w:t>insurance</w:t>
      </w:r>
      <w:r w:rsidRPr="00BC6EA9">
        <w:rPr>
          <w:rFonts w:eastAsia="Arial" w:cstheme="minorHAnsi"/>
          <w:spacing w:val="-1"/>
        </w:rPr>
        <w:t xml:space="preserve"> </w:t>
      </w:r>
      <w:r w:rsidRPr="00BC6EA9">
        <w:rPr>
          <w:rFonts w:eastAsia="Arial" w:cstheme="minorHAnsi"/>
        </w:rPr>
        <w:t>company</w:t>
      </w:r>
      <w:r w:rsidRPr="00BC6EA9">
        <w:rPr>
          <w:rFonts w:eastAsia="Arial" w:cstheme="minorHAnsi"/>
          <w:spacing w:val="-1"/>
        </w:rPr>
        <w:t xml:space="preserve"> </w:t>
      </w:r>
      <w:r w:rsidRPr="00BC6EA9">
        <w:rPr>
          <w:rFonts w:eastAsia="Arial" w:cstheme="minorHAnsi"/>
        </w:rPr>
        <w:t>with</w:t>
      </w:r>
      <w:r w:rsidRPr="00BC6EA9">
        <w:rPr>
          <w:rFonts w:eastAsia="Arial" w:cstheme="minorHAnsi"/>
          <w:spacing w:val="-1"/>
        </w:rPr>
        <w:t xml:space="preserve"> </w:t>
      </w:r>
      <w:r w:rsidRPr="00BC6EA9">
        <w:rPr>
          <w:rFonts w:eastAsia="Arial" w:cstheme="minorHAnsi"/>
        </w:rPr>
        <w:t>the</w:t>
      </w:r>
      <w:r w:rsidRPr="00BC6EA9">
        <w:rPr>
          <w:rFonts w:eastAsia="Arial" w:cstheme="minorHAnsi"/>
          <w:spacing w:val="-1"/>
        </w:rPr>
        <w:t xml:space="preserve"> </w:t>
      </w:r>
      <w:r w:rsidRPr="00BC6EA9">
        <w:rPr>
          <w:rFonts w:eastAsia="Arial" w:cstheme="minorHAnsi"/>
        </w:rPr>
        <w:t>above</w:t>
      </w:r>
      <w:r w:rsidRPr="00BC6EA9">
        <w:rPr>
          <w:rFonts w:eastAsia="Arial" w:cstheme="minorHAnsi"/>
          <w:spacing w:val="-2"/>
        </w:rPr>
        <w:t xml:space="preserve"> </w:t>
      </w:r>
      <w:r w:rsidRPr="00BC6EA9">
        <w:rPr>
          <w:rFonts w:eastAsia="Arial" w:cstheme="minorHAnsi"/>
        </w:rPr>
        <w:t>optional enclosures.</w:t>
      </w:r>
    </w:p>
    <w:p w14:paraId="5976322B" w14:textId="77777777" w:rsidR="00BC6EA9" w:rsidRPr="00BC6EA9" w:rsidRDefault="00BC6EA9" w:rsidP="00BC6EA9">
      <w:pPr>
        <w:widowControl w:val="0"/>
        <w:spacing w:after="0" w:line="240" w:lineRule="auto"/>
        <w:rPr>
          <w:rFonts w:eastAsia="Arial" w:cstheme="minorHAnsi"/>
          <w:sz w:val="24"/>
          <w:szCs w:val="24"/>
        </w:rPr>
      </w:pPr>
    </w:p>
    <w:p w14:paraId="238DD022" w14:textId="77777777" w:rsidR="00BC6EA9" w:rsidRPr="005F2822" w:rsidRDefault="00BC6EA9" w:rsidP="00BC6EA9">
      <w:pPr>
        <w:widowControl w:val="0"/>
        <w:spacing w:after="100" w:afterAutospacing="1" w:line="240" w:lineRule="auto"/>
        <w:rPr>
          <w:rFonts w:ascii="Calibri" w:eastAsia="Calibri" w:hAnsi="Calibri" w:cs="Calibri"/>
          <w:b/>
          <w:i/>
        </w:rPr>
      </w:pPr>
      <w:r w:rsidRPr="005F2822">
        <w:rPr>
          <w:rFonts w:ascii="Calibri" w:eastAsia="Calibri" w:hAnsi="Calibri" w:cs="Calibri"/>
          <w:b/>
          <w:color w:val="0C1C8E"/>
        </w:rPr>
        <w:t>Indication</w:t>
      </w:r>
      <w:r w:rsidRPr="005F2822">
        <w:rPr>
          <w:rFonts w:ascii="Calibri" w:eastAsia="Calibri" w:hAnsi="Calibri" w:cs="Calibri"/>
          <w:b/>
          <w:color w:val="0070C0"/>
        </w:rPr>
        <w:t xml:space="preserve"> </w:t>
      </w:r>
      <w:r w:rsidRPr="005F2822">
        <w:rPr>
          <w:rFonts w:ascii="Calibri" w:eastAsia="Calibri" w:hAnsi="Calibri" w:cs="Calibri"/>
          <w:b/>
        </w:rPr>
        <w:br/>
      </w:r>
      <w:r w:rsidRPr="005F2822">
        <w:rPr>
          <w:rFonts w:ascii="Calibri" w:eastAsia="Calibri" w:hAnsi="Calibri" w:cs="Calibri"/>
        </w:rPr>
        <w:t>NUPLAZID is indicated for the treatment of hallucinations and delusions associated with Parkinson’s disease psychosis.</w:t>
      </w:r>
    </w:p>
    <w:p w14:paraId="12766379" w14:textId="77777777" w:rsidR="00BC6EA9" w:rsidRPr="005F2822" w:rsidRDefault="00BC6EA9" w:rsidP="00BC6EA9">
      <w:pPr>
        <w:widowControl w:val="0"/>
        <w:spacing w:after="120" w:line="240" w:lineRule="auto"/>
        <w:rPr>
          <w:rFonts w:ascii="Calibri" w:eastAsia="Calibri" w:hAnsi="Calibri" w:cs="Calibri"/>
          <w:b/>
          <w:color w:val="0C1C8E"/>
        </w:rPr>
      </w:pPr>
      <w:r w:rsidRPr="005F2822">
        <w:rPr>
          <w:rFonts w:ascii="Calibri" w:eastAsia="Calibri" w:hAnsi="Calibri" w:cs="Calibri"/>
          <w:b/>
          <w:color w:val="0C1C8E"/>
        </w:rPr>
        <w:t xml:space="preserve">Important Safety Information </w:t>
      </w:r>
    </w:p>
    <w:p w14:paraId="62D2D87F" w14:textId="77777777" w:rsidR="00BC6EA9" w:rsidRPr="005F2822" w:rsidRDefault="00BC6EA9" w:rsidP="00BC6EA9">
      <w:pPr>
        <w:widowControl w:val="0"/>
        <w:spacing w:after="0" w:line="240" w:lineRule="auto"/>
        <w:rPr>
          <w:rFonts w:ascii="Calibri" w:eastAsia="Calibri" w:hAnsi="Calibri" w:cs="Calibri"/>
          <w:b/>
          <w:color w:val="0C1C8E"/>
        </w:rPr>
      </w:pPr>
      <w:r w:rsidRPr="005F2822">
        <w:rPr>
          <w:rFonts w:ascii="Calibri" w:eastAsia="Calibri" w:hAnsi="Calibri" w:cs="Calibri"/>
          <w:b/>
          <w:color w:val="0C1C8E"/>
        </w:rPr>
        <w:t>WARNING: INCREASED MORTALITY IN ELDERLY PATIENTS WITH DEMENTIA-RELATED PSYCHOSIS</w:t>
      </w:r>
    </w:p>
    <w:p w14:paraId="4DC85B2D" w14:textId="77777777" w:rsidR="00BC6EA9" w:rsidRPr="005F2822" w:rsidRDefault="00BC6EA9" w:rsidP="00BC6EA9">
      <w:pPr>
        <w:widowControl w:val="0"/>
        <w:numPr>
          <w:ilvl w:val="0"/>
          <w:numId w:val="8"/>
        </w:numPr>
        <w:spacing w:before="120" w:after="0" w:line="240" w:lineRule="auto"/>
        <w:ind w:left="720"/>
        <w:rPr>
          <w:rFonts w:ascii="Calibri" w:eastAsia="Calibri" w:hAnsi="Calibri" w:cs="Calibri"/>
          <w:b/>
        </w:rPr>
      </w:pPr>
      <w:r w:rsidRPr="005F2822">
        <w:rPr>
          <w:rFonts w:ascii="Calibri" w:eastAsia="Calibri" w:hAnsi="Calibri" w:cs="Calibri"/>
          <w:b/>
        </w:rPr>
        <w:t xml:space="preserve">Elderly patients with dementia-related psychosis treated with antipsychotic drugs are at an increased risk of death. </w:t>
      </w:r>
    </w:p>
    <w:p w14:paraId="1A5E9B6D" w14:textId="77777777" w:rsidR="00BC6EA9" w:rsidRPr="005F2822" w:rsidRDefault="00BC6EA9" w:rsidP="00BC6EA9">
      <w:pPr>
        <w:widowControl w:val="0"/>
        <w:numPr>
          <w:ilvl w:val="0"/>
          <w:numId w:val="8"/>
        </w:numPr>
        <w:spacing w:before="120" w:after="120" w:line="240" w:lineRule="auto"/>
        <w:ind w:left="720"/>
        <w:rPr>
          <w:rFonts w:ascii="Calibri" w:eastAsia="Calibri" w:hAnsi="Calibri" w:cs="Calibri"/>
          <w:b/>
        </w:rPr>
      </w:pPr>
      <w:r w:rsidRPr="005F2822">
        <w:rPr>
          <w:rFonts w:ascii="Calibri" w:eastAsia="Calibri" w:hAnsi="Calibri" w:cs="Calibri"/>
          <w:b/>
        </w:rPr>
        <w:t>NUPLAZID is not approved for the treatment of patients with dementia-related psychosis unrelated to the hallucinations and delusions associated with Parkinson’s disease psychosis.</w:t>
      </w:r>
    </w:p>
    <w:p w14:paraId="3A7D626A" w14:textId="77777777" w:rsidR="00BC6EA9" w:rsidRPr="005F2822" w:rsidRDefault="00BC6EA9" w:rsidP="00BC6EA9">
      <w:pPr>
        <w:widowControl w:val="0"/>
        <w:spacing w:after="120" w:line="240" w:lineRule="auto"/>
        <w:rPr>
          <w:rFonts w:ascii="Calibri" w:eastAsia="Calibri" w:hAnsi="Calibri" w:cs="Calibri"/>
          <w:b/>
        </w:rPr>
      </w:pPr>
    </w:p>
    <w:p w14:paraId="773550B9" w14:textId="77777777" w:rsidR="00BC6EA9" w:rsidRPr="005F2822" w:rsidRDefault="00BC6EA9" w:rsidP="00BC6EA9">
      <w:pPr>
        <w:widowControl w:val="0"/>
        <w:numPr>
          <w:ilvl w:val="0"/>
          <w:numId w:val="5"/>
        </w:numPr>
        <w:spacing w:before="120" w:after="0" w:line="240" w:lineRule="auto"/>
        <w:ind w:left="187" w:right="274" w:hanging="187"/>
        <w:contextualSpacing/>
        <w:rPr>
          <w:rFonts w:ascii="Calibri" w:eastAsia="Calibri" w:hAnsi="Calibri" w:cs="Calibri"/>
          <w:b/>
        </w:rPr>
      </w:pPr>
      <w:r w:rsidRPr="005F2822">
        <w:rPr>
          <w:rFonts w:ascii="Calibri" w:eastAsia="Calibri" w:hAnsi="Calibri" w:cs="Calibri"/>
          <w:b/>
          <w:color w:val="0C1C8E"/>
        </w:rPr>
        <w:t>Contraindication:</w:t>
      </w:r>
      <w:r w:rsidRPr="005F2822">
        <w:rPr>
          <w:rFonts w:ascii="Calibri" w:eastAsia="Calibri" w:hAnsi="Calibri" w:cs="Calibri"/>
          <w:color w:val="0C1C8E"/>
        </w:rPr>
        <w:t xml:space="preserve"> </w:t>
      </w:r>
      <w:r w:rsidRPr="005F2822">
        <w:rPr>
          <w:rFonts w:ascii="Calibri" w:eastAsia="Calibri" w:hAnsi="Calibri" w:cs="Calibri"/>
        </w:rPr>
        <w:t xml:space="preserve">NUPLAZID is contraindicated in patients with a history of a hypersensitivity reaction to pimavanserin or any of its components. Rash, urticaria, and reactions consistent with angioedema (e.g., tongue swelling, circumoral edema, throat tightness, and dyspnea) have been </w:t>
      </w:r>
      <w:r w:rsidRPr="005F2822">
        <w:rPr>
          <w:rFonts w:ascii="Calibri" w:eastAsia="Calibri" w:hAnsi="Calibri" w:cs="Calibri"/>
        </w:rPr>
        <w:lastRenderedPageBreak/>
        <w:t>reported.</w:t>
      </w:r>
    </w:p>
    <w:p w14:paraId="5366CFB4" w14:textId="77777777" w:rsidR="00BC6EA9" w:rsidRPr="005F2822" w:rsidRDefault="00BC6EA9" w:rsidP="00BC6EA9">
      <w:pPr>
        <w:widowControl w:val="0"/>
        <w:numPr>
          <w:ilvl w:val="0"/>
          <w:numId w:val="5"/>
        </w:numPr>
        <w:spacing w:before="120" w:after="0" w:line="240" w:lineRule="auto"/>
        <w:ind w:left="187" w:hanging="187"/>
        <w:rPr>
          <w:rFonts w:ascii="Calibri" w:eastAsia="Times New Roman" w:hAnsi="Calibri" w:cs="Calibri"/>
          <w:color w:val="0070C0"/>
        </w:rPr>
      </w:pPr>
      <w:r w:rsidRPr="005F2822">
        <w:rPr>
          <w:rFonts w:ascii="Calibri" w:eastAsia="Times New Roman" w:hAnsi="Calibri" w:cs="Calibri"/>
          <w:b/>
          <w:color w:val="0C1C8E"/>
        </w:rPr>
        <w:t xml:space="preserve">Warnings and Precautions: </w:t>
      </w:r>
      <w:r w:rsidRPr="005F2822">
        <w:rPr>
          <w:rFonts w:ascii="Calibri" w:eastAsia="Times New Roman" w:hAnsi="Calibri" w:cs="Calibri"/>
          <w:color w:val="000000"/>
        </w:rPr>
        <w:t xml:space="preserve">QT Interval Prolongation </w:t>
      </w:r>
    </w:p>
    <w:p w14:paraId="2A3B0808" w14:textId="77777777" w:rsidR="00BC6EA9" w:rsidRPr="005F2822" w:rsidRDefault="00BC6EA9" w:rsidP="00BC6EA9">
      <w:pPr>
        <w:widowControl w:val="0"/>
        <w:numPr>
          <w:ilvl w:val="0"/>
          <w:numId w:val="6"/>
        </w:numPr>
        <w:spacing w:after="0" w:line="240" w:lineRule="auto"/>
        <w:rPr>
          <w:rFonts w:ascii="Calibri" w:eastAsia="Times New Roman" w:hAnsi="Calibri" w:cs="Calibri"/>
        </w:rPr>
      </w:pPr>
      <w:r w:rsidRPr="005F2822">
        <w:rPr>
          <w:rFonts w:ascii="Calibri" w:eastAsia="Times New Roman" w:hAnsi="Calibri" w:cs="Calibri"/>
        </w:rPr>
        <w:t xml:space="preserve">NUPLAZID prolongs the QT interval. The use of NUPLAZID should be avoided in patients with known QT prolongation or in combination with other drugs known to prolong QT interval including Class 1A antiarrhythmics or Class 3 antiarrhythmics, certain antipsychotic medications, and certain antibiotics. </w:t>
      </w:r>
    </w:p>
    <w:p w14:paraId="35AFD401" w14:textId="77777777" w:rsidR="00BC6EA9" w:rsidRPr="005F2822" w:rsidRDefault="00BC6EA9" w:rsidP="00BC6EA9">
      <w:pPr>
        <w:widowControl w:val="0"/>
        <w:numPr>
          <w:ilvl w:val="0"/>
          <w:numId w:val="6"/>
        </w:numPr>
        <w:spacing w:after="0" w:line="240" w:lineRule="auto"/>
        <w:rPr>
          <w:rFonts w:ascii="Calibri" w:eastAsia="Times New Roman" w:hAnsi="Calibri" w:cs="Calibri"/>
        </w:rPr>
      </w:pPr>
      <w:r w:rsidRPr="005F2822">
        <w:rPr>
          <w:rFonts w:ascii="Calibri" w:eastAsia="Times New Roman" w:hAnsi="Calibri" w:cs="Calibri"/>
        </w:rPr>
        <w:t xml:space="preserve">NUPLAZID should also be avoided in patients with a history of cardiac arrhythmias, as well as other circumstances that may increase the risk of the occurrence of torsade de pointes and/or sudden death, including symptomatic bradycardia, hypokalemia or hypomagnesemia, and presence of congenital prolongation of the QT interval. </w:t>
      </w:r>
    </w:p>
    <w:p w14:paraId="3564ED93" w14:textId="77777777" w:rsidR="00BC6EA9" w:rsidRPr="005F2822" w:rsidRDefault="00BC6EA9" w:rsidP="00BC6EA9">
      <w:pPr>
        <w:widowControl w:val="0"/>
        <w:numPr>
          <w:ilvl w:val="0"/>
          <w:numId w:val="5"/>
        </w:numPr>
        <w:spacing w:before="120" w:after="0" w:line="240" w:lineRule="auto"/>
        <w:ind w:left="187" w:hanging="187"/>
        <w:rPr>
          <w:rFonts w:ascii="Calibri" w:eastAsia="Times New Roman" w:hAnsi="Calibri" w:cs="Calibri"/>
          <w:b/>
        </w:rPr>
      </w:pPr>
      <w:r w:rsidRPr="005F2822">
        <w:rPr>
          <w:rFonts w:ascii="Calibri" w:eastAsia="Times New Roman" w:hAnsi="Calibri" w:cs="Calibri"/>
          <w:b/>
          <w:color w:val="0C1C8E"/>
        </w:rPr>
        <w:t xml:space="preserve">Adverse Reactions: </w:t>
      </w:r>
      <w:r w:rsidRPr="005F2822">
        <w:rPr>
          <w:rFonts w:ascii="Calibri" w:eastAsia="Times New Roman" w:hAnsi="Calibri" w:cs="Calibri"/>
        </w:rPr>
        <w:t>The</w:t>
      </w:r>
      <w:r w:rsidRPr="005F2822">
        <w:rPr>
          <w:rFonts w:ascii="Calibri" w:eastAsia="Times New Roman" w:hAnsi="Calibri" w:cs="Calibri"/>
          <w:b/>
        </w:rPr>
        <w:t xml:space="preserve"> </w:t>
      </w:r>
      <w:r w:rsidRPr="005F2822">
        <w:rPr>
          <w:rFonts w:ascii="Calibri" w:eastAsia="Times New Roman" w:hAnsi="Calibri" w:cs="Calibri"/>
        </w:rPr>
        <w:t>common adverse reactions</w:t>
      </w:r>
      <w:r w:rsidRPr="005F2822">
        <w:rPr>
          <w:rFonts w:ascii="Calibri" w:eastAsia="Times New Roman" w:hAnsi="Calibri" w:cs="Calibri"/>
          <w:b/>
        </w:rPr>
        <w:t xml:space="preserve"> </w:t>
      </w:r>
      <w:r w:rsidRPr="005F2822">
        <w:rPr>
          <w:rFonts w:ascii="Calibri" w:eastAsia="Times New Roman" w:hAnsi="Calibri" w:cs="Calibri"/>
        </w:rPr>
        <w:t>(≥2% for NUPLAZID and greater than placebo) were</w:t>
      </w:r>
      <w:r w:rsidRPr="005F2822">
        <w:rPr>
          <w:rFonts w:ascii="Calibri" w:eastAsia="Times New Roman" w:hAnsi="Calibri" w:cs="Calibri"/>
          <w:b/>
        </w:rPr>
        <w:t xml:space="preserve"> </w:t>
      </w:r>
      <w:r w:rsidRPr="005F2822">
        <w:rPr>
          <w:rFonts w:ascii="Calibri" w:eastAsia="Times New Roman" w:hAnsi="Calibri" w:cs="Calibri"/>
        </w:rPr>
        <w:t xml:space="preserve">peripheral edema (7% vs 2%), nausea (7% vs 4%), </w:t>
      </w:r>
      <w:proofErr w:type="spellStart"/>
      <w:r w:rsidRPr="005F2822">
        <w:rPr>
          <w:rFonts w:ascii="Calibri" w:eastAsia="Times New Roman" w:hAnsi="Calibri" w:cs="Calibri"/>
        </w:rPr>
        <w:t>confusional</w:t>
      </w:r>
      <w:proofErr w:type="spellEnd"/>
      <w:r w:rsidRPr="005F2822">
        <w:rPr>
          <w:rFonts w:ascii="Calibri" w:eastAsia="Times New Roman" w:hAnsi="Calibri" w:cs="Calibri"/>
        </w:rPr>
        <w:t xml:space="preserve"> state (6% vs 3%), hallucination (5% vs 3%), constipation (4% vs 3%), and gait disturbance (2% vs &lt;1%).</w:t>
      </w:r>
    </w:p>
    <w:p w14:paraId="7BFAF79E" w14:textId="77777777" w:rsidR="00BC6EA9" w:rsidRPr="005F2822" w:rsidRDefault="00BC6EA9" w:rsidP="00BC6EA9">
      <w:pPr>
        <w:widowControl w:val="0"/>
        <w:numPr>
          <w:ilvl w:val="0"/>
          <w:numId w:val="5"/>
        </w:numPr>
        <w:spacing w:before="120" w:after="0" w:line="240" w:lineRule="auto"/>
        <w:ind w:left="187" w:hanging="187"/>
        <w:rPr>
          <w:rFonts w:ascii="Calibri" w:eastAsia="Times New Roman" w:hAnsi="Calibri" w:cs="Calibri"/>
          <w:color w:val="0C1C8E"/>
        </w:rPr>
      </w:pPr>
      <w:r w:rsidRPr="005F2822">
        <w:rPr>
          <w:rFonts w:ascii="Calibri" w:eastAsia="Times New Roman" w:hAnsi="Calibri" w:cs="Calibri"/>
          <w:b/>
          <w:color w:val="0C1C8E"/>
        </w:rPr>
        <w:t xml:space="preserve">Drug Interactions: </w:t>
      </w:r>
    </w:p>
    <w:p w14:paraId="65FA52B8" w14:textId="77777777" w:rsidR="00BC6EA9" w:rsidRPr="005F2822" w:rsidRDefault="00BC6EA9" w:rsidP="00BC6EA9">
      <w:pPr>
        <w:widowControl w:val="0"/>
        <w:numPr>
          <w:ilvl w:val="0"/>
          <w:numId w:val="6"/>
        </w:numPr>
        <w:spacing w:after="0" w:line="240" w:lineRule="auto"/>
        <w:rPr>
          <w:rFonts w:ascii="Calibri" w:eastAsia="Times New Roman" w:hAnsi="Calibri" w:cs="Calibri"/>
        </w:rPr>
      </w:pPr>
      <w:r w:rsidRPr="005F2822">
        <w:rPr>
          <w:rFonts w:ascii="Calibri" w:eastAsia="Times New Roman" w:hAnsi="Calibri" w:cs="Calibri"/>
        </w:rPr>
        <w:t xml:space="preserve">Coadministration with strong CYP3A4 inhibitors (e.g., ketoconazole) increases NUPLAZID exposure. Reduce NUPLAZID dose to 10 mg taken orally as one tablet once daily. </w:t>
      </w:r>
    </w:p>
    <w:p w14:paraId="4F445374" w14:textId="77777777" w:rsidR="00BC6EA9" w:rsidRPr="005F2822" w:rsidRDefault="00BC6EA9" w:rsidP="00BC6EA9">
      <w:pPr>
        <w:widowControl w:val="0"/>
        <w:numPr>
          <w:ilvl w:val="0"/>
          <w:numId w:val="6"/>
        </w:numPr>
        <w:spacing w:after="0" w:line="240" w:lineRule="auto"/>
        <w:rPr>
          <w:rFonts w:ascii="Calibri" w:eastAsia="Times New Roman" w:hAnsi="Calibri" w:cs="Calibri"/>
        </w:rPr>
      </w:pPr>
      <w:r w:rsidRPr="005F2822">
        <w:rPr>
          <w:rFonts w:ascii="Calibri" w:eastAsia="Times New Roman" w:hAnsi="Calibri" w:cs="Calibri"/>
        </w:rPr>
        <w:t>Coadministration with strong or moderate CYP3A4 inducers reduces NUPLAZID exposure. Avoid concomitant use of strong or moderate CYP3A4 inducers with NUPLAZID.</w:t>
      </w:r>
    </w:p>
    <w:p w14:paraId="0B427797" w14:textId="77777777" w:rsidR="00BC6EA9" w:rsidRPr="005F2822" w:rsidRDefault="00BC6EA9" w:rsidP="00BC6EA9">
      <w:pPr>
        <w:spacing w:before="240" w:after="0" w:line="240" w:lineRule="auto"/>
        <w:rPr>
          <w:rFonts w:ascii="Calibri" w:eastAsia="Times New Roman" w:hAnsi="Calibri" w:cs="Calibri"/>
        </w:rPr>
      </w:pPr>
      <w:r w:rsidRPr="005F2822">
        <w:rPr>
          <w:rFonts w:ascii="Calibri" w:eastAsia="Times New Roman" w:hAnsi="Calibri" w:cs="Calibri"/>
          <w:b/>
          <w:color w:val="0C1C8E"/>
        </w:rPr>
        <w:t xml:space="preserve">Dosage and Administration </w:t>
      </w:r>
      <w:r w:rsidRPr="005F2822">
        <w:rPr>
          <w:rFonts w:ascii="Calibri" w:eastAsia="Times New Roman" w:hAnsi="Calibri" w:cs="Calibri"/>
        </w:rPr>
        <w:br/>
        <w:t>Recommended dose: 34 mg capsule taken orally once daily, without titration.</w:t>
      </w:r>
    </w:p>
    <w:p w14:paraId="0FF2854B" w14:textId="77777777" w:rsidR="00BC6EA9" w:rsidRPr="005F2822" w:rsidRDefault="00BC6EA9" w:rsidP="00BC6EA9">
      <w:pPr>
        <w:spacing w:before="240" w:after="0" w:line="240" w:lineRule="auto"/>
        <w:ind w:left="360" w:hanging="360"/>
        <w:rPr>
          <w:rFonts w:ascii="Calibri" w:eastAsia="Times New Roman" w:hAnsi="Calibri" w:cs="Calibri"/>
        </w:rPr>
      </w:pPr>
      <w:r w:rsidRPr="005F2822">
        <w:rPr>
          <w:rFonts w:ascii="Calibri" w:eastAsia="Times New Roman" w:hAnsi="Calibri" w:cs="Calibri"/>
        </w:rPr>
        <w:t>NUPLAZID is available as 34 mg capsules and 10 mg tablets.</w:t>
      </w:r>
    </w:p>
    <w:p w14:paraId="65F052E1" w14:textId="18F43F8F" w:rsidR="00BC6EA9" w:rsidRDefault="00BC6EA9" w:rsidP="00BC6EA9">
      <w:pPr>
        <w:spacing w:before="240" w:after="0" w:line="240" w:lineRule="auto"/>
        <w:rPr>
          <w:rFonts w:ascii="Calibri" w:eastAsia="Times New Roman" w:hAnsi="Calibri" w:cs="Calibri"/>
          <w:color w:val="0563C1"/>
          <w:u w:val="single"/>
        </w:rPr>
      </w:pPr>
      <w:r w:rsidRPr="005F2822">
        <w:rPr>
          <w:rFonts w:ascii="Calibri" w:eastAsia="Times New Roman" w:hAnsi="Calibri" w:cs="Calibri"/>
        </w:rPr>
        <w:t xml:space="preserve">Please read the full </w:t>
      </w:r>
      <w:hyperlink r:id="rId5" w:history="1">
        <w:r w:rsidRPr="005F2822">
          <w:rPr>
            <w:rFonts w:ascii="Calibri" w:eastAsia="Times New Roman" w:hAnsi="Calibri" w:cs="Calibri"/>
            <w:color w:val="0563C1"/>
            <w:u w:val="single"/>
          </w:rPr>
          <w:t>Prescribing Information</w:t>
        </w:r>
      </w:hyperlink>
      <w:r w:rsidRPr="005F2822">
        <w:rPr>
          <w:rFonts w:ascii="Calibri" w:eastAsia="Times New Roman" w:hAnsi="Calibri" w:cs="Calibri"/>
        </w:rPr>
        <w:t xml:space="preserve">, including </w:t>
      </w:r>
      <w:r w:rsidRPr="005F2822">
        <w:rPr>
          <w:rFonts w:ascii="Calibri" w:eastAsia="Times New Roman" w:hAnsi="Calibri" w:cs="Calibri"/>
          <w:b/>
          <w:bCs/>
        </w:rPr>
        <w:t>Boxed WARNING</w:t>
      </w:r>
      <w:r w:rsidRPr="005F2822">
        <w:rPr>
          <w:rFonts w:ascii="Calibri" w:eastAsia="Times New Roman" w:hAnsi="Calibri" w:cs="Calibri"/>
        </w:rPr>
        <w:t xml:space="preserve">, also available at </w:t>
      </w:r>
      <w:hyperlink r:id="rId6" w:history="1">
        <w:r w:rsidRPr="005F2822">
          <w:rPr>
            <w:rFonts w:ascii="Calibri" w:eastAsia="Times New Roman" w:hAnsi="Calibri" w:cs="Calibri"/>
            <w:color w:val="0563C1"/>
            <w:u w:val="single"/>
          </w:rPr>
          <w:t>NUPLAZIDhcp.com</w:t>
        </w:r>
      </w:hyperlink>
      <w:r w:rsidR="00647933">
        <w:rPr>
          <w:rFonts w:ascii="Calibri" w:eastAsia="Times New Roman" w:hAnsi="Calibri" w:cs="Calibri"/>
          <w:color w:val="0563C1"/>
          <w:u w:val="single"/>
        </w:rPr>
        <w:t>.</w:t>
      </w:r>
    </w:p>
    <w:p w14:paraId="76C78983" w14:textId="77777777" w:rsidR="00BC6EA9" w:rsidRPr="00BC6EA9" w:rsidRDefault="00BC6EA9" w:rsidP="00BC6EA9">
      <w:pPr>
        <w:spacing w:before="240" w:after="0" w:line="240" w:lineRule="auto"/>
        <w:rPr>
          <w:rFonts w:eastAsia="Times New Roman" w:cstheme="minorHAnsi"/>
        </w:rPr>
      </w:pPr>
    </w:p>
    <w:p w14:paraId="5FF3667E" w14:textId="0FCC4E68" w:rsidR="00BC6EA9" w:rsidRPr="00647933" w:rsidRDefault="00BC6EA9" w:rsidP="00BC6EA9">
      <w:pPr>
        <w:spacing w:after="0" w:line="240" w:lineRule="auto"/>
        <w:rPr>
          <w:rFonts w:cstheme="minorHAnsi"/>
          <w:b/>
          <w:bCs/>
          <w:szCs w:val="24"/>
        </w:rPr>
      </w:pPr>
      <w:r w:rsidRPr="00BC6EA9">
        <w:rPr>
          <w:rFonts w:cstheme="minorHAnsi"/>
          <w:b/>
          <w:szCs w:val="24"/>
        </w:rPr>
        <w:t>References: 1.</w:t>
      </w:r>
      <w:r w:rsidRPr="00BC6EA9">
        <w:rPr>
          <w:rFonts w:cstheme="minorHAnsi"/>
          <w:szCs w:val="24"/>
        </w:rPr>
        <w:t xml:space="preserve"> </w:t>
      </w:r>
      <w:r w:rsidRPr="00BC6EA9">
        <w:rPr>
          <w:rFonts w:eastAsia="Calibri" w:cstheme="minorHAnsi"/>
        </w:rPr>
        <w:t xml:space="preserve">Acadia Pharmaceuticals Inc. NUPLAZID® [package insert]. San Diego, CA; </w:t>
      </w:r>
      <w:r w:rsidR="0050166A" w:rsidRPr="00BC6EA9">
        <w:rPr>
          <w:rFonts w:eastAsia="Calibri" w:cstheme="minorHAnsi"/>
        </w:rPr>
        <w:t>20</w:t>
      </w:r>
      <w:r w:rsidR="0050166A">
        <w:rPr>
          <w:rFonts w:eastAsia="Calibri" w:cstheme="minorHAnsi"/>
        </w:rPr>
        <w:t>20</w:t>
      </w:r>
      <w:r w:rsidRPr="00BC6EA9">
        <w:rPr>
          <w:rFonts w:eastAsia="Calibri" w:cstheme="minorHAnsi"/>
        </w:rPr>
        <w:t>.</w:t>
      </w:r>
      <w:r w:rsidRPr="00BC6EA9">
        <w:rPr>
          <w:rFonts w:cstheme="minorHAnsi"/>
          <w:szCs w:val="24"/>
        </w:rPr>
        <w:t xml:space="preserve"> </w:t>
      </w:r>
      <w:r w:rsidRPr="00BC6EA9">
        <w:rPr>
          <w:rFonts w:cstheme="minorHAnsi"/>
          <w:b/>
          <w:szCs w:val="24"/>
        </w:rPr>
        <w:t>2.</w:t>
      </w:r>
      <w:r w:rsidRPr="00BC6EA9">
        <w:rPr>
          <w:rFonts w:cstheme="minorHAnsi"/>
          <w:szCs w:val="24"/>
        </w:rPr>
        <w:t xml:space="preserve"> Cummings J, Isaacson S, Mills R, Williams H, et al. Pimavanserin for patients with Parkinson’s disease psychosis: a randomised, placebo-controlled phase 3 trial. </w:t>
      </w:r>
      <w:r w:rsidRPr="00BC6EA9">
        <w:rPr>
          <w:rFonts w:cstheme="minorHAnsi"/>
          <w:i/>
          <w:szCs w:val="24"/>
        </w:rPr>
        <w:t>Lancet</w:t>
      </w:r>
      <w:r w:rsidRPr="00BC6EA9">
        <w:rPr>
          <w:rFonts w:cstheme="minorHAnsi"/>
          <w:szCs w:val="24"/>
        </w:rPr>
        <w:t>.</w:t>
      </w:r>
      <w:r w:rsidRPr="00BC6EA9">
        <w:rPr>
          <w:rFonts w:cstheme="minorHAnsi"/>
          <w:i/>
          <w:szCs w:val="24"/>
        </w:rPr>
        <w:t xml:space="preserve"> </w:t>
      </w:r>
      <w:r w:rsidRPr="00BC6EA9">
        <w:rPr>
          <w:rFonts w:cstheme="minorHAnsi"/>
          <w:szCs w:val="24"/>
        </w:rPr>
        <w:t>2014;383(9916):533-540.</w:t>
      </w:r>
      <w:r w:rsidR="006615F2">
        <w:rPr>
          <w:rFonts w:cstheme="minorHAnsi"/>
          <w:szCs w:val="24"/>
        </w:rPr>
        <w:t xml:space="preserve"> </w:t>
      </w:r>
      <w:r w:rsidR="006615F2">
        <w:rPr>
          <w:rFonts w:cstheme="minorHAnsi"/>
          <w:b/>
          <w:bCs/>
          <w:szCs w:val="24"/>
        </w:rPr>
        <w:t xml:space="preserve">3. </w:t>
      </w:r>
      <w:r w:rsidR="005F0A85">
        <w:rPr>
          <w:rFonts w:cstheme="minorHAnsi"/>
          <w:szCs w:val="24"/>
        </w:rPr>
        <w:t>Xia R, Mao Z</w:t>
      </w:r>
      <w:r w:rsidR="000F0A94">
        <w:rPr>
          <w:rFonts w:cstheme="minorHAnsi"/>
          <w:szCs w:val="24"/>
        </w:rPr>
        <w:t>H</w:t>
      </w:r>
      <w:r w:rsidR="005F0A85">
        <w:rPr>
          <w:rFonts w:cstheme="minorHAnsi"/>
          <w:szCs w:val="24"/>
        </w:rPr>
        <w:t xml:space="preserve">. Progression of motor symptoms in Parkinson’s disease. </w:t>
      </w:r>
      <w:r w:rsidR="005F0A85">
        <w:rPr>
          <w:rFonts w:cstheme="minorHAnsi"/>
          <w:i/>
          <w:iCs/>
          <w:szCs w:val="24"/>
        </w:rPr>
        <w:t xml:space="preserve">Neurosci Bull. </w:t>
      </w:r>
      <w:r w:rsidR="005F0A85">
        <w:rPr>
          <w:rFonts w:cstheme="minorHAnsi"/>
          <w:szCs w:val="24"/>
        </w:rPr>
        <w:t>2012;28(1):39-48.</w:t>
      </w:r>
    </w:p>
    <w:p w14:paraId="17AFCC03" w14:textId="77777777" w:rsidR="00BC6EA9" w:rsidRPr="00BC6EA9" w:rsidRDefault="00BC6EA9" w:rsidP="00BC6EA9">
      <w:pPr>
        <w:pStyle w:val="BodyText"/>
        <w:contextualSpacing/>
        <w:rPr>
          <w:rFonts w:asciiTheme="minorHAnsi" w:hAnsiTheme="minorHAnsi" w:cstheme="minorHAnsi"/>
          <w:b w:val="0"/>
          <w:sz w:val="22"/>
          <w:szCs w:val="22"/>
        </w:rPr>
      </w:pPr>
    </w:p>
    <w:p w14:paraId="4E325991" w14:textId="77777777" w:rsidR="00BC6EA9" w:rsidRPr="00BC6EA9" w:rsidRDefault="00BC6EA9" w:rsidP="00BC6EA9">
      <w:pPr>
        <w:pStyle w:val="BodyText"/>
        <w:contextualSpacing/>
        <w:rPr>
          <w:rFonts w:asciiTheme="minorHAnsi" w:hAnsiTheme="minorHAnsi" w:cstheme="minorHAnsi"/>
          <w:b w:val="0"/>
          <w:sz w:val="22"/>
          <w:szCs w:val="22"/>
        </w:rPr>
      </w:pPr>
    </w:p>
    <w:p w14:paraId="7CA2FEA4" w14:textId="77777777" w:rsidR="00BC6EA9" w:rsidRPr="00BC6EA9" w:rsidRDefault="00BC6EA9" w:rsidP="00BC6EA9">
      <w:pPr>
        <w:pStyle w:val="BodyText"/>
        <w:contextualSpacing/>
        <w:rPr>
          <w:rFonts w:asciiTheme="minorHAnsi" w:hAnsiTheme="minorHAnsi" w:cstheme="minorHAnsi"/>
          <w:b w:val="0"/>
          <w:sz w:val="22"/>
          <w:szCs w:val="22"/>
        </w:rPr>
      </w:pPr>
    </w:p>
    <w:p w14:paraId="140FDA28" w14:textId="77777777" w:rsidR="00BC6EA9" w:rsidRPr="00BC6EA9" w:rsidRDefault="00BC6EA9" w:rsidP="00BC6EA9">
      <w:pPr>
        <w:pStyle w:val="BodyText"/>
        <w:contextualSpacing/>
        <w:rPr>
          <w:rFonts w:asciiTheme="minorHAnsi" w:hAnsiTheme="minorHAnsi" w:cstheme="minorHAnsi"/>
          <w:b w:val="0"/>
          <w:sz w:val="22"/>
          <w:szCs w:val="22"/>
        </w:rPr>
      </w:pPr>
    </w:p>
    <w:p w14:paraId="6008C7D3" w14:textId="77777777" w:rsidR="00BC6EA9" w:rsidRPr="00BC6EA9" w:rsidRDefault="00BC6EA9" w:rsidP="00BC6EA9">
      <w:pPr>
        <w:pStyle w:val="BodyText"/>
        <w:contextualSpacing/>
        <w:rPr>
          <w:rFonts w:asciiTheme="minorHAnsi" w:hAnsiTheme="minorHAnsi" w:cstheme="minorHAnsi"/>
          <w:b w:val="0"/>
          <w:sz w:val="22"/>
          <w:szCs w:val="22"/>
        </w:rPr>
      </w:pPr>
    </w:p>
    <w:p w14:paraId="4BE6C1B1" w14:textId="77777777" w:rsidR="00BC6EA9" w:rsidRPr="00BC6EA9" w:rsidRDefault="00BC6EA9" w:rsidP="00BC6EA9">
      <w:pPr>
        <w:pStyle w:val="BodyText"/>
        <w:contextualSpacing/>
        <w:rPr>
          <w:rFonts w:asciiTheme="minorHAnsi" w:hAnsiTheme="minorHAnsi" w:cstheme="minorHAnsi"/>
          <w:b w:val="0"/>
          <w:sz w:val="22"/>
          <w:szCs w:val="22"/>
        </w:rPr>
      </w:pPr>
    </w:p>
    <w:p w14:paraId="6EA18D8C" w14:textId="77777777" w:rsidR="00BC6EA9" w:rsidRPr="00BC6EA9" w:rsidRDefault="00BC6EA9" w:rsidP="00BC6EA9">
      <w:pPr>
        <w:pStyle w:val="BodyText"/>
        <w:contextualSpacing/>
        <w:rPr>
          <w:rFonts w:asciiTheme="minorHAnsi" w:hAnsiTheme="minorHAnsi" w:cstheme="minorHAnsi"/>
          <w:b w:val="0"/>
          <w:sz w:val="22"/>
          <w:szCs w:val="22"/>
        </w:rPr>
      </w:pPr>
    </w:p>
    <w:p w14:paraId="46C0236D" w14:textId="77777777" w:rsidR="00BC6EA9" w:rsidRPr="00BC6EA9" w:rsidRDefault="00BC6EA9" w:rsidP="00BC6EA9">
      <w:pPr>
        <w:pStyle w:val="BodyText"/>
        <w:contextualSpacing/>
        <w:rPr>
          <w:rFonts w:asciiTheme="minorHAnsi" w:hAnsiTheme="minorHAnsi" w:cstheme="minorHAnsi"/>
          <w:b w:val="0"/>
          <w:sz w:val="22"/>
          <w:szCs w:val="22"/>
        </w:rPr>
      </w:pPr>
    </w:p>
    <w:p w14:paraId="541BF845" w14:textId="77777777" w:rsidR="00BC6EA9" w:rsidRPr="00BC6EA9" w:rsidRDefault="00BC6EA9" w:rsidP="00BC6EA9">
      <w:pPr>
        <w:pStyle w:val="BodyText"/>
        <w:contextualSpacing/>
        <w:rPr>
          <w:rFonts w:asciiTheme="minorHAnsi" w:hAnsiTheme="minorHAnsi" w:cstheme="minorHAnsi"/>
          <w:b w:val="0"/>
          <w:sz w:val="22"/>
          <w:szCs w:val="22"/>
        </w:rPr>
      </w:pPr>
    </w:p>
    <w:p w14:paraId="50104994" w14:textId="77777777" w:rsidR="00BC6EA9" w:rsidRPr="00BC6EA9" w:rsidRDefault="00BC6EA9" w:rsidP="00BC6EA9">
      <w:pPr>
        <w:pStyle w:val="BodyText"/>
        <w:contextualSpacing/>
        <w:rPr>
          <w:rFonts w:asciiTheme="minorHAnsi" w:hAnsiTheme="minorHAnsi" w:cstheme="minorHAnsi"/>
          <w:b w:val="0"/>
          <w:sz w:val="22"/>
          <w:szCs w:val="22"/>
        </w:rPr>
      </w:pPr>
    </w:p>
    <w:p w14:paraId="1BE39CCB" w14:textId="77777777" w:rsidR="00BC6EA9" w:rsidRPr="00BC6EA9" w:rsidRDefault="00BC6EA9" w:rsidP="00BC6EA9">
      <w:pPr>
        <w:pStyle w:val="BodyText"/>
        <w:contextualSpacing/>
        <w:rPr>
          <w:rFonts w:asciiTheme="minorHAnsi" w:hAnsiTheme="minorHAnsi" w:cstheme="minorHAnsi"/>
          <w:b w:val="0"/>
          <w:sz w:val="22"/>
          <w:szCs w:val="22"/>
        </w:rPr>
      </w:pPr>
    </w:p>
    <w:p w14:paraId="0602CC0D" w14:textId="4044DCDB" w:rsidR="00BC6EA9" w:rsidRPr="00BC6EA9" w:rsidRDefault="00BC6EA9" w:rsidP="00BC6EA9">
      <w:pPr>
        <w:pStyle w:val="BodyText"/>
        <w:ind w:right="1100"/>
        <w:contextualSpacing/>
        <w:jc w:val="center"/>
        <w:rPr>
          <w:rFonts w:asciiTheme="minorHAnsi" w:hAnsiTheme="minorHAnsi" w:cstheme="minorHAnsi"/>
          <w:b w:val="0"/>
          <w:sz w:val="22"/>
          <w:szCs w:val="22"/>
        </w:rPr>
      </w:pPr>
      <w:r w:rsidRPr="00BC6EA9">
        <w:rPr>
          <w:rFonts w:asciiTheme="minorHAnsi" w:hAnsiTheme="minorHAnsi" w:cstheme="minorHAnsi"/>
          <w:b w:val="0"/>
          <w:sz w:val="22"/>
          <w:szCs w:val="22"/>
        </w:rPr>
        <w:t>©202</w:t>
      </w:r>
      <w:r w:rsidR="0050166A">
        <w:rPr>
          <w:rFonts w:asciiTheme="minorHAnsi" w:hAnsiTheme="minorHAnsi" w:cstheme="minorHAnsi"/>
          <w:b w:val="0"/>
          <w:sz w:val="22"/>
          <w:szCs w:val="22"/>
        </w:rPr>
        <w:t>2</w:t>
      </w:r>
      <w:r w:rsidRPr="00BC6EA9">
        <w:rPr>
          <w:rFonts w:asciiTheme="minorHAnsi" w:hAnsiTheme="minorHAnsi" w:cstheme="minorHAnsi"/>
          <w:b w:val="0"/>
          <w:sz w:val="22"/>
          <w:szCs w:val="22"/>
        </w:rPr>
        <w:t xml:space="preserve"> Acadia Pharmaceuticals Inc.</w:t>
      </w:r>
    </w:p>
    <w:p w14:paraId="345AB9F5" w14:textId="77777777" w:rsidR="00BC6EA9" w:rsidRPr="00BC6EA9" w:rsidRDefault="00BC6EA9" w:rsidP="00BC6EA9">
      <w:pPr>
        <w:pStyle w:val="BodyText"/>
        <w:ind w:right="1100"/>
        <w:contextualSpacing/>
        <w:jc w:val="center"/>
        <w:rPr>
          <w:rFonts w:asciiTheme="minorHAnsi" w:hAnsiTheme="minorHAnsi" w:cstheme="minorHAnsi"/>
          <w:b w:val="0"/>
          <w:sz w:val="22"/>
          <w:szCs w:val="22"/>
        </w:rPr>
      </w:pPr>
      <w:r w:rsidRPr="00BC6EA9">
        <w:rPr>
          <w:rFonts w:asciiTheme="minorHAnsi" w:hAnsiTheme="minorHAnsi" w:cstheme="minorHAnsi"/>
          <w:b w:val="0"/>
          <w:sz w:val="22"/>
          <w:szCs w:val="22"/>
        </w:rPr>
        <w:t>Acadia and NUPLAZID are registered trademarks of Acadia Pharmaceuticals Inc.</w:t>
      </w:r>
    </w:p>
    <w:p w14:paraId="13502373" w14:textId="16243722" w:rsidR="0048127C" w:rsidRPr="00BC6EA9" w:rsidRDefault="00BC6EA9" w:rsidP="00BC6EA9">
      <w:pPr>
        <w:pStyle w:val="BodyText"/>
        <w:ind w:right="1100"/>
        <w:contextualSpacing/>
        <w:jc w:val="center"/>
        <w:rPr>
          <w:rFonts w:asciiTheme="minorHAnsi" w:hAnsiTheme="minorHAnsi" w:cstheme="minorHAnsi"/>
          <w:b w:val="0"/>
          <w:sz w:val="22"/>
          <w:szCs w:val="22"/>
        </w:rPr>
      </w:pPr>
      <w:r w:rsidRPr="00BC6EA9">
        <w:rPr>
          <w:rFonts w:asciiTheme="minorHAnsi" w:hAnsiTheme="minorHAnsi" w:cstheme="minorHAnsi"/>
          <w:b w:val="0"/>
          <w:sz w:val="22"/>
          <w:szCs w:val="22"/>
        </w:rPr>
        <w:t>All rights reserved. ACAC-</w:t>
      </w:r>
      <w:r w:rsidR="00F55D6B">
        <w:rPr>
          <w:rFonts w:asciiTheme="minorHAnsi" w:hAnsiTheme="minorHAnsi" w:cstheme="minorHAnsi"/>
          <w:b w:val="0"/>
          <w:sz w:val="22"/>
          <w:szCs w:val="22"/>
        </w:rPr>
        <w:t>0048</w:t>
      </w:r>
      <w:r w:rsidR="0050166A">
        <w:rPr>
          <w:rFonts w:asciiTheme="minorHAnsi" w:hAnsiTheme="minorHAnsi" w:cstheme="minorHAnsi"/>
          <w:b w:val="0"/>
          <w:sz w:val="22"/>
          <w:szCs w:val="22"/>
        </w:rPr>
        <w:t>-v2</w:t>
      </w:r>
      <w:r w:rsidRPr="00BC6EA9">
        <w:rPr>
          <w:rFonts w:asciiTheme="minorHAnsi" w:hAnsiTheme="minorHAnsi" w:cstheme="minorHAnsi"/>
          <w:b w:val="0"/>
          <w:sz w:val="22"/>
          <w:szCs w:val="22"/>
        </w:rPr>
        <w:t xml:space="preserve"> 0</w:t>
      </w:r>
      <w:r w:rsidR="0050166A">
        <w:rPr>
          <w:rFonts w:asciiTheme="minorHAnsi" w:hAnsiTheme="minorHAnsi" w:cstheme="minorHAnsi"/>
          <w:b w:val="0"/>
          <w:sz w:val="22"/>
          <w:szCs w:val="22"/>
        </w:rPr>
        <w:t>7</w:t>
      </w:r>
      <w:r w:rsidRPr="00BC6EA9">
        <w:rPr>
          <w:rFonts w:asciiTheme="minorHAnsi" w:hAnsiTheme="minorHAnsi" w:cstheme="minorHAnsi"/>
          <w:b w:val="0"/>
          <w:sz w:val="22"/>
          <w:szCs w:val="22"/>
        </w:rPr>
        <w:t>/2</w:t>
      </w:r>
      <w:r w:rsidR="0050166A">
        <w:rPr>
          <w:rFonts w:asciiTheme="minorHAnsi" w:hAnsiTheme="minorHAnsi" w:cstheme="minorHAnsi"/>
          <w:b w:val="0"/>
          <w:sz w:val="22"/>
          <w:szCs w:val="22"/>
        </w:rPr>
        <w:t>2</w:t>
      </w:r>
      <w:r w:rsidRPr="00BC6EA9">
        <w:rPr>
          <w:rFonts w:asciiTheme="minorHAnsi" w:hAnsiTheme="minorHAnsi" w:cstheme="minorHAnsi"/>
          <w:b w:val="0"/>
          <w:sz w:val="22"/>
          <w:szCs w:val="22"/>
        </w:rPr>
        <w:t>.</w:t>
      </w:r>
    </w:p>
    <w:sectPr w:rsidR="0048127C" w:rsidRPr="00BC6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3FA"/>
    <w:multiLevelType w:val="hybridMultilevel"/>
    <w:tmpl w:val="92C89060"/>
    <w:lvl w:ilvl="0" w:tplc="4C7E0064">
      <w:start w:val="1"/>
      <w:numFmt w:val="bullet"/>
      <w:lvlText w:val=""/>
      <w:lvlJc w:val="left"/>
      <w:pPr>
        <w:ind w:left="720" w:hanging="360"/>
      </w:pPr>
      <w:rPr>
        <w:rFonts w:ascii="Symbol" w:hAnsi="Symbol" w:hint="default"/>
        <w:color w:val="F0A05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D4A2D"/>
    <w:multiLevelType w:val="hybridMultilevel"/>
    <w:tmpl w:val="3FB8D3F2"/>
    <w:lvl w:ilvl="0" w:tplc="4C7E0064">
      <w:start w:val="1"/>
      <w:numFmt w:val="bullet"/>
      <w:lvlText w:val=""/>
      <w:lvlJc w:val="left"/>
      <w:pPr>
        <w:ind w:left="1080" w:hanging="360"/>
      </w:pPr>
      <w:rPr>
        <w:rFonts w:ascii="Symbol" w:hAnsi="Symbol" w:hint="default"/>
        <w:color w:val="F0A055"/>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8D5AE1"/>
    <w:multiLevelType w:val="hybridMultilevel"/>
    <w:tmpl w:val="5882C9C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2C51719"/>
    <w:multiLevelType w:val="hybridMultilevel"/>
    <w:tmpl w:val="83F01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C0452A2"/>
    <w:multiLevelType w:val="hybridMultilevel"/>
    <w:tmpl w:val="D1F8B9E0"/>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64833CED"/>
    <w:multiLevelType w:val="singleLevel"/>
    <w:tmpl w:val="F9FE307E"/>
    <w:name w:val="WWlb"/>
    <w:lvl w:ilvl="0">
      <w:start w:val="1"/>
      <w:numFmt w:val="bullet"/>
      <w:pStyle w:val="ListBullet"/>
      <w:lvlText w:val="•"/>
      <w:lvlJc w:val="left"/>
      <w:pPr>
        <w:tabs>
          <w:tab w:val="num" w:pos="360"/>
        </w:tabs>
        <w:ind w:left="360" w:hanging="360"/>
      </w:pPr>
      <w:rPr>
        <w:rFonts w:ascii="Arial" w:hAnsi="Arial" w:cs="Times New Roman" w:hint="default"/>
        <w:b w:val="0"/>
        <w:i w:val="0"/>
        <w:caps w:val="0"/>
        <w:sz w:val="16"/>
        <w:u w:val="none"/>
        <w:vertAlign w:val="baseline"/>
      </w:rPr>
    </w:lvl>
  </w:abstractNum>
  <w:abstractNum w:abstractNumId="6" w15:restartNumberingAfterBreak="0">
    <w:nsid w:val="64990F6B"/>
    <w:multiLevelType w:val="hybridMultilevel"/>
    <w:tmpl w:val="7B0874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B06832"/>
    <w:multiLevelType w:val="hybridMultilevel"/>
    <w:tmpl w:val="012C6DAE"/>
    <w:lvl w:ilvl="0" w:tplc="AEF8D24A">
      <w:start w:val="1"/>
      <w:numFmt w:val="bullet"/>
      <w:lvlText w:val="o"/>
      <w:lvlJc w:val="left"/>
      <w:pPr>
        <w:ind w:left="720" w:hanging="360"/>
      </w:pPr>
      <w:rPr>
        <w:rFonts w:ascii="Courier New" w:hAnsi="Courier New" w:hint="default"/>
        <w:color w:val="ED7D31"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884233">
    <w:abstractNumId w:val="5"/>
  </w:num>
  <w:num w:numId="2" w16cid:durableId="86467355">
    <w:abstractNumId w:val="3"/>
  </w:num>
  <w:num w:numId="3" w16cid:durableId="854001867">
    <w:abstractNumId w:val="2"/>
  </w:num>
  <w:num w:numId="4" w16cid:durableId="1633710683">
    <w:abstractNumId w:val="4"/>
  </w:num>
  <w:num w:numId="5" w16cid:durableId="740372319">
    <w:abstractNumId w:val="0"/>
  </w:num>
  <w:num w:numId="6" w16cid:durableId="657345204">
    <w:abstractNumId w:val="7"/>
  </w:num>
  <w:num w:numId="7" w16cid:durableId="1258751879">
    <w:abstractNumId w:val="6"/>
  </w:num>
  <w:num w:numId="8" w16cid:durableId="2114519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2F"/>
    <w:rsid w:val="0001014C"/>
    <w:rsid w:val="000142DA"/>
    <w:rsid w:val="000A236D"/>
    <w:rsid w:val="000F0A94"/>
    <w:rsid w:val="00107D0A"/>
    <w:rsid w:val="0013590D"/>
    <w:rsid w:val="001E3F1B"/>
    <w:rsid w:val="0025302F"/>
    <w:rsid w:val="00255FDE"/>
    <w:rsid w:val="0029074F"/>
    <w:rsid w:val="002C3110"/>
    <w:rsid w:val="0037789F"/>
    <w:rsid w:val="003F4471"/>
    <w:rsid w:val="0048127C"/>
    <w:rsid w:val="0050166A"/>
    <w:rsid w:val="00577929"/>
    <w:rsid w:val="005F0A85"/>
    <w:rsid w:val="00647933"/>
    <w:rsid w:val="006615F2"/>
    <w:rsid w:val="00794C4E"/>
    <w:rsid w:val="008B6FC4"/>
    <w:rsid w:val="008C1B5B"/>
    <w:rsid w:val="00957CF1"/>
    <w:rsid w:val="009C127A"/>
    <w:rsid w:val="009F3359"/>
    <w:rsid w:val="00A15A4C"/>
    <w:rsid w:val="00A74AAE"/>
    <w:rsid w:val="00AD4BDB"/>
    <w:rsid w:val="00B44095"/>
    <w:rsid w:val="00BC6EA9"/>
    <w:rsid w:val="00C33556"/>
    <w:rsid w:val="00C52990"/>
    <w:rsid w:val="00C6754C"/>
    <w:rsid w:val="00E2463D"/>
    <w:rsid w:val="00E268CF"/>
    <w:rsid w:val="00F55D6B"/>
    <w:rsid w:val="00FA5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3362"/>
  <w15:chartTrackingRefBased/>
  <w15:docId w15:val="{D05F522A-5856-40F8-A9A1-BF7DA284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rsid w:val="0025302F"/>
    <w:pPr>
      <w:numPr>
        <w:numId w:val="1"/>
      </w:numPr>
      <w:spacing w:before="60"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9F3359"/>
    <w:pPr>
      <w:ind w:left="720"/>
      <w:contextualSpacing/>
    </w:pPr>
  </w:style>
  <w:style w:type="paragraph" w:styleId="BodyText">
    <w:name w:val="Body Text"/>
    <w:basedOn w:val="Normal"/>
    <w:link w:val="BodyTextChar"/>
    <w:qFormat/>
    <w:rsid w:val="009F3359"/>
    <w:pPr>
      <w:spacing w:after="0" w:line="240" w:lineRule="auto"/>
    </w:pPr>
    <w:rPr>
      <w:rFonts w:ascii="Times New Roman" w:eastAsia="Times New Roman" w:hAnsi="Times New Roman" w:cs="Times New Roman"/>
      <w:b/>
      <w:sz w:val="16"/>
      <w:szCs w:val="20"/>
    </w:rPr>
  </w:style>
  <w:style w:type="character" w:customStyle="1" w:styleId="BodyTextChar">
    <w:name w:val="Body Text Char"/>
    <w:basedOn w:val="DefaultParagraphFont"/>
    <w:link w:val="BodyText"/>
    <w:rsid w:val="009F3359"/>
    <w:rPr>
      <w:rFonts w:ascii="Times New Roman" w:eastAsia="Times New Roman" w:hAnsi="Times New Roman" w:cs="Times New Roman"/>
      <w:b/>
      <w:sz w:val="16"/>
      <w:szCs w:val="20"/>
    </w:rPr>
  </w:style>
  <w:style w:type="paragraph" w:styleId="BalloonText">
    <w:name w:val="Balloon Text"/>
    <w:basedOn w:val="Normal"/>
    <w:link w:val="BalloonTextChar"/>
    <w:uiPriority w:val="99"/>
    <w:semiHidden/>
    <w:unhideWhenUsed/>
    <w:rsid w:val="00661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F2"/>
    <w:rPr>
      <w:rFonts w:ascii="Segoe UI" w:hAnsi="Segoe UI" w:cs="Segoe UI"/>
      <w:sz w:val="18"/>
      <w:szCs w:val="18"/>
    </w:rPr>
  </w:style>
  <w:style w:type="character" w:styleId="CommentReference">
    <w:name w:val="annotation reference"/>
    <w:basedOn w:val="DefaultParagraphFont"/>
    <w:uiPriority w:val="99"/>
    <w:semiHidden/>
    <w:unhideWhenUsed/>
    <w:rsid w:val="000F0A94"/>
    <w:rPr>
      <w:sz w:val="16"/>
      <w:szCs w:val="16"/>
    </w:rPr>
  </w:style>
  <w:style w:type="paragraph" w:styleId="CommentText">
    <w:name w:val="annotation text"/>
    <w:basedOn w:val="Normal"/>
    <w:link w:val="CommentTextChar"/>
    <w:uiPriority w:val="99"/>
    <w:semiHidden/>
    <w:unhideWhenUsed/>
    <w:rsid w:val="000F0A94"/>
    <w:pPr>
      <w:spacing w:line="240" w:lineRule="auto"/>
    </w:pPr>
    <w:rPr>
      <w:sz w:val="20"/>
      <w:szCs w:val="20"/>
    </w:rPr>
  </w:style>
  <w:style w:type="character" w:customStyle="1" w:styleId="CommentTextChar">
    <w:name w:val="Comment Text Char"/>
    <w:basedOn w:val="DefaultParagraphFont"/>
    <w:link w:val="CommentText"/>
    <w:uiPriority w:val="99"/>
    <w:semiHidden/>
    <w:rsid w:val="000F0A94"/>
    <w:rPr>
      <w:sz w:val="20"/>
      <w:szCs w:val="20"/>
    </w:rPr>
  </w:style>
  <w:style w:type="paragraph" w:styleId="CommentSubject">
    <w:name w:val="annotation subject"/>
    <w:basedOn w:val="CommentText"/>
    <w:next w:val="CommentText"/>
    <w:link w:val="CommentSubjectChar"/>
    <w:uiPriority w:val="99"/>
    <w:semiHidden/>
    <w:unhideWhenUsed/>
    <w:rsid w:val="000F0A94"/>
    <w:rPr>
      <w:b/>
      <w:bCs/>
    </w:rPr>
  </w:style>
  <w:style w:type="character" w:customStyle="1" w:styleId="CommentSubjectChar">
    <w:name w:val="Comment Subject Char"/>
    <w:basedOn w:val="CommentTextChar"/>
    <w:link w:val="CommentSubject"/>
    <w:uiPriority w:val="99"/>
    <w:semiHidden/>
    <w:rsid w:val="000F0A94"/>
    <w:rPr>
      <w:b/>
      <w:bCs/>
      <w:sz w:val="20"/>
      <w:szCs w:val="20"/>
    </w:rPr>
  </w:style>
  <w:style w:type="paragraph" w:styleId="Revision">
    <w:name w:val="Revision"/>
    <w:hidden/>
    <w:uiPriority w:val="99"/>
    <w:semiHidden/>
    <w:rsid w:val="005016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plazidhcp.com/" TargetMode="External"/><Relationship Id="rId5" Type="http://schemas.openxmlformats.org/officeDocument/2006/relationships/hyperlink" Target="https://www.nuplazidhcp.com/pdf/nuplazid-prescribing-inform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 Easo</dc:creator>
  <cp:keywords/>
  <dc:description/>
  <cp:lastModifiedBy>Amarallys Cintron</cp:lastModifiedBy>
  <cp:revision>2</cp:revision>
  <dcterms:created xsi:type="dcterms:W3CDTF">2022-07-18T18:01:00Z</dcterms:created>
  <dcterms:modified xsi:type="dcterms:W3CDTF">2022-07-18T18:01:00Z</dcterms:modified>
</cp:coreProperties>
</file>