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8648" w14:textId="43F7AC35" w:rsidR="00020FCE" w:rsidRPr="00483B13" w:rsidRDefault="00020FCE" w:rsidP="00020FCE">
      <w:pPr>
        <w:spacing w:after="0" w:line="240" w:lineRule="auto"/>
        <w:ind w:right="-432"/>
        <w:rPr>
          <w:rFonts w:ascii="Gotham Book" w:hAnsi="Gotham Book" w:cs="Times New Roman"/>
          <w:b/>
          <w:bCs/>
          <w:color w:val="000000" w:themeColor="text1"/>
          <w:sz w:val="28"/>
          <w:szCs w:val="28"/>
        </w:rPr>
      </w:pPr>
      <w:r w:rsidRPr="00483B13">
        <w:rPr>
          <w:rFonts w:ascii="Gotham Book" w:hAnsi="Gotham Book" w:cs="Times New Roman"/>
          <w:b/>
          <w:bCs/>
          <w:color w:val="000000" w:themeColor="text1"/>
          <w:sz w:val="28"/>
          <w:szCs w:val="28"/>
        </w:rPr>
        <w:t>FUNDrive</w:t>
      </w:r>
      <w:r w:rsidR="00C40988">
        <w:rPr>
          <w:rFonts w:ascii="Gotham Book" w:hAnsi="Gotham Book" w:cs="Times New Roman"/>
          <w:b/>
          <w:bCs/>
          <w:color w:val="000000" w:themeColor="text1"/>
          <w:sz w:val="28"/>
          <w:szCs w:val="28"/>
        </w:rPr>
        <w:t>®</w:t>
      </w:r>
      <w:r w:rsidRPr="00483B13">
        <w:rPr>
          <w:rFonts w:ascii="Gotham Book" w:hAnsi="Gotham Book" w:cs="Times New Roman"/>
          <w:b/>
          <w:bCs/>
          <w:color w:val="000000" w:themeColor="text1"/>
          <w:sz w:val="28"/>
          <w:szCs w:val="28"/>
        </w:rPr>
        <w:t xml:space="preserve"> Referral Program Terms and Conditions</w:t>
      </w:r>
    </w:p>
    <w:p w14:paraId="682F3991" w14:textId="77777777" w:rsidR="00020FCE" w:rsidRPr="00483B13" w:rsidRDefault="00020FCE" w:rsidP="00020FCE">
      <w:pPr>
        <w:spacing w:after="0" w:line="240" w:lineRule="auto"/>
        <w:ind w:right="-432"/>
        <w:jc w:val="center"/>
        <w:rPr>
          <w:rFonts w:ascii="Gotham Book" w:hAnsi="Gotham Book" w:cs="Times New Roman"/>
          <w:color w:val="000000" w:themeColor="text1"/>
          <w:sz w:val="21"/>
          <w:szCs w:val="21"/>
        </w:rPr>
      </w:pPr>
    </w:p>
    <w:p w14:paraId="76C05F77" w14:textId="6E6ADD86" w:rsidR="00020FCE" w:rsidRPr="00505AE1" w:rsidRDefault="00020FCE" w:rsidP="00020FCE">
      <w:pPr>
        <w:spacing w:after="0" w:line="240" w:lineRule="auto"/>
        <w:rPr>
          <w:rFonts w:ascii="Gotham Book" w:hAnsi="Gotham Book" w:cs="Times New Roman"/>
          <w:b/>
          <w:color w:val="000000" w:themeColor="text1"/>
          <w:sz w:val="21"/>
          <w:szCs w:val="21"/>
        </w:rPr>
      </w:pPr>
      <w:r w:rsidRPr="00505AE1">
        <w:rPr>
          <w:rFonts w:ascii="Gotham Book" w:hAnsi="Gotham Book" w:cs="Times New Roman"/>
          <w:b/>
          <w:color w:val="000000" w:themeColor="text1"/>
          <w:sz w:val="21"/>
          <w:szCs w:val="21"/>
        </w:rPr>
        <w:t xml:space="preserve">Our Goal. </w:t>
      </w:r>
      <w:r w:rsidRPr="00505AE1">
        <w:rPr>
          <w:rFonts w:ascii="Gotham Book" w:hAnsi="Gotham Book" w:cs="Times New Roman"/>
          <w:color w:val="000000" w:themeColor="text1"/>
          <w:sz w:val="21"/>
          <w:szCs w:val="21"/>
        </w:rPr>
        <w:t>The FUNDrive</w:t>
      </w:r>
      <w:r w:rsidR="00C40988">
        <w:rPr>
          <w:rFonts w:ascii="Gotham Book" w:hAnsi="Gotham Book" w:cs="Times New Roman"/>
          <w:color w:val="000000" w:themeColor="text1"/>
          <w:sz w:val="21"/>
          <w:szCs w:val="21"/>
        </w:rPr>
        <w:t>®</w:t>
      </w:r>
      <w:r w:rsidRPr="00505AE1">
        <w:rPr>
          <w:rFonts w:ascii="Gotham Book" w:hAnsi="Gotham Book" w:cs="Times New Roman"/>
          <w:color w:val="000000" w:themeColor="text1"/>
          <w:sz w:val="21"/>
          <w:szCs w:val="21"/>
        </w:rPr>
        <w:t xml:space="preserve"> Referral Program is designed to promote the FUNDrive</w:t>
      </w:r>
      <w:r w:rsidR="00C40988">
        <w:rPr>
          <w:rFonts w:ascii="Gotham Book" w:hAnsi="Gotham Book" w:cs="Times New Roman"/>
          <w:color w:val="000000" w:themeColor="text1"/>
          <w:sz w:val="21"/>
          <w:szCs w:val="21"/>
        </w:rPr>
        <w:t>®</w:t>
      </w:r>
      <w:r w:rsidRPr="00505AE1">
        <w:rPr>
          <w:rFonts w:ascii="Gotham Book" w:hAnsi="Gotham Book" w:cs="Times New Roman"/>
          <w:color w:val="000000" w:themeColor="text1"/>
          <w:sz w:val="21"/>
          <w:szCs w:val="21"/>
        </w:rPr>
        <w:t xml:space="preserve"> program through rewarding existing FUNDrive</w:t>
      </w:r>
      <w:r w:rsidR="00C40988">
        <w:rPr>
          <w:rFonts w:ascii="Gotham Book" w:hAnsi="Gotham Book" w:cs="Times New Roman"/>
          <w:color w:val="000000" w:themeColor="text1"/>
          <w:sz w:val="21"/>
          <w:szCs w:val="21"/>
        </w:rPr>
        <w:t>®</w:t>
      </w:r>
      <w:r w:rsidRPr="00505AE1">
        <w:rPr>
          <w:rFonts w:ascii="Gotham Book" w:hAnsi="Gotham Book" w:cs="Times New Roman"/>
          <w:color w:val="000000" w:themeColor="text1"/>
          <w:sz w:val="21"/>
          <w:szCs w:val="21"/>
        </w:rPr>
        <w:t xml:space="preserve"> organizations (“</w:t>
      </w:r>
      <w:r w:rsidRPr="00505AE1">
        <w:rPr>
          <w:rFonts w:ascii="Gotham Book" w:hAnsi="Gotham Book" w:cs="Times New Roman"/>
          <w:b/>
          <w:bCs/>
          <w:color w:val="000000" w:themeColor="text1"/>
          <w:sz w:val="21"/>
          <w:szCs w:val="21"/>
        </w:rPr>
        <w:t>Referring Organization(s)</w:t>
      </w:r>
      <w:r w:rsidRPr="00505AE1">
        <w:rPr>
          <w:rFonts w:ascii="Gotham Book" w:hAnsi="Gotham Book" w:cs="Times New Roman"/>
          <w:color w:val="000000" w:themeColor="text1"/>
          <w:sz w:val="21"/>
          <w:szCs w:val="21"/>
        </w:rPr>
        <w:t>”) who refer nonprofit organizations that have not previously participated in the FUNDrive</w:t>
      </w:r>
      <w:r w:rsidR="00C40988">
        <w:rPr>
          <w:rFonts w:ascii="Gotham Book" w:hAnsi="Gotham Book" w:cs="Times New Roman"/>
          <w:color w:val="000000" w:themeColor="text1"/>
          <w:sz w:val="21"/>
          <w:szCs w:val="21"/>
        </w:rPr>
        <w:t>®</w:t>
      </w:r>
      <w:r w:rsidRPr="00505AE1">
        <w:rPr>
          <w:rFonts w:ascii="Gotham Book" w:hAnsi="Gotham Book" w:cs="Times New Roman"/>
          <w:color w:val="000000" w:themeColor="text1"/>
          <w:sz w:val="21"/>
          <w:szCs w:val="21"/>
        </w:rPr>
        <w:t xml:space="preserve"> program and otherwise meet all requirements outlined in these Referral Program Terms and Conditions (“</w:t>
      </w:r>
      <w:r w:rsidRPr="00505AE1">
        <w:rPr>
          <w:rFonts w:ascii="Gotham Book" w:hAnsi="Gotham Book" w:cs="Times New Roman"/>
          <w:b/>
          <w:bCs/>
          <w:color w:val="000000" w:themeColor="text1"/>
          <w:sz w:val="21"/>
          <w:szCs w:val="21"/>
        </w:rPr>
        <w:t>New Organization(s)</w:t>
      </w:r>
      <w:r w:rsidRPr="00505AE1">
        <w:rPr>
          <w:rFonts w:ascii="Gotham Book" w:hAnsi="Gotham Book" w:cs="Times New Roman"/>
          <w:color w:val="000000" w:themeColor="text1"/>
          <w:sz w:val="21"/>
          <w:szCs w:val="21"/>
        </w:rPr>
        <w:t xml:space="preserve">”).  </w:t>
      </w:r>
    </w:p>
    <w:p w14:paraId="4D1B58BB"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2D27EB8E" w14:textId="77777777" w:rsidR="00020FCE" w:rsidRPr="00483B13" w:rsidRDefault="00020FCE" w:rsidP="00020FCE">
      <w:pPr>
        <w:pStyle w:val="ListParagraph"/>
        <w:numPr>
          <w:ilvl w:val="0"/>
          <w:numId w:val="2"/>
        </w:numPr>
        <w:spacing w:after="0" w:line="240" w:lineRule="auto"/>
        <w:ind w:left="540" w:hanging="540"/>
        <w:contextualSpacing w:val="0"/>
        <w:rPr>
          <w:rFonts w:ascii="Gotham Book" w:hAnsi="Gotham Book" w:cs="Times New Roman"/>
          <w:b/>
          <w:color w:val="000000" w:themeColor="text1"/>
          <w:sz w:val="21"/>
          <w:szCs w:val="21"/>
        </w:rPr>
      </w:pPr>
      <w:r w:rsidRPr="00483B13">
        <w:rPr>
          <w:rFonts w:ascii="Gotham Book" w:hAnsi="Gotham Book" w:cs="Times New Roman"/>
          <w:b/>
          <w:color w:val="000000" w:themeColor="text1"/>
          <w:sz w:val="21"/>
          <w:szCs w:val="21"/>
        </w:rPr>
        <w:t xml:space="preserve">Rules &amp; Eligibility. </w:t>
      </w:r>
    </w:p>
    <w:p w14:paraId="6F847675" w14:textId="77777777" w:rsidR="00020FCE" w:rsidRPr="00483B13" w:rsidRDefault="00020FCE" w:rsidP="00020FCE">
      <w:pPr>
        <w:pStyle w:val="ListParagraph"/>
        <w:spacing w:after="0" w:line="240" w:lineRule="auto"/>
        <w:contextualSpacing w:val="0"/>
        <w:rPr>
          <w:rFonts w:ascii="Gotham Book" w:hAnsi="Gotham Book" w:cs="Times New Roman"/>
          <w:b/>
          <w:color w:val="000000" w:themeColor="text1"/>
          <w:sz w:val="21"/>
          <w:szCs w:val="21"/>
        </w:rPr>
      </w:pPr>
    </w:p>
    <w:p w14:paraId="47C15878" w14:textId="71516388"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b/>
          <w:color w:val="000000" w:themeColor="text1"/>
          <w:sz w:val="21"/>
          <w:szCs w:val="21"/>
        </w:rPr>
      </w:pPr>
      <w:r w:rsidRPr="00483B13">
        <w:rPr>
          <w:rFonts w:ascii="Gotham Book" w:hAnsi="Gotham Book" w:cs="Times New Roman"/>
          <w:b/>
          <w:color w:val="000000" w:themeColor="text1"/>
          <w:sz w:val="21"/>
          <w:szCs w:val="21"/>
        </w:rPr>
        <w:t xml:space="preserve">Referral code. </w:t>
      </w:r>
      <w:r w:rsidRPr="00483B13">
        <w:rPr>
          <w:rFonts w:ascii="Gotham Book" w:hAnsi="Gotham Book" w:cs="Times New Roman"/>
          <w:bCs/>
          <w:color w:val="000000" w:themeColor="text1"/>
          <w:sz w:val="21"/>
          <w:szCs w:val="21"/>
        </w:rPr>
        <w:t>Each active</w:t>
      </w:r>
      <w:r w:rsidRPr="00483B13">
        <w:rPr>
          <w:rFonts w:ascii="Gotham Book" w:hAnsi="Gotham Book" w:cs="Times New Roman"/>
          <w:b/>
          <w:color w:val="000000" w:themeColor="text1"/>
          <w:sz w:val="21"/>
          <w:szCs w:val="21"/>
        </w:rPr>
        <w:t xml:space="preserve"> </w:t>
      </w:r>
      <w:r w:rsidRPr="00483B13">
        <w:rPr>
          <w:rFonts w:ascii="Gotham Book" w:hAnsi="Gotham Book" w:cs="Times New Roman"/>
          <w:bCs/>
          <w:color w:val="000000" w:themeColor="text1"/>
          <w:sz w:val="21"/>
          <w:szCs w:val="21"/>
        </w:rPr>
        <w:t>Nonprofit</w:t>
      </w:r>
      <w:r w:rsidRPr="00483B13">
        <w:rPr>
          <w:rFonts w:ascii="Gotham Book" w:hAnsi="Gotham Book" w:cs="Times New Roman"/>
          <w:b/>
          <w:color w:val="000000" w:themeColor="text1"/>
          <w:sz w:val="21"/>
          <w:szCs w:val="21"/>
        </w:rPr>
        <w:t xml:space="preserve"> </w:t>
      </w:r>
      <w:r w:rsidRPr="00483B13">
        <w:rPr>
          <w:rFonts w:ascii="Gotham Book" w:hAnsi="Gotham Book" w:cs="Times New Roman"/>
          <w:bCs/>
          <w:color w:val="000000" w:themeColor="text1"/>
          <w:sz w:val="21"/>
          <w:szCs w:val="21"/>
        </w:rPr>
        <w:t xml:space="preserve">Organization is provided a unique referral code. The code will be made available on the </w:t>
      </w:r>
      <w:r w:rsidR="002E3A28" w:rsidRPr="00483B13">
        <w:rPr>
          <w:rFonts w:ascii="Gotham Book" w:hAnsi="Gotham Book" w:cs="Times New Roman"/>
          <w:color w:val="000000" w:themeColor="text1"/>
          <w:sz w:val="21"/>
          <w:szCs w:val="21"/>
        </w:rPr>
        <w:t>FUNDrive</w:t>
      </w:r>
      <w:r w:rsidR="002E3A28">
        <w:rPr>
          <w:rFonts w:ascii="Gotham Book" w:hAnsi="Gotham Book" w:cs="Times New Roman"/>
          <w:color w:val="000000" w:themeColor="text1"/>
          <w:sz w:val="21"/>
          <w:szCs w:val="21"/>
        </w:rPr>
        <w:t xml:space="preserve">® </w:t>
      </w:r>
      <w:r w:rsidRPr="00483B13">
        <w:rPr>
          <w:rFonts w:ascii="Gotham Book" w:hAnsi="Gotham Book" w:cs="Times New Roman"/>
          <w:bCs/>
          <w:color w:val="000000" w:themeColor="text1"/>
          <w:sz w:val="21"/>
          <w:szCs w:val="21"/>
        </w:rPr>
        <w:t xml:space="preserve">portal for organization contacts to share. To receive referral code, referring organization must: </w:t>
      </w:r>
    </w:p>
    <w:p w14:paraId="5F6BD812" w14:textId="77777777" w:rsidR="00020FCE" w:rsidRPr="00483B13" w:rsidRDefault="00020FCE" w:rsidP="00020FCE">
      <w:pPr>
        <w:pStyle w:val="ListParagraph"/>
        <w:numPr>
          <w:ilvl w:val="0"/>
          <w:numId w:val="3"/>
        </w:numPr>
        <w:spacing w:after="0" w:line="240" w:lineRule="auto"/>
        <w:rPr>
          <w:rFonts w:ascii="Gotham Book" w:hAnsi="Gotham Book" w:cs="Times New Roman"/>
          <w:b/>
          <w:color w:val="000000" w:themeColor="text1"/>
          <w:sz w:val="21"/>
          <w:szCs w:val="21"/>
        </w:rPr>
      </w:pPr>
      <w:r w:rsidRPr="00483B13">
        <w:rPr>
          <w:rFonts w:ascii="Gotham Book" w:hAnsi="Gotham Book" w:cs="Times New Roman"/>
          <w:bCs/>
          <w:color w:val="000000" w:themeColor="text1"/>
          <w:sz w:val="21"/>
          <w:szCs w:val="21"/>
        </w:rPr>
        <w:t>Have direct deposit setup complete</w:t>
      </w:r>
    </w:p>
    <w:p w14:paraId="474D1AA2" w14:textId="77777777" w:rsidR="00020FCE" w:rsidRPr="00483B13" w:rsidRDefault="00020FCE" w:rsidP="00020FCE">
      <w:pPr>
        <w:pStyle w:val="ListParagraph"/>
        <w:numPr>
          <w:ilvl w:val="0"/>
          <w:numId w:val="3"/>
        </w:numPr>
        <w:spacing w:after="0" w:line="240" w:lineRule="auto"/>
        <w:rPr>
          <w:rFonts w:ascii="Gotham Book" w:hAnsi="Gotham Book" w:cs="Times New Roman"/>
          <w:b/>
          <w:color w:val="000000" w:themeColor="text1"/>
          <w:sz w:val="21"/>
          <w:szCs w:val="21"/>
        </w:rPr>
      </w:pPr>
      <w:r w:rsidRPr="00483B13">
        <w:rPr>
          <w:rFonts w:ascii="Gotham Book" w:hAnsi="Gotham Book" w:cs="Times New Roman"/>
          <w:bCs/>
          <w:color w:val="000000" w:themeColor="text1"/>
          <w:sz w:val="21"/>
          <w:szCs w:val="21"/>
        </w:rPr>
        <w:t>Have an approved fundraiser</w:t>
      </w:r>
    </w:p>
    <w:p w14:paraId="7403887F" w14:textId="77777777" w:rsidR="00020FCE" w:rsidRPr="00483B13" w:rsidRDefault="00020FCE" w:rsidP="00020FCE">
      <w:pPr>
        <w:spacing w:after="0" w:line="240" w:lineRule="auto"/>
        <w:ind w:left="540"/>
        <w:rPr>
          <w:rFonts w:ascii="Gotham Book" w:hAnsi="Gotham Book" w:cs="Times New Roman"/>
          <w:b/>
          <w:color w:val="000000" w:themeColor="text1"/>
          <w:sz w:val="21"/>
          <w:szCs w:val="21"/>
        </w:rPr>
      </w:pPr>
    </w:p>
    <w:p w14:paraId="46987390" w14:textId="77777777"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b/>
          <w:color w:val="000000" w:themeColor="text1"/>
          <w:sz w:val="21"/>
          <w:szCs w:val="21"/>
        </w:rPr>
      </w:pPr>
      <w:r w:rsidRPr="00483B13">
        <w:rPr>
          <w:rFonts w:ascii="Gotham Book" w:hAnsi="Gotham Book" w:cs="Times New Roman"/>
          <w:b/>
          <w:color w:val="000000" w:themeColor="text1"/>
          <w:sz w:val="21"/>
          <w:szCs w:val="21"/>
        </w:rPr>
        <w:t xml:space="preserve">Referred organization (“they”) use referral </w:t>
      </w:r>
      <w:r>
        <w:rPr>
          <w:rFonts w:ascii="Gotham Book" w:hAnsi="Gotham Book" w:cs="Times New Roman"/>
          <w:b/>
          <w:color w:val="000000" w:themeColor="text1"/>
          <w:sz w:val="21"/>
          <w:szCs w:val="21"/>
        </w:rPr>
        <w:t>link</w:t>
      </w:r>
      <w:r w:rsidRPr="00483B13">
        <w:rPr>
          <w:rFonts w:ascii="Gotham Book" w:hAnsi="Gotham Book" w:cs="Times New Roman"/>
          <w:b/>
          <w:color w:val="000000" w:themeColor="text1"/>
          <w:sz w:val="21"/>
          <w:szCs w:val="21"/>
        </w:rPr>
        <w:t>.</w:t>
      </w:r>
      <w:r w:rsidRPr="00483B13">
        <w:rPr>
          <w:rFonts w:ascii="Gotham Book" w:hAnsi="Gotham Book" w:cs="Times New Roman"/>
          <w:bCs/>
          <w:color w:val="000000" w:themeColor="text1"/>
          <w:sz w:val="21"/>
          <w:szCs w:val="21"/>
        </w:rPr>
        <w:t xml:space="preserve"> The New Organization uses the referral </w:t>
      </w:r>
      <w:r>
        <w:rPr>
          <w:rFonts w:ascii="Gotham Book" w:hAnsi="Gotham Book" w:cs="Times New Roman"/>
          <w:bCs/>
          <w:color w:val="000000" w:themeColor="text1"/>
          <w:sz w:val="21"/>
          <w:szCs w:val="21"/>
        </w:rPr>
        <w:t>link to</w:t>
      </w:r>
      <w:r w:rsidRPr="00483B13">
        <w:rPr>
          <w:rFonts w:ascii="Gotham Book" w:hAnsi="Gotham Book" w:cs="Times New Roman"/>
          <w:bCs/>
          <w:color w:val="000000" w:themeColor="text1"/>
          <w:sz w:val="21"/>
          <w:szCs w:val="21"/>
        </w:rPr>
        <w:t xml:space="preserve"> sign up.</w:t>
      </w:r>
    </w:p>
    <w:p w14:paraId="619625DD" w14:textId="77777777" w:rsidR="00020FCE" w:rsidRPr="00483B13" w:rsidRDefault="00020FCE" w:rsidP="00020FCE">
      <w:pPr>
        <w:spacing w:after="0" w:line="240" w:lineRule="auto"/>
        <w:ind w:left="540"/>
        <w:rPr>
          <w:rFonts w:ascii="Gotham Book" w:hAnsi="Gotham Book" w:cs="Times New Roman"/>
          <w:b/>
          <w:color w:val="000000" w:themeColor="text1"/>
          <w:sz w:val="21"/>
          <w:szCs w:val="21"/>
        </w:rPr>
      </w:pPr>
    </w:p>
    <w:p w14:paraId="58378539" w14:textId="4878046F"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They are new</w:t>
      </w:r>
      <w:r w:rsidRPr="00483B13">
        <w:rPr>
          <w:rFonts w:ascii="Gotham Book" w:hAnsi="Gotham Book" w:cs="Times New Roman"/>
          <w:color w:val="000000" w:themeColor="text1"/>
          <w:sz w:val="21"/>
          <w:szCs w:val="21"/>
        </w:rPr>
        <w:t xml:space="preserve">. The New Organization has not previously participated in the </w:t>
      </w:r>
      <w:r w:rsidR="007B579B" w:rsidRPr="00483B13">
        <w:rPr>
          <w:rFonts w:ascii="Gotham Book" w:hAnsi="Gotham Book" w:cs="Times New Roman"/>
          <w:color w:val="000000" w:themeColor="text1"/>
          <w:sz w:val="21"/>
          <w:szCs w:val="21"/>
        </w:rPr>
        <w:t>FUNDrive</w:t>
      </w:r>
      <w:r w:rsidR="007B579B">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program.</w:t>
      </w:r>
    </w:p>
    <w:p w14:paraId="64FEB1CC" w14:textId="77777777" w:rsidR="00020FCE" w:rsidRPr="00483B13" w:rsidRDefault="00020FCE" w:rsidP="00020FCE">
      <w:pPr>
        <w:pStyle w:val="ListParagraph"/>
        <w:spacing w:after="0" w:line="240" w:lineRule="auto"/>
        <w:contextualSpacing w:val="0"/>
        <w:rPr>
          <w:rFonts w:ascii="Gotham Book" w:hAnsi="Gotham Book" w:cs="Times New Roman"/>
          <w:color w:val="000000" w:themeColor="text1"/>
          <w:sz w:val="21"/>
          <w:szCs w:val="21"/>
        </w:rPr>
      </w:pPr>
    </w:p>
    <w:p w14:paraId="19F7D400" w14:textId="1AAF978A"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They haven’t inquired before</w:t>
      </w:r>
      <w:r w:rsidRPr="00483B13">
        <w:rPr>
          <w:rFonts w:ascii="Gotham Book" w:hAnsi="Gotham Book" w:cs="Times New Roman"/>
          <w:color w:val="000000" w:themeColor="text1"/>
          <w:sz w:val="21"/>
          <w:szCs w:val="21"/>
        </w:rPr>
        <w:t>. The New Organization has not previously inquired about participating in the FUNDrive</w:t>
      </w:r>
      <w:r w:rsidR="00A07F37">
        <w:rPr>
          <w:rFonts w:ascii="Gotham Book" w:hAnsi="Gotham Book" w:cs="Times New Roman"/>
          <w:color w:val="000000" w:themeColor="text1"/>
          <w:sz w:val="21"/>
          <w:szCs w:val="21"/>
        </w:rPr>
        <w:t>®</w:t>
      </w:r>
      <w:r w:rsidRPr="00483B13">
        <w:rPr>
          <w:rFonts w:ascii="Gotham Book" w:hAnsi="Gotham Book" w:cs="Times New Roman"/>
          <w:color w:val="000000" w:themeColor="text1"/>
          <w:sz w:val="21"/>
          <w:szCs w:val="21"/>
        </w:rPr>
        <w:t xml:space="preserve"> program through the FUNDrive</w:t>
      </w:r>
      <w:r w:rsidR="00A07F37">
        <w:rPr>
          <w:rFonts w:ascii="Gotham Book" w:hAnsi="Gotham Book" w:cs="Times New Roman"/>
          <w:color w:val="000000" w:themeColor="text1"/>
          <w:sz w:val="21"/>
          <w:szCs w:val="21"/>
        </w:rPr>
        <w:t>®</w:t>
      </w:r>
      <w:r w:rsidRPr="00483B13">
        <w:rPr>
          <w:rFonts w:ascii="Gotham Book" w:hAnsi="Gotham Book" w:cs="Times New Roman"/>
          <w:color w:val="000000" w:themeColor="text1"/>
          <w:sz w:val="21"/>
          <w:szCs w:val="21"/>
        </w:rPr>
        <w:t xml:space="preserve"> web portal, any retail location, or otherwise through contact with any FUNDrive</w:t>
      </w:r>
      <w:r w:rsidR="00A07F37">
        <w:rPr>
          <w:rFonts w:ascii="Gotham Book" w:hAnsi="Gotham Book" w:cs="Times New Roman"/>
          <w:color w:val="000000" w:themeColor="text1"/>
          <w:sz w:val="21"/>
          <w:szCs w:val="21"/>
        </w:rPr>
        <w:t>®</w:t>
      </w:r>
      <w:r w:rsidRPr="00483B13">
        <w:rPr>
          <w:rFonts w:ascii="Gotham Book" w:hAnsi="Gotham Book" w:cs="Times New Roman"/>
          <w:color w:val="000000" w:themeColor="text1"/>
          <w:sz w:val="21"/>
          <w:szCs w:val="21"/>
        </w:rPr>
        <w:t xml:space="preserve"> Event Manager or other Savers/Value Village employee, as determined by Savers/Value Village in its sole discretion.</w:t>
      </w:r>
    </w:p>
    <w:p w14:paraId="538CC543"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5A787D32" w14:textId="303F2DD9"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They are not related</w:t>
      </w:r>
      <w:r w:rsidRPr="00483B13">
        <w:rPr>
          <w:rFonts w:ascii="Gotham Book" w:hAnsi="Gotham Book" w:cs="Times New Roman"/>
          <w:color w:val="000000" w:themeColor="text1"/>
          <w:sz w:val="21"/>
          <w:szCs w:val="21"/>
        </w:rPr>
        <w:t>. The New Organization is not an affiliate, sub-organization, or otherwise part of an existing FUNDrive</w:t>
      </w:r>
      <w:r w:rsidR="00A07F37">
        <w:rPr>
          <w:rFonts w:ascii="Gotham Book" w:hAnsi="Gotham Book" w:cs="Times New Roman"/>
          <w:color w:val="000000" w:themeColor="text1"/>
          <w:sz w:val="21"/>
          <w:szCs w:val="21"/>
        </w:rPr>
        <w:t>®</w:t>
      </w:r>
      <w:r w:rsidRPr="00483B13">
        <w:rPr>
          <w:rFonts w:ascii="Gotham Book" w:hAnsi="Gotham Book" w:cs="Times New Roman"/>
          <w:color w:val="000000" w:themeColor="text1"/>
          <w:sz w:val="21"/>
          <w:szCs w:val="21"/>
        </w:rPr>
        <w:t xml:space="preserve"> organization. Also, the Primary Contact person for the New Organization is not already a Primary Contact person for an existing </w:t>
      </w:r>
      <w:r w:rsidR="002E3A28" w:rsidRPr="00483B13">
        <w:rPr>
          <w:rFonts w:ascii="Gotham Book" w:hAnsi="Gotham Book" w:cs="Times New Roman"/>
          <w:color w:val="000000" w:themeColor="text1"/>
          <w:sz w:val="21"/>
          <w:szCs w:val="21"/>
        </w:rPr>
        <w:t>FUNDrive</w:t>
      </w:r>
      <w:r w:rsidR="002E3A28">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 xml:space="preserve">organization (but may be a volunteer or secondary contact for an existing </w:t>
      </w:r>
      <w:r w:rsidR="007B579B" w:rsidRPr="00483B13">
        <w:rPr>
          <w:rFonts w:ascii="Gotham Book" w:hAnsi="Gotham Book" w:cs="Times New Roman"/>
          <w:color w:val="000000" w:themeColor="text1"/>
          <w:sz w:val="21"/>
          <w:szCs w:val="21"/>
        </w:rPr>
        <w:t>FUNDrive</w:t>
      </w:r>
      <w:r w:rsidR="007B579B">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organization).</w:t>
      </w:r>
    </w:p>
    <w:p w14:paraId="5B67C98B"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37ABC64B" w14:textId="520A4FCE"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They complete an event</w:t>
      </w:r>
      <w:r w:rsidRPr="00483B13">
        <w:rPr>
          <w:rFonts w:ascii="Gotham Book" w:hAnsi="Gotham Book" w:cs="Times New Roman"/>
          <w:color w:val="000000" w:themeColor="text1"/>
          <w:sz w:val="21"/>
          <w:szCs w:val="21"/>
        </w:rPr>
        <w:t xml:space="preserve">. The New Organization must successfully complete at least one </w:t>
      </w:r>
      <w:r w:rsidR="002E3A28" w:rsidRPr="00483B13">
        <w:rPr>
          <w:rFonts w:ascii="Gotham Book" w:hAnsi="Gotham Book" w:cs="Times New Roman"/>
          <w:color w:val="000000" w:themeColor="text1"/>
          <w:sz w:val="21"/>
          <w:szCs w:val="21"/>
        </w:rPr>
        <w:t>FUNDrive</w:t>
      </w:r>
      <w:r w:rsidR="002E3A28">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 xml:space="preserve">event within 24 months of the date the organization is approved and </w:t>
      </w:r>
      <w:r>
        <w:rPr>
          <w:rFonts w:ascii="Gotham Book" w:hAnsi="Gotham Book" w:cs="Times New Roman"/>
          <w:color w:val="000000" w:themeColor="text1"/>
          <w:sz w:val="21"/>
          <w:szCs w:val="21"/>
        </w:rPr>
        <w:t>deliver collected</w:t>
      </w:r>
      <w:r w:rsidRPr="00483B13">
        <w:rPr>
          <w:rFonts w:ascii="Gotham Book" w:hAnsi="Gotham Book" w:cs="Times New Roman"/>
          <w:color w:val="000000" w:themeColor="text1"/>
          <w:sz w:val="21"/>
          <w:szCs w:val="21"/>
        </w:rPr>
        <w:t xml:space="preserve"> product to an eligible Savers/Value Village location (see Section 2.7).</w:t>
      </w:r>
    </w:p>
    <w:p w14:paraId="53E2FB32" w14:textId="77777777" w:rsidR="00020FCE" w:rsidRPr="00483B13" w:rsidRDefault="00020FCE" w:rsidP="00020FCE">
      <w:pPr>
        <w:pStyle w:val="ListParagraph"/>
        <w:rPr>
          <w:rFonts w:ascii="Gotham Book" w:hAnsi="Gotham Book" w:cs="Times New Roman"/>
          <w:b/>
          <w:bCs/>
          <w:color w:val="000000" w:themeColor="text1"/>
          <w:sz w:val="21"/>
          <w:szCs w:val="21"/>
        </w:rPr>
      </w:pPr>
    </w:p>
    <w:p w14:paraId="45CB7FBC" w14:textId="77777777"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Paperwork</w:t>
      </w:r>
      <w:r w:rsidRPr="00483B13">
        <w:rPr>
          <w:rFonts w:ascii="Gotham Book" w:hAnsi="Gotham Book" w:cs="Times New Roman"/>
          <w:color w:val="000000" w:themeColor="text1"/>
          <w:sz w:val="21"/>
          <w:szCs w:val="21"/>
        </w:rPr>
        <w:t>. The Referring Organization must:</w:t>
      </w:r>
    </w:p>
    <w:p w14:paraId="2AF02F95" w14:textId="77777777" w:rsidR="00020FCE" w:rsidRPr="00483B13" w:rsidRDefault="00020FCE" w:rsidP="00020FCE">
      <w:pPr>
        <w:pStyle w:val="ListParagraph"/>
        <w:numPr>
          <w:ilvl w:val="0"/>
          <w:numId w:val="1"/>
        </w:numPr>
        <w:spacing w:after="0" w:line="240" w:lineRule="auto"/>
        <w:contextualSpacing w:val="0"/>
        <w:rPr>
          <w:rFonts w:ascii="Gotham Book" w:hAnsi="Gotham Book" w:cs="Times New Roman"/>
          <w:color w:val="000000" w:themeColor="text1"/>
          <w:sz w:val="21"/>
          <w:szCs w:val="21"/>
        </w:rPr>
      </w:pPr>
      <w:r w:rsidRPr="00483B13">
        <w:rPr>
          <w:rFonts w:ascii="Gotham Book" w:hAnsi="Gotham Book" w:cs="Times New Roman"/>
          <w:color w:val="000000" w:themeColor="text1"/>
          <w:sz w:val="21"/>
          <w:szCs w:val="21"/>
        </w:rPr>
        <w:t>Provide a valid signed W9 (U.S. only)</w:t>
      </w:r>
    </w:p>
    <w:p w14:paraId="5B5E2A43" w14:textId="77777777" w:rsidR="00020FCE" w:rsidRPr="00483B13" w:rsidRDefault="00020FCE" w:rsidP="00020FCE">
      <w:pPr>
        <w:pStyle w:val="ListParagraph"/>
        <w:numPr>
          <w:ilvl w:val="0"/>
          <w:numId w:val="1"/>
        </w:numPr>
        <w:spacing w:after="0" w:line="240" w:lineRule="auto"/>
        <w:contextualSpacing w:val="0"/>
        <w:rPr>
          <w:rFonts w:ascii="Gotham Book" w:hAnsi="Gotham Book" w:cs="Times New Roman"/>
          <w:color w:val="000000" w:themeColor="text1"/>
          <w:sz w:val="21"/>
          <w:szCs w:val="21"/>
        </w:rPr>
      </w:pPr>
      <w:r w:rsidRPr="2C955712">
        <w:rPr>
          <w:rFonts w:ascii="Gotham Book" w:hAnsi="Gotham Book" w:cs="Times New Roman"/>
          <w:color w:val="000000" w:themeColor="text1"/>
          <w:sz w:val="21"/>
          <w:szCs w:val="21"/>
        </w:rPr>
        <w:t>Complete direct deposit setup for the organization</w:t>
      </w:r>
    </w:p>
    <w:p w14:paraId="468842F4" w14:textId="73D81C82" w:rsidR="00020FCE" w:rsidRPr="00483B13" w:rsidRDefault="00020FCE" w:rsidP="00020FCE">
      <w:pPr>
        <w:pStyle w:val="ListParagraph"/>
        <w:numPr>
          <w:ilvl w:val="0"/>
          <w:numId w:val="1"/>
        </w:numPr>
        <w:spacing w:after="0" w:line="240" w:lineRule="auto"/>
        <w:contextualSpacing w:val="0"/>
        <w:rPr>
          <w:rFonts w:ascii="Gotham Book" w:hAnsi="Gotham Book" w:cs="Times New Roman"/>
          <w:color w:val="000000" w:themeColor="text1"/>
          <w:sz w:val="21"/>
          <w:szCs w:val="21"/>
        </w:rPr>
      </w:pPr>
      <w:r w:rsidRPr="00483B13">
        <w:rPr>
          <w:rFonts w:ascii="Gotham Book" w:hAnsi="Gotham Book" w:cs="Times New Roman"/>
          <w:color w:val="000000" w:themeColor="text1"/>
          <w:sz w:val="21"/>
          <w:szCs w:val="21"/>
        </w:rPr>
        <w:t xml:space="preserve">Agree to the current </w:t>
      </w:r>
      <w:r w:rsidR="00402C1A" w:rsidRPr="00483B13">
        <w:rPr>
          <w:rFonts w:ascii="Gotham Book" w:hAnsi="Gotham Book" w:cs="Times New Roman"/>
          <w:color w:val="000000" w:themeColor="text1"/>
          <w:sz w:val="21"/>
          <w:szCs w:val="21"/>
        </w:rPr>
        <w:t>FUNDrive</w:t>
      </w:r>
      <w:r w:rsidR="00402C1A">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 xml:space="preserve">Purchase Agreement Terms and Conditions in the </w:t>
      </w:r>
      <w:r w:rsidR="00402C1A" w:rsidRPr="00483B13">
        <w:rPr>
          <w:rFonts w:ascii="Gotham Book" w:hAnsi="Gotham Book" w:cs="Times New Roman"/>
          <w:color w:val="000000" w:themeColor="text1"/>
          <w:sz w:val="21"/>
          <w:szCs w:val="21"/>
        </w:rPr>
        <w:t>FUNDrive</w:t>
      </w:r>
      <w:r w:rsidR="00402C1A">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portal.</w:t>
      </w:r>
    </w:p>
    <w:p w14:paraId="747D52B8"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06DB5302" w14:textId="77777777" w:rsidR="00020FCE" w:rsidRDefault="00020FCE" w:rsidP="00020FCE">
      <w:pPr>
        <w:rPr>
          <w:rFonts w:ascii="Gotham Book" w:hAnsi="Gotham Book" w:cs="Times New Roman"/>
          <w:b/>
          <w:color w:val="000000" w:themeColor="text1"/>
          <w:sz w:val="21"/>
          <w:szCs w:val="21"/>
        </w:rPr>
      </w:pPr>
      <w:r>
        <w:rPr>
          <w:rFonts w:ascii="Gotham Book" w:hAnsi="Gotham Book" w:cs="Times New Roman"/>
          <w:b/>
          <w:color w:val="000000" w:themeColor="text1"/>
          <w:sz w:val="21"/>
          <w:szCs w:val="21"/>
        </w:rPr>
        <w:br w:type="page"/>
      </w:r>
    </w:p>
    <w:p w14:paraId="270C3870" w14:textId="77777777" w:rsidR="00020FCE" w:rsidRDefault="00020FCE" w:rsidP="00020FCE">
      <w:pPr>
        <w:pStyle w:val="ListParagraph"/>
        <w:numPr>
          <w:ilvl w:val="0"/>
          <w:numId w:val="2"/>
        </w:numPr>
        <w:spacing w:after="0" w:line="240" w:lineRule="auto"/>
        <w:contextualSpacing w:val="0"/>
        <w:rPr>
          <w:rFonts w:ascii="Gotham Book" w:hAnsi="Gotham Book" w:cs="Times New Roman"/>
          <w:b/>
          <w:color w:val="000000" w:themeColor="text1"/>
          <w:sz w:val="21"/>
          <w:szCs w:val="21"/>
        </w:rPr>
      </w:pPr>
      <w:r w:rsidRPr="00CC45F0">
        <w:rPr>
          <w:rFonts w:ascii="Gotham Book" w:hAnsi="Gotham Book" w:cs="Times New Roman"/>
          <w:b/>
          <w:color w:val="000000" w:themeColor="text1"/>
          <w:sz w:val="21"/>
          <w:szCs w:val="21"/>
        </w:rPr>
        <w:lastRenderedPageBreak/>
        <w:t>Bonus</w:t>
      </w:r>
      <w:r>
        <w:rPr>
          <w:rFonts w:ascii="Gotham Book" w:hAnsi="Gotham Book" w:cs="Times New Roman"/>
          <w:b/>
          <w:color w:val="000000" w:themeColor="text1"/>
          <w:sz w:val="21"/>
          <w:szCs w:val="21"/>
        </w:rPr>
        <w:t>.</w:t>
      </w:r>
    </w:p>
    <w:p w14:paraId="1ADDE9D2" w14:textId="77777777" w:rsidR="00020FCE" w:rsidRPr="00CC45F0" w:rsidRDefault="00020FCE" w:rsidP="00020FCE">
      <w:pPr>
        <w:spacing w:after="0" w:line="240" w:lineRule="auto"/>
        <w:rPr>
          <w:rFonts w:ascii="Gotham Book" w:hAnsi="Gotham Book" w:cs="Times New Roman"/>
          <w:b/>
          <w:color w:val="000000" w:themeColor="text1"/>
          <w:sz w:val="21"/>
          <w:szCs w:val="21"/>
        </w:rPr>
      </w:pPr>
    </w:p>
    <w:p w14:paraId="4E5FDB8E" w14:textId="77777777" w:rsidR="00020FCE" w:rsidRPr="00CC45F0" w:rsidRDefault="00020FCE" w:rsidP="00020FCE">
      <w:pPr>
        <w:pStyle w:val="ListParagraph"/>
        <w:numPr>
          <w:ilvl w:val="1"/>
          <w:numId w:val="2"/>
        </w:numPr>
        <w:spacing w:after="0" w:line="240" w:lineRule="auto"/>
        <w:contextualSpacing w:val="0"/>
        <w:rPr>
          <w:rFonts w:ascii="Gotham Book" w:hAnsi="Gotham Book" w:cs="Times New Roman"/>
          <w:b/>
          <w:color w:val="000000" w:themeColor="text1"/>
          <w:sz w:val="21"/>
          <w:szCs w:val="21"/>
        </w:rPr>
      </w:pPr>
      <w:r w:rsidRPr="00CC45F0">
        <w:rPr>
          <w:rFonts w:ascii="Gotham Book" w:hAnsi="Gotham Book" w:cs="Times New Roman"/>
          <w:b/>
          <w:color w:val="000000" w:themeColor="text1"/>
          <w:sz w:val="21"/>
          <w:szCs w:val="21"/>
        </w:rPr>
        <w:t xml:space="preserve">Referral Bonus Amount. </w:t>
      </w:r>
      <w:r w:rsidRPr="00CC45F0">
        <w:rPr>
          <w:rFonts w:ascii="Gotham Book" w:hAnsi="Gotham Book" w:cs="Times New Roman"/>
          <w:bCs/>
          <w:color w:val="000000" w:themeColor="text1"/>
          <w:sz w:val="21"/>
          <w:szCs w:val="21"/>
        </w:rPr>
        <w:t>If</w:t>
      </w:r>
      <w:r w:rsidRPr="00CC45F0">
        <w:rPr>
          <w:rFonts w:ascii="Gotham Book" w:hAnsi="Gotham Book" w:cs="Times New Roman"/>
          <w:color w:val="000000" w:themeColor="text1"/>
          <w:sz w:val="21"/>
          <w:szCs w:val="21"/>
        </w:rPr>
        <w:t xml:space="preserve"> all requirements are met, the Referring Nonprofit Organization will be eligible to receive a “</w:t>
      </w:r>
      <w:r w:rsidRPr="00CC45F0">
        <w:rPr>
          <w:rFonts w:ascii="Gotham Book" w:hAnsi="Gotham Book" w:cs="Times New Roman"/>
          <w:b/>
          <w:color w:val="000000" w:themeColor="text1"/>
          <w:sz w:val="21"/>
          <w:szCs w:val="21"/>
        </w:rPr>
        <w:t>Referral Bonus</w:t>
      </w:r>
      <w:r w:rsidRPr="00CC45F0">
        <w:rPr>
          <w:rFonts w:ascii="Gotham Book" w:hAnsi="Gotham Book" w:cs="Times New Roman"/>
          <w:color w:val="000000" w:themeColor="text1"/>
          <w:sz w:val="21"/>
          <w:szCs w:val="21"/>
        </w:rPr>
        <w:t>” payment as follows:</w:t>
      </w:r>
    </w:p>
    <w:p w14:paraId="4E76AE40" w14:textId="77777777" w:rsidR="00020FCE" w:rsidRPr="00CC45F0" w:rsidRDefault="00020FCE" w:rsidP="00020FCE">
      <w:pPr>
        <w:spacing w:after="0" w:line="240" w:lineRule="auto"/>
        <w:rPr>
          <w:rFonts w:ascii="Gotham Book" w:hAnsi="Gotham Book" w:cs="Times New Roman"/>
          <w:color w:val="000000" w:themeColor="text1"/>
          <w:sz w:val="21"/>
          <w:szCs w:val="21"/>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6"/>
        <w:gridCol w:w="1054"/>
      </w:tblGrid>
      <w:tr w:rsidR="00020FCE" w:rsidRPr="00E64064" w14:paraId="6FB0095D" w14:textId="77777777" w:rsidTr="001D0A9E">
        <w:tc>
          <w:tcPr>
            <w:tcW w:w="5156" w:type="dxa"/>
          </w:tcPr>
          <w:tbl>
            <w:tblPr>
              <w:tblStyle w:val="TableGrid"/>
              <w:tblW w:w="6910" w:type="dxa"/>
              <w:tblLook w:val="04A0" w:firstRow="1" w:lastRow="0" w:firstColumn="1" w:lastColumn="0" w:noHBand="0" w:noVBand="1"/>
            </w:tblPr>
            <w:tblGrid>
              <w:gridCol w:w="3220"/>
              <w:gridCol w:w="3690"/>
            </w:tblGrid>
            <w:tr w:rsidR="00020FCE" w:rsidRPr="00E64064" w14:paraId="3E85BFD9" w14:textId="77777777" w:rsidTr="001D0A9E">
              <w:tc>
                <w:tcPr>
                  <w:tcW w:w="3220" w:type="dxa"/>
                </w:tcPr>
                <w:p w14:paraId="3A07BB05" w14:textId="77777777" w:rsidR="00020FCE" w:rsidRPr="00E64064" w:rsidRDefault="00020FCE" w:rsidP="001D0A9E">
                  <w:pPr>
                    <w:rPr>
                      <w:rFonts w:ascii="Gotham Book" w:hAnsi="Gotham Book" w:cs="Times New Roman"/>
                      <w:b/>
                      <w:bCs/>
                      <w:color w:val="000000" w:themeColor="text1"/>
                      <w:sz w:val="21"/>
                      <w:szCs w:val="21"/>
                    </w:rPr>
                  </w:pPr>
                </w:p>
              </w:tc>
              <w:tc>
                <w:tcPr>
                  <w:tcW w:w="3690" w:type="dxa"/>
                </w:tcPr>
                <w:p w14:paraId="559E8CA0" w14:textId="77777777" w:rsidR="00020FCE" w:rsidRPr="00E64064" w:rsidRDefault="00020FCE" w:rsidP="001D0A9E">
                  <w:pPr>
                    <w:rPr>
                      <w:rFonts w:ascii="Gotham Book" w:hAnsi="Gotham Book" w:cs="Times New Roman"/>
                      <w:b/>
                      <w:bCs/>
                      <w:color w:val="000000" w:themeColor="text1"/>
                      <w:sz w:val="21"/>
                      <w:szCs w:val="21"/>
                    </w:rPr>
                  </w:pPr>
                  <w:r w:rsidRPr="00E64064">
                    <w:rPr>
                      <w:rFonts w:ascii="Gotham Book" w:hAnsi="Gotham Book" w:cs="Times New Roman"/>
                      <w:b/>
                      <w:bCs/>
                      <w:color w:val="000000" w:themeColor="text1"/>
                      <w:sz w:val="21"/>
                      <w:szCs w:val="21"/>
                    </w:rPr>
                    <w:t>Referring Nonprofit Organization Bonus</w:t>
                  </w:r>
                </w:p>
              </w:tc>
            </w:tr>
            <w:tr w:rsidR="00020FCE" w:rsidRPr="00E64064" w14:paraId="14D7B295" w14:textId="77777777" w:rsidTr="001D0A9E">
              <w:tc>
                <w:tcPr>
                  <w:tcW w:w="3220" w:type="dxa"/>
                </w:tcPr>
                <w:p w14:paraId="2C1DCCFD" w14:textId="77777777" w:rsidR="00020FCE" w:rsidRPr="00E64064" w:rsidRDefault="00020FCE" w:rsidP="001D0A9E">
                  <w:pPr>
                    <w:rPr>
                      <w:rFonts w:ascii="Gotham Book" w:hAnsi="Gotham Book" w:cs="Times New Roman"/>
                      <w:b/>
                      <w:bCs/>
                      <w:color w:val="000000" w:themeColor="text1"/>
                      <w:sz w:val="21"/>
                      <w:szCs w:val="21"/>
                    </w:rPr>
                  </w:pPr>
                  <w:r w:rsidRPr="00E64064">
                    <w:rPr>
                      <w:rFonts w:ascii="Gotham Book" w:hAnsi="Gotham Book" w:cs="Times New Roman"/>
                      <w:b/>
                      <w:bCs/>
                      <w:color w:val="000000" w:themeColor="text1"/>
                      <w:sz w:val="21"/>
                      <w:szCs w:val="21"/>
                    </w:rPr>
                    <w:t>Qualifying First Fundraiser Delivery</w:t>
                  </w:r>
                </w:p>
              </w:tc>
              <w:tc>
                <w:tcPr>
                  <w:tcW w:w="3690" w:type="dxa"/>
                </w:tcPr>
                <w:p w14:paraId="0E4DC1A2" w14:textId="77777777" w:rsidR="00020FCE" w:rsidRPr="00E64064" w:rsidRDefault="00020FCE" w:rsidP="001D0A9E">
                  <w:pPr>
                    <w:rPr>
                      <w:rFonts w:ascii="Gotham Book" w:hAnsi="Gotham Book" w:cs="Times New Roman"/>
                      <w:b/>
                      <w:bCs/>
                      <w:color w:val="000000" w:themeColor="text1"/>
                      <w:sz w:val="21"/>
                      <w:szCs w:val="21"/>
                    </w:rPr>
                  </w:pPr>
                  <w:r w:rsidRPr="00E64064">
                    <w:rPr>
                      <w:rFonts w:ascii="Gotham Book" w:hAnsi="Gotham Book" w:cs="Times New Roman"/>
                      <w:b/>
                      <w:bCs/>
                      <w:color w:val="000000" w:themeColor="text1"/>
                      <w:sz w:val="21"/>
                      <w:szCs w:val="21"/>
                    </w:rPr>
                    <w:t xml:space="preserve">U.S. </w:t>
                  </w:r>
                  <w:r w:rsidRPr="00E64064">
                    <w:rPr>
                      <w:rFonts w:ascii="Gotham Book" w:hAnsi="Gotham Book" w:cs="Times New Roman"/>
                      <w:color w:val="000000" w:themeColor="text1"/>
                      <w:sz w:val="21"/>
                      <w:szCs w:val="21"/>
                      <w:vertAlign w:val="superscript"/>
                    </w:rPr>
                    <w:t xml:space="preserve">1                  </w:t>
                  </w:r>
                  <w:r w:rsidRPr="00E64064">
                    <w:rPr>
                      <w:rFonts w:ascii="Gotham Book" w:hAnsi="Gotham Book" w:cs="Times New Roman"/>
                      <w:b/>
                      <w:bCs/>
                      <w:color w:val="000000" w:themeColor="text1"/>
                      <w:sz w:val="21"/>
                      <w:szCs w:val="21"/>
                    </w:rPr>
                    <w:t>$50 US</w:t>
                  </w:r>
                </w:p>
                <w:p w14:paraId="580A0E69" w14:textId="77777777" w:rsidR="00020FCE" w:rsidRPr="00E64064" w:rsidRDefault="00020FCE" w:rsidP="001D0A9E">
                  <w:pPr>
                    <w:rPr>
                      <w:rFonts w:ascii="Gotham Book" w:hAnsi="Gotham Book" w:cs="Times New Roman"/>
                      <w:b/>
                      <w:bCs/>
                      <w:color w:val="000000" w:themeColor="text1"/>
                      <w:sz w:val="21"/>
                      <w:szCs w:val="21"/>
                    </w:rPr>
                  </w:pPr>
                  <w:r w:rsidRPr="00E64064">
                    <w:rPr>
                      <w:rFonts w:ascii="Gotham Book" w:hAnsi="Gotham Book" w:cs="Times New Roman"/>
                      <w:b/>
                      <w:bCs/>
                      <w:color w:val="000000" w:themeColor="text1"/>
                      <w:sz w:val="21"/>
                      <w:szCs w:val="21"/>
                    </w:rPr>
                    <w:t>Canada       $50 CAD</w:t>
                  </w:r>
                </w:p>
              </w:tc>
            </w:tr>
          </w:tbl>
          <w:p w14:paraId="31EAA8D7" w14:textId="77777777" w:rsidR="00020FCE" w:rsidRPr="00E64064" w:rsidRDefault="00020FCE" w:rsidP="001D0A9E">
            <w:pPr>
              <w:rPr>
                <w:rFonts w:ascii="Gotham Book" w:hAnsi="Gotham Book" w:cs="Times New Roman"/>
                <w:color w:val="000000" w:themeColor="text1"/>
                <w:sz w:val="21"/>
                <w:szCs w:val="21"/>
              </w:rPr>
            </w:pPr>
          </w:p>
        </w:tc>
        <w:tc>
          <w:tcPr>
            <w:tcW w:w="3034" w:type="dxa"/>
          </w:tcPr>
          <w:p w14:paraId="125C081D" w14:textId="77777777" w:rsidR="00020FCE" w:rsidRPr="00E64064" w:rsidRDefault="00020FCE" w:rsidP="001D0A9E">
            <w:pPr>
              <w:rPr>
                <w:rFonts w:ascii="Gotham Book" w:hAnsi="Gotham Book" w:cs="Times New Roman"/>
                <w:color w:val="000000" w:themeColor="text1"/>
                <w:sz w:val="21"/>
                <w:szCs w:val="21"/>
              </w:rPr>
            </w:pPr>
          </w:p>
        </w:tc>
      </w:tr>
      <w:tr w:rsidR="00020FCE" w:rsidRPr="00E64064" w14:paraId="69B08151" w14:textId="77777777" w:rsidTr="001D0A9E">
        <w:tc>
          <w:tcPr>
            <w:tcW w:w="5156" w:type="dxa"/>
          </w:tcPr>
          <w:p w14:paraId="4F6423E7" w14:textId="77777777" w:rsidR="00020FCE" w:rsidRPr="00E64064" w:rsidRDefault="00020FCE" w:rsidP="001D0A9E">
            <w:pPr>
              <w:rPr>
                <w:rFonts w:ascii="Gotham Book" w:hAnsi="Gotham Book" w:cs="Times New Roman"/>
                <w:color w:val="000000" w:themeColor="text1"/>
                <w:sz w:val="21"/>
                <w:szCs w:val="21"/>
              </w:rPr>
            </w:pPr>
          </w:p>
        </w:tc>
        <w:tc>
          <w:tcPr>
            <w:tcW w:w="3034" w:type="dxa"/>
          </w:tcPr>
          <w:p w14:paraId="4FC23D25" w14:textId="77777777" w:rsidR="00020FCE" w:rsidRPr="00E64064" w:rsidRDefault="00020FCE" w:rsidP="001D0A9E">
            <w:pPr>
              <w:rPr>
                <w:rFonts w:ascii="Gotham Book" w:hAnsi="Gotham Book" w:cs="Times New Roman"/>
                <w:color w:val="000000" w:themeColor="text1"/>
                <w:sz w:val="21"/>
                <w:szCs w:val="21"/>
              </w:rPr>
            </w:pPr>
          </w:p>
        </w:tc>
      </w:tr>
    </w:tbl>
    <w:p w14:paraId="335DE834" w14:textId="77777777" w:rsidR="00020FCE" w:rsidRPr="00E64064" w:rsidRDefault="00020FCE" w:rsidP="00020FCE">
      <w:pPr>
        <w:pStyle w:val="ListParagraph"/>
        <w:numPr>
          <w:ilvl w:val="1"/>
          <w:numId w:val="2"/>
        </w:numPr>
        <w:spacing w:after="0" w:line="240" w:lineRule="auto"/>
        <w:ind w:left="1080" w:hanging="540"/>
        <w:contextualSpacing w:val="0"/>
        <w:rPr>
          <w:rFonts w:ascii="Gotham Book" w:hAnsi="Gotham Book" w:cs="Times New Roman"/>
          <w:bCs/>
          <w:color w:val="000000" w:themeColor="text1"/>
          <w:sz w:val="21"/>
          <w:szCs w:val="21"/>
        </w:rPr>
      </w:pPr>
      <w:r w:rsidRPr="00E64064">
        <w:rPr>
          <w:rFonts w:ascii="Gotham Book" w:hAnsi="Gotham Book" w:cs="Times New Roman"/>
          <w:bCs/>
          <w:color w:val="000000" w:themeColor="text1"/>
          <w:sz w:val="21"/>
          <w:szCs w:val="21"/>
        </w:rPr>
        <w:t>If all requirements are met, the Referring Nonprofit Organization will receive an additional bonus of $50 US</w:t>
      </w:r>
      <w:r w:rsidRPr="00E64064">
        <w:rPr>
          <w:rFonts w:ascii="Gotham Book" w:hAnsi="Gotham Book" w:cs="Times New Roman"/>
          <w:bCs/>
          <w:color w:val="000000" w:themeColor="text1"/>
          <w:sz w:val="20"/>
          <w:szCs w:val="20"/>
          <w:vertAlign w:val="superscript"/>
        </w:rPr>
        <w:t>1</w:t>
      </w:r>
      <w:r w:rsidRPr="00E64064">
        <w:rPr>
          <w:rFonts w:ascii="Gotham Book" w:hAnsi="Gotham Book" w:cs="Times New Roman"/>
          <w:bCs/>
          <w:color w:val="000000" w:themeColor="text1"/>
          <w:sz w:val="21"/>
          <w:szCs w:val="21"/>
        </w:rPr>
        <w:t xml:space="preserve"> or $50 CAD following every third referral where the Referred Nonprofit Organization completes their first fundraiser delivery.</w:t>
      </w:r>
    </w:p>
    <w:p w14:paraId="34A1DC52" w14:textId="77777777" w:rsidR="00020FCE" w:rsidRPr="00CC45F0" w:rsidRDefault="00020FCE" w:rsidP="00020FCE">
      <w:pPr>
        <w:spacing w:after="0" w:line="240" w:lineRule="auto"/>
        <w:ind w:left="1080"/>
        <w:rPr>
          <w:rFonts w:ascii="Gotham Book" w:hAnsi="Gotham Book" w:cs="Times New Roman"/>
          <w:color w:val="000000" w:themeColor="text1"/>
          <w:sz w:val="16"/>
          <w:szCs w:val="16"/>
          <w:vertAlign w:val="superscript"/>
        </w:rPr>
      </w:pPr>
    </w:p>
    <w:p w14:paraId="408E0FEE" w14:textId="3222D8FE" w:rsidR="00020FCE" w:rsidRPr="00CC45F0" w:rsidRDefault="00020FCE" w:rsidP="00020FCE">
      <w:pPr>
        <w:spacing w:after="0" w:line="240" w:lineRule="auto"/>
        <w:ind w:left="1080"/>
        <w:rPr>
          <w:rFonts w:ascii="Gotham Book" w:hAnsi="Gotham Book" w:cs="Times New Roman"/>
          <w:color w:val="000000" w:themeColor="text1"/>
          <w:sz w:val="16"/>
          <w:szCs w:val="16"/>
        </w:rPr>
      </w:pPr>
      <w:r w:rsidRPr="00CC45F0">
        <w:rPr>
          <w:rFonts w:ascii="Gotham Book" w:hAnsi="Gotham Book" w:cs="Times New Roman"/>
          <w:color w:val="000000" w:themeColor="text1"/>
          <w:sz w:val="16"/>
          <w:szCs w:val="16"/>
          <w:vertAlign w:val="superscript"/>
        </w:rPr>
        <w:t>1</w:t>
      </w:r>
      <w:r w:rsidRPr="00CC45F0">
        <w:rPr>
          <w:rFonts w:ascii="Gotham Book" w:hAnsi="Gotham Book" w:cs="Times New Roman"/>
          <w:color w:val="000000" w:themeColor="text1"/>
          <w:sz w:val="16"/>
          <w:szCs w:val="16"/>
        </w:rPr>
        <w:t xml:space="preserve"> The FUNDrive</w:t>
      </w:r>
      <w:r w:rsidR="007B579B">
        <w:rPr>
          <w:rFonts w:ascii="Gotham Book" w:hAnsi="Gotham Book" w:cs="Times New Roman"/>
          <w:color w:val="000000" w:themeColor="text1"/>
          <w:sz w:val="16"/>
          <w:szCs w:val="16"/>
        </w:rPr>
        <w:t>®</w:t>
      </w:r>
      <w:r w:rsidRPr="00CC45F0">
        <w:rPr>
          <w:rFonts w:ascii="Gotham Book" w:hAnsi="Gotham Book" w:cs="Times New Roman"/>
          <w:color w:val="000000" w:themeColor="text1"/>
          <w:sz w:val="16"/>
          <w:szCs w:val="16"/>
        </w:rPr>
        <w:t xml:space="preserve"> Program and the Referral Program are not currently available in Minnesota.</w:t>
      </w:r>
    </w:p>
    <w:p w14:paraId="2505E4A5" w14:textId="77777777" w:rsidR="00020FCE" w:rsidRPr="003706FD" w:rsidRDefault="00020FCE" w:rsidP="00020FCE">
      <w:pPr>
        <w:spacing w:after="0" w:line="240" w:lineRule="auto"/>
        <w:ind w:left="540"/>
        <w:rPr>
          <w:rFonts w:ascii="Gotham Light" w:hAnsi="Gotham Light" w:cs="Times New Roman"/>
          <w:b/>
          <w:color w:val="000000" w:themeColor="text1"/>
          <w:sz w:val="21"/>
          <w:szCs w:val="21"/>
        </w:rPr>
      </w:pPr>
    </w:p>
    <w:p w14:paraId="6E2156D8" w14:textId="77777777" w:rsidR="00020FCE" w:rsidRPr="00483B13" w:rsidRDefault="00020FCE" w:rsidP="00020FCE">
      <w:pPr>
        <w:pStyle w:val="ListParagraph"/>
        <w:numPr>
          <w:ilvl w:val="0"/>
          <w:numId w:val="2"/>
        </w:numPr>
        <w:spacing w:after="0" w:line="240" w:lineRule="auto"/>
        <w:ind w:left="540" w:hanging="540"/>
        <w:contextualSpacing w:val="0"/>
        <w:rPr>
          <w:rFonts w:ascii="Gotham Book" w:hAnsi="Gotham Book" w:cs="Times New Roman"/>
          <w:b/>
          <w:color w:val="000000" w:themeColor="text1"/>
          <w:sz w:val="21"/>
          <w:szCs w:val="21"/>
        </w:rPr>
      </w:pPr>
      <w:r w:rsidRPr="00483B13">
        <w:rPr>
          <w:rFonts w:ascii="Gotham Book" w:hAnsi="Gotham Book" w:cs="Times New Roman"/>
          <w:b/>
          <w:color w:val="000000" w:themeColor="text1"/>
          <w:sz w:val="21"/>
          <w:szCs w:val="21"/>
        </w:rPr>
        <w:t>Other Terms &amp; Conditions.</w:t>
      </w:r>
    </w:p>
    <w:p w14:paraId="100D928F"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73BC359D" w14:textId="77777777"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Must meet all terms</w:t>
      </w:r>
      <w:r w:rsidRPr="00483B13">
        <w:rPr>
          <w:rFonts w:ascii="Gotham Book" w:hAnsi="Gotham Book" w:cs="Times New Roman"/>
          <w:color w:val="000000" w:themeColor="text1"/>
          <w:sz w:val="21"/>
          <w:szCs w:val="21"/>
        </w:rPr>
        <w:t>. Any referrals made that do not meet all Referral Program Terms and Conditions will not be eligible for the Referral Bonus.</w:t>
      </w:r>
    </w:p>
    <w:p w14:paraId="1661B4AF"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3D5D5FBD" w14:textId="06D8E0FE"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First event only</w:t>
      </w:r>
      <w:r w:rsidRPr="00483B13">
        <w:rPr>
          <w:rFonts w:ascii="Gotham Book" w:hAnsi="Gotham Book" w:cs="Times New Roman"/>
          <w:color w:val="000000" w:themeColor="text1"/>
          <w:sz w:val="21"/>
          <w:szCs w:val="21"/>
        </w:rPr>
        <w:t xml:space="preserve">. The Referral Bonus will only be paid to the Referring Organization for the first successful event held by the New Organization. No bonus is payable for future </w:t>
      </w:r>
      <w:r w:rsidR="002E3A28" w:rsidRPr="00483B13">
        <w:rPr>
          <w:rFonts w:ascii="Gotham Book" w:hAnsi="Gotham Book" w:cs="Times New Roman"/>
          <w:color w:val="000000" w:themeColor="text1"/>
          <w:sz w:val="21"/>
          <w:szCs w:val="21"/>
        </w:rPr>
        <w:t>FUNDrive</w:t>
      </w:r>
      <w:r w:rsidR="002E3A28">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 xml:space="preserve">events held by the New Organization. </w:t>
      </w:r>
    </w:p>
    <w:p w14:paraId="422E980C" w14:textId="77777777" w:rsidR="00020FCE" w:rsidRPr="00483B13" w:rsidRDefault="00020FCE" w:rsidP="00020FCE">
      <w:pPr>
        <w:spacing w:after="0" w:line="240" w:lineRule="auto"/>
        <w:rPr>
          <w:rFonts w:ascii="Gotham Book" w:hAnsi="Gotham Book" w:cs="Times New Roman"/>
          <w:i/>
          <w:iCs/>
          <w:color w:val="000000" w:themeColor="text1"/>
          <w:sz w:val="21"/>
          <w:szCs w:val="21"/>
        </w:rPr>
      </w:pPr>
    </w:p>
    <w:p w14:paraId="108BDBA7" w14:textId="672E3C55"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Subject to business needs</w:t>
      </w:r>
      <w:r w:rsidRPr="00483B13">
        <w:rPr>
          <w:rFonts w:ascii="Gotham Book" w:hAnsi="Gotham Book" w:cs="Times New Roman"/>
          <w:color w:val="000000" w:themeColor="text1"/>
          <w:sz w:val="21"/>
          <w:szCs w:val="21"/>
        </w:rPr>
        <w:t xml:space="preserve">. Savers/Value Village has sole discretion in determining the availability of scheduling </w:t>
      </w:r>
      <w:r w:rsidR="002E3A28" w:rsidRPr="00483B13">
        <w:rPr>
          <w:rFonts w:ascii="Gotham Book" w:hAnsi="Gotham Book" w:cs="Times New Roman"/>
          <w:color w:val="000000" w:themeColor="text1"/>
          <w:sz w:val="21"/>
          <w:szCs w:val="21"/>
        </w:rPr>
        <w:t>FUNDrive</w:t>
      </w:r>
      <w:r w:rsidR="002E3A28">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 xml:space="preserve">events, delivery dates and designated delivery locations.  Savers/Value Village may determine in its sole discretion that it is unable to schedule an event or drop off date for a New Organization due to supply needs, business needs or for any other reason.  Savers/Value Village will </w:t>
      </w:r>
      <w:r w:rsidRPr="00483B13">
        <w:rPr>
          <w:rFonts w:ascii="Gotham Book" w:hAnsi="Gotham Book" w:cs="Times New Roman"/>
          <w:color w:val="000000" w:themeColor="text1"/>
          <w:sz w:val="21"/>
          <w:szCs w:val="21"/>
          <w:u w:val="single"/>
        </w:rPr>
        <w:t>not</w:t>
      </w:r>
      <w:r w:rsidRPr="00483B13">
        <w:rPr>
          <w:rFonts w:ascii="Gotham Book" w:hAnsi="Gotham Book" w:cs="Times New Roman"/>
          <w:color w:val="000000" w:themeColor="text1"/>
          <w:sz w:val="21"/>
          <w:szCs w:val="21"/>
        </w:rPr>
        <w:t xml:space="preserve"> be required to pay a Referral Bonus if a </w:t>
      </w:r>
      <w:r w:rsidR="002E3A28" w:rsidRPr="00483B13">
        <w:rPr>
          <w:rFonts w:ascii="Gotham Book" w:hAnsi="Gotham Book" w:cs="Times New Roman"/>
          <w:color w:val="000000" w:themeColor="text1"/>
          <w:sz w:val="21"/>
          <w:szCs w:val="21"/>
        </w:rPr>
        <w:t>FUNDrive</w:t>
      </w:r>
      <w:r w:rsidR="002E3A28">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 xml:space="preserve">event or delivery date is not scheduled within the required referral timeframe. </w:t>
      </w:r>
    </w:p>
    <w:p w14:paraId="60766098"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386499A3" w14:textId="77777777"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Payment timeline</w:t>
      </w:r>
      <w:r w:rsidRPr="00483B13">
        <w:rPr>
          <w:rFonts w:ascii="Gotham Book" w:hAnsi="Gotham Book" w:cs="Times New Roman"/>
          <w:color w:val="000000" w:themeColor="text1"/>
          <w:sz w:val="21"/>
          <w:szCs w:val="21"/>
        </w:rPr>
        <w:t>. Time of payment of the Referral Bonus to the Referring Organization will be approximately 45 days following completion of the New Organization’s first successful event.</w:t>
      </w:r>
    </w:p>
    <w:p w14:paraId="0666C3B5" w14:textId="77777777" w:rsidR="00020FCE" w:rsidRPr="00483B13" w:rsidRDefault="00020FCE" w:rsidP="00020FCE">
      <w:pPr>
        <w:spacing w:after="0" w:line="240" w:lineRule="auto"/>
        <w:rPr>
          <w:rFonts w:ascii="Gotham Book" w:hAnsi="Gotham Book" w:cs="Times New Roman"/>
          <w:sz w:val="21"/>
          <w:szCs w:val="21"/>
        </w:rPr>
      </w:pPr>
    </w:p>
    <w:p w14:paraId="2F6EA0CA" w14:textId="77777777"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sz w:val="21"/>
          <w:szCs w:val="21"/>
        </w:rPr>
      </w:pPr>
      <w:r w:rsidRPr="00483B13">
        <w:rPr>
          <w:rFonts w:ascii="Gotham Book" w:hAnsi="Gotham Book" w:cs="Times New Roman"/>
          <w:b/>
          <w:bCs/>
          <w:sz w:val="21"/>
          <w:szCs w:val="21"/>
        </w:rPr>
        <w:t>Individuals are not eligible</w:t>
      </w:r>
      <w:r w:rsidRPr="00483B13">
        <w:rPr>
          <w:rFonts w:ascii="Gotham Book" w:hAnsi="Gotham Book" w:cs="Times New Roman"/>
          <w:sz w:val="21"/>
          <w:szCs w:val="21"/>
        </w:rPr>
        <w:t xml:space="preserve">. The Referral Bonus is payable to the Referring Organization only.  Individuals, for-profit companies, and other entities are not eligible for any payment.  </w:t>
      </w:r>
    </w:p>
    <w:p w14:paraId="421B3B67"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29C2A5FA" w14:textId="77777777"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No limit on referrals</w:t>
      </w:r>
      <w:r w:rsidRPr="00483B13">
        <w:rPr>
          <w:rFonts w:ascii="Gotham Book" w:hAnsi="Gotham Book" w:cs="Times New Roman"/>
          <w:color w:val="000000" w:themeColor="text1"/>
          <w:sz w:val="21"/>
          <w:szCs w:val="21"/>
        </w:rPr>
        <w:t>. There is no limit to how many New Organizations each Referring Organization may refer; however, each referral must meet all qualifying requirements of these Referral Program Terms and Conditions to be eligible for payment of the Referral Bonus.</w:t>
      </w:r>
    </w:p>
    <w:p w14:paraId="2B662D35"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09E10560" w14:textId="77777777"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No spam or abuse</w:t>
      </w:r>
      <w:r w:rsidRPr="00483B13">
        <w:rPr>
          <w:rFonts w:ascii="Gotham Book" w:hAnsi="Gotham Book" w:cs="Times New Roman"/>
          <w:color w:val="000000" w:themeColor="text1"/>
          <w:sz w:val="21"/>
          <w:szCs w:val="21"/>
        </w:rPr>
        <w:t xml:space="preserve">. By participating in the Referral Program, Referring Organizations agree to these Referral Program Terms and Conditions. Referring Organizations must not breach the terms and conditions of the Referral Program, or fraudulently abuse the Referral Program by sending bulk spam distribution or promotion of the Referral Program.  </w:t>
      </w:r>
    </w:p>
    <w:p w14:paraId="1897F36B"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1862048C" w14:textId="0377724A"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t>Current version</w:t>
      </w:r>
      <w:r w:rsidRPr="00483B13">
        <w:rPr>
          <w:rFonts w:ascii="Gotham Book" w:hAnsi="Gotham Book" w:cs="Times New Roman"/>
          <w:color w:val="000000" w:themeColor="text1"/>
          <w:sz w:val="21"/>
          <w:szCs w:val="21"/>
        </w:rPr>
        <w:t xml:space="preserve">. These Referral Program Terms and Conditions are current as of </w:t>
      </w:r>
      <w:r w:rsidR="0074352A">
        <w:rPr>
          <w:rFonts w:ascii="Gotham Book" w:hAnsi="Gotham Book" w:cs="Times New Roman"/>
          <w:color w:val="000000" w:themeColor="text1"/>
          <w:sz w:val="21"/>
          <w:szCs w:val="21"/>
        </w:rPr>
        <w:t>October</w:t>
      </w:r>
      <w:r w:rsidRPr="00E64064">
        <w:rPr>
          <w:rFonts w:ascii="Gotham Book" w:hAnsi="Gotham Book" w:cs="Times New Roman"/>
          <w:color w:val="000000" w:themeColor="text1"/>
          <w:sz w:val="21"/>
          <w:szCs w:val="21"/>
        </w:rPr>
        <w:t xml:space="preserve"> </w:t>
      </w:r>
      <w:r>
        <w:rPr>
          <w:rFonts w:ascii="Gotham Book" w:hAnsi="Gotham Book" w:cs="Times New Roman"/>
          <w:color w:val="000000" w:themeColor="text1"/>
          <w:sz w:val="21"/>
          <w:szCs w:val="21"/>
        </w:rPr>
        <w:t>1</w:t>
      </w:r>
      <w:r w:rsidR="0074352A">
        <w:rPr>
          <w:rFonts w:ascii="Gotham Book" w:hAnsi="Gotham Book" w:cs="Times New Roman"/>
          <w:color w:val="000000" w:themeColor="text1"/>
          <w:sz w:val="21"/>
          <w:szCs w:val="21"/>
        </w:rPr>
        <w:t>8</w:t>
      </w:r>
      <w:r>
        <w:rPr>
          <w:rFonts w:ascii="Gotham Book" w:hAnsi="Gotham Book" w:cs="Times New Roman"/>
          <w:color w:val="000000" w:themeColor="text1"/>
          <w:sz w:val="21"/>
          <w:szCs w:val="21"/>
        </w:rPr>
        <w:t xml:space="preserve">, </w:t>
      </w:r>
      <w:r w:rsidRPr="00E64064">
        <w:rPr>
          <w:rFonts w:ascii="Gotham Book" w:hAnsi="Gotham Book" w:cs="Times New Roman"/>
          <w:color w:val="000000" w:themeColor="text1"/>
          <w:sz w:val="21"/>
          <w:szCs w:val="21"/>
        </w:rPr>
        <w:t>202</w:t>
      </w:r>
      <w:r w:rsidR="0074352A">
        <w:rPr>
          <w:rFonts w:ascii="Gotham Book" w:hAnsi="Gotham Book" w:cs="Times New Roman"/>
          <w:color w:val="000000" w:themeColor="text1"/>
          <w:sz w:val="21"/>
          <w:szCs w:val="21"/>
        </w:rPr>
        <w:t>3</w:t>
      </w:r>
      <w:r>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 xml:space="preserve">and replace all prior Terms and Conditions or other referral programs that may have been previously offered for </w:t>
      </w:r>
      <w:r w:rsidR="002E3A28" w:rsidRPr="00483B13">
        <w:rPr>
          <w:rFonts w:ascii="Gotham Book" w:hAnsi="Gotham Book" w:cs="Times New Roman"/>
          <w:color w:val="000000" w:themeColor="text1"/>
          <w:sz w:val="21"/>
          <w:szCs w:val="21"/>
        </w:rPr>
        <w:t>FUNDrive</w:t>
      </w:r>
      <w:r w:rsidR="002E3A28">
        <w:rPr>
          <w:rFonts w:ascii="Gotham Book" w:hAnsi="Gotham Book" w:cs="Times New Roman"/>
          <w:color w:val="000000" w:themeColor="text1"/>
          <w:sz w:val="21"/>
          <w:szCs w:val="21"/>
        </w:rPr>
        <w:t xml:space="preserve">® </w:t>
      </w:r>
      <w:r w:rsidRPr="00483B13">
        <w:rPr>
          <w:rFonts w:ascii="Gotham Book" w:hAnsi="Gotham Book" w:cs="Times New Roman"/>
          <w:color w:val="000000" w:themeColor="text1"/>
          <w:sz w:val="21"/>
          <w:szCs w:val="21"/>
        </w:rPr>
        <w:t>organizations.</w:t>
      </w:r>
    </w:p>
    <w:p w14:paraId="03553CF0" w14:textId="77777777" w:rsidR="00020FCE" w:rsidRPr="00483B13" w:rsidRDefault="00020FCE" w:rsidP="00020FCE">
      <w:pPr>
        <w:spacing w:after="0" w:line="240" w:lineRule="auto"/>
        <w:rPr>
          <w:rFonts w:ascii="Gotham Book" w:hAnsi="Gotham Book" w:cs="Times New Roman"/>
          <w:color w:val="000000" w:themeColor="text1"/>
          <w:sz w:val="21"/>
          <w:szCs w:val="21"/>
        </w:rPr>
      </w:pPr>
    </w:p>
    <w:p w14:paraId="780F8100" w14:textId="77777777" w:rsidR="00020FCE" w:rsidRPr="00483B13" w:rsidRDefault="00020FCE" w:rsidP="00020FCE">
      <w:pPr>
        <w:pStyle w:val="ListParagraph"/>
        <w:numPr>
          <w:ilvl w:val="1"/>
          <w:numId w:val="2"/>
        </w:numPr>
        <w:spacing w:after="0" w:line="240" w:lineRule="auto"/>
        <w:ind w:left="1080" w:hanging="540"/>
        <w:contextualSpacing w:val="0"/>
        <w:rPr>
          <w:rFonts w:ascii="Gotham Book" w:hAnsi="Gotham Book" w:cs="Times New Roman"/>
          <w:color w:val="000000" w:themeColor="text1"/>
          <w:sz w:val="21"/>
          <w:szCs w:val="21"/>
        </w:rPr>
      </w:pPr>
      <w:r w:rsidRPr="00483B13">
        <w:rPr>
          <w:rFonts w:ascii="Gotham Book" w:hAnsi="Gotham Book" w:cs="Times New Roman"/>
          <w:b/>
          <w:bCs/>
          <w:color w:val="000000" w:themeColor="text1"/>
          <w:sz w:val="21"/>
          <w:szCs w:val="21"/>
        </w:rPr>
        <w:lastRenderedPageBreak/>
        <w:t>Modification</w:t>
      </w:r>
      <w:r w:rsidRPr="00483B13">
        <w:rPr>
          <w:rFonts w:ascii="Gotham Book" w:hAnsi="Gotham Book" w:cs="Times New Roman"/>
          <w:color w:val="000000" w:themeColor="text1"/>
          <w:sz w:val="21"/>
          <w:szCs w:val="21"/>
        </w:rPr>
        <w:t xml:space="preserve">. Savers/Value Village reserves the right at any time to modify or discontinue </w:t>
      </w:r>
      <w:r>
        <w:rPr>
          <w:rFonts w:ascii="Gotham Book" w:hAnsi="Gotham Book" w:cs="Times New Roman"/>
          <w:color w:val="000000" w:themeColor="text1"/>
          <w:sz w:val="21"/>
          <w:szCs w:val="21"/>
        </w:rPr>
        <w:t xml:space="preserve">a </w:t>
      </w:r>
      <w:r w:rsidRPr="00483B13">
        <w:rPr>
          <w:rFonts w:ascii="Gotham Book" w:hAnsi="Gotham Book" w:cs="Times New Roman"/>
          <w:color w:val="000000" w:themeColor="text1"/>
          <w:sz w:val="21"/>
          <w:szCs w:val="21"/>
        </w:rPr>
        <w:t xml:space="preserve">Referral Program, either temporarily or permanently, without notice.  Savers/Value Village reserves the right to waive any of the Referral Program requirements in its sole discretion.  Savers/Value Village will not be liable to any potential or actual Referring Organization or New Organization, in the event of any modification, suspension or discontinuance of the Referral Program.  Savers/Value Village reserves the right to amend, modify or waive these Referral Program terms and conditions at any time in its sole discretion. </w:t>
      </w:r>
    </w:p>
    <w:p w14:paraId="0BC50FD4" w14:textId="77777777" w:rsidR="00EB26D1" w:rsidRDefault="00EB26D1"/>
    <w:sectPr w:rsidR="00EB2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00000287" w:usb1="00000000" w:usb2="00000000" w:usb3="00000000" w:csb0="0000009F" w:csb1="00000000"/>
  </w:font>
  <w:font w:name="Gotham Light">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73F8"/>
    <w:multiLevelType w:val="hybridMultilevel"/>
    <w:tmpl w:val="795A09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537D89"/>
    <w:multiLevelType w:val="hybridMultilevel"/>
    <w:tmpl w:val="9B0EFF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D927703"/>
    <w:multiLevelType w:val="multilevel"/>
    <w:tmpl w:val="6374D2C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num w:numId="1" w16cid:durableId="97800542">
    <w:abstractNumId w:val="0"/>
  </w:num>
  <w:num w:numId="2" w16cid:durableId="1407530845">
    <w:abstractNumId w:val="2"/>
  </w:num>
  <w:num w:numId="3" w16cid:durableId="79360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CE"/>
    <w:rsid w:val="00020FCE"/>
    <w:rsid w:val="002E3A28"/>
    <w:rsid w:val="00402C1A"/>
    <w:rsid w:val="00555ED4"/>
    <w:rsid w:val="0074352A"/>
    <w:rsid w:val="007B579B"/>
    <w:rsid w:val="00A07F37"/>
    <w:rsid w:val="00AB650C"/>
    <w:rsid w:val="00B45E98"/>
    <w:rsid w:val="00BC22C4"/>
    <w:rsid w:val="00C40988"/>
    <w:rsid w:val="00EB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A182"/>
  <w15:chartTrackingRefBased/>
  <w15:docId w15:val="{3BAB0BE6-C6BA-4721-BB2E-944C8506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C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FCE"/>
    <w:pPr>
      <w:ind w:left="720"/>
      <w:contextualSpacing/>
    </w:pPr>
  </w:style>
  <w:style w:type="table" w:styleId="TableGrid">
    <w:name w:val="Table Grid"/>
    <w:basedOn w:val="TableNormal"/>
    <w:uiPriority w:val="39"/>
    <w:rsid w:val="00020F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Kratochvil</dc:creator>
  <cp:keywords/>
  <dc:description/>
  <cp:lastModifiedBy>Angela Binder</cp:lastModifiedBy>
  <cp:revision>8</cp:revision>
  <dcterms:created xsi:type="dcterms:W3CDTF">2023-10-18T17:49:00Z</dcterms:created>
  <dcterms:modified xsi:type="dcterms:W3CDTF">2023-10-27T13:46:00Z</dcterms:modified>
</cp:coreProperties>
</file>