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CA82" w14:textId="77777777" w:rsidR="001F3546" w:rsidRPr="00260911" w:rsidRDefault="001F3546" w:rsidP="001F3546">
      <w:pPr>
        <w:pBdr>
          <w:bottom w:val="single" w:sz="4" w:space="1" w:color="auto"/>
        </w:pBdr>
        <w:rPr>
          <w:rFonts w:ascii="Arial" w:hAnsi="Arial" w:cs="Arial"/>
          <w:b/>
          <w:bCs/>
          <w:color w:val="EE0000"/>
          <w:sz w:val="22"/>
          <w:szCs w:val="22"/>
        </w:rPr>
      </w:pPr>
      <w:r w:rsidRPr="00260911">
        <w:rPr>
          <w:rFonts w:ascii="Arial" w:hAnsi="Arial" w:cs="Arial"/>
          <w:b/>
          <w:bCs/>
          <w:color w:val="EE0000"/>
          <w:sz w:val="22"/>
          <w:szCs w:val="22"/>
        </w:rPr>
        <w:t>DIRECTIONS FOR USE:</w:t>
      </w:r>
    </w:p>
    <w:p w14:paraId="52DAD809" w14:textId="1399BE7E" w:rsidR="001F3546" w:rsidRPr="002578A3" w:rsidRDefault="001F3546" w:rsidP="001F3546">
      <w:pPr>
        <w:pBdr>
          <w:bottom w:val="single" w:sz="4" w:space="1" w:color="auto"/>
        </w:pBdr>
        <w:rPr>
          <w:rFonts w:ascii="Arial" w:hAnsi="Arial" w:cs="Arial"/>
          <w:color w:val="EE0000"/>
          <w:sz w:val="22"/>
          <w:szCs w:val="22"/>
        </w:rPr>
      </w:pPr>
      <w:r w:rsidRPr="002578A3">
        <w:rPr>
          <w:rFonts w:ascii="Arial" w:hAnsi="Arial" w:cs="Arial"/>
          <w:color w:val="EE0000"/>
          <w:sz w:val="22"/>
          <w:szCs w:val="22"/>
        </w:rPr>
        <w:t>You can use the template on the following page and customize it to the needs of your patients with Rett syndrome, when appealing a coverage denial for DAYBUE</w:t>
      </w:r>
      <w:r w:rsidR="002578A3" w:rsidRPr="002578A3">
        <w:rPr>
          <w:rFonts w:ascii="Arial" w:hAnsi="Arial" w:cs="Arial"/>
          <w:color w:val="EE0000"/>
          <w:sz w:val="22"/>
          <w:szCs w:val="22"/>
          <w:vertAlign w:val="superscript"/>
        </w:rPr>
        <w:t>®</w:t>
      </w:r>
      <w:r w:rsidR="002578A3" w:rsidRPr="002578A3">
        <w:rPr>
          <w:rFonts w:ascii="Arial" w:hAnsi="Arial" w:cs="Arial"/>
          <w:color w:val="EE0000"/>
          <w:sz w:val="22"/>
          <w:szCs w:val="22"/>
        </w:rPr>
        <w:t xml:space="preserve"> (trofinetide) </w:t>
      </w:r>
      <w:r w:rsidR="006E18F5">
        <w:rPr>
          <w:rFonts w:ascii="Arial" w:hAnsi="Arial" w:cs="Arial"/>
          <w:color w:val="EE0000"/>
          <w:sz w:val="22"/>
          <w:szCs w:val="22"/>
        </w:rPr>
        <w:t xml:space="preserve">oral solution </w:t>
      </w:r>
      <w:r w:rsidR="002578A3" w:rsidRPr="002578A3">
        <w:rPr>
          <w:rFonts w:ascii="Arial" w:hAnsi="Arial" w:cs="Arial"/>
          <w:color w:val="EE0000"/>
          <w:sz w:val="22"/>
          <w:szCs w:val="22"/>
        </w:rPr>
        <w:t>or DAYBUE</w:t>
      </w:r>
      <w:r w:rsidR="002578A3" w:rsidRPr="002578A3">
        <w:rPr>
          <w:rFonts w:ascii="Arial" w:hAnsi="Arial" w:cs="Arial"/>
          <w:color w:val="EE0000"/>
          <w:sz w:val="22"/>
          <w:szCs w:val="22"/>
          <w:vertAlign w:val="superscript"/>
        </w:rPr>
        <w:t>®</w:t>
      </w:r>
      <w:r w:rsidR="002578A3" w:rsidRPr="002578A3">
        <w:rPr>
          <w:rFonts w:ascii="Arial" w:hAnsi="Arial" w:cs="Arial"/>
          <w:color w:val="EE0000"/>
          <w:sz w:val="22"/>
          <w:szCs w:val="22"/>
        </w:rPr>
        <w:t xml:space="preserve"> </w:t>
      </w:r>
      <w:r w:rsidR="00A66068">
        <w:rPr>
          <w:rFonts w:ascii="Arial" w:hAnsi="Arial" w:cs="Arial"/>
          <w:color w:val="EE0000"/>
          <w:sz w:val="22"/>
          <w:szCs w:val="22"/>
        </w:rPr>
        <w:t>S</w:t>
      </w:r>
      <w:r w:rsidR="00646A90">
        <w:rPr>
          <w:rFonts w:ascii="Arial" w:hAnsi="Arial" w:cs="Arial"/>
          <w:color w:val="EE0000"/>
          <w:sz w:val="22"/>
          <w:szCs w:val="22"/>
        </w:rPr>
        <w:t>TIX</w:t>
      </w:r>
      <w:r w:rsidR="00932562">
        <w:rPr>
          <w:rFonts w:ascii="Arial" w:hAnsi="Arial" w:cs="Arial"/>
          <w:color w:val="EE0000"/>
          <w:sz w:val="22"/>
          <w:szCs w:val="22"/>
        </w:rPr>
        <w:t xml:space="preserve"> </w:t>
      </w:r>
      <w:r w:rsidR="00A66068">
        <w:rPr>
          <w:rFonts w:ascii="Arial" w:hAnsi="Arial" w:cs="Arial"/>
          <w:color w:val="EE0000"/>
          <w:sz w:val="22"/>
          <w:szCs w:val="22"/>
        </w:rPr>
        <w:t>(trofinetide) for oral solution</w:t>
      </w:r>
      <w:r w:rsidRPr="002578A3">
        <w:rPr>
          <w:rFonts w:ascii="Arial" w:hAnsi="Arial" w:cs="Arial"/>
          <w:color w:val="EE0000"/>
          <w:sz w:val="22"/>
          <w:szCs w:val="22"/>
        </w:rPr>
        <w:t xml:space="preserve">. </w:t>
      </w:r>
      <w:r w:rsidRPr="002578A3">
        <w:rPr>
          <w:rFonts w:ascii="Arial" w:hAnsi="Arial" w:cs="Arial"/>
          <w:b/>
          <w:bCs/>
          <w:color w:val="EE0000"/>
          <w:sz w:val="22"/>
          <w:szCs w:val="22"/>
        </w:rPr>
        <w:t xml:space="preserve">Please ensure all magenta fields are completed with black font and </w:t>
      </w:r>
      <w:r w:rsidRPr="002578A3">
        <w:rPr>
          <w:rFonts w:ascii="Arial" w:hAnsi="Arial" w:cs="Arial"/>
          <w:b/>
          <w:bCs/>
          <w:color w:val="EE0000"/>
          <w:sz w:val="22"/>
          <w:szCs w:val="22"/>
          <w:u w:val="single"/>
        </w:rPr>
        <w:t>REMOVE THIS FIRST PAGE BEFORE</w:t>
      </w:r>
      <w:r w:rsidRPr="002578A3">
        <w:rPr>
          <w:rFonts w:ascii="Arial" w:hAnsi="Arial" w:cs="Arial"/>
          <w:b/>
          <w:bCs/>
          <w:color w:val="EE0000"/>
          <w:sz w:val="22"/>
          <w:szCs w:val="22"/>
        </w:rPr>
        <w:t xml:space="preserve"> submitting to your patient’s health insurance.</w:t>
      </w:r>
      <w:r w:rsidRPr="002578A3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5102BE3B" w14:textId="77777777" w:rsidR="001F3546" w:rsidRDefault="001D50BE" w:rsidP="001D50BE">
      <w:pPr>
        <w:pBdr>
          <w:bottom w:val="single" w:sz="4" w:space="1" w:color="auto"/>
        </w:pBdr>
        <w:tabs>
          <w:tab w:val="left" w:pos="290"/>
          <w:tab w:val="center" w:pos="5558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F30FB08" w14:textId="59AB7A41" w:rsidR="001D50BE" w:rsidRDefault="008223E9" w:rsidP="00FF4898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DAYBUE </w:t>
      </w:r>
      <w:r w:rsidR="00264D39" w:rsidRPr="00EC2CA4">
        <w:rPr>
          <w:rFonts w:ascii="Arial" w:hAnsi="Arial" w:cs="Arial"/>
          <w:b/>
          <w:bCs/>
          <w:sz w:val="28"/>
          <w:szCs w:val="28"/>
        </w:rPr>
        <w:t xml:space="preserve">Letter </w:t>
      </w:r>
      <w:r w:rsidR="00264D39">
        <w:rPr>
          <w:rFonts w:ascii="Arial" w:hAnsi="Arial" w:cs="Arial"/>
          <w:b/>
          <w:bCs/>
          <w:sz w:val="28"/>
          <w:szCs w:val="28"/>
        </w:rPr>
        <w:t xml:space="preserve">of Appeal </w:t>
      </w:r>
      <w:r w:rsidR="00264D39" w:rsidRPr="00EC2CA4">
        <w:rPr>
          <w:rFonts w:ascii="Arial" w:hAnsi="Arial" w:cs="Arial"/>
          <w:b/>
          <w:bCs/>
          <w:sz w:val="28"/>
          <w:szCs w:val="28"/>
        </w:rPr>
        <w:t xml:space="preserve">for </w:t>
      </w:r>
      <w:r>
        <w:rPr>
          <w:rFonts w:ascii="Arial" w:hAnsi="Arial" w:cs="Arial"/>
          <w:b/>
          <w:bCs/>
          <w:sz w:val="28"/>
          <w:szCs w:val="28"/>
        </w:rPr>
        <w:t>Standard Prior Authorization Denial</w:t>
      </w:r>
    </w:p>
    <w:p w14:paraId="372D7846" w14:textId="77777777" w:rsidR="0026170A" w:rsidRDefault="0026170A" w:rsidP="001D50BE">
      <w:pPr>
        <w:pBdr>
          <w:bottom w:val="single" w:sz="4" w:space="1" w:color="auto"/>
        </w:pBdr>
        <w:tabs>
          <w:tab w:val="left" w:pos="290"/>
          <w:tab w:val="center" w:pos="5558"/>
        </w:tabs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FA2E590" w14:textId="77DEBE0A" w:rsidR="00264D39" w:rsidRPr="006C14F4" w:rsidRDefault="00264D39" w:rsidP="001D50BE">
      <w:pPr>
        <w:pBdr>
          <w:bottom w:val="single" w:sz="4" w:space="1" w:color="auto"/>
        </w:pBdr>
        <w:tabs>
          <w:tab w:val="left" w:pos="290"/>
          <w:tab w:val="center" w:pos="5558"/>
        </w:tabs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6C14F4">
        <w:rPr>
          <w:rFonts w:ascii="Arial" w:hAnsi="Arial" w:cs="Arial"/>
          <w:color w:val="404040" w:themeColor="text1" w:themeTint="BF"/>
          <w:sz w:val="18"/>
          <w:szCs w:val="18"/>
        </w:rPr>
        <w:t xml:space="preserve">This sample letter is a guide to help you 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 xml:space="preserve">write an appeal for the coverage denial of a medication by your patient’s health </w:t>
      </w:r>
      <w:r w:rsidR="0026170A" w:rsidRPr="006C14F4">
        <w:rPr>
          <w:rFonts w:ascii="ArialMT" w:hAnsi="ArialMT" w:cs="ArialMT"/>
          <w:color w:val="404040" w:themeColor="text1" w:themeTint="BF"/>
          <w:sz w:val="18"/>
          <w:szCs w:val="18"/>
        </w:rPr>
        <w:t>insurance. It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 xml:space="preserve"> is for informational purposes only and does not constitute medical, legal, or reimbursement advice and represents no statement,</w:t>
      </w:r>
      <w:r w:rsidR="001D50BE" w:rsidRPr="006C14F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>promise, or guarantee of coverage or payment. Always check to see if the patient’s health insurance has their own template for you to</w:t>
      </w:r>
      <w:r w:rsidR="001D50BE" w:rsidRPr="006C14F4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>follow when submitting a letter of appeal. Individual health insurance policies are frequently updated and it is the responsibility of the</w:t>
      </w:r>
      <w:r w:rsidR="0026170A">
        <w:rPr>
          <w:rFonts w:ascii="ArialMT" w:hAnsi="ArialMT" w:cs="ArialMT"/>
          <w:color w:val="404040" w:themeColor="text1" w:themeTint="BF"/>
          <w:sz w:val="18"/>
          <w:szCs w:val="18"/>
        </w:rPr>
        <w:t xml:space="preserve"> 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 xml:space="preserve">provider and/or their office staff to determine appropriate coding, medical necessity, site of service, and documentation </w:t>
      </w:r>
      <w:r w:rsidR="0026170A" w:rsidRPr="006C14F4">
        <w:rPr>
          <w:rFonts w:ascii="ArialMT" w:hAnsi="ArialMT" w:cs="ArialMT"/>
          <w:color w:val="404040" w:themeColor="text1" w:themeTint="BF"/>
          <w:sz w:val="18"/>
          <w:szCs w:val="18"/>
        </w:rPr>
        <w:t>requirements, and</w:t>
      </w:r>
      <w:r w:rsidRPr="006C14F4">
        <w:rPr>
          <w:rFonts w:ascii="ArialMT" w:hAnsi="ArialMT" w:cs="ArialMT"/>
          <w:color w:val="404040" w:themeColor="text1" w:themeTint="BF"/>
          <w:sz w:val="18"/>
          <w:szCs w:val="18"/>
        </w:rPr>
        <w:t xml:space="preserve"> to submit appropriate codes, modifiers, and charges for services rendered, as specified by the patient’s health insurance.</w:t>
      </w:r>
    </w:p>
    <w:p w14:paraId="7BB11399" w14:textId="77777777" w:rsidR="00DA7D63" w:rsidRPr="006C14F4" w:rsidRDefault="00DA7D63" w:rsidP="00DA7D63">
      <w:pPr>
        <w:pBdr>
          <w:bottom w:val="single" w:sz="4" w:space="1" w:color="auto"/>
        </w:pBdr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6A80ADD9" w14:textId="77777777" w:rsidR="00DA7D63" w:rsidRPr="006C14F4" w:rsidRDefault="00DA7D63" w:rsidP="00DA7D63">
      <w:pPr>
        <w:pStyle w:val="NoSpacing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2C736363" w14:textId="0628E909" w:rsidR="00DA7D63" w:rsidRPr="006C14F4" w:rsidRDefault="00DA7D63" w:rsidP="00DA7D63">
      <w:pPr>
        <w:pStyle w:val="NoSpacing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6C14F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INDICATION AND IMPORTANT SAFETY INFORMATION </w:t>
      </w:r>
    </w:p>
    <w:p w14:paraId="61B89C89" w14:textId="77777777" w:rsidR="00DA7D63" w:rsidRPr="006C14F4" w:rsidRDefault="00DA7D63" w:rsidP="00DA7D63">
      <w:pPr>
        <w:pStyle w:val="NoSpacing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358BA62D" w14:textId="77777777" w:rsidR="00FF4898" w:rsidRPr="00FF4898" w:rsidRDefault="00FF4898" w:rsidP="00FF489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Indication</w:t>
      </w:r>
    </w:p>
    <w:p w14:paraId="4972E450" w14:textId="79D5FF14" w:rsidR="00FF4898" w:rsidRPr="00FF4898" w:rsidRDefault="00FF4898" w:rsidP="00FF4898">
      <w:pPr>
        <w:autoSpaceDE w:val="0"/>
        <w:autoSpaceDN w:val="0"/>
        <w:adjustRightInd w:val="0"/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DAYBUE and 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646A90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are indicated for the treatment of Rett syndrome in adults and pediatric patients 2 years of age and older.</w:t>
      </w:r>
    </w:p>
    <w:p w14:paraId="57ADB457" w14:textId="77777777" w:rsidR="00FF4898" w:rsidRPr="00FF4898" w:rsidRDefault="00FF4898" w:rsidP="00FF489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Important Safety Information</w:t>
      </w:r>
    </w:p>
    <w:p w14:paraId="3DEC614C" w14:textId="77777777" w:rsidR="00FF4898" w:rsidRPr="00FF4898" w:rsidRDefault="00FF4898" w:rsidP="00FF48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Warnings and Precautions</w:t>
      </w:r>
    </w:p>
    <w:p w14:paraId="305D6578" w14:textId="77777777" w:rsidR="00FF4898" w:rsidRPr="00FF4898" w:rsidRDefault="00FF4898" w:rsidP="00FF489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Diarrhea: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In a 12-week study and in long-term studies, 85% of patients treated with DAYBUE experienced diarrhea. In those treated with DAYBUE, 49% either had persistent diarrhea or recurrence after resolution despite dose interruptions, reductions, or concomitant antidiarrheal therapy. Diarrhea severity was mild or moderate in 96% of cases. In the 12-week study, antidiarrheal medication was used in 51% of patients treated with DAYBUE.  </w:t>
      </w:r>
    </w:p>
    <w:p w14:paraId="0A0A83AA" w14:textId="18D4FA4D" w:rsidR="00FF4898" w:rsidRPr="00FF4898" w:rsidRDefault="00FF4898" w:rsidP="00FF4898">
      <w:pPr>
        <w:pStyle w:val="ListParagraph"/>
        <w:autoSpaceDE w:val="0"/>
        <w:autoSpaceDN w:val="0"/>
        <w:adjustRightInd w:val="0"/>
        <w:spacing w:before="120" w:after="1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Advise patients to stop laxatives before starting DAYBUE or 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. If diarrhea occurs, patients should notify their healthcare provider, consider starting antidiarrheal treatment, and monitor hydration status and increase oral fluids, if needed. Interrupt, reduce dose, or discontinue DAYBUE or 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if severe diarrhea occurs or if dehydration is suspected.</w:t>
      </w:r>
    </w:p>
    <w:p w14:paraId="5069C6C8" w14:textId="77777777" w:rsidR="00FF4898" w:rsidRPr="00FF4898" w:rsidRDefault="00FF4898" w:rsidP="00FF489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Vomiting: 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In a 12-week study, vomiting occurred in 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>29% of patients treated with DAYBUE and in 12% of patients who received placebo</w:t>
      </w:r>
      <w:r w:rsidRPr="00FF4898">
        <w:rPr>
          <w:rFonts w:ascii="Arial" w:eastAsia="Calibri" w:hAnsi="Arial" w:cs="Arial"/>
          <w:i/>
          <w:iCs/>
          <w:color w:val="404040" w:themeColor="text1" w:themeTint="BF"/>
          <w:sz w:val="18"/>
          <w:szCs w:val="18"/>
        </w:rPr>
        <w:t>.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  </w:t>
      </w:r>
    </w:p>
    <w:p w14:paraId="04FBBF13" w14:textId="261C276A" w:rsidR="00FF4898" w:rsidRPr="00FF4898" w:rsidRDefault="00FF4898" w:rsidP="00FF4898">
      <w:pPr>
        <w:autoSpaceDE w:val="0"/>
        <w:autoSpaceDN w:val="0"/>
        <w:adjustRightInd w:val="0"/>
        <w:spacing w:before="120" w:after="120"/>
        <w:ind w:left="72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>Patients with Rett syndrome are at risk for aspiration and aspiration pneumonia.</w:t>
      </w:r>
      <w:r w:rsidR="008020BB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 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Aspiration and aspiration pneumonia have been reported following vomiting in patients being treated with DAYBUE. Interrupt, reduce dose, or discontinue DAYBUE or DAYBUE </w:t>
      </w:r>
      <w:r w:rsidR="00A66068">
        <w:rPr>
          <w:rFonts w:ascii="Arial" w:eastAsia="Calibri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eastAsia="Calibri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 if vomiting is severe or occurs despite medical management.  </w:t>
      </w:r>
    </w:p>
    <w:p w14:paraId="48DDFC44" w14:textId="7A51392F" w:rsidR="00FF4898" w:rsidRPr="00FF4898" w:rsidRDefault="00FF4898" w:rsidP="00FF489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20"/>
        <w:contextualSpacing w:val="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Weight Loss: 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In the 12-week study, 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12% of patients treated with DAYBUE experienced weight loss of greater than 7% from baseline, compared to 4% of patients who received placebo. In long-term studies, 2.2% of patients discontinued treatment with DAYBUE due to weight loss. Monitor weight and interrupt, reduce dose, or discontinue DAYBUE or DAYBUE </w:t>
      </w:r>
      <w:r w:rsidR="00A66068">
        <w:rPr>
          <w:rFonts w:ascii="Arial" w:eastAsia="Calibri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eastAsia="Calibri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eastAsia="Calibri" w:hAnsi="Arial" w:cs="Arial"/>
          <w:color w:val="404040" w:themeColor="text1" w:themeTint="BF"/>
          <w:sz w:val="18"/>
          <w:szCs w:val="18"/>
        </w:rPr>
        <w:t xml:space="preserve"> if significant weight loss occurs.</w:t>
      </w:r>
    </w:p>
    <w:p w14:paraId="072397AB" w14:textId="77777777" w:rsidR="00FF4898" w:rsidRPr="00FF4898" w:rsidRDefault="00FF4898" w:rsidP="00FF48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Adverse Reactions: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The common adverse reactions (≥5% for DAYBUE-treated patients and at least 2% greater than in placebo) reported in the 12-week study were diarrhea (82% vs 20%), vomiting (29% vs 12%), fever (9% vs 4%), seizure (9% vs 6%), anxiety (8% vs 1%), decreased appetite (8% vs 2%), fatigue (8% vs 2%), and nasopharyngitis (5% vs 1%).</w:t>
      </w:r>
    </w:p>
    <w:p w14:paraId="7B7E423A" w14:textId="559E096F" w:rsidR="00FF4898" w:rsidRPr="00FF4898" w:rsidRDefault="00FF4898" w:rsidP="00FF48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Drug Interactions: Effect of DAYBUE and DAYBUE </w:t>
      </w:r>
      <w:r w:rsidR="00A6606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on other Drugs</w:t>
      </w:r>
    </w:p>
    <w:p w14:paraId="35BF935F" w14:textId="77777777" w:rsidR="00FF4898" w:rsidRPr="00FF4898" w:rsidRDefault="00FF4898" w:rsidP="00FF489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 w:after="120"/>
        <w:ind w:left="7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>Trofinetide, a weak inhibitor of CYP3A and an inhibitor of P-gp, can increase the plasma concentrations of CYP3A and/or P-gp substrates (e.g., loperamide), which may increase the risk of adverse reactions associated with these substrates</w:t>
      </w:r>
      <w:r w:rsidRPr="00FF4898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.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14:paraId="1185775C" w14:textId="3B0C65F6" w:rsidR="00FF4898" w:rsidRPr="00FF4898" w:rsidRDefault="00FF4898" w:rsidP="00FF4898">
      <w:pPr>
        <w:pStyle w:val="ListParagraph"/>
        <w:autoSpaceDE w:val="0"/>
        <w:autoSpaceDN w:val="0"/>
        <w:adjustRightInd w:val="0"/>
        <w:spacing w:before="120" w:after="120"/>
        <w:contextualSpacing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Closely monitor patients when DAYBUE or 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is administered concomitantly with sensitive CYP3A and/or P-gp substrates for which a minimal increase in substrate plasma concentration (i.e., drugs with a narrow therapeutic index) may lead to serious adverse reactions.</w:t>
      </w:r>
    </w:p>
    <w:p w14:paraId="4840C1B7" w14:textId="77777777" w:rsidR="00FF4898" w:rsidRPr="00FF4898" w:rsidRDefault="00FF4898" w:rsidP="00FF489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120"/>
        <w:contextualSpacing w:val="0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Use in Specific Population: Renal Impairment</w:t>
      </w:r>
    </w:p>
    <w:p w14:paraId="77545348" w14:textId="245FA85F" w:rsidR="00FF4898" w:rsidRPr="00FF4898" w:rsidRDefault="00FF4898" w:rsidP="00FF4898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120"/>
        <w:ind w:left="72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DAYBUE and 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are not recommended for patients with severe renal impairment.</w:t>
      </w:r>
    </w:p>
    <w:p w14:paraId="790BEE22" w14:textId="77777777" w:rsidR="00FF4898" w:rsidRPr="00FF4898" w:rsidRDefault="00FF4898" w:rsidP="00FF4898">
      <w:pPr>
        <w:autoSpaceDE w:val="0"/>
        <w:autoSpaceDN w:val="0"/>
        <w:adjustRightInd w:val="0"/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bookmarkStart w:id="0" w:name="_Hlk123890540"/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>DAYBUE is available as an oral solution (200 mg/mL).</w:t>
      </w:r>
      <w:bookmarkEnd w:id="0"/>
    </w:p>
    <w:p w14:paraId="59BB8DA7" w14:textId="25054769" w:rsidR="00FF4898" w:rsidRPr="00FF4898" w:rsidRDefault="00FF4898" w:rsidP="00FF4898">
      <w:pPr>
        <w:autoSpaceDE w:val="0"/>
        <w:autoSpaceDN w:val="0"/>
        <w:adjustRightInd w:val="0"/>
        <w:spacing w:after="12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DAYBUE </w:t>
      </w:r>
      <w:r w:rsidR="00A66068"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="0056336A">
        <w:rPr>
          <w:rFonts w:ascii="Arial" w:hAnsi="Arial" w:cs="Arial"/>
          <w:color w:val="404040" w:themeColor="text1" w:themeTint="BF"/>
          <w:sz w:val="18"/>
          <w:szCs w:val="18"/>
        </w:rPr>
        <w:t>TIX</w:t>
      </w:r>
      <w:r w:rsidR="008223E9">
        <w:rPr>
          <w:rFonts w:ascii="Arial" w:hAnsi="Arial" w:cs="Arial"/>
          <w:color w:val="404040" w:themeColor="text1" w:themeTint="BF"/>
          <w:sz w:val="18"/>
          <w:szCs w:val="18"/>
        </w:rPr>
        <w:t xml:space="preserve"> for oral solution powder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 is available </w:t>
      </w:r>
      <w:r w:rsidR="008223E9">
        <w:rPr>
          <w:rFonts w:ascii="Arial" w:hAnsi="Arial" w:cs="Arial"/>
          <w:color w:val="404040" w:themeColor="text1" w:themeTint="BF"/>
          <w:sz w:val="18"/>
          <w:szCs w:val="18"/>
        </w:rPr>
        <w:t xml:space="preserve">in 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>5,000 mg, 6,000 mg, and 8,000 mg</w:t>
      </w:r>
      <w:r w:rsidR="008223E9">
        <w:rPr>
          <w:rFonts w:ascii="Arial" w:hAnsi="Arial" w:cs="Arial"/>
          <w:color w:val="404040" w:themeColor="text1" w:themeTint="BF"/>
          <w:sz w:val="18"/>
          <w:szCs w:val="18"/>
        </w:rPr>
        <w:t xml:space="preserve"> packets</w:t>
      </w: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>.</w:t>
      </w:r>
    </w:p>
    <w:p w14:paraId="0B3630E3" w14:textId="77777777" w:rsidR="00FF4898" w:rsidRPr="00FF4898" w:rsidRDefault="00FF4898" w:rsidP="00FF4898">
      <w:pPr>
        <w:autoSpaceDE w:val="0"/>
        <w:autoSpaceDN w:val="0"/>
        <w:adjustRightInd w:val="0"/>
        <w:rPr>
          <w:rFonts w:ascii="Arial" w:hAnsi="Arial" w:cs="Arial"/>
          <w:color w:val="404040" w:themeColor="text1" w:themeTint="BF"/>
          <w:sz w:val="18"/>
          <w:szCs w:val="18"/>
        </w:rPr>
      </w:pPr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Please read the full </w:t>
      </w:r>
      <w:hyperlink r:id="rId8" w:history="1">
        <w:r w:rsidRPr="00FF4898">
          <w:rPr>
            <w:rStyle w:val="Hyperlink"/>
            <w:rFonts w:ascii="Arial" w:hAnsi="Arial" w:cs="Arial"/>
            <w:b/>
            <w:bCs/>
            <w:color w:val="404040" w:themeColor="text1" w:themeTint="BF"/>
            <w:sz w:val="18"/>
            <w:szCs w:val="18"/>
          </w:rPr>
          <w:t>Prescribing Information</w:t>
        </w:r>
      </w:hyperlink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 xml:space="preserve">, also available at </w:t>
      </w:r>
      <w:hyperlink r:id="rId9" w:history="1">
        <w:r w:rsidRPr="00FF4898">
          <w:rPr>
            <w:rStyle w:val="Hyperlink"/>
            <w:rFonts w:ascii="Arial" w:hAnsi="Arial" w:cs="Arial"/>
            <w:b/>
            <w:bCs/>
            <w:color w:val="404040" w:themeColor="text1" w:themeTint="BF"/>
            <w:sz w:val="18"/>
            <w:szCs w:val="18"/>
          </w:rPr>
          <w:t>DAYBUEhcp.com</w:t>
        </w:r>
      </w:hyperlink>
      <w:r w:rsidRPr="00FF4898">
        <w:rPr>
          <w:rFonts w:ascii="Arial" w:hAnsi="Arial" w:cs="Arial"/>
          <w:color w:val="404040" w:themeColor="text1" w:themeTint="BF"/>
          <w:sz w:val="18"/>
          <w:szCs w:val="18"/>
        </w:rPr>
        <w:t>.</w:t>
      </w:r>
    </w:p>
    <w:p w14:paraId="5013902F" w14:textId="77777777" w:rsidR="00DA7D63" w:rsidRDefault="00DA7D63" w:rsidP="00DA7D6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334232FD" w14:textId="77777777" w:rsidR="00264D39" w:rsidRDefault="00264D39" w:rsidP="009F6392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604F47DF" w14:textId="77777777" w:rsidR="009F6392" w:rsidRDefault="009F6392" w:rsidP="009F6392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7082AD0" w14:textId="77777777" w:rsidR="00260911" w:rsidRDefault="00260911" w:rsidP="00DA7D63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64B17D54" w14:textId="77777777" w:rsidR="00FF4898" w:rsidRDefault="00FF4898" w:rsidP="00DA7D63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12307BD" w14:textId="3788951E" w:rsidR="004D1FDC" w:rsidRPr="00A66068" w:rsidRDefault="00A66068" w:rsidP="00F45BFB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2F92"/>
          <w:sz w:val="28"/>
          <w:szCs w:val="28"/>
        </w:rPr>
      </w:pPr>
      <w:r w:rsidRPr="00A66068">
        <w:rPr>
          <w:rFonts w:ascii="Arial" w:hAnsi="Arial" w:cs="Arial"/>
          <w:b/>
          <w:bCs/>
          <w:color w:val="FF2F92"/>
          <w:sz w:val="28"/>
          <w:szCs w:val="28"/>
        </w:rPr>
        <w:lastRenderedPageBreak/>
        <w:t>[</w:t>
      </w:r>
      <w:r w:rsidR="00F45BFB" w:rsidRPr="00F45BFB">
        <w:rPr>
          <w:rFonts w:ascii="Arial" w:hAnsi="Arial" w:cs="Arial"/>
          <w:b/>
          <w:bCs/>
          <w:color w:val="FF2F92"/>
          <w:sz w:val="28"/>
          <w:szCs w:val="28"/>
        </w:rPr>
        <w:t xml:space="preserve">DAYBUE Letter of Appeal for </w:t>
      </w:r>
      <w:r w:rsidR="006B6D37">
        <w:rPr>
          <w:rFonts w:ascii="Arial" w:hAnsi="Arial" w:cs="Arial"/>
          <w:b/>
          <w:bCs/>
          <w:color w:val="FF2F92"/>
          <w:sz w:val="28"/>
          <w:szCs w:val="28"/>
        </w:rPr>
        <w:t>S</w:t>
      </w:r>
      <w:r w:rsidR="00F45BFB" w:rsidRPr="00F45BFB">
        <w:rPr>
          <w:rFonts w:ascii="Arial" w:hAnsi="Arial" w:cs="Arial"/>
          <w:b/>
          <w:bCs/>
          <w:color w:val="FF2F92"/>
          <w:sz w:val="28"/>
          <w:szCs w:val="28"/>
        </w:rPr>
        <w:t>tandard Prior Authorization Denial</w:t>
      </w:r>
      <w:r w:rsidRPr="00A66068">
        <w:rPr>
          <w:rFonts w:ascii="Arial" w:hAnsi="Arial" w:cs="Arial"/>
          <w:b/>
          <w:bCs/>
          <w:color w:val="FF2F92"/>
          <w:sz w:val="28"/>
          <w:szCs w:val="28"/>
        </w:rPr>
        <w:t>]</w:t>
      </w:r>
    </w:p>
    <w:p w14:paraId="6F9C8E6B" w14:textId="77777777" w:rsidR="00473BEB" w:rsidRDefault="00473BEB" w:rsidP="00473BEB">
      <w:pPr>
        <w:tabs>
          <w:tab w:val="left" w:pos="6120"/>
        </w:tabs>
        <w:ind w:right="-72"/>
        <w:rPr>
          <w:rFonts w:ascii="Arial" w:hAnsi="Arial" w:cs="Arial"/>
          <w:sz w:val="18"/>
          <w:szCs w:val="18"/>
        </w:rPr>
      </w:pPr>
    </w:p>
    <w:p w14:paraId="49545D51" w14:textId="77777777" w:rsidR="00473BEB" w:rsidRPr="003E7ED9" w:rsidRDefault="00473BEB" w:rsidP="00473BEB">
      <w:pPr>
        <w:rPr>
          <w:rFonts w:ascii="Arial" w:hAnsi="Arial" w:cs="Arial"/>
          <w:color w:val="FF2F92"/>
          <w:sz w:val="22"/>
          <w:szCs w:val="22"/>
        </w:rPr>
      </w:pPr>
      <w:r w:rsidRPr="003E7ED9">
        <w:rPr>
          <w:rFonts w:ascii="Arial" w:hAnsi="Arial" w:cs="Arial"/>
          <w:color w:val="FF2F92"/>
          <w:sz w:val="22"/>
          <w:szCs w:val="22"/>
        </w:rPr>
        <w:t>[Date of service]</w:t>
      </w:r>
    </w:p>
    <w:p w14:paraId="448CD88C" w14:textId="251E327E" w:rsidR="00473BEB" w:rsidRPr="003E7ED9" w:rsidRDefault="00473BEB" w:rsidP="00473BEB">
      <w:pPr>
        <w:rPr>
          <w:rFonts w:ascii="Arial" w:hAnsi="Arial" w:cs="Arial"/>
          <w:b/>
          <w:bCs/>
          <w:sz w:val="22"/>
          <w:szCs w:val="22"/>
        </w:rPr>
      </w:pPr>
    </w:p>
    <w:p w14:paraId="6A5C50D1" w14:textId="40868C28" w:rsidR="00473BEB" w:rsidRPr="003E7ED9" w:rsidRDefault="00473BEB" w:rsidP="00473BEB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3E7ED9">
        <w:rPr>
          <w:rFonts w:ascii="Arial" w:hAnsi="Arial" w:cs="Arial"/>
          <w:b/>
          <w:bCs/>
          <w:sz w:val="22"/>
          <w:szCs w:val="22"/>
        </w:rPr>
        <w:t>RE:</w:t>
      </w:r>
    </w:p>
    <w:p w14:paraId="669AAC67" w14:textId="589E3BE6" w:rsidR="00473BEB" w:rsidRPr="003E7ED9" w:rsidRDefault="00473BEB" w:rsidP="00F12367">
      <w:pPr>
        <w:spacing w:after="80"/>
        <w:rPr>
          <w:rFonts w:ascii="Arial" w:hAnsi="Arial" w:cs="Arial"/>
          <w:color w:val="FF3399"/>
          <w:sz w:val="22"/>
          <w:szCs w:val="22"/>
        </w:rPr>
      </w:pPr>
      <w:r w:rsidRPr="003E7ED9">
        <w:rPr>
          <w:rFonts w:ascii="Arial" w:hAnsi="Arial" w:cs="Arial"/>
          <w:color w:val="FF2F92"/>
          <w:sz w:val="22"/>
          <w:szCs w:val="22"/>
        </w:rPr>
        <w:t>[Patient name]</w:t>
      </w:r>
      <w:r w:rsidR="003E7ED9">
        <w:rPr>
          <w:rFonts w:ascii="Arial" w:hAnsi="Arial" w:cs="Arial"/>
          <w:sz w:val="22"/>
          <w:szCs w:val="22"/>
        </w:rPr>
        <w:t xml:space="preserve">, </w:t>
      </w:r>
      <w:r w:rsidRPr="003E7ED9">
        <w:rPr>
          <w:rFonts w:ascii="Arial" w:hAnsi="Arial" w:cs="Arial"/>
          <w:color w:val="FF2F92"/>
          <w:sz w:val="22"/>
          <w:szCs w:val="22"/>
        </w:rPr>
        <w:t>[DOB</w:t>
      </w:r>
      <w:r w:rsidR="003E7ED9" w:rsidRPr="003E7ED9">
        <w:rPr>
          <w:rFonts w:ascii="Arial" w:hAnsi="Arial" w:cs="Arial"/>
          <w:color w:val="FF2F92"/>
          <w:sz w:val="22"/>
          <w:szCs w:val="22"/>
        </w:rPr>
        <w:t>]</w:t>
      </w:r>
    </w:p>
    <w:p w14:paraId="56D4CE3F" w14:textId="3A9B5709" w:rsidR="00473BEB" w:rsidRPr="003E7ED9" w:rsidRDefault="00473BEB" w:rsidP="00F12367">
      <w:pPr>
        <w:spacing w:after="80"/>
        <w:rPr>
          <w:rFonts w:ascii="Arial" w:hAnsi="Arial" w:cs="Arial"/>
          <w:color w:val="FF2F92"/>
          <w:sz w:val="22"/>
          <w:szCs w:val="22"/>
        </w:rPr>
      </w:pPr>
      <w:r w:rsidRPr="003E7ED9">
        <w:rPr>
          <w:rFonts w:ascii="Arial" w:hAnsi="Arial" w:cs="Arial"/>
          <w:color w:val="FF2F92"/>
          <w:sz w:val="22"/>
          <w:szCs w:val="22"/>
        </w:rPr>
        <w:t>[Parent/Legal guardian’s name]</w:t>
      </w:r>
    </w:p>
    <w:p w14:paraId="3CF93721" w14:textId="178DEBCA" w:rsidR="00473BEB" w:rsidRPr="003E7ED9" w:rsidRDefault="00473BEB" w:rsidP="00F12367">
      <w:pPr>
        <w:spacing w:after="80"/>
        <w:rPr>
          <w:rFonts w:ascii="Arial" w:hAnsi="Arial" w:cs="Arial"/>
          <w:color w:val="FF40FF"/>
          <w:sz w:val="22"/>
          <w:szCs w:val="22"/>
        </w:rPr>
      </w:pPr>
      <w:r w:rsidRPr="003E7ED9">
        <w:rPr>
          <w:rFonts w:ascii="Arial" w:hAnsi="Arial" w:cs="Arial"/>
          <w:sz w:val="22"/>
          <w:szCs w:val="22"/>
        </w:rPr>
        <w:t xml:space="preserve">Policy number: </w:t>
      </w:r>
      <w:r w:rsidRPr="003E7ED9">
        <w:rPr>
          <w:rFonts w:ascii="Arial" w:hAnsi="Arial" w:cs="Arial"/>
          <w:color w:val="FF2F92"/>
          <w:sz w:val="22"/>
          <w:szCs w:val="22"/>
        </w:rPr>
        <w:t>[Policy number]</w:t>
      </w:r>
    </w:p>
    <w:p w14:paraId="3FC4CA93" w14:textId="45C45216" w:rsidR="00473BEB" w:rsidRPr="003E7ED9" w:rsidRDefault="00473BEB" w:rsidP="00F12367">
      <w:pPr>
        <w:spacing w:after="80"/>
        <w:rPr>
          <w:rFonts w:ascii="Arial" w:hAnsi="Arial" w:cs="Arial"/>
          <w:color w:val="FF40FF"/>
          <w:sz w:val="22"/>
          <w:szCs w:val="22"/>
        </w:rPr>
      </w:pPr>
      <w:r w:rsidRPr="003E7ED9">
        <w:rPr>
          <w:rFonts w:ascii="Arial" w:hAnsi="Arial" w:cs="Arial"/>
          <w:b/>
          <w:bCs/>
          <w:noProof/>
          <w:sz w:val="22"/>
          <w:szCs w:val="22"/>
        </w:rPr>
        <w:softHyphen/>
      </w:r>
      <w:r w:rsidRPr="003E7ED9">
        <w:rPr>
          <w:rFonts w:ascii="Arial" w:hAnsi="Arial" w:cs="Arial"/>
          <w:sz w:val="22"/>
          <w:szCs w:val="22"/>
        </w:rPr>
        <w:t xml:space="preserve">Group number: </w:t>
      </w:r>
      <w:r w:rsidRPr="003E7ED9">
        <w:rPr>
          <w:rFonts w:ascii="Arial" w:hAnsi="Arial" w:cs="Arial"/>
          <w:color w:val="FF2F92"/>
          <w:sz w:val="22"/>
          <w:szCs w:val="22"/>
        </w:rPr>
        <w:t>[Group number]</w:t>
      </w:r>
    </w:p>
    <w:p w14:paraId="7B9C3E38" w14:textId="632263A2" w:rsidR="00473BEB" w:rsidRPr="003E7ED9" w:rsidRDefault="00473BEB" w:rsidP="00F12367">
      <w:pPr>
        <w:spacing w:after="80"/>
        <w:rPr>
          <w:rFonts w:ascii="Arial" w:hAnsi="Arial" w:cs="Arial"/>
          <w:color w:val="FF40FF"/>
          <w:sz w:val="22"/>
          <w:szCs w:val="22"/>
        </w:rPr>
      </w:pPr>
      <w:r w:rsidRPr="003E7ED9">
        <w:rPr>
          <w:rFonts w:ascii="Arial" w:hAnsi="Arial" w:cs="Arial"/>
          <w:sz w:val="22"/>
          <w:szCs w:val="22"/>
        </w:rPr>
        <w:t xml:space="preserve">Medicaid number (if applicable): </w:t>
      </w:r>
      <w:r w:rsidRPr="003E7ED9">
        <w:rPr>
          <w:rFonts w:ascii="Arial" w:hAnsi="Arial" w:cs="Arial"/>
          <w:color w:val="FF2F92"/>
          <w:sz w:val="22"/>
          <w:szCs w:val="22"/>
        </w:rPr>
        <w:t>[Medicaid number]</w:t>
      </w:r>
    </w:p>
    <w:p w14:paraId="340BDBDC" w14:textId="395527CE" w:rsidR="00473BEB" w:rsidRPr="003E7ED9" w:rsidRDefault="00473BEB" w:rsidP="00F12367">
      <w:pPr>
        <w:spacing w:after="80"/>
        <w:rPr>
          <w:rFonts w:ascii="Arial" w:hAnsi="Arial" w:cs="Arial"/>
          <w:color w:val="FF40FF"/>
          <w:sz w:val="22"/>
          <w:szCs w:val="22"/>
        </w:rPr>
      </w:pPr>
      <w:r w:rsidRPr="003E7ED9">
        <w:rPr>
          <w:rFonts w:ascii="Arial" w:hAnsi="Arial" w:cs="Arial"/>
          <w:color w:val="000000" w:themeColor="text1"/>
          <w:sz w:val="22"/>
          <w:szCs w:val="22"/>
        </w:rPr>
        <w:t>Claim/Case number:</w:t>
      </w:r>
      <w:r w:rsidRPr="003E7ED9">
        <w:rPr>
          <w:rFonts w:ascii="Arial" w:hAnsi="Arial" w:cs="Arial"/>
          <w:color w:val="FF40FF"/>
          <w:sz w:val="22"/>
          <w:szCs w:val="22"/>
        </w:rPr>
        <w:t xml:space="preserve"> </w:t>
      </w:r>
      <w:r w:rsidRPr="003E7ED9">
        <w:rPr>
          <w:rFonts w:ascii="Arial" w:hAnsi="Arial" w:cs="Arial"/>
          <w:color w:val="FF2F92"/>
          <w:sz w:val="22"/>
          <w:szCs w:val="22"/>
        </w:rPr>
        <w:t>[Claim/Case number]</w:t>
      </w:r>
    </w:p>
    <w:p w14:paraId="383EB114" w14:textId="77777777" w:rsidR="00635828" w:rsidRPr="003E7ED9" w:rsidRDefault="00635828" w:rsidP="004D1FD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22BB5B1" w14:textId="0BB9CA9C" w:rsidR="00AA13B1" w:rsidRPr="003E7ED9" w:rsidRDefault="00AA13B1" w:rsidP="004D1FDC">
      <w:pPr>
        <w:rPr>
          <w:rFonts w:ascii="Arial" w:hAnsi="Arial" w:cs="Arial"/>
          <w:color w:val="000000" w:themeColor="text1"/>
          <w:sz w:val="22"/>
          <w:szCs w:val="22"/>
        </w:rPr>
      </w:pPr>
      <w:r w:rsidRPr="003E7ED9">
        <w:rPr>
          <w:rFonts w:ascii="Arial" w:hAnsi="Arial" w:cs="Arial"/>
          <w:b/>
          <w:bCs/>
          <w:color w:val="000000" w:themeColor="text1"/>
          <w:sz w:val="22"/>
          <w:szCs w:val="22"/>
        </w:rPr>
        <w:t>Subject:</w:t>
      </w:r>
      <w:r w:rsidRPr="003E7E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3BEB" w:rsidRPr="003E7ED9">
        <w:rPr>
          <w:rFonts w:ascii="Arial" w:hAnsi="Arial" w:cs="Arial"/>
          <w:color w:val="000000" w:themeColor="text1"/>
          <w:sz w:val="22"/>
          <w:szCs w:val="22"/>
        </w:rPr>
        <w:t>Appeal for coverage denial of</w:t>
      </w:r>
      <w:r w:rsidR="00FF48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7010C">
        <w:rPr>
          <w:rFonts w:ascii="Arial" w:hAnsi="Arial" w:cs="Arial"/>
          <w:sz w:val="22"/>
          <w:szCs w:val="22"/>
        </w:rPr>
        <w:t>DAYBUE</w:t>
      </w:r>
      <w:r w:rsidR="00DA067C" w:rsidRPr="0097010C">
        <w:rPr>
          <w:rFonts w:ascii="Arial" w:hAnsi="Arial" w:cs="Arial"/>
          <w:sz w:val="22"/>
          <w:szCs w:val="22"/>
          <w:vertAlign w:val="superscript"/>
        </w:rPr>
        <w:t>®</w:t>
      </w:r>
      <w:r w:rsidRPr="0097010C">
        <w:rPr>
          <w:rFonts w:ascii="Arial" w:hAnsi="Arial" w:cs="Arial"/>
          <w:sz w:val="22"/>
          <w:szCs w:val="22"/>
        </w:rPr>
        <w:t xml:space="preserve"> (trofin</w:t>
      </w:r>
      <w:r w:rsidR="00EC2CA4" w:rsidRPr="0097010C">
        <w:rPr>
          <w:rFonts w:ascii="Arial" w:hAnsi="Arial" w:cs="Arial"/>
          <w:sz w:val="22"/>
          <w:szCs w:val="22"/>
        </w:rPr>
        <w:t>e</w:t>
      </w:r>
      <w:r w:rsidRPr="0097010C">
        <w:rPr>
          <w:rFonts w:ascii="Arial" w:hAnsi="Arial" w:cs="Arial"/>
          <w:sz w:val="22"/>
          <w:szCs w:val="22"/>
        </w:rPr>
        <w:t>tide)</w:t>
      </w:r>
    </w:p>
    <w:p w14:paraId="2E5A0293" w14:textId="4E21891C" w:rsidR="00AA13B1" w:rsidRPr="003E7ED9" w:rsidRDefault="00AA13B1" w:rsidP="004D1FDC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795CA7D" w14:textId="1E71D213" w:rsidR="00AA13B1" w:rsidRPr="003E7ED9" w:rsidRDefault="00AA13B1" w:rsidP="004D1FDC">
      <w:pPr>
        <w:rPr>
          <w:rFonts w:ascii="Arial" w:eastAsia="Arial" w:hAnsi="Arial" w:cs="Arial"/>
          <w:color w:val="EC008C"/>
          <w:sz w:val="22"/>
          <w:szCs w:val="22"/>
          <w:u w:color="000000" w:themeColor="text1"/>
        </w:rPr>
      </w:pPr>
      <w:r w:rsidRPr="003E7ED9">
        <w:rPr>
          <w:rFonts w:ascii="Arial" w:hAnsi="Arial" w:cs="Arial"/>
          <w:color w:val="000000" w:themeColor="text1"/>
          <w:sz w:val="22"/>
          <w:szCs w:val="22"/>
        </w:rPr>
        <w:t xml:space="preserve">Dear </w:t>
      </w: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[Payer medical director/contact name]</w:t>
      </w:r>
      <w:r w:rsidR="00ED468D" w:rsidRPr="003E7ED9">
        <w:rPr>
          <w:rFonts w:ascii="Arial" w:eastAsia="Arial" w:hAnsi="Arial" w:cs="Arial"/>
          <w:sz w:val="22"/>
          <w:szCs w:val="22"/>
          <w:u w:color="000000" w:themeColor="text1"/>
        </w:rPr>
        <w:t>,</w:t>
      </w:r>
    </w:p>
    <w:p w14:paraId="6C66E55E" w14:textId="427A4088" w:rsidR="00AA13B1" w:rsidRPr="003E7ED9" w:rsidRDefault="00AA13B1" w:rsidP="004D1FDC">
      <w:pPr>
        <w:rPr>
          <w:rFonts w:ascii="Arial" w:eastAsia="Arial" w:hAnsi="Arial" w:cs="Arial"/>
          <w:color w:val="EC008C"/>
          <w:sz w:val="22"/>
          <w:szCs w:val="22"/>
          <w:u w:color="000000" w:themeColor="text1"/>
        </w:rPr>
      </w:pPr>
    </w:p>
    <w:p w14:paraId="6E3E6715" w14:textId="3EC7FF51" w:rsidR="003E7ED9" w:rsidRPr="008223E9" w:rsidRDefault="003E7ED9" w:rsidP="003E7ED9">
      <w:pPr>
        <w:rPr>
          <w:rFonts w:ascii="Arial" w:hAnsi="Arial" w:cs="Arial"/>
          <w:sz w:val="22"/>
          <w:szCs w:val="22"/>
        </w:rPr>
      </w:pPr>
      <w:r w:rsidRPr="003E7ED9">
        <w:rPr>
          <w:rFonts w:ascii="Arial" w:hAnsi="Arial" w:cs="Arial"/>
          <w:sz w:val="22"/>
          <w:szCs w:val="22"/>
        </w:rPr>
        <w:t xml:space="preserve">I am writing to appeal a recent denial for </w:t>
      </w:r>
      <w:r w:rsidRPr="003E7ED9">
        <w:rPr>
          <w:rFonts w:ascii="Arial" w:hAnsi="Arial" w:cs="Arial"/>
          <w:color w:val="FF2F92"/>
          <w:sz w:val="22"/>
          <w:szCs w:val="22"/>
        </w:rPr>
        <w:t>[Patient name]</w:t>
      </w:r>
      <w:r w:rsidRPr="003E7ED9">
        <w:rPr>
          <w:rFonts w:ascii="Arial" w:hAnsi="Arial" w:cs="Arial"/>
          <w:sz w:val="22"/>
          <w:szCs w:val="22"/>
        </w:rPr>
        <w:t>’s request f</w:t>
      </w:r>
      <w:r w:rsidRPr="0097010C">
        <w:rPr>
          <w:rFonts w:ascii="Arial" w:hAnsi="Arial" w:cs="Arial"/>
          <w:sz w:val="22"/>
          <w:szCs w:val="22"/>
        </w:rPr>
        <w:t xml:space="preserve">or </w:t>
      </w:r>
      <w:r w:rsidR="00FF4898" w:rsidRPr="0097010C">
        <w:rPr>
          <w:rFonts w:ascii="Arial" w:hAnsi="Arial" w:cs="Arial"/>
          <w:sz w:val="22"/>
          <w:szCs w:val="22"/>
        </w:rPr>
        <w:t xml:space="preserve">DAYBUE. </w:t>
      </w:r>
      <w:r w:rsidRPr="0097010C">
        <w:rPr>
          <w:rFonts w:ascii="Arial" w:hAnsi="Arial" w:cs="Arial"/>
          <w:sz w:val="22"/>
          <w:szCs w:val="22"/>
        </w:rPr>
        <w:t>Th</w:t>
      </w:r>
      <w:r w:rsidRPr="003E7ED9">
        <w:rPr>
          <w:rFonts w:ascii="Arial" w:hAnsi="Arial" w:cs="Arial"/>
          <w:sz w:val="22"/>
          <w:szCs w:val="22"/>
        </w:rPr>
        <w:t xml:space="preserve">e recent denial on </w:t>
      </w:r>
      <w:r w:rsidRPr="003E7ED9">
        <w:rPr>
          <w:rFonts w:ascii="Arial" w:hAnsi="Arial" w:cs="Arial"/>
          <w:color w:val="FF2F92"/>
          <w:sz w:val="22"/>
          <w:szCs w:val="22"/>
        </w:rPr>
        <w:t>[Date]</w:t>
      </w:r>
      <w:r w:rsidRPr="003E7ED9">
        <w:rPr>
          <w:rFonts w:ascii="Arial" w:hAnsi="Arial" w:cs="Arial"/>
          <w:sz w:val="22"/>
          <w:szCs w:val="22"/>
        </w:rPr>
        <w:t xml:space="preserve">, stated </w:t>
      </w:r>
      <w:r w:rsidR="008020BB">
        <w:rPr>
          <w:rFonts w:ascii="Arial" w:hAnsi="Arial" w:cs="Arial"/>
          <w:sz w:val="22"/>
          <w:szCs w:val="22"/>
        </w:rPr>
        <w:t xml:space="preserve">that </w:t>
      </w:r>
      <w:r w:rsidR="008020BB" w:rsidRPr="0097010C">
        <w:rPr>
          <w:rFonts w:ascii="Arial" w:hAnsi="Arial" w:cs="Arial"/>
          <w:sz w:val="22"/>
          <w:szCs w:val="22"/>
        </w:rPr>
        <w:t xml:space="preserve">DAYBUE </w:t>
      </w:r>
      <w:r w:rsidRPr="0097010C">
        <w:rPr>
          <w:rFonts w:ascii="Arial" w:hAnsi="Arial" w:cs="Arial"/>
          <w:sz w:val="22"/>
          <w:szCs w:val="22"/>
        </w:rPr>
        <w:t>w</w:t>
      </w:r>
      <w:r w:rsidRPr="003E7ED9">
        <w:rPr>
          <w:rFonts w:ascii="Arial" w:hAnsi="Arial" w:cs="Arial"/>
          <w:sz w:val="22"/>
          <w:szCs w:val="22"/>
        </w:rPr>
        <w:t xml:space="preserve">as not covered due to </w:t>
      </w:r>
      <w:r w:rsidRPr="003E7ED9">
        <w:rPr>
          <w:rFonts w:ascii="Arial" w:hAnsi="Arial" w:cs="Arial"/>
          <w:color w:val="FF2F92"/>
          <w:sz w:val="22"/>
          <w:szCs w:val="22"/>
        </w:rPr>
        <w:t>[Reason(s) for denial]</w:t>
      </w:r>
      <w:r w:rsidRPr="003E7ED9">
        <w:rPr>
          <w:rFonts w:ascii="Arial" w:hAnsi="Arial" w:cs="Arial"/>
          <w:sz w:val="22"/>
          <w:szCs w:val="22"/>
        </w:rPr>
        <w:t>.</w:t>
      </w:r>
      <w:r w:rsidR="00A721A1" w:rsidRPr="0097010C">
        <w:rPr>
          <w:rFonts w:ascii="Arial" w:hAnsi="Arial" w:cs="Arial"/>
          <w:sz w:val="22"/>
          <w:szCs w:val="22"/>
        </w:rPr>
        <w:t xml:space="preserve"> </w:t>
      </w:r>
      <w:r w:rsidR="00FF4898" w:rsidRPr="0097010C">
        <w:rPr>
          <w:rFonts w:ascii="Arial" w:hAnsi="Arial" w:cs="Arial"/>
          <w:sz w:val="22"/>
          <w:szCs w:val="22"/>
        </w:rPr>
        <w:t xml:space="preserve">DAYBUE </w:t>
      </w:r>
      <w:r w:rsidRPr="0097010C">
        <w:rPr>
          <w:rFonts w:ascii="Arial" w:hAnsi="Arial" w:cs="Arial"/>
          <w:sz w:val="22"/>
          <w:szCs w:val="22"/>
        </w:rPr>
        <w:t xml:space="preserve">is </w:t>
      </w:r>
      <w:r w:rsidRPr="003E7ED9">
        <w:rPr>
          <w:rFonts w:ascii="Arial" w:hAnsi="Arial" w:cs="Arial"/>
          <w:sz w:val="22"/>
          <w:szCs w:val="22"/>
        </w:rPr>
        <w:t>the only medication indicated for the treatment of Rett syndrome (ICD-10 code F84.2) in adults and pediatric patients 2 years of age and older.</w:t>
      </w:r>
      <w:r w:rsidR="00FF4898">
        <w:rPr>
          <w:rFonts w:ascii="Arial" w:hAnsi="Arial" w:cs="Arial"/>
          <w:sz w:val="22"/>
          <w:szCs w:val="22"/>
          <w:vertAlign w:val="superscript"/>
        </w:rPr>
        <w:t>1,2</w:t>
      </w:r>
      <w:r w:rsidRPr="003E7ED9">
        <w:rPr>
          <w:rFonts w:ascii="Arial" w:hAnsi="Arial" w:cs="Arial"/>
          <w:sz w:val="22"/>
          <w:szCs w:val="22"/>
        </w:rPr>
        <w:t xml:space="preserve"> </w:t>
      </w:r>
      <w:r w:rsidR="00FF4898">
        <w:rPr>
          <w:rFonts w:ascii="Arial" w:hAnsi="Arial" w:cs="Arial"/>
          <w:sz w:val="22"/>
          <w:szCs w:val="22"/>
        </w:rPr>
        <w:t>DAYBUE</w:t>
      </w:r>
      <w:r w:rsidRPr="003E7ED9">
        <w:rPr>
          <w:rFonts w:ascii="Arial" w:hAnsi="Arial" w:cs="Arial"/>
          <w:sz w:val="22"/>
          <w:szCs w:val="22"/>
        </w:rPr>
        <w:t xml:space="preserve"> is </w:t>
      </w:r>
      <w:r w:rsidR="008223E9">
        <w:rPr>
          <w:rFonts w:ascii="Arial" w:hAnsi="Arial" w:cs="Arial"/>
          <w:sz w:val="22"/>
          <w:szCs w:val="22"/>
        </w:rPr>
        <w:t xml:space="preserve">part of </w:t>
      </w:r>
      <w:r w:rsidRPr="003E7ED9">
        <w:rPr>
          <w:rFonts w:ascii="Arial" w:hAnsi="Arial" w:cs="Arial"/>
          <w:sz w:val="22"/>
          <w:szCs w:val="22"/>
        </w:rPr>
        <w:t xml:space="preserve">the standard of care for patients diagnosed with Rett syndrome and was approved by the US Food and Drug </w:t>
      </w:r>
      <w:r w:rsidR="008F183C" w:rsidRPr="003E7ED9">
        <w:rPr>
          <w:rFonts w:ascii="Arial" w:hAnsi="Arial" w:cs="Arial"/>
          <w:sz w:val="22"/>
          <w:szCs w:val="22"/>
        </w:rPr>
        <w:t>Administration</w:t>
      </w:r>
      <w:r w:rsidRPr="003E7ED9">
        <w:rPr>
          <w:rFonts w:ascii="Arial" w:hAnsi="Arial" w:cs="Arial"/>
          <w:sz w:val="22"/>
          <w:szCs w:val="22"/>
        </w:rPr>
        <w:t xml:space="preserve"> on March 1</w:t>
      </w:r>
      <w:r w:rsidR="00881E29">
        <w:rPr>
          <w:rFonts w:ascii="Arial" w:hAnsi="Arial" w:cs="Arial"/>
          <w:sz w:val="22"/>
          <w:szCs w:val="22"/>
        </w:rPr>
        <w:t>0</w:t>
      </w:r>
      <w:r w:rsidRPr="003E7ED9">
        <w:rPr>
          <w:rFonts w:ascii="Arial" w:hAnsi="Arial" w:cs="Arial"/>
          <w:sz w:val="22"/>
          <w:szCs w:val="22"/>
        </w:rPr>
        <w:t>, 2023.</w:t>
      </w:r>
      <w:r w:rsidR="00FF4898">
        <w:rPr>
          <w:rFonts w:ascii="Arial" w:hAnsi="Arial" w:cs="Arial"/>
          <w:sz w:val="22"/>
          <w:szCs w:val="22"/>
          <w:vertAlign w:val="superscript"/>
        </w:rPr>
        <w:t>3,4</w:t>
      </w:r>
      <w:r w:rsidRPr="003E7ED9">
        <w:rPr>
          <w:rFonts w:ascii="Arial" w:hAnsi="Arial" w:cs="Arial"/>
          <w:sz w:val="22"/>
          <w:szCs w:val="22"/>
        </w:rPr>
        <w:t xml:space="preserve">  Rett syndrome is a rare, severe</w:t>
      </w:r>
      <w:r w:rsidR="008020BB">
        <w:rPr>
          <w:rFonts w:ascii="Arial" w:hAnsi="Arial" w:cs="Arial"/>
          <w:sz w:val="22"/>
          <w:szCs w:val="22"/>
        </w:rPr>
        <w:t>,</w:t>
      </w:r>
      <w:r w:rsidRPr="003E7ED9">
        <w:rPr>
          <w:rFonts w:ascii="Arial" w:hAnsi="Arial" w:cs="Arial"/>
          <w:sz w:val="22"/>
          <w:szCs w:val="22"/>
        </w:rPr>
        <w:t xml:space="preserve"> and progressive neurodevelopmental disorder that is diagnosed by clinical assessment.</w:t>
      </w:r>
      <w:r w:rsidR="00FF4898">
        <w:rPr>
          <w:rFonts w:ascii="Arial" w:hAnsi="Arial" w:cs="Arial"/>
          <w:sz w:val="22"/>
          <w:szCs w:val="22"/>
          <w:vertAlign w:val="superscript"/>
        </w:rPr>
        <w:t>5</w:t>
      </w:r>
      <w:r w:rsidR="00A721A1">
        <w:rPr>
          <w:rFonts w:ascii="Arial" w:hAnsi="Arial" w:cs="Arial"/>
          <w:sz w:val="22"/>
          <w:szCs w:val="22"/>
          <w:vertAlign w:val="superscript"/>
        </w:rPr>
        <w:t>,6</w:t>
      </w:r>
      <w:r w:rsidRPr="003E7ED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E7ED9">
        <w:rPr>
          <w:rFonts w:ascii="Arial" w:hAnsi="Arial" w:cs="Arial"/>
          <w:color w:val="FF2F92"/>
          <w:sz w:val="22"/>
          <w:szCs w:val="22"/>
        </w:rPr>
        <w:t>[Patient name]</w:t>
      </w:r>
      <w:r w:rsidRPr="003E7ED9">
        <w:rPr>
          <w:rFonts w:ascii="Arial" w:hAnsi="Arial" w:cs="Arial"/>
          <w:sz w:val="22"/>
          <w:szCs w:val="22"/>
        </w:rPr>
        <w:t xml:space="preserve">’s specific diagnostic </w:t>
      </w:r>
      <w:r w:rsidRPr="008223E9">
        <w:rPr>
          <w:rFonts w:ascii="Arial" w:hAnsi="Arial" w:cs="Arial"/>
          <w:sz w:val="22"/>
          <w:szCs w:val="22"/>
        </w:rPr>
        <w:t>features are listed below.</w:t>
      </w:r>
    </w:p>
    <w:p w14:paraId="529E5976" w14:textId="77777777" w:rsidR="003E7ED9" w:rsidRPr="008223E9" w:rsidRDefault="003E7ED9" w:rsidP="003E7ED9">
      <w:pPr>
        <w:pStyle w:val="NoSpacing"/>
        <w:rPr>
          <w:rFonts w:ascii="Arial" w:hAnsi="Arial" w:cs="Arial"/>
        </w:rPr>
      </w:pPr>
    </w:p>
    <w:p w14:paraId="1F64350A" w14:textId="77777777" w:rsidR="008223E9" w:rsidRPr="008223E9" w:rsidRDefault="008223E9" w:rsidP="008223E9">
      <w:pPr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color w:val="FF2F92"/>
          <w:sz w:val="22"/>
          <w:szCs w:val="22"/>
        </w:rPr>
        <w:t>[Patient name]</w:t>
      </w:r>
      <w:r w:rsidRPr="008223E9">
        <w:rPr>
          <w:rFonts w:ascii="Arial" w:hAnsi="Arial" w:cs="Arial"/>
          <w:sz w:val="22"/>
          <w:szCs w:val="22"/>
        </w:rPr>
        <w:t xml:space="preserve"> was diagnosed with Rett syndrome on </w:t>
      </w:r>
      <w:r w:rsidRPr="008223E9">
        <w:rPr>
          <w:rFonts w:ascii="Arial" w:hAnsi="Arial" w:cs="Arial"/>
          <w:color w:val="FF2F92"/>
          <w:sz w:val="22"/>
          <w:szCs w:val="22"/>
        </w:rPr>
        <w:t>[Date]</w:t>
      </w:r>
      <w:r w:rsidRPr="008223E9">
        <w:rPr>
          <w:rFonts w:ascii="Arial" w:hAnsi="Arial" w:cs="Arial"/>
          <w:sz w:val="22"/>
          <w:szCs w:val="22"/>
        </w:rPr>
        <w:t xml:space="preserve">.  </w:t>
      </w:r>
    </w:p>
    <w:p w14:paraId="625373F5" w14:textId="77777777" w:rsidR="008223E9" w:rsidRPr="008223E9" w:rsidRDefault="008223E9" w:rsidP="008223E9">
      <w:pPr>
        <w:pStyle w:val="NoSpacing"/>
        <w:rPr>
          <w:rFonts w:ascii="Arial" w:hAnsi="Arial" w:cs="Arial"/>
        </w:rPr>
      </w:pPr>
    </w:p>
    <w:p w14:paraId="3694681A" w14:textId="0E73DD9C" w:rsidR="008223E9" w:rsidRPr="008223E9" w:rsidRDefault="008223E9" w:rsidP="008223E9">
      <w:pPr>
        <w:pStyle w:val="NoSpacing"/>
        <w:rPr>
          <w:rFonts w:ascii="Arial" w:hAnsi="Arial" w:cs="Arial"/>
        </w:rPr>
      </w:pPr>
      <w:r w:rsidRPr="008223E9">
        <w:rPr>
          <w:rFonts w:ascii="Arial" w:hAnsi="Arial" w:cs="Arial"/>
        </w:rPr>
        <w:t xml:space="preserve">Based on my clinical assessment, </w:t>
      </w:r>
      <w:r w:rsidRPr="008223E9">
        <w:rPr>
          <w:rFonts w:ascii="Arial" w:hAnsi="Arial" w:cs="Arial"/>
          <w:color w:val="FF2F92"/>
        </w:rPr>
        <w:t>[Patient name]</w:t>
      </w:r>
      <w:r w:rsidRPr="008223E9">
        <w:rPr>
          <w:rFonts w:ascii="Arial" w:hAnsi="Arial" w:cs="Arial"/>
        </w:rPr>
        <w:t xml:space="preserve"> demonstrates the following diagnostic features of Rett syndrome</w:t>
      </w:r>
      <w:r w:rsidR="00D56FD5">
        <w:rPr>
          <w:rFonts w:ascii="Arial" w:hAnsi="Arial" w:cs="Arial"/>
        </w:rPr>
        <w:t>* (per the criteria in Neul 2010)</w:t>
      </w:r>
      <w:r w:rsidRPr="008223E9">
        <w:rPr>
          <w:rFonts w:ascii="Arial" w:hAnsi="Arial" w:cs="Arial"/>
        </w:rPr>
        <w:t xml:space="preserve"> and is an appropriate patient for treatment with DAYBUE</w:t>
      </w:r>
      <w:r w:rsidRPr="008223E9">
        <w:rPr>
          <w:rFonts w:ascii="Arial" w:hAnsi="Arial" w:cs="Arial"/>
          <w:vertAlign w:val="superscript"/>
        </w:rPr>
        <w:t>6</w:t>
      </w:r>
      <w:r w:rsidRPr="008223E9">
        <w:rPr>
          <w:rFonts w:ascii="Arial" w:hAnsi="Arial" w:cs="Arial"/>
        </w:rPr>
        <w:t>:</w:t>
      </w:r>
    </w:p>
    <w:p w14:paraId="766A8F13" w14:textId="77777777" w:rsidR="008223E9" w:rsidRPr="008223E9" w:rsidRDefault="008223E9" w:rsidP="008223E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>A period of regression followed by recovery or stabilization</w:t>
      </w:r>
    </w:p>
    <w:p w14:paraId="70FFBFBD" w14:textId="77777777" w:rsidR="008223E9" w:rsidRPr="008223E9" w:rsidRDefault="008223E9" w:rsidP="008223E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 xml:space="preserve">Main criteria  </w:t>
      </w:r>
      <w:r w:rsidRPr="008223E9">
        <w:rPr>
          <w:rFonts w:ascii="Arial" w:hAnsi="Arial" w:cs="Arial"/>
          <w:b/>
          <w:bCs/>
          <w:color w:val="FF2F92"/>
        </w:rPr>
        <w:t xml:space="preserve">[Only remove non-applicable bullets if your patient has </w:t>
      </w:r>
      <w:r w:rsidRPr="008223E9">
        <w:rPr>
          <w:rFonts w:ascii="Arial" w:hAnsi="Arial" w:cs="Arial"/>
          <w:b/>
          <w:bCs/>
          <w:color w:val="FF2F92"/>
          <w:u w:val="single"/>
        </w:rPr>
        <w:t>atypical</w:t>
      </w:r>
      <w:r w:rsidRPr="008223E9">
        <w:rPr>
          <w:rFonts w:ascii="Arial" w:hAnsi="Arial" w:cs="Arial"/>
          <w:b/>
          <w:bCs/>
          <w:color w:val="FF2F92"/>
        </w:rPr>
        <w:t xml:space="preserve"> Rett syndrome. Remove these magenta sentences once you are done]</w:t>
      </w:r>
    </w:p>
    <w:p w14:paraId="1E6BAED2" w14:textId="77777777" w:rsidR="008223E9" w:rsidRPr="008223E9" w:rsidRDefault="008223E9" w:rsidP="008223E9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>Partial or complete loss of acquired purposeful hand skills</w:t>
      </w:r>
    </w:p>
    <w:p w14:paraId="241E7D31" w14:textId="77777777" w:rsidR="008223E9" w:rsidRPr="008223E9" w:rsidRDefault="008223E9" w:rsidP="008223E9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>Partial or complete loss of acquired spoken language</w:t>
      </w:r>
    </w:p>
    <w:p w14:paraId="40B57E8B" w14:textId="77777777" w:rsidR="008223E9" w:rsidRPr="008223E9" w:rsidRDefault="008223E9" w:rsidP="008223E9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 xml:space="preserve">Gait abnormalities: impaired (dyspraxic) or absence of ability </w:t>
      </w:r>
    </w:p>
    <w:p w14:paraId="0DC467C0" w14:textId="419A664B" w:rsidR="008223E9" w:rsidRPr="008223E9" w:rsidRDefault="008223E9" w:rsidP="008223E9">
      <w:pPr>
        <w:pStyle w:val="NoSpacing"/>
        <w:numPr>
          <w:ilvl w:val="1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>Stereotypic hand movements such as hand wringing/squeezing, clapping/tapping, mouthing and washing/rubbing automati</w:t>
      </w:r>
      <w:r w:rsidR="00F12367">
        <w:rPr>
          <w:rFonts w:ascii="Arial" w:hAnsi="Arial" w:cs="Arial"/>
        </w:rPr>
        <w:t>sm</w:t>
      </w:r>
      <w:r w:rsidRPr="008223E9">
        <w:rPr>
          <w:rFonts w:ascii="Arial" w:hAnsi="Arial" w:cs="Arial"/>
        </w:rPr>
        <w:t>s</w:t>
      </w:r>
    </w:p>
    <w:p w14:paraId="54B88CEB" w14:textId="77777777" w:rsidR="008223E9" w:rsidRPr="008223E9" w:rsidRDefault="008223E9" w:rsidP="008223E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8223E9">
        <w:rPr>
          <w:rFonts w:ascii="Arial" w:hAnsi="Arial" w:cs="Arial"/>
        </w:rPr>
        <w:t xml:space="preserve">Supportive criteria for atypical Rett syndrome </w:t>
      </w:r>
      <w:r w:rsidRPr="008223E9">
        <w:rPr>
          <w:rFonts w:ascii="Arial" w:hAnsi="Arial" w:cs="Arial"/>
          <w:b/>
          <w:bCs/>
          <w:color w:val="FF2F92"/>
        </w:rPr>
        <w:t xml:space="preserve">[Only include the supportive criteria bullets if your patient has </w:t>
      </w:r>
      <w:r w:rsidRPr="008223E9">
        <w:rPr>
          <w:rFonts w:ascii="Arial" w:hAnsi="Arial" w:cs="Arial"/>
          <w:b/>
          <w:bCs/>
          <w:color w:val="FF2F92"/>
          <w:u w:val="single"/>
        </w:rPr>
        <w:t>atypical</w:t>
      </w:r>
      <w:r w:rsidRPr="008223E9">
        <w:rPr>
          <w:rFonts w:ascii="Arial" w:hAnsi="Arial" w:cs="Arial"/>
          <w:b/>
          <w:bCs/>
          <w:color w:val="FF2F92"/>
        </w:rPr>
        <w:t xml:space="preserve"> Rett syndrome and keep the bullets that are applicable. Remove these magenta sentences once you are done]</w:t>
      </w:r>
    </w:p>
    <w:p w14:paraId="4702E857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Breathing disturbances when awake</w:t>
      </w:r>
    </w:p>
    <w:p w14:paraId="55982AB2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Bruxism (teeth grinding) when awake</w:t>
      </w:r>
    </w:p>
    <w:p w14:paraId="49AAC761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Impaired sleep pattern</w:t>
      </w:r>
    </w:p>
    <w:p w14:paraId="37AFB07A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Abnormal muscle tone</w:t>
      </w:r>
    </w:p>
    <w:p w14:paraId="6A1202CC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Peripheral vasomotor disturbances</w:t>
      </w:r>
    </w:p>
    <w:p w14:paraId="50023B14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Scoliosis/kyphosis</w:t>
      </w:r>
    </w:p>
    <w:p w14:paraId="00A1487C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Growth retardation</w:t>
      </w:r>
    </w:p>
    <w:p w14:paraId="466664D5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Small, cold hands/feet</w:t>
      </w:r>
    </w:p>
    <w:p w14:paraId="61372A87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Inappropriate laughing/screaming spells</w:t>
      </w:r>
    </w:p>
    <w:p w14:paraId="1C67589C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after="160"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Diminished response to pain</w:t>
      </w:r>
    </w:p>
    <w:p w14:paraId="43BF0ACD" w14:textId="77777777" w:rsidR="008223E9" w:rsidRPr="008223E9" w:rsidRDefault="008223E9" w:rsidP="008223E9">
      <w:pPr>
        <w:pStyle w:val="ListParagraph"/>
        <w:numPr>
          <w:ilvl w:val="1"/>
          <w:numId w:val="6"/>
        </w:numPr>
        <w:spacing w:line="278" w:lineRule="auto"/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>Intense eye communication – “eye pointing”</w:t>
      </w:r>
    </w:p>
    <w:p w14:paraId="3537A0D4" w14:textId="77777777" w:rsidR="00D56FD5" w:rsidRDefault="00D56FD5" w:rsidP="00D56FD5">
      <w:pPr>
        <w:pStyle w:val="NoSpacing"/>
        <w:rPr>
          <w:rFonts w:ascii="Arial" w:hAnsi="Arial" w:cs="Arial"/>
          <w:sz w:val="18"/>
          <w:szCs w:val="18"/>
        </w:rPr>
      </w:pPr>
    </w:p>
    <w:p w14:paraId="530C0566" w14:textId="1E971C17" w:rsidR="00D56FD5" w:rsidRPr="00D56FD5" w:rsidRDefault="00D56FD5" w:rsidP="00D56FD5">
      <w:pPr>
        <w:pStyle w:val="NoSpacing"/>
        <w:rPr>
          <w:rFonts w:ascii="Arial" w:hAnsi="Arial" w:cs="Arial"/>
          <w:sz w:val="18"/>
          <w:szCs w:val="18"/>
        </w:rPr>
      </w:pPr>
      <w:r w:rsidRPr="00D56FD5">
        <w:rPr>
          <w:rFonts w:ascii="Arial" w:hAnsi="Arial" w:cs="Arial"/>
          <w:sz w:val="18"/>
          <w:szCs w:val="18"/>
        </w:rPr>
        <w:t>*</w:t>
      </w:r>
      <w:r w:rsidR="00F12367">
        <w:rPr>
          <w:rFonts w:ascii="Arial" w:hAnsi="Arial" w:cs="Arial"/>
          <w:sz w:val="18"/>
          <w:szCs w:val="18"/>
        </w:rPr>
        <w:t>Diagnostic e</w:t>
      </w:r>
      <w:r w:rsidRPr="00D56FD5">
        <w:rPr>
          <w:rFonts w:ascii="Arial" w:hAnsi="Arial" w:cs="Arial"/>
          <w:sz w:val="18"/>
          <w:szCs w:val="18"/>
        </w:rPr>
        <w:t xml:space="preserve">xclusion criteria for typical Rett syndrome </w:t>
      </w:r>
      <w:r w:rsidR="00F12367">
        <w:rPr>
          <w:rFonts w:ascii="Arial" w:hAnsi="Arial" w:cs="Arial"/>
          <w:sz w:val="18"/>
          <w:szCs w:val="18"/>
        </w:rPr>
        <w:t>are listed in Neul 2010 as</w:t>
      </w:r>
      <w:r w:rsidRPr="00D56FD5">
        <w:rPr>
          <w:rFonts w:ascii="Arial" w:hAnsi="Arial" w:cs="Arial"/>
          <w:sz w:val="18"/>
          <w:szCs w:val="18"/>
        </w:rPr>
        <w:t xml:space="preserve"> brain injury secondary to trauma (peri- or postnatally), neurometabolic disease, or severe infection that causes neurological problems </w:t>
      </w:r>
      <w:r w:rsidR="00633043">
        <w:rPr>
          <w:rFonts w:ascii="Arial" w:hAnsi="Arial" w:cs="Arial"/>
          <w:sz w:val="18"/>
          <w:szCs w:val="18"/>
        </w:rPr>
        <w:t>and</w:t>
      </w:r>
      <w:r w:rsidRPr="00D56FD5">
        <w:rPr>
          <w:rFonts w:ascii="Arial" w:hAnsi="Arial" w:cs="Arial"/>
          <w:sz w:val="18"/>
          <w:szCs w:val="18"/>
        </w:rPr>
        <w:t xml:space="preserve"> grossly abnormal psychomotor development in first 6 months of life.</w:t>
      </w:r>
    </w:p>
    <w:p w14:paraId="54D73B64" w14:textId="77777777" w:rsidR="00D56FD5" w:rsidRDefault="00D56FD5" w:rsidP="008223E9">
      <w:pPr>
        <w:rPr>
          <w:rFonts w:ascii="Arial" w:hAnsi="Arial" w:cs="Arial"/>
          <w:sz w:val="22"/>
          <w:szCs w:val="22"/>
        </w:rPr>
      </w:pPr>
    </w:p>
    <w:p w14:paraId="2033B2AE" w14:textId="3221C6E0" w:rsidR="008223E9" w:rsidRPr="008223E9" w:rsidRDefault="008223E9" w:rsidP="008223E9">
      <w:pPr>
        <w:rPr>
          <w:rFonts w:ascii="Arial" w:hAnsi="Arial" w:cs="Arial"/>
          <w:color w:val="FF2F92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lastRenderedPageBreak/>
        <w:t>Additional signs and symptoms contributing to </w:t>
      </w:r>
      <w:r w:rsidRPr="008223E9">
        <w:rPr>
          <w:rFonts w:ascii="Arial" w:hAnsi="Arial" w:cs="Arial"/>
          <w:color w:val="FF2F92"/>
          <w:sz w:val="22"/>
          <w:szCs w:val="22"/>
        </w:rPr>
        <w:t>[Patient name]</w:t>
      </w:r>
      <w:r w:rsidRPr="008223E9">
        <w:rPr>
          <w:rFonts w:ascii="Arial" w:hAnsi="Arial" w:cs="Arial"/>
          <w:sz w:val="22"/>
          <w:szCs w:val="22"/>
        </w:rPr>
        <w:t>'s Rett syndrome diagnosis: </w:t>
      </w:r>
      <w:r w:rsidRPr="008223E9">
        <w:rPr>
          <w:rFonts w:ascii="Arial" w:hAnsi="Arial" w:cs="Arial"/>
          <w:color w:val="FF2F92"/>
          <w:sz w:val="22"/>
          <w:szCs w:val="22"/>
        </w:rPr>
        <w:t>[Additional signs and</w:t>
      </w:r>
    </w:p>
    <w:p w14:paraId="7A5A84B0" w14:textId="77777777" w:rsidR="008223E9" w:rsidRPr="008223E9" w:rsidRDefault="008223E9" w:rsidP="008223E9">
      <w:pPr>
        <w:rPr>
          <w:rFonts w:ascii="Arial" w:hAnsi="Arial" w:cs="Arial"/>
          <w:color w:val="FF2F92"/>
          <w:sz w:val="22"/>
          <w:szCs w:val="22"/>
        </w:rPr>
      </w:pPr>
      <w:r w:rsidRPr="008223E9">
        <w:rPr>
          <w:rFonts w:ascii="Arial" w:hAnsi="Arial" w:cs="Arial"/>
          <w:color w:val="FF2F92"/>
          <w:sz w:val="22"/>
          <w:szCs w:val="22"/>
        </w:rPr>
        <w:t>symptoms, if applicable]</w:t>
      </w:r>
    </w:p>
    <w:p w14:paraId="11348659" w14:textId="77777777" w:rsidR="003E7ED9" w:rsidRPr="008223E9" w:rsidRDefault="003E7ED9" w:rsidP="003E7ED9">
      <w:pPr>
        <w:pStyle w:val="ListParagraph"/>
        <w:rPr>
          <w:rFonts w:ascii="Arial" w:hAnsi="Arial" w:cs="Arial"/>
          <w:sz w:val="22"/>
          <w:szCs w:val="22"/>
        </w:rPr>
      </w:pPr>
    </w:p>
    <w:p w14:paraId="2712AC0C" w14:textId="40F8B625" w:rsidR="003E7ED9" w:rsidRPr="008223E9" w:rsidRDefault="003E7ED9" w:rsidP="003E7ED9">
      <w:pPr>
        <w:rPr>
          <w:rFonts w:ascii="Arial" w:hAnsi="Arial" w:cs="Arial"/>
          <w:sz w:val="22"/>
          <w:szCs w:val="22"/>
        </w:rPr>
      </w:pPr>
      <w:r w:rsidRPr="008223E9">
        <w:rPr>
          <w:rFonts w:ascii="Arial" w:hAnsi="Arial" w:cs="Arial"/>
          <w:sz w:val="22"/>
          <w:szCs w:val="22"/>
        </w:rPr>
        <w:t xml:space="preserve">Based on my clinical assessment, </w:t>
      </w:r>
      <w:r w:rsidR="00FF4898" w:rsidRPr="008223E9">
        <w:rPr>
          <w:rFonts w:ascii="Arial" w:hAnsi="Arial" w:cs="Arial"/>
          <w:sz w:val="22"/>
          <w:szCs w:val="22"/>
        </w:rPr>
        <w:t xml:space="preserve">DAYBUE </w:t>
      </w:r>
      <w:r w:rsidRPr="008223E9">
        <w:rPr>
          <w:rFonts w:ascii="Arial" w:hAnsi="Arial" w:cs="Arial"/>
          <w:sz w:val="22"/>
          <w:szCs w:val="22"/>
        </w:rPr>
        <w:t xml:space="preserve">is medically necessary for my </w:t>
      </w:r>
      <w:r w:rsidR="008223E9" w:rsidRPr="008223E9">
        <w:rPr>
          <w:rFonts w:ascii="Arial" w:hAnsi="Arial" w:cs="Arial"/>
          <w:sz w:val="22"/>
          <w:szCs w:val="22"/>
        </w:rPr>
        <w:t xml:space="preserve">Rett </w:t>
      </w:r>
      <w:r w:rsidRPr="008223E9">
        <w:rPr>
          <w:rFonts w:ascii="Arial" w:hAnsi="Arial" w:cs="Arial"/>
          <w:sz w:val="22"/>
          <w:szCs w:val="22"/>
        </w:rPr>
        <w:t>patient. Denying my patient access to the only approved treatment for Rett syndrome</w:t>
      </w:r>
      <w:r w:rsidR="00725BF0" w:rsidRPr="008223E9">
        <w:rPr>
          <w:rFonts w:ascii="Arial" w:hAnsi="Arial" w:cs="Arial"/>
          <w:sz w:val="22"/>
          <w:szCs w:val="22"/>
        </w:rPr>
        <w:t xml:space="preserve"> </w:t>
      </w:r>
      <w:r w:rsidR="008223E9" w:rsidRPr="008223E9">
        <w:rPr>
          <w:rFonts w:ascii="Arial" w:hAnsi="Arial" w:cs="Arial"/>
          <w:sz w:val="22"/>
          <w:szCs w:val="22"/>
        </w:rPr>
        <w:t>may</w:t>
      </w:r>
      <w:r w:rsidRPr="008223E9">
        <w:rPr>
          <w:rFonts w:ascii="Arial" w:hAnsi="Arial" w:cs="Arial"/>
          <w:sz w:val="22"/>
          <w:szCs w:val="22"/>
        </w:rPr>
        <w:t xml:space="preserve"> not</w:t>
      </w:r>
      <w:r w:rsidR="008223E9" w:rsidRPr="008223E9">
        <w:rPr>
          <w:rFonts w:ascii="Arial" w:hAnsi="Arial" w:cs="Arial"/>
          <w:sz w:val="22"/>
          <w:szCs w:val="22"/>
        </w:rPr>
        <w:t xml:space="preserve"> be</w:t>
      </w:r>
      <w:r w:rsidRPr="008223E9">
        <w:rPr>
          <w:rFonts w:ascii="Arial" w:hAnsi="Arial" w:cs="Arial"/>
          <w:sz w:val="22"/>
          <w:szCs w:val="22"/>
        </w:rPr>
        <w:t xml:space="preserve"> consistent with the standard of care.</w:t>
      </w:r>
      <w:r w:rsidR="00725BF0" w:rsidRPr="008223E9">
        <w:rPr>
          <w:rFonts w:ascii="Arial" w:hAnsi="Arial" w:cs="Arial"/>
          <w:sz w:val="22"/>
          <w:szCs w:val="22"/>
          <w:vertAlign w:val="superscript"/>
        </w:rPr>
        <w:t xml:space="preserve">3,4 </w:t>
      </w:r>
      <w:r w:rsidRPr="008223E9">
        <w:rPr>
          <w:rFonts w:ascii="Arial" w:hAnsi="Arial" w:cs="Arial"/>
          <w:sz w:val="22"/>
          <w:szCs w:val="22"/>
        </w:rPr>
        <w:t xml:space="preserve">Please approve </w:t>
      </w:r>
      <w:r w:rsidR="00FF4898" w:rsidRPr="008223E9">
        <w:rPr>
          <w:rFonts w:ascii="Arial" w:hAnsi="Arial" w:cs="Arial"/>
          <w:sz w:val="22"/>
          <w:szCs w:val="22"/>
        </w:rPr>
        <w:t>DAYBUE</w:t>
      </w:r>
      <w:r w:rsidRPr="008223E9">
        <w:rPr>
          <w:rFonts w:ascii="Arial" w:hAnsi="Arial" w:cs="Arial"/>
          <w:sz w:val="22"/>
          <w:szCs w:val="22"/>
        </w:rPr>
        <w:t xml:space="preserve"> for </w:t>
      </w:r>
      <w:r w:rsidRPr="008223E9">
        <w:rPr>
          <w:rFonts w:ascii="Arial" w:hAnsi="Arial" w:cs="Arial"/>
          <w:color w:val="FF2F92"/>
          <w:sz w:val="22"/>
          <w:szCs w:val="22"/>
        </w:rPr>
        <w:t>[Patient name]</w:t>
      </w:r>
      <w:r w:rsidRPr="008223E9">
        <w:rPr>
          <w:rFonts w:ascii="Arial" w:hAnsi="Arial" w:cs="Arial"/>
          <w:sz w:val="22"/>
          <w:szCs w:val="22"/>
        </w:rPr>
        <w:t>, as requested.</w:t>
      </w:r>
    </w:p>
    <w:p w14:paraId="43B43262" w14:textId="77777777" w:rsidR="00AE2B7B" w:rsidRPr="003E7ED9" w:rsidRDefault="00AE2B7B" w:rsidP="00AE2B7B">
      <w:pPr>
        <w:rPr>
          <w:rFonts w:ascii="Arial" w:hAnsi="Arial" w:cs="Arial"/>
          <w:sz w:val="22"/>
          <w:szCs w:val="22"/>
        </w:rPr>
      </w:pPr>
    </w:p>
    <w:p w14:paraId="68BBBE1B" w14:textId="2070780B" w:rsidR="0097010C" w:rsidRDefault="00DA067C" w:rsidP="008223E9">
      <w:pPr>
        <w:rPr>
          <w:rFonts w:ascii="Arial" w:hAnsi="Arial" w:cs="Arial"/>
          <w:color w:val="000000" w:themeColor="text1"/>
          <w:sz w:val="22"/>
          <w:szCs w:val="22"/>
        </w:rPr>
      </w:pPr>
      <w:r w:rsidRPr="003E7ED9"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1C8DBCCF" w14:textId="77777777" w:rsidR="008223E9" w:rsidRPr="008223E9" w:rsidRDefault="008223E9" w:rsidP="008223E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6BD295F" w14:textId="04910D98" w:rsidR="00DA067C" w:rsidRPr="003E7ED9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[Physician name]</w:t>
      </w:r>
      <w:r w:rsidRPr="003E7ED9">
        <w:rPr>
          <w:rFonts w:ascii="Arial" w:eastAsia="Arial" w:hAnsi="Arial" w:cs="Arial"/>
          <w:sz w:val="22"/>
          <w:szCs w:val="22"/>
          <w:u w:color="000000" w:themeColor="text1"/>
        </w:rPr>
        <w:t>,</w:t>
      </w: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 xml:space="preserve"> [Credentials]</w:t>
      </w:r>
    </w:p>
    <w:p w14:paraId="51E91FEA" w14:textId="37B9C31C" w:rsidR="00DA067C" w:rsidRPr="003E7ED9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[Physician</w:t>
      </w:r>
      <w:r w:rsidR="008223E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 xml:space="preserve"> </w:t>
      </w: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address]</w:t>
      </w:r>
    </w:p>
    <w:p w14:paraId="777A3E54" w14:textId="6C7ED7D8" w:rsidR="00DA067C" w:rsidRPr="003E7ED9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[Physician phone number]</w:t>
      </w:r>
    </w:p>
    <w:p w14:paraId="27B6130E" w14:textId="77777777" w:rsidR="00DA067C" w:rsidRPr="003E7ED9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3E7ED9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[Physician email address]</w:t>
      </w:r>
    </w:p>
    <w:p w14:paraId="0F05C134" w14:textId="77777777" w:rsidR="00DA067C" w:rsidRPr="003E7ED9" w:rsidRDefault="00DA067C" w:rsidP="00DA067C">
      <w:pPr>
        <w:rPr>
          <w:rFonts w:ascii="Arial" w:hAnsi="Arial" w:cs="Arial"/>
          <w:color w:val="FF40FF"/>
          <w:sz w:val="22"/>
          <w:szCs w:val="22"/>
          <w:u w:val="single"/>
        </w:rPr>
      </w:pPr>
    </w:p>
    <w:p w14:paraId="6AD19572" w14:textId="6ABF56CC" w:rsidR="00DA067C" w:rsidRPr="003E7ED9" w:rsidRDefault="00DA067C" w:rsidP="00DA067C">
      <w:pPr>
        <w:spacing w:line="360" w:lineRule="auto"/>
        <w:rPr>
          <w:rFonts w:ascii="Arial" w:hAnsi="Arial" w:cs="Arial"/>
          <w:color w:val="FF2F92"/>
          <w:sz w:val="22"/>
          <w:szCs w:val="22"/>
        </w:rPr>
      </w:pPr>
      <w:r w:rsidRPr="003E7ED9">
        <w:rPr>
          <w:rFonts w:ascii="Arial" w:hAnsi="Arial" w:cs="Arial"/>
          <w:b/>
          <w:bCs/>
          <w:color w:val="000000" w:themeColor="text1"/>
          <w:sz w:val="22"/>
          <w:szCs w:val="22"/>
        </w:rPr>
        <w:t>Enclosure</w:t>
      </w:r>
      <w:r w:rsidR="00653AD5" w:rsidRPr="003E7ED9"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3E7E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E7ED9">
        <w:rPr>
          <w:rFonts w:ascii="Arial" w:eastAsia="Arial" w:hAnsi="Arial" w:cs="Arial"/>
          <w:color w:val="FF2F92"/>
          <w:sz w:val="22"/>
          <w:szCs w:val="22"/>
        </w:rPr>
        <w:t>[suggested]</w:t>
      </w:r>
    </w:p>
    <w:p w14:paraId="055F210A" w14:textId="33D47B28" w:rsidR="00DA067C" w:rsidRPr="0008497A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</w:t>
      </w:r>
      <w:hyperlink r:id="rId10" w:history="1">
        <w:r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>DAYBUE</w:t>
        </w:r>
        <w:r w:rsidR="0097010C"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 xml:space="preserve"> </w:t>
        </w:r>
        <w:r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>Prescribing Information</w:t>
        </w:r>
      </w:hyperlink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]</w:t>
      </w:r>
    </w:p>
    <w:p w14:paraId="2D834264" w14:textId="7B9BAC0A" w:rsidR="00DA067C" w:rsidRPr="0008497A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</w:t>
      </w:r>
      <w:hyperlink r:id="rId11" w:history="1">
        <w:r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>DAYBUE FDA Approval Letter</w:t>
        </w:r>
      </w:hyperlink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]</w:t>
      </w:r>
    </w:p>
    <w:p w14:paraId="1F96D44A" w14:textId="7DCC7143" w:rsidR="00DA067C" w:rsidRPr="0008497A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</w:t>
      </w:r>
      <w:hyperlink r:id="rId12" w:history="1">
        <w:r w:rsidR="00E43949"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>Pivotal</w:t>
        </w:r>
        <w:r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 xml:space="preserve"> clinical trial</w:t>
        </w:r>
        <w:r w:rsidR="00E43949"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 xml:space="preserve"> (LAVENDER</w:t>
        </w:r>
        <w:r w:rsidR="00E43949"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  <w:vertAlign w:val="superscript"/>
          </w:rPr>
          <w:t>TM</w:t>
        </w:r>
        <w:r w:rsidR="00E43949" w:rsidRPr="0008497A">
          <w:rPr>
            <w:rStyle w:val="Hyperlink"/>
            <w:rFonts w:ascii="Arial" w:eastAsia="Arial" w:hAnsi="Arial" w:cs="Arial"/>
            <w:color w:val="FF2F92"/>
            <w:sz w:val="22"/>
            <w:szCs w:val="22"/>
          </w:rPr>
          <w:t>)</w:t>
        </w:r>
      </w:hyperlink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]</w:t>
      </w:r>
    </w:p>
    <w:p w14:paraId="13971F98" w14:textId="77777777" w:rsidR="00DA067C" w:rsidRPr="0008497A" w:rsidRDefault="00DA067C" w:rsidP="00DA067C">
      <w:pPr>
        <w:spacing w:line="360" w:lineRule="auto"/>
        <w:rPr>
          <w:rFonts w:ascii="Arial" w:eastAsia="Arial" w:hAnsi="Arial" w:cs="Arial"/>
          <w:color w:val="FF2F92"/>
          <w:sz w:val="22"/>
          <w:szCs w:val="22"/>
          <w:u w:color="000000" w:themeColor="text1"/>
        </w:rPr>
      </w:pPr>
      <w:r w:rsidRPr="0008497A">
        <w:rPr>
          <w:rFonts w:ascii="Arial" w:eastAsia="Arial" w:hAnsi="Arial" w:cs="Arial"/>
          <w:color w:val="FF2F92"/>
          <w:sz w:val="22"/>
          <w:szCs w:val="22"/>
          <w:u w:color="000000" w:themeColor="text1"/>
        </w:rPr>
        <w:t>[Relevant medical records]</w:t>
      </w:r>
    </w:p>
    <w:p w14:paraId="27A3D41A" w14:textId="77777777" w:rsidR="00DA067C" w:rsidRPr="003E7ED9" w:rsidRDefault="00DA067C" w:rsidP="00DA067C">
      <w:pPr>
        <w:rPr>
          <w:rFonts w:ascii="Arial" w:hAnsi="Arial" w:cs="Arial"/>
          <w:b/>
          <w:bCs/>
          <w:sz w:val="22"/>
          <w:szCs w:val="22"/>
        </w:rPr>
      </w:pPr>
    </w:p>
    <w:p w14:paraId="24F9573B" w14:textId="7CACBB9F" w:rsidR="00FF4898" w:rsidRPr="00FB5CCC" w:rsidRDefault="00DA067C" w:rsidP="00881E2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E7ED9">
        <w:rPr>
          <w:rFonts w:ascii="Arial" w:hAnsi="Arial" w:cs="Arial"/>
          <w:b/>
          <w:bCs/>
          <w:sz w:val="22"/>
          <w:szCs w:val="22"/>
        </w:rPr>
        <w:t>References:</w:t>
      </w:r>
      <w:r w:rsidRPr="003E7ED9">
        <w:rPr>
          <w:rFonts w:ascii="Arial" w:hAnsi="Arial" w:cs="Arial"/>
          <w:sz w:val="22"/>
          <w:szCs w:val="22"/>
        </w:rPr>
        <w:t xml:space="preserve"> </w:t>
      </w:r>
      <w:r w:rsidRPr="003E7ED9">
        <w:rPr>
          <w:rFonts w:ascii="Arial" w:hAnsi="Arial" w:cs="Arial"/>
          <w:b/>
          <w:bCs/>
          <w:sz w:val="22"/>
          <w:szCs w:val="22"/>
        </w:rPr>
        <w:t>1.</w:t>
      </w:r>
      <w:r w:rsidRPr="003E7ED9">
        <w:rPr>
          <w:rFonts w:ascii="Arial" w:hAnsi="Arial" w:cs="Arial"/>
          <w:sz w:val="22"/>
          <w:szCs w:val="22"/>
        </w:rPr>
        <w:t xml:space="preserve"> Acadia Pharmaceuticals Inc. DAYBUE [package insert]. San Diego, CA; 202</w:t>
      </w:r>
      <w:r w:rsidR="00197450" w:rsidRPr="003E7ED9">
        <w:rPr>
          <w:rFonts w:ascii="Arial" w:hAnsi="Arial" w:cs="Arial"/>
          <w:sz w:val="22"/>
          <w:szCs w:val="22"/>
        </w:rPr>
        <w:t>5</w:t>
      </w:r>
      <w:r w:rsidRPr="003E7ED9">
        <w:rPr>
          <w:rFonts w:ascii="Arial" w:hAnsi="Arial" w:cs="Arial"/>
          <w:sz w:val="22"/>
          <w:szCs w:val="22"/>
        </w:rPr>
        <w:t xml:space="preserve">. </w:t>
      </w:r>
      <w:r w:rsidRPr="003E7ED9">
        <w:rPr>
          <w:rFonts w:ascii="Arial" w:hAnsi="Arial" w:cs="Arial"/>
          <w:b/>
          <w:bCs/>
          <w:sz w:val="22"/>
          <w:szCs w:val="22"/>
        </w:rPr>
        <w:t>2.</w:t>
      </w:r>
      <w:r w:rsidR="00881E29">
        <w:rPr>
          <w:rFonts w:ascii="Arial" w:hAnsi="Arial" w:cs="Arial"/>
          <w:sz w:val="22"/>
          <w:szCs w:val="22"/>
        </w:rPr>
        <w:t xml:space="preserve"> </w:t>
      </w:r>
      <w:r w:rsidR="003E7ED9" w:rsidRPr="003E7ED9">
        <w:rPr>
          <w:rFonts w:ascii="Arial" w:hAnsi="Arial" w:cs="Arial"/>
          <w:sz w:val="22"/>
          <w:szCs w:val="22"/>
        </w:rPr>
        <w:t>Centers for Medicare &amp;</w:t>
      </w:r>
      <w:r w:rsidR="003E7ED9">
        <w:rPr>
          <w:rFonts w:ascii="Arial" w:hAnsi="Arial" w:cs="Arial"/>
          <w:sz w:val="22"/>
          <w:szCs w:val="22"/>
        </w:rPr>
        <w:t xml:space="preserve"> </w:t>
      </w:r>
      <w:r w:rsidR="003E7ED9" w:rsidRPr="003E7ED9">
        <w:rPr>
          <w:rFonts w:ascii="Arial" w:hAnsi="Arial" w:cs="Arial"/>
          <w:sz w:val="22"/>
          <w:szCs w:val="22"/>
        </w:rPr>
        <w:t xml:space="preserve">Medicaid Services. ICD-10-CM tabular list of diseases and injuries. Updated August 7, 2025. Accessed </w:t>
      </w:r>
      <w:r w:rsidR="003E7ED9">
        <w:rPr>
          <w:rFonts w:ascii="Arial" w:hAnsi="Arial" w:cs="Arial"/>
          <w:sz w:val="22"/>
          <w:szCs w:val="22"/>
        </w:rPr>
        <w:t>November 10</w:t>
      </w:r>
      <w:r w:rsidR="003E7ED9" w:rsidRPr="003E7ED9">
        <w:rPr>
          <w:rFonts w:ascii="Arial" w:hAnsi="Arial" w:cs="Arial"/>
          <w:sz w:val="22"/>
          <w:szCs w:val="22"/>
        </w:rPr>
        <w:t>, 2025.</w:t>
      </w:r>
      <w:r w:rsidR="003E7ED9">
        <w:rPr>
          <w:rFonts w:ascii="Arial" w:hAnsi="Arial" w:cs="Arial"/>
          <w:sz w:val="22"/>
          <w:szCs w:val="22"/>
        </w:rPr>
        <w:t xml:space="preserve"> </w:t>
      </w:r>
      <w:r w:rsidR="00881E29" w:rsidRPr="00881E29">
        <w:rPr>
          <w:rFonts w:ascii="Arial" w:hAnsi="Arial" w:cs="Arial"/>
          <w:sz w:val="22"/>
          <w:szCs w:val="22"/>
        </w:rPr>
        <w:t>https://www.cms.gov/medicare/coding-billing/icd-10-codes</w:t>
      </w:r>
      <w:r w:rsidR="003E7ED9" w:rsidRPr="003E7ED9">
        <w:rPr>
          <w:rFonts w:ascii="Arial" w:hAnsi="Arial" w:cs="Arial"/>
          <w:sz w:val="22"/>
          <w:szCs w:val="22"/>
        </w:rPr>
        <w:t>.</w:t>
      </w:r>
      <w:r w:rsidR="00881E29">
        <w:rPr>
          <w:rFonts w:ascii="Arial" w:hAnsi="Arial" w:cs="Arial"/>
          <w:sz w:val="22"/>
          <w:szCs w:val="22"/>
        </w:rPr>
        <w:t xml:space="preserve"> </w:t>
      </w:r>
      <w:r w:rsidR="00881E29" w:rsidRPr="00881E29">
        <w:rPr>
          <w:rFonts w:ascii="Arial" w:hAnsi="Arial" w:cs="Arial"/>
          <w:b/>
          <w:bCs/>
          <w:sz w:val="22"/>
          <w:szCs w:val="22"/>
        </w:rPr>
        <w:t xml:space="preserve">3. </w:t>
      </w:r>
      <w:r w:rsidR="00881E29" w:rsidRPr="003E7ED9">
        <w:rPr>
          <w:rFonts w:ascii="Arial" w:hAnsi="Arial" w:cs="Arial"/>
          <w:sz w:val="22"/>
          <w:szCs w:val="22"/>
        </w:rPr>
        <w:t>Acadia Pharmaceuticals Inc. Acadia Pharmaceuticals announces U.S. FDA approval of DAYBUE™ (trofinetide) for the treatment of Rett syndrome in adult and pediatric patients two years of age and older. [press release]. Acadia Pharmaceuticals Inc. 10 Mar 2023.</w:t>
      </w:r>
      <w:r w:rsidR="00881E29">
        <w:rPr>
          <w:rFonts w:ascii="Arial" w:hAnsi="Arial" w:cs="Arial"/>
          <w:sz w:val="22"/>
          <w:szCs w:val="22"/>
        </w:rPr>
        <w:t xml:space="preserve"> </w:t>
      </w:r>
      <w:r w:rsidR="00FF4898" w:rsidRPr="00FB5CCC">
        <w:rPr>
          <w:rFonts w:ascii="Arial" w:hAnsi="Arial" w:cs="Arial"/>
          <w:b/>
          <w:bCs/>
          <w:sz w:val="22"/>
          <w:szCs w:val="22"/>
        </w:rPr>
        <w:t>4.</w:t>
      </w:r>
      <w:r w:rsidR="00FF4898">
        <w:rPr>
          <w:rFonts w:ascii="Arial" w:hAnsi="Arial" w:cs="Arial"/>
          <w:sz w:val="22"/>
          <w:szCs w:val="22"/>
        </w:rPr>
        <w:t xml:space="preserve"> </w:t>
      </w:r>
      <w:r w:rsidR="00FF4898" w:rsidRPr="00FB5CCC">
        <w:rPr>
          <w:rFonts w:ascii="Arial" w:hAnsi="Arial" w:cs="Arial"/>
          <w:sz w:val="22"/>
          <w:szCs w:val="22"/>
        </w:rPr>
        <w:t>Prange E, Beisang A, Pehlivan D, et al. Expert consensus on real-world use of trofinetide for Rett syndrome using a modified delphi method. Presented at: The 54th Annual Meeting of the Child Neurology Society</w:t>
      </w:r>
      <w:r w:rsidR="00A66068">
        <w:rPr>
          <w:rFonts w:ascii="Arial" w:hAnsi="Arial" w:cs="Arial"/>
          <w:sz w:val="22"/>
          <w:szCs w:val="22"/>
        </w:rPr>
        <w:t>;</w:t>
      </w:r>
      <w:r w:rsidR="00FF4898" w:rsidRPr="00FB5CCC">
        <w:rPr>
          <w:rFonts w:ascii="Arial" w:hAnsi="Arial" w:cs="Arial"/>
          <w:sz w:val="22"/>
          <w:szCs w:val="22"/>
        </w:rPr>
        <w:t xml:space="preserve"> October 8-11, 2025</w:t>
      </w:r>
      <w:r w:rsidR="00A66068">
        <w:rPr>
          <w:rFonts w:ascii="Arial" w:hAnsi="Arial" w:cs="Arial"/>
          <w:sz w:val="22"/>
          <w:szCs w:val="22"/>
        </w:rPr>
        <w:t>;</w:t>
      </w:r>
      <w:r w:rsidR="00725BF0">
        <w:rPr>
          <w:rFonts w:ascii="Arial" w:hAnsi="Arial" w:cs="Arial"/>
          <w:sz w:val="22"/>
          <w:szCs w:val="22"/>
        </w:rPr>
        <w:t xml:space="preserve"> Charlotte, NC. </w:t>
      </w:r>
      <w:r w:rsidR="00FF4898" w:rsidRPr="00FB5CCC">
        <w:rPr>
          <w:rFonts w:ascii="Arial" w:hAnsi="Arial" w:cs="Arial"/>
          <w:b/>
          <w:bCs/>
          <w:sz w:val="22"/>
          <w:szCs w:val="22"/>
        </w:rPr>
        <w:t>5.</w:t>
      </w:r>
      <w:r w:rsidR="00A721A1">
        <w:rPr>
          <w:rFonts w:ascii="Arial" w:hAnsi="Arial" w:cs="Arial"/>
          <w:sz w:val="22"/>
          <w:szCs w:val="22"/>
        </w:rPr>
        <w:t xml:space="preserve"> </w:t>
      </w:r>
      <w:r w:rsidR="00FF4898" w:rsidRPr="00FB5CCC">
        <w:rPr>
          <w:rFonts w:ascii="Arial" w:hAnsi="Arial" w:cs="Arial"/>
          <w:color w:val="181717"/>
          <w:sz w:val="22"/>
          <w:szCs w:val="22"/>
        </w:rPr>
        <w:t xml:space="preserve">Fu C, Armstrong D, Marsh E, et al. Multisystem comorbidities in classic Rett syndrome: a scoping review. </w:t>
      </w:r>
      <w:r w:rsidR="00FF4898" w:rsidRPr="00FB5CCC">
        <w:rPr>
          <w:rFonts w:ascii="Arial" w:hAnsi="Arial" w:cs="Arial"/>
          <w:i/>
          <w:iCs/>
          <w:color w:val="181717"/>
          <w:sz w:val="22"/>
          <w:szCs w:val="22"/>
        </w:rPr>
        <w:t>BMJ Paediatr Open</w:t>
      </w:r>
      <w:r w:rsidR="00FF4898" w:rsidRPr="00FB5CCC">
        <w:rPr>
          <w:rFonts w:ascii="Arial" w:hAnsi="Arial" w:cs="Arial"/>
          <w:color w:val="181717"/>
          <w:sz w:val="22"/>
          <w:szCs w:val="22"/>
        </w:rPr>
        <w:t>. 2020;4:e000731.</w:t>
      </w:r>
      <w:r w:rsidR="00A721A1">
        <w:rPr>
          <w:rFonts w:ascii="Arial" w:hAnsi="Arial" w:cs="Arial"/>
          <w:color w:val="181717"/>
          <w:sz w:val="22"/>
          <w:szCs w:val="22"/>
        </w:rPr>
        <w:t xml:space="preserve"> </w:t>
      </w:r>
      <w:r w:rsidR="00A721A1">
        <w:rPr>
          <w:rFonts w:ascii="Arial" w:hAnsi="Arial" w:cs="Arial"/>
          <w:b/>
          <w:bCs/>
          <w:color w:val="181717"/>
          <w:sz w:val="22"/>
          <w:szCs w:val="22"/>
        </w:rPr>
        <w:t>6</w:t>
      </w:r>
      <w:r w:rsidR="00FF4898" w:rsidRPr="00FB5CCC">
        <w:rPr>
          <w:rFonts w:ascii="Arial" w:hAnsi="Arial" w:cs="Arial"/>
          <w:b/>
          <w:bCs/>
          <w:color w:val="181717"/>
          <w:sz w:val="22"/>
          <w:szCs w:val="22"/>
        </w:rPr>
        <w:t>.</w:t>
      </w:r>
      <w:r w:rsidR="00FF4898" w:rsidRPr="00FB5CCC">
        <w:rPr>
          <w:rFonts w:ascii="Arial" w:hAnsi="Arial" w:cs="Arial"/>
          <w:color w:val="181717"/>
          <w:sz w:val="22"/>
          <w:szCs w:val="22"/>
        </w:rPr>
        <w:t xml:space="preserve"> </w:t>
      </w:r>
      <w:r w:rsidR="00FF4898" w:rsidRPr="00FB5CCC">
        <w:rPr>
          <w:rFonts w:ascii="Arial" w:hAnsi="Arial" w:cs="Arial"/>
          <w:sz w:val="22"/>
          <w:szCs w:val="22"/>
        </w:rPr>
        <w:t>Neul JL, Kaufmann WE, Glaze DG, et al. Rett syndrome: revised diagnostic</w:t>
      </w:r>
      <w:r w:rsidR="00FF4898" w:rsidRPr="00FB5CCC">
        <w:rPr>
          <w:rFonts w:ascii="Arial" w:hAnsi="Arial" w:cs="Arial"/>
          <w:color w:val="181717"/>
          <w:sz w:val="22"/>
          <w:szCs w:val="22"/>
        </w:rPr>
        <w:t xml:space="preserve"> </w:t>
      </w:r>
      <w:r w:rsidR="00FF4898" w:rsidRPr="00FB5CCC">
        <w:rPr>
          <w:rFonts w:ascii="Arial" w:hAnsi="Arial" w:cs="Arial"/>
          <w:sz w:val="22"/>
          <w:szCs w:val="22"/>
        </w:rPr>
        <w:t xml:space="preserve">criteria and nomenclature. </w:t>
      </w:r>
      <w:r w:rsidR="00FF4898" w:rsidRPr="00FB5CCC">
        <w:rPr>
          <w:rFonts w:ascii="Arial" w:hAnsi="Arial" w:cs="Arial"/>
          <w:i/>
          <w:iCs/>
          <w:sz w:val="22"/>
          <w:szCs w:val="22"/>
        </w:rPr>
        <w:t>Ann Neurol</w:t>
      </w:r>
      <w:r w:rsidR="00FF4898" w:rsidRPr="00FB5CCC">
        <w:rPr>
          <w:rFonts w:ascii="Arial" w:hAnsi="Arial" w:cs="Arial"/>
          <w:sz w:val="22"/>
          <w:szCs w:val="22"/>
        </w:rPr>
        <w:t>. 2010;68(6):944-950.</w:t>
      </w:r>
    </w:p>
    <w:p w14:paraId="267C94F1" w14:textId="0C9448E8" w:rsidR="00DA067C" w:rsidRPr="003E7ED9" w:rsidRDefault="00DA067C" w:rsidP="00FF4898">
      <w:pPr>
        <w:autoSpaceDE w:val="0"/>
        <w:autoSpaceDN w:val="0"/>
        <w:adjustRightInd w:val="0"/>
        <w:rPr>
          <w:rFonts w:ascii="Arial" w:hAnsi="Arial" w:cs="Arial"/>
          <w:color w:val="FF40FF"/>
          <w:sz w:val="22"/>
          <w:szCs w:val="22"/>
        </w:rPr>
      </w:pPr>
    </w:p>
    <w:p w14:paraId="37A7F577" w14:textId="4B90FD67" w:rsidR="009D6243" w:rsidRPr="003E7ED9" w:rsidRDefault="00DA067C" w:rsidP="003E7ED9">
      <w:pPr>
        <w:rPr>
          <w:rFonts w:ascii="Arial" w:hAnsi="Arial" w:cs="Arial"/>
          <w:color w:val="000000" w:themeColor="text1"/>
          <w:sz w:val="22"/>
          <w:szCs w:val="22"/>
        </w:rPr>
      </w:pPr>
      <w:r w:rsidRPr="003E7ED9">
        <w:rPr>
          <w:rFonts w:ascii="Arial" w:hAnsi="Arial" w:cs="Arial"/>
          <w:color w:val="000000" w:themeColor="text1"/>
          <w:sz w:val="22"/>
          <w:szCs w:val="22"/>
        </w:rPr>
        <w:t>©2025 Acadia Pharmaceuticals Inc. Acadia</w:t>
      </w:r>
      <w:r w:rsidR="001B611D">
        <w:rPr>
          <w:rFonts w:ascii="Arial" w:hAnsi="Arial" w:cs="Arial"/>
          <w:color w:val="000000" w:themeColor="text1"/>
          <w:sz w:val="22"/>
          <w:szCs w:val="22"/>
        </w:rPr>
        <w:t>,</w:t>
      </w:r>
      <w:r w:rsidRPr="003E7ED9">
        <w:rPr>
          <w:rFonts w:ascii="Arial" w:hAnsi="Arial" w:cs="Arial"/>
          <w:color w:val="000000" w:themeColor="text1"/>
          <w:sz w:val="22"/>
          <w:szCs w:val="22"/>
        </w:rPr>
        <w:t xml:space="preserve"> Acadia Connect and DAYBUE are registered trademarks of Acadia Pharmaceuticals Inc. All rights reserved. DAY-US</w:t>
      </w:r>
      <w:r w:rsidR="00197450" w:rsidRPr="003E7ED9">
        <w:rPr>
          <w:rFonts w:ascii="Arial" w:hAnsi="Arial" w:cs="Arial"/>
          <w:color w:val="000000" w:themeColor="text1"/>
          <w:sz w:val="22"/>
          <w:szCs w:val="22"/>
        </w:rPr>
        <w:t>-0141-v3</w:t>
      </w:r>
      <w:r w:rsidRPr="003E7ED9">
        <w:rPr>
          <w:rFonts w:ascii="Arial" w:hAnsi="Arial" w:cs="Arial"/>
          <w:color w:val="FF2F92"/>
          <w:sz w:val="22"/>
          <w:szCs w:val="22"/>
        </w:rPr>
        <w:t xml:space="preserve"> </w:t>
      </w:r>
      <w:r w:rsidRPr="003E7ED9">
        <w:rPr>
          <w:rFonts w:ascii="Arial" w:hAnsi="Arial" w:cs="Arial"/>
          <w:color w:val="000000" w:themeColor="text1"/>
          <w:sz w:val="22"/>
          <w:szCs w:val="22"/>
        </w:rPr>
        <w:t>1</w:t>
      </w:r>
      <w:r w:rsidR="00186F9C">
        <w:rPr>
          <w:rFonts w:ascii="Arial" w:hAnsi="Arial" w:cs="Arial"/>
          <w:color w:val="000000" w:themeColor="text1"/>
          <w:sz w:val="22"/>
          <w:szCs w:val="22"/>
        </w:rPr>
        <w:t>2</w:t>
      </w:r>
      <w:r w:rsidRPr="003E7ED9">
        <w:rPr>
          <w:rFonts w:ascii="Arial" w:hAnsi="Arial" w:cs="Arial"/>
          <w:color w:val="000000" w:themeColor="text1"/>
          <w:sz w:val="22"/>
          <w:szCs w:val="22"/>
        </w:rPr>
        <w:t>/25</w:t>
      </w:r>
    </w:p>
    <w:sectPr w:rsidR="009D6243" w:rsidRPr="003E7ED9" w:rsidSect="00753454">
      <w:pgSz w:w="12240" w:h="15840"/>
      <w:pgMar w:top="562" w:right="562" w:bottom="274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03AE" w14:textId="77777777" w:rsidR="00823723" w:rsidRDefault="00823723" w:rsidP="009F6392">
      <w:r>
        <w:separator/>
      </w:r>
    </w:p>
  </w:endnote>
  <w:endnote w:type="continuationSeparator" w:id="0">
    <w:p w14:paraId="424DA131" w14:textId="77777777" w:rsidR="00823723" w:rsidRDefault="00823723" w:rsidP="009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5EF7" w14:textId="77777777" w:rsidR="00823723" w:rsidRDefault="00823723" w:rsidP="009F6392">
      <w:r>
        <w:separator/>
      </w:r>
    </w:p>
  </w:footnote>
  <w:footnote w:type="continuationSeparator" w:id="0">
    <w:p w14:paraId="3D912D17" w14:textId="77777777" w:rsidR="00823723" w:rsidRDefault="00823723" w:rsidP="009F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694"/>
    <w:multiLevelType w:val="hybridMultilevel"/>
    <w:tmpl w:val="079E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7EC"/>
    <w:multiLevelType w:val="hybridMultilevel"/>
    <w:tmpl w:val="99FE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A5200"/>
    <w:multiLevelType w:val="hybridMultilevel"/>
    <w:tmpl w:val="2B6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3878"/>
    <w:multiLevelType w:val="hybridMultilevel"/>
    <w:tmpl w:val="3588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71B7F"/>
    <w:multiLevelType w:val="hybridMultilevel"/>
    <w:tmpl w:val="3E6C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76D5F"/>
    <w:multiLevelType w:val="hybridMultilevel"/>
    <w:tmpl w:val="2E0E21FC"/>
    <w:lvl w:ilvl="0" w:tplc="A874E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 w:tplc="0F30E7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404040" w:themeColor="text1" w:themeTint="BF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7848879">
    <w:abstractNumId w:val="0"/>
  </w:num>
  <w:num w:numId="2" w16cid:durableId="1979919846">
    <w:abstractNumId w:val="4"/>
  </w:num>
  <w:num w:numId="3" w16cid:durableId="1400208224">
    <w:abstractNumId w:val="5"/>
  </w:num>
  <w:num w:numId="4" w16cid:durableId="1918904618">
    <w:abstractNumId w:val="2"/>
  </w:num>
  <w:num w:numId="5" w16cid:durableId="506285730">
    <w:abstractNumId w:val="3"/>
  </w:num>
  <w:num w:numId="6" w16cid:durableId="36572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DC"/>
    <w:rsid w:val="00026732"/>
    <w:rsid w:val="00031DFC"/>
    <w:rsid w:val="000322B8"/>
    <w:rsid w:val="00076D91"/>
    <w:rsid w:val="0008497A"/>
    <w:rsid w:val="000862B5"/>
    <w:rsid w:val="000A3CFF"/>
    <w:rsid w:val="000A5C63"/>
    <w:rsid w:val="000A7650"/>
    <w:rsid w:val="000B1F0F"/>
    <w:rsid w:val="000E5D45"/>
    <w:rsid w:val="0011236B"/>
    <w:rsid w:val="00117CE9"/>
    <w:rsid w:val="00137918"/>
    <w:rsid w:val="001666DF"/>
    <w:rsid w:val="00186F9C"/>
    <w:rsid w:val="0019274B"/>
    <w:rsid w:val="00197450"/>
    <w:rsid w:val="001A0EF2"/>
    <w:rsid w:val="001B611D"/>
    <w:rsid w:val="001D50BE"/>
    <w:rsid w:val="001E42FB"/>
    <w:rsid w:val="001F3546"/>
    <w:rsid w:val="00212F39"/>
    <w:rsid w:val="002578A3"/>
    <w:rsid w:val="00260911"/>
    <w:rsid w:val="0026170A"/>
    <w:rsid w:val="0026284D"/>
    <w:rsid w:val="00264D39"/>
    <w:rsid w:val="00267BD9"/>
    <w:rsid w:val="00287A63"/>
    <w:rsid w:val="002A5C68"/>
    <w:rsid w:val="002B0B3C"/>
    <w:rsid w:val="002F5949"/>
    <w:rsid w:val="003065A2"/>
    <w:rsid w:val="0032453C"/>
    <w:rsid w:val="00341CC8"/>
    <w:rsid w:val="00355B48"/>
    <w:rsid w:val="00390C51"/>
    <w:rsid w:val="00396CD0"/>
    <w:rsid w:val="003A0567"/>
    <w:rsid w:val="003D7867"/>
    <w:rsid w:val="003E7ED9"/>
    <w:rsid w:val="00426180"/>
    <w:rsid w:val="004307D9"/>
    <w:rsid w:val="0047085C"/>
    <w:rsid w:val="004730C2"/>
    <w:rsid w:val="00473BEB"/>
    <w:rsid w:val="004A04BA"/>
    <w:rsid w:val="004D1FDC"/>
    <w:rsid w:val="004E56C0"/>
    <w:rsid w:val="004F266C"/>
    <w:rsid w:val="00517604"/>
    <w:rsid w:val="0052464C"/>
    <w:rsid w:val="0056336A"/>
    <w:rsid w:val="00564C3D"/>
    <w:rsid w:val="00575F86"/>
    <w:rsid w:val="00585FB9"/>
    <w:rsid w:val="00593E69"/>
    <w:rsid w:val="005A39DC"/>
    <w:rsid w:val="005D72DC"/>
    <w:rsid w:val="00633043"/>
    <w:rsid w:val="00635828"/>
    <w:rsid w:val="0064482D"/>
    <w:rsid w:val="00646A90"/>
    <w:rsid w:val="006524B6"/>
    <w:rsid w:val="00653AD5"/>
    <w:rsid w:val="00675EFA"/>
    <w:rsid w:val="006B6D37"/>
    <w:rsid w:val="006C14F4"/>
    <w:rsid w:val="006E18F5"/>
    <w:rsid w:val="007141A5"/>
    <w:rsid w:val="00725BF0"/>
    <w:rsid w:val="0073018D"/>
    <w:rsid w:val="00733935"/>
    <w:rsid w:val="00752544"/>
    <w:rsid w:val="00753454"/>
    <w:rsid w:val="00772BFE"/>
    <w:rsid w:val="00775529"/>
    <w:rsid w:val="00777B58"/>
    <w:rsid w:val="007C31DD"/>
    <w:rsid w:val="008020BB"/>
    <w:rsid w:val="00813CB1"/>
    <w:rsid w:val="00817B1B"/>
    <w:rsid w:val="008223E9"/>
    <w:rsid w:val="00823723"/>
    <w:rsid w:val="008370B9"/>
    <w:rsid w:val="00864225"/>
    <w:rsid w:val="008812D6"/>
    <w:rsid w:val="00881E29"/>
    <w:rsid w:val="0089752B"/>
    <w:rsid w:val="008F183C"/>
    <w:rsid w:val="00903FFA"/>
    <w:rsid w:val="00910E4E"/>
    <w:rsid w:val="0091387E"/>
    <w:rsid w:val="00932562"/>
    <w:rsid w:val="00934939"/>
    <w:rsid w:val="009437ED"/>
    <w:rsid w:val="0097010C"/>
    <w:rsid w:val="009871E0"/>
    <w:rsid w:val="009A2AEA"/>
    <w:rsid w:val="009B0495"/>
    <w:rsid w:val="009C2270"/>
    <w:rsid w:val="009D3CBC"/>
    <w:rsid w:val="009D6243"/>
    <w:rsid w:val="009E4034"/>
    <w:rsid w:val="009F6392"/>
    <w:rsid w:val="00A104B6"/>
    <w:rsid w:val="00A62A0A"/>
    <w:rsid w:val="00A66068"/>
    <w:rsid w:val="00A721A1"/>
    <w:rsid w:val="00A775A6"/>
    <w:rsid w:val="00AA13B1"/>
    <w:rsid w:val="00AB5371"/>
    <w:rsid w:val="00AE2B7B"/>
    <w:rsid w:val="00AF7454"/>
    <w:rsid w:val="00B2699E"/>
    <w:rsid w:val="00B40913"/>
    <w:rsid w:val="00B81120"/>
    <w:rsid w:val="00B84563"/>
    <w:rsid w:val="00BB3190"/>
    <w:rsid w:val="00BB7DE1"/>
    <w:rsid w:val="00BC0219"/>
    <w:rsid w:val="00BF5E08"/>
    <w:rsid w:val="00C43A99"/>
    <w:rsid w:val="00C4653B"/>
    <w:rsid w:val="00C53450"/>
    <w:rsid w:val="00C573A7"/>
    <w:rsid w:val="00C85261"/>
    <w:rsid w:val="00CD0E87"/>
    <w:rsid w:val="00D0231D"/>
    <w:rsid w:val="00D22A8C"/>
    <w:rsid w:val="00D24506"/>
    <w:rsid w:val="00D44D44"/>
    <w:rsid w:val="00D55C0D"/>
    <w:rsid w:val="00D567CE"/>
    <w:rsid w:val="00D56FD5"/>
    <w:rsid w:val="00D60845"/>
    <w:rsid w:val="00D87041"/>
    <w:rsid w:val="00DA067C"/>
    <w:rsid w:val="00DA59D1"/>
    <w:rsid w:val="00DA6A69"/>
    <w:rsid w:val="00DA7D63"/>
    <w:rsid w:val="00DD25C3"/>
    <w:rsid w:val="00DD7144"/>
    <w:rsid w:val="00DE6B54"/>
    <w:rsid w:val="00E06979"/>
    <w:rsid w:val="00E43949"/>
    <w:rsid w:val="00E46E60"/>
    <w:rsid w:val="00E52093"/>
    <w:rsid w:val="00E52ABD"/>
    <w:rsid w:val="00E60870"/>
    <w:rsid w:val="00E9535D"/>
    <w:rsid w:val="00EB6AC8"/>
    <w:rsid w:val="00EC0804"/>
    <w:rsid w:val="00EC1AC6"/>
    <w:rsid w:val="00EC24AE"/>
    <w:rsid w:val="00EC2CA4"/>
    <w:rsid w:val="00ED468D"/>
    <w:rsid w:val="00EE7E26"/>
    <w:rsid w:val="00F0042B"/>
    <w:rsid w:val="00F12367"/>
    <w:rsid w:val="00F21833"/>
    <w:rsid w:val="00F23C13"/>
    <w:rsid w:val="00F4481E"/>
    <w:rsid w:val="00F45BFB"/>
    <w:rsid w:val="00F61C96"/>
    <w:rsid w:val="00F7409A"/>
    <w:rsid w:val="00F75B81"/>
    <w:rsid w:val="00F93E09"/>
    <w:rsid w:val="00FA740F"/>
    <w:rsid w:val="00FB531C"/>
    <w:rsid w:val="00FE182C"/>
    <w:rsid w:val="00FE1927"/>
    <w:rsid w:val="00FE6F30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C6C77"/>
  <w15:chartTrackingRefBased/>
  <w15:docId w15:val="{8ACA9267-82C7-3C47-BB22-64B5C0EF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F26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E2B7B"/>
  </w:style>
  <w:style w:type="character" w:styleId="Hyperlink">
    <w:name w:val="Hyperlink"/>
    <w:basedOn w:val="DefaultParagraphFont"/>
    <w:uiPriority w:val="99"/>
    <w:unhideWhenUsed/>
    <w:rsid w:val="00AE2B7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2B7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4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69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392"/>
  </w:style>
  <w:style w:type="paragraph" w:styleId="Footer">
    <w:name w:val="footer"/>
    <w:basedOn w:val="Normal"/>
    <w:link w:val="FooterChar"/>
    <w:uiPriority w:val="99"/>
    <w:unhideWhenUsed/>
    <w:rsid w:val="009F6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ybuehcp.com/daybue-pi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c.ncbi.nlm.nih.gov/articles/PMC10287558/pdf/41591_2023_Article_239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a.gov/drugs/news-events-human-drugs/fda-approves-first-treatment-rett-syndr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aybuehcp.com/daybue-p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ybuehc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F9E6-50B3-4E48-ACF2-F9B3780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1372</Words>
  <Characters>8031</Characters>
  <Application>Microsoft Office Word</Application>
  <DocSecurity>0</DocSecurity>
  <Lines>151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Conley</dc:creator>
  <cp:keywords/>
  <dc:description/>
  <cp:lastModifiedBy>Kayla Johnson</cp:lastModifiedBy>
  <cp:revision>3</cp:revision>
  <cp:lastPrinted>2025-12-16T06:26:00Z</cp:lastPrinted>
  <dcterms:created xsi:type="dcterms:W3CDTF">2026-01-15T22:45:00Z</dcterms:created>
  <dcterms:modified xsi:type="dcterms:W3CDTF">2026-01-16T00:19:00Z</dcterms:modified>
</cp:coreProperties>
</file>