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919D" w14:textId="77777777" w:rsidR="00AA0F17" w:rsidRPr="00636A81" w:rsidRDefault="00AA0F17" w:rsidP="00AA0F17">
      <w:pPr>
        <w:pBdr>
          <w:bottom w:val="single" w:sz="4" w:space="1" w:color="auto"/>
        </w:pBdr>
        <w:rPr>
          <w:rFonts w:ascii="Arial" w:hAnsi="Arial" w:cs="Arial"/>
          <w:b/>
          <w:bCs/>
          <w:color w:val="EE0000"/>
          <w:sz w:val="22"/>
          <w:szCs w:val="22"/>
        </w:rPr>
      </w:pPr>
      <w:r w:rsidRPr="00636A81">
        <w:rPr>
          <w:rFonts w:ascii="Arial" w:hAnsi="Arial" w:cs="Arial"/>
          <w:b/>
          <w:bCs/>
          <w:color w:val="EE0000"/>
          <w:sz w:val="22"/>
          <w:szCs w:val="22"/>
        </w:rPr>
        <w:t>DIRECTIONS FOR USE:</w:t>
      </w:r>
    </w:p>
    <w:p w14:paraId="11F52FF8" w14:textId="6376AE42" w:rsidR="00AA0F17" w:rsidRPr="006725AD" w:rsidRDefault="00AA0F17" w:rsidP="00AA0F17">
      <w:pPr>
        <w:pBdr>
          <w:bottom w:val="single" w:sz="4" w:space="1" w:color="auto"/>
        </w:pBdr>
        <w:rPr>
          <w:rFonts w:ascii="Arial" w:hAnsi="Arial" w:cs="Arial"/>
          <w:color w:val="EE0000"/>
          <w:sz w:val="22"/>
          <w:szCs w:val="22"/>
        </w:rPr>
      </w:pPr>
      <w:r w:rsidRPr="006725AD">
        <w:rPr>
          <w:rFonts w:ascii="Arial" w:hAnsi="Arial" w:cs="Arial"/>
          <w:color w:val="EE0000"/>
          <w:sz w:val="22"/>
          <w:szCs w:val="22"/>
        </w:rPr>
        <w:t>You can use the template on the following page and customize it to the needs of your patients with Rett syndrome when requesting coverage for DAYBUE</w:t>
      </w:r>
      <w:r w:rsidR="006725AD" w:rsidRPr="006725AD">
        <w:rPr>
          <w:rFonts w:ascii="Arial" w:hAnsi="Arial" w:cs="Arial"/>
          <w:b/>
          <w:bCs/>
          <w:color w:val="EE0000"/>
          <w:sz w:val="22"/>
          <w:szCs w:val="22"/>
          <w:vertAlign w:val="superscript"/>
        </w:rPr>
        <w:t>®</w:t>
      </w:r>
      <w:r w:rsidR="006725AD" w:rsidRPr="006725AD">
        <w:rPr>
          <w:rFonts w:ascii="Arial" w:hAnsi="Arial" w:cs="Arial"/>
          <w:b/>
          <w:bCs/>
          <w:color w:val="EE0000"/>
          <w:sz w:val="22"/>
          <w:szCs w:val="22"/>
        </w:rPr>
        <w:t xml:space="preserve"> </w:t>
      </w:r>
      <w:r w:rsidR="006725AD" w:rsidRPr="00F30607">
        <w:rPr>
          <w:rFonts w:ascii="Arial" w:hAnsi="Arial" w:cs="Arial"/>
          <w:color w:val="EE0000"/>
          <w:sz w:val="22"/>
          <w:szCs w:val="22"/>
        </w:rPr>
        <w:t>(trofinetide)</w:t>
      </w:r>
      <w:r w:rsidR="004B369C">
        <w:rPr>
          <w:rFonts w:ascii="Arial" w:hAnsi="Arial" w:cs="Arial"/>
          <w:color w:val="EE0000"/>
          <w:sz w:val="22"/>
          <w:szCs w:val="22"/>
        </w:rPr>
        <w:t xml:space="preserve"> oral solution </w:t>
      </w:r>
      <w:r w:rsidR="006725AD" w:rsidRPr="00F30607">
        <w:rPr>
          <w:rFonts w:ascii="Arial" w:hAnsi="Arial" w:cs="Arial"/>
          <w:color w:val="EE0000"/>
          <w:sz w:val="22"/>
          <w:szCs w:val="22"/>
        </w:rPr>
        <w:t>or DAYBUE</w:t>
      </w:r>
      <w:r w:rsidR="006725AD" w:rsidRPr="00F30607">
        <w:rPr>
          <w:rFonts w:ascii="Arial" w:hAnsi="Arial" w:cs="Arial"/>
          <w:color w:val="EE0000"/>
          <w:sz w:val="22"/>
          <w:szCs w:val="22"/>
          <w:vertAlign w:val="superscript"/>
        </w:rPr>
        <w:t>®</w:t>
      </w:r>
      <w:r w:rsidR="006725AD" w:rsidRPr="00F30607">
        <w:rPr>
          <w:rFonts w:ascii="Arial" w:hAnsi="Arial" w:cs="Arial"/>
          <w:color w:val="EE0000"/>
          <w:sz w:val="22"/>
          <w:szCs w:val="22"/>
        </w:rPr>
        <w:t xml:space="preserve"> </w:t>
      </w:r>
      <w:r w:rsidR="007F7F12">
        <w:rPr>
          <w:rFonts w:ascii="Arial" w:hAnsi="Arial" w:cs="Arial"/>
          <w:color w:val="EE0000"/>
          <w:sz w:val="22"/>
          <w:szCs w:val="22"/>
        </w:rPr>
        <w:t>S</w:t>
      </w:r>
      <w:r w:rsidR="00E942A1">
        <w:rPr>
          <w:rFonts w:ascii="Arial" w:hAnsi="Arial" w:cs="Arial"/>
          <w:color w:val="EE0000"/>
          <w:sz w:val="22"/>
          <w:szCs w:val="22"/>
        </w:rPr>
        <w:t>TIX</w:t>
      </w:r>
      <w:r w:rsidR="006725AD" w:rsidRPr="00F30607">
        <w:rPr>
          <w:rFonts w:ascii="Arial" w:hAnsi="Arial" w:cs="Arial"/>
          <w:color w:val="EE0000"/>
          <w:sz w:val="22"/>
          <w:szCs w:val="22"/>
        </w:rPr>
        <w:t xml:space="preserve"> </w:t>
      </w:r>
      <w:r w:rsidR="007F7F12">
        <w:rPr>
          <w:rFonts w:ascii="Arial" w:hAnsi="Arial" w:cs="Arial"/>
          <w:color w:val="EE0000"/>
          <w:sz w:val="22"/>
          <w:szCs w:val="22"/>
        </w:rPr>
        <w:t>(trofinetide) for oral solution</w:t>
      </w:r>
      <w:r w:rsidRPr="00F30607">
        <w:rPr>
          <w:rFonts w:ascii="Arial" w:hAnsi="Arial" w:cs="Arial"/>
          <w:color w:val="EE0000"/>
          <w:sz w:val="22"/>
          <w:szCs w:val="22"/>
        </w:rPr>
        <w:t xml:space="preserve">. </w:t>
      </w:r>
      <w:r w:rsidRPr="006725AD">
        <w:rPr>
          <w:rFonts w:ascii="Arial" w:hAnsi="Arial" w:cs="Arial"/>
          <w:b/>
          <w:bCs/>
          <w:color w:val="EE0000"/>
          <w:sz w:val="22"/>
          <w:szCs w:val="22"/>
        </w:rPr>
        <w:t xml:space="preserve">Please ensure all magenta fields are completed with black font and </w:t>
      </w:r>
      <w:r w:rsidRPr="006725AD">
        <w:rPr>
          <w:rFonts w:ascii="Arial" w:hAnsi="Arial" w:cs="Arial"/>
          <w:b/>
          <w:bCs/>
          <w:color w:val="EE0000"/>
          <w:sz w:val="22"/>
          <w:szCs w:val="22"/>
          <w:u w:val="single"/>
        </w:rPr>
        <w:t>REMOVE THIS FIRST PAGE BEFORE</w:t>
      </w:r>
      <w:r w:rsidRPr="006725AD">
        <w:rPr>
          <w:rFonts w:ascii="Arial" w:hAnsi="Arial" w:cs="Arial"/>
          <w:b/>
          <w:bCs/>
          <w:color w:val="EE0000"/>
          <w:sz w:val="22"/>
          <w:szCs w:val="22"/>
        </w:rPr>
        <w:t xml:space="preserve"> submitting to your patient’s health insurance.</w:t>
      </w:r>
    </w:p>
    <w:p w14:paraId="5DB79CFE" w14:textId="77777777" w:rsidR="00AA0F17" w:rsidRPr="0001368C" w:rsidRDefault="00AA0F17" w:rsidP="00867C12">
      <w:pPr>
        <w:pBdr>
          <w:bottom w:val="single" w:sz="4" w:space="1" w:color="auto"/>
        </w:pBdr>
        <w:jc w:val="center"/>
        <w:rPr>
          <w:rFonts w:ascii="Arial" w:hAnsi="Arial" w:cs="Arial"/>
          <w:b/>
          <w:bCs/>
          <w:sz w:val="20"/>
          <w:szCs w:val="20"/>
        </w:rPr>
      </w:pPr>
    </w:p>
    <w:p w14:paraId="3CAA5601" w14:textId="7B5E5C9F" w:rsidR="00867C12" w:rsidRPr="0001368C" w:rsidRDefault="00504B15" w:rsidP="00793F84">
      <w:pPr>
        <w:pBdr>
          <w:bottom w:val="single" w:sz="4" w:space="1" w:color="auto"/>
        </w:pBdr>
        <w:rPr>
          <w:rFonts w:ascii="Arial" w:hAnsi="Arial" w:cs="Arial"/>
          <w:b/>
          <w:bCs/>
          <w:sz w:val="28"/>
          <w:szCs w:val="28"/>
        </w:rPr>
      </w:pPr>
      <w:r>
        <w:rPr>
          <w:rFonts w:ascii="Arial" w:hAnsi="Arial" w:cs="Arial"/>
          <w:b/>
          <w:bCs/>
          <w:sz w:val="28"/>
          <w:szCs w:val="28"/>
        </w:rPr>
        <w:t xml:space="preserve">DAYBUE </w:t>
      </w:r>
      <w:r w:rsidR="00867C12" w:rsidRPr="0001368C">
        <w:rPr>
          <w:rFonts w:ascii="Arial" w:hAnsi="Arial" w:cs="Arial"/>
          <w:b/>
          <w:bCs/>
          <w:sz w:val="28"/>
          <w:szCs w:val="28"/>
        </w:rPr>
        <w:t xml:space="preserve">Letter of Medical Necessity </w:t>
      </w:r>
      <w:r>
        <w:rPr>
          <w:rFonts w:ascii="Arial" w:hAnsi="Arial" w:cs="Arial"/>
          <w:b/>
          <w:bCs/>
          <w:sz w:val="28"/>
          <w:szCs w:val="28"/>
        </w:rPr>
        <w:t>for Prior Authorization</w:t>
      </w:r>
    </w:p>
    <w:p w14:paraId="1B23207A" w14:textId="77777777" w:rsidR="00867C12" w:rsidRPr="0001368C" w:rsidRDefault="00867C12" w:rsidP="00867C12">
      <w:pPr>
        <w:pBdr>
          <w:bottom w:val="single" w:sz="4" w:space="1" w:color="auto"/>
        </w:pBdr>
        <w:rPr>
          <w:rFonts w:ascii="Arial" w:hAnsi="Arial" w:cs="Arial"/>
          <w:b/>
          <w:bCs/>
          <w:color w:val="808080" w:themeColor="background1" w:themeShade="80"/>
          <w:sz w:val="20"/>
          <w:szCs w:val="20"/>
        </w:rPr>
      </w:pPr>
    </w:p>
    <w:p w14:paraId="22B8C64F" w14:textId="466AE2C1" w:rsidR="00084D9C" w:rsidRDefault="00867C12" w:rsidP="00867C12">
      <w:pPr>
        <w:pBdr>
          <w:bottom w:val="single" w:sz="4" w:space="1" w:color="auto"/>
        </w:pBdr>
        <w:rPr>
          <w:rFonts w:ascii="Arial" w:hAnsi="Arial" w:cs="Arial"/>
          <w:color w:val="404040" w:themeColor="text1" w:themeTint="BF"/>
          <w:sz w:val="18"/>
          <w:szCs w:val="18"/>
        </w:rPr>
      </w:pPr>
      <w:r w:rsidRPr="009E1497">
        <w:rPr>
          <w:rFonts w:ascii="Arial" w:hAnsi="Arial" w:cs="Arial"/>
          <w:color w:val="404040" w:themeColor="text1" w:themeTint="BF"/>
          <w:sz w:val="18"/>
          <w:szCs w:val="18"/>
        </w:rPr>
        <w:t xml:space="preserve">This sample letter is a guide to help you document the need for a medication for your patient to obtain coverage for it through their health insurance plan. It is for information purposes only and does not constitute medical, legal, or reimbursement advice and represents no statement, promise, or guarantee of coverage or payment. Always check to see if the patient’s health insurance has </w:t>
      </w:r>
      <w:r w:rsidR="008658A6">
        <w:rPr>
          <w:rFonts w:ascii="Arial" w:hAnsi="Arial" w:cs="Arial"/>
          <w:color w:val="404040" w:themeColor="text1" w:themeTint="BF"/>
          <w:sz w:val="18"/>
          <w:szCs w:val="18"/>
        </w:rPr>
        <w:t>its</w:t>
      </w:r>
      <w:r w:rsidRPr="009E1497">
        <w:rPr>
          <w:rFonts w:ascii="Arial" w:hAnsi="Arial" w:cs="Arial"/>
          <w:color w:val="404040" w:themeColor="text1" w:themeTint="BF"/>
          <w:sz w:val="18"/>
          <w:szCs w:val="18"/>
        </w:rPr>
        <w:t xml:space="preserve"> own template </w:t>
      </w:r>
      <w:r w:rsidRPr="009E1497">
        <w:rPr>
          <w:rFonts w:ascii="Arial" w:hAnsi="Arial" w:cs="Arial"/>
          <w:color w:val="404040" w:themeColor="text1" w:themeTint="BF"/>
          <w:sz w:val="18"/>
          <w:szCs w:val="18"/>
        </w:rPr>
        <w:br/>
        <w:t>for you to follow when submitting a letter of medical necessity. Individual health insurance policies are frequently updated and it is the responsibility of the provider and/or their office staff to determine appropriate coding, medical necessity, site of service, and documentation requirements, and to submit appropriate codes, modifiers, and charges for services rendered, as specified by the patient’s health</w:t>
      </w:r>
    </w:p>
    <w:p w14:paraId="38B02780" w14:textId="259C934D" w:rsidR="00867C12" w:rsidRPr="009E1497" w:rsidRDefault="00867C12" w:rsidP="00867C12">
      <w:pPr>
        <w:pBdr>
          <w:bottom w:val="single" w:sz="4" w:space="1" w:color="auto"/>
        </w:pBdr>
        <w:rPr>
          <w:rFonts w:ascii="Arial" w:hAnsi="Arial" w:cs="Arial"/>
          <w:color w:val="404040" w:themeColor="text1" w:themeTint="BF"/>
          <w:sz w:val="18"/>
          <w:szCs w:val="18"/>
        </w:rPr>
      </w:pPr>
      <w:r w:rsidRPr="009E1497">
        <w:rPr>
          <w:rFonts w:ascii="Arial" w:hAnsi="Arial" w:cs="Arial"/>
          <w:color w:val="404040" w:themeColor="text1" w:themeTint="BF"/>
          <w:sz w:val="18"/>
          <w:szCs w:val="18"/>
        </w:rPr>
        <w:t>insurance</w:t>
      </w:r>
      <w:r w:rsidR="00D732F4" w:rsidRPr="009E1497">
        <w:rPr>
          <w:rFonts w:ascii="Arial" w:hAnsi="Arial" w:cs="Arial"/>
          <w:color w:val="404040" w:themeColor="text1" w:themeTint="BF"/>
          <w:sz w:val="18"/>
          <w:szCs w:val="18"/>
        </w:rPr>
        <w:t xml:space="preserve"> plan.</w:t>
      </w:r>
    </w:p>
    <w:p w14:paraId="2977D8DA" w14:textId="151279B0" w:rsidR="00D732F4" w:rsidRPr="009E1497" w:rsidRDefault="009459AF" w:rsidP="00867C12">
      <w:pPr>
        <w:pBdr>
          <w:bottom w:val="single" w:sz="4" w:space="1" w:color="auto"/>
        </w:pBdr>
        <w:rPr>
          <w:rFonts w:ascii="Arial" w:hAnsi="Arial" w:cs="Arial"/>
          <w:color w:val="404040" w:themeColor="text1" w:themeTint="BF"/>
          <w:sz w:val="18"/>
          <w:szCs w:val="18"/>
        </w:rPr>
      </w:pPr>
      <w:r w:rsidRPr="009E1497">
        <w:rPr>
          <w:rFonts w:ascii="Arial" w:hAnsi="Arial" w:cs="Arial"/>
          <w:color w:val="404040" w:themeColor="text1" w:themeTint="BF"/>
          <w:sz w:val="18"/>
          <w:szCs w:val="18"/>
        </w:rPr>
        <w:t xml:space="preserve">    </w:t>
      </w:r>
    </w:p>
    <w:p w14:paraId="30237BF0" w14:textId="77777777" w:rsidR="00F8113E" w:rsidRPr="0001368C" w:rsidRDefault="00F8113E" w:rsidP="00867C12">
      <w:pPr>
        <w:pStyle w:val="NoSpacing"/>
        <w:rPr>
          <w:rFonts w:ascii="Arial" w:hAnsi="Arial" w:cs="Arial"/>
          <w:b/>
          <w:bCs/>
          <w:color w:val="404040" w:themeColor="text1" w:themeTint="BF"/>
          <w:sz w:val="18"/>
          <w:szCs w:val="18"/>
        </w:rPr>
      </w:pPr>
    </w:p>
    <w:p w14:paraId="41BA9200" w14:textId="6259F546" w:rsidR="00867C12" w:rsidRPr="0001368C" w:rsidRDefault="00867C12" w:rsidP="00867C12">
      <w:pPr>
        <w:pStyle w:val="NoSpacing"/>
        <w:rPr>
          <w:rFonts w:ascii="Arial" w:hAnsi="Arial" w:cs="Arial"/>
          <w:b/>
          <w:bCs/>
          <w:color w:val="404040" w:themeColor="text1" w:themeTint="BF"/>
          <w:sz w:val="18"/>
          <w:szCs w:val="18"/>
        </w:rPr>
      </w:pPr>
      <w:r w:rsidRPr="0001368C">
        <w:rPr>
          <w:rFonts w:ascii="Arial" w:hAnsi="Arial" w:cs="Arial"/>
          <w:b/>
          <w:bCs/>
          <w:color w:val="404040" w:themeColor="text1" w:themeTint="BF"/>
          <w:sz w:val="18"/>
          <w:szCs w:val="18"/>
        </w:rPr>
        <w:t xml:space="preserve">INDICATION AND IMPORTANT SAFETY INFORMATION </w:t>
      </w:r>
    </w:p>
    <w:p w14:paraId="2D7FCFC2" w14:textId="77777777" w:rsidR="00867C12" w:rsidRPr="0001368C" w:rsidRDefault="00867C12" w:rsidP="00867C12">
      <w:pPr>
        <w:pStyle w:val="NoSpacing"/>
        <w:rPr>
          <w:rFonts w:ascii="Arial" w:hAnsi="Arial" w:cs="Arial"/>
          <w:b/>
          <w:bCs/>
          <w:color w:val="404040" w:themeColor="text1" w:themeTint="BF"/>
          <w:sz w:val="18"/>
          <w:szCs w:val="18"/>
        </w:rPr>
      </w:pPr>
    </w:p>
    <w:p w14:paraId="395626F8" w14:textId="77777777" w:rsidR="0001368C" w:rsidRPr="0001368C" w:rsidRDefault="0001368C" w:rsidP="0001368C">
      <w:pPr>
        <w:autoSpaceDE w:val="0"/>
        <w:autoSpaceDN w:val="0"/>
        <w:adjustRightInd w:val="0"/>
        <w:spacing w:after="120"/>
        <w:rPr>
          <w:rFonts w:ascii="Arial" w:hAnsi="Arial" w:cs="Arial"/>
          <w:b/>
          <w:bCs/>
          <w:color w:val="404040" w:themeColor="text1" w:themeTint="BF"/>
          <w:sz w:val="18"/>
          <w:szCs w:val="18"/>
        </w:rPr>
      </w:pPr>
      <w:r w:rsidRPr="0001368C">
        <w:rPr>
          <w:rFonts w:ascii="Arial" w:hAnsi="Arial" w:cs="Arial"/>
          <w:b/>
          <w:bCs/>
          <w:color w:val="404040" w:themeColor="text1" w:themeTint="BF"/>
          <w:sz w:val="18"/>
          <w:szCs w:val="18"/>
        </w:rPr>
        <w:t>Indication</w:t>
      </w:r>
    </w:p>
    <w:p w14:paraId="3921D648" w14:textId="5742A686" w:rsidR="0001368C" w:rsidRPr="0001368C" w:rsidRDefault="0001368C" w:rsidP="0001368C">
      <w:pPr>
        <w:autoSpaceDE w:val="0"/>
        <w:autoSpaceDN w:val="0"/>
        <w:adjustRightInd w:val="0"/>
        <w:spacing w:after="120"/>
        <w:rPr>
          <w:rFonts w:ascii="Arial" w:hAnsi="Arial" w:cs="Arial"/>
          <w:color w:val="404040" w:themeColor="text1" w:themeTint="BF"/>
          <w:sz w:val="18"/>
          <w:szCs w:val="18"/>
        </w:rPr>
      </w:pPr>
      <w:r w:rsidRPr="0001368C">
        <w:rPr>
          <w:rFonts w:ascii="Arial" w:hAnsi="Arial" w:cs="Arial"/>
          <w:color w:val="404040" w:themeColor="text1" w:themeTint="BF"/>
          <w:sz w:val="18"/>
          <w:szCs w:val="18"/>
        </w:rPr>
        <w:t xml:space="preserve">DAYBUE and DAYBUE </w:t>
      </w:r>
      <w:r w:rsidR="007F7F12">
        <w:rPr>
          <w:rFonts w:ascii="Arial" w:hAnsi="Arial" w:cs="Arial"/>
          <w:color w:val="404040" w:themeColor="text1" w:themeTint="BF"/>
          <w:sz w:val="18"/>
          <w:szCs w:val="18"/>
        </w:rPr>
        <w:t>S</w:t>
      </w:r>
      <w:r w:rsidR="00E942A1">
        <w:rPr>
          <w:rFonts w:ascii="Arial" w:hAnsi="Arial" w:cs="Arial"/>
          <w:color w:val="404040" w:themeColor="text1" w:themeTint="BF"/>
          <w:sz w:val="18"/>
          <w:szCs w:val="18"/>
        </w:rPr>
        <w:t>TIX</w:t>
      </w:r>
      <w:r w:rsidRPr="0001368C">
        <w:rPr>
          <w:rFonts w:ascii="Arial" w:hAnsi="Arial" w:cs="Arial"/>
          <w:color w:val="404040" w:themeColor="text1" w:themeTint="BF"/>
          <w:sz w:val="18"/>
          <w:szCs w:val="18"/>
        </w:rPr>
        <w:t xml:space="preserve"> are indicated for the treatment of Rett syndrome in adults and pediatric patients 2 years of age and older.</w:t>
      </w:r>
    </w:p>
    <w:p w14:paraId="622647FE" w14:textId="77777777" w:rsidR="0001368C" w:rsidRPr="0001368C" w:rsidRDefault="0001368C" w:rsidP="0001368C">
      <w:pPr>
        <w:autoSpaceDE w:val="0"/>
        <w:autoSpaceDN w:val="0"/>
        <w:adjustRightInd w:val="0"/>
        <w:spacing w:after="120"/>
        <w:rPr>
          <w:rFonts w:ascii="Arial" w:hAnsi="Arial" w:cs="Arial"/>
          <w:b/>
          <w:bCs/>
          <w:color w:val="404040" w:themeColor="text1" w:themeTint="BF"/>
          <w:sz w:val="18"/>
          <w:szCs w:val="18"/>
        </w:rPr>
      </w:pPr>
      <w:r w:rsidRPr="0001368C">
        <w:rPr>
          <w:rFonts w:ascii="Arial" w:hAnsi="Arial" w:cs="Arial"/>
          <w:b/>
          <w:bCs/>
          <w:color w:val="404040" w:themeColor="text1" w:themeTint="BF"/>
          <w:sz w:val="18"/>
          <w:szCs w:val="18"/>
        </w:rPr>
        <w:t>Important Safety Information</w:t>
      </w:r>
    </w:p>
    <w:p w14:paraId="71A4D22F" w14:textId="77777777" w:rsidR="0001368C" w:rsidRPr="0001368C" w:rsidRDefault="0001368C" w:rsidP="0001368C">
      <w:pPr>
        <w:pStyle w:val="ListParagraph"/>
        <w:numPr>
          <w:ilvl w:val="0"/>
          <w:numId w:val="3"/>
        </w:numPr>
        <w:autoSpaceDE w:val="0"/>
        <w:autoSpaceDN w:val="0"/>
        <w:adjustRightInd w:val="0"/>
        <w:spacing w:after="120"/>
        <w:contextualSpacing w:val="0"/>
        <w:rPr>
          <w:rFonts w:ascii="Arial" w:hAnsi="Arial" w:cs="Arial"/>
          <w:color w:val="404040" w:themeColor="text1" w:themeTint="BF"/>
          <w:sz w:val="18"/>
          <w:szCs w:val="18"/>
        </w:rPr>
      </w:pPr>
      <w:r w:rsidRPr="0001368C">
        <w:rPr>
          <w:rFonts w:ascii="Arial" w:hAnsi="Arial" w:cs="Arial"/>
          <w:b/>
          <w:bCs/>
          <w:color w:val="404040" w:themeColor="text1" w:themeTint="BF"/>
          <w:sz w:val="18"/>
          <w:szCs w:val="18"/>
        </w:rPr>
        <w:t>Warnings and Precautions</w:t>
      </w:r>
    </w:p>
    <w:p w14:paraId="5B203907" w14:textId="77777777" w:rsidR="0001368C" w:rsidRPr="0001368C" w:rsidRDefault="0001368C" w:rsidP="0001368C">
      <w:pPr>
        <w:pStyle w:val="ListParagraph"/>
        <w:numPr>
          <w:ilvl w:val="1"/>
          <w:numId w:val="3"/>
        </w:numPr>
        <w:autoSpaceDE w:val="0"/>
        <w:autoSpaceDN w:val="0"/>
        <w:adjustRightInd w:val="0"/>
        <w:spacing w:before="120" w:after="120"/>
        <w:ind w:left="720"/>
        <w:contextualSpacing w:val="0"/>
        <w:rPr>
          <w:rFonts w:ascii="Arial" w:hAnsi="Arial" w:cs="Arial"/>
          <w:color w:val="404040" w:themeColor="text1" w:themeTint="BF"/>
          <w:sz w:val="18"/>
          <w:szCs w:val="18"/>
        </w:rPr>
      </w:pPr>
      <w:r w:rsidRPr="0001368C">
        <w:rPr>
          <w:rFonts w:ascii="Arial" w:hAnsi="Arial" w:cs="Arial"/>
          <w:b/>
          <w:bCs/>
          <w:color w:val="404040" w:themeColor="text1" w:themeTint="BF"/>
          <w:sz w:val="18"/>
          <w:szCs w:val="18"/>
        </w:rPr>
        <w:t>Diarrhea:</w:t>
      </w:r>
      <w:r w:rsidRPr="0001368C">
        <w:rPr>
          <w:rFonts w:ascii="Arial" w:hAnsi="Arial" w:cs="Arial"/>
          <w:color w:val="404040" w:themeColor="text1" w:themeTint="BF"/>
          <w:sz w:val="18"/>
          <w:szCs w:val="18"/>
        </w:rPr>
        <w:t xml:space="preserve"> In a 12-week study and in long-term studies, 85% of patients treated with DAYBUE experienced diarrhea. In those treated with DAYBUE, 49% either had persistent diarrhea or recurrence after resolution despite dose interruptions, reductions, or concomitant antidiarrheal therapy. Diarrhea severity was mild or moderate in 96% of cases. In the 12-week study, antidiarrheal medication was used in 51% of patients treated with DAYBUE.  </w:t>
      </w:r>
    </w:p>
    <w:p w14:paraId="7E38A738" w14:textId="6188A882" w:rsidR="0001368C" w:rsidRPr="0001368C" w:rsidRDefault="0001368C" w:rsidP="0001368C">
      <w:pPr>
        <w:pStyle w:val="ListParagraph"/>
        <w:autoSpaceDE w:val="0"/>
        <w:autoSpaceDN w:val="0"/>
        <w:adjustRightInd w:val="0"/>
        <w:spacing w:before="120" w:after="120"/>
        <w:contextualSpacing w:val="0"/>
        <w:rPr>
          <w:rFonts w:ascii="Arial" w:hAnsi="Arial" w:cs="Arial"/>
          <w:color w:val="404040" w:themeColor="text1" w:themeTint="BF"/>
          <w:sz w:val="18"/>
          <w:szCs w:val="18"/>
        </w:rPr>
      </w:pPr>
      <w:r w:rsidRPr="0001368C">
        <w:rPr>
          <w:rFonts w:ascii="Arial" w:hAnsi="Arial" w:cs="Arial"/>
          <w:color w:val="404040" w:themeColor="text1" w:themeTint="BF"/>
          <w:sz w:val="18"/>
          <w:szCs w:val="18"/>
        </w:rPr>
        <w:t xml:space="preserve">Advise patients to stop laxatives before starting DAYBUE or DAYBUE </w:t>
      </w:r>
      <w:r w:rsidR="007F7F12">
        <w:rPr>
          <w:rFonts w:ascii="Arial" w:hAnsi="Arial" w:cs="Arial"/>
          <w:color w:val="404040" w:themeColor="text1" w:themeTint="BF"/>
          <w:sz w:val="18"/>
          <w:szCs w:val="18"/>
        </w:rPr>
        <w:t>S</w:t>
      </w:r>
      <w:r w:rsidR="00E942A1">
        <w:rPr>
          <w:rFonts w:ascii="Arial" w:hAnsi="Arial" w:cs="Arial"/>
          <w:color w:val="404040" w:themeColor="text1" w:themeTint="BF"/>
          <w:sz w:val="18"/>
          <w:szCs w:val="18"/>
        </w:rPr>
        <w:t>TIX</w:t>
      </w:r>
      <w:r w:rsidRPr="0001368C">
        <w:rPr>
          <w:rFonts w:ascii="Arial" w:hAnsi="Arial" w:cs="Arial"/>
          <w:color w:val="404040" w:themeColor="text1" w:themeTint="BF"/>
          <w:sz w:val="18"/>
          <w:szCs w:val="18"/>
        </w:rPr>
        <w:t xml:space="preserve">. If diarrhea occurs, patients should notify their healthcare provider, consider starting antidiarrheal treatment, and monitor hydration status and increase oral fluids, if needed. Interrupt, reduce dose, or discontinue DAYBUE or DAYBUE </w:t>
      </w:r>
      <w:r w:rsidR="007F7F12">
        <w:rPr>
          <w:rFonts w:ascii="Arial" w:hAnsi="Arial" w:cs="Arial"/>
          <w:color w:val="404040" w:themeColor="text1" w:themeTint="BF"/>
          <w:sz w:val="18"/>
          <w:szCs w:val="18"/>
        </w:rPr>
        <w:t>S</w:t>
      </w:r>
      <w:r w:rsidR="00E942A1">
        <w:rPr>
          <w:rFonts w:ascii="Arial" w:hAnsi="Arial" w:cs="Arial"/>
          <w:color w:val="404040" w:themeColor="text1" w:themeTint="BF"/>
          <w:sz w:val="18"/>
          <w:szCs w:val="18"/>
        </w:rPr>
        <w:t>TIX</w:t>
      </w:r>
      <w:r w:rsidRPr="0001368C">
        <w:rPr>
          <w:rFonts w:ascii="Arial" w:hAnsi="Arial" w:cs="Arial"/>
          <w:color w:val="404040" w:themeColor="text1" w:themeTint="BF"/>
          <w:sz w:val="18"/>
          <w:szCs w:val="18"/>
        </w:rPr>
        <w:t xml:space="preserve"> if severe diarrhea occurs or if dehydration is suspected.</w:t>
      </w:r>
    </w:p>
    <w:p w14:paraId="5E73FBD7" w14:textId="77777777" w:rsidR="0001368C" w:rsidRPr="0001368C" w:rsidRDefault="0001368C" w:rsidP="0001368C">
      <w:pPr>
        <w:pStyle w:val="ListParagraph"/>
        <w:numPr>
          <w:ilvl w:val="1"/>
          <w:numId w:val="3"/>
        </w:numPr>
        <w:autoSpaceDE w:val="0"/>
        <w:autoSpaceDN w:val="0"/>
        <w:adjustRightInd w:val="0"/>
        <w:spacing w:before="120" w:after="120"/>
        <w:ind w:left="720"/>
        <w:contextualSpacing w:val="0"/>
        <w:rPr>
          <w:rFonts w:ascii="Arial" w:hAnsi="Arial" w:cs="Arial"/>
          <w:color w:val="404040" w:themeColor="text1" w:themeTint="BF"/>
          <w:sz w:val="18"/>
          <w:szCs w:val="18"/>
        </w:rPr>
      </w:pPr>
      <w:r w:rsidRPr="0001368C">
        <w:rPr>
          <w:rFonts w:ascii="Arial" w:hAnsi="Arial" w:cs="Arial"/>
          <w:b/>
          <w:bCs/>
          <w:color w:val="404040" w:themeColor="text1" w:themeTint="BF"/>
          <w:sz w:val="18"/>
          <w:szCs w:val="18"/>
        </w:rPr>
        <w:t xml:space="preserve">Vomiting: </w:t>
      </w:r>
      <w:r w:rsidRPr="0001368C">
        <w:rPr>
          <w:rFonts w:ascii="Arial" w:hAnsi="Arial" w:cs="Arial"/>
          <w:color w:val="404040" w:themeColor="text1" w:themeTint="BF"/>
          <w:sz w:val="18"/>
          <w:szCs w:val="18"/>
        </w:rPr>
        <w:t xml:space="preserve">In a 12-week study, vomiting occurred in </w:t>
      </w:r>
      <w:r w:rsidRPr="0001368C">
        <w:rPr>
          <w:rFonts w:ascii="Arial" w:eastAsia="Calibri" w:hAnsi="Arial" w:cs="Arial"/>
          <w:color w:val="404040" w:themeColor="text1" w:themeTint="BF"/>
          <w:sz w:val="18"/>
          <w:szCs w:val="18"/>
        </w:rPr>
        <w:t>29% of patients treated with DAYBUE and in 12% of patients who received placebo</w:t>
      </w:r>
      <w:r w:rsidRPr="0001368C">
        <w:rPr>
          <w:rFonts w:ascii="Arial" w:eastAsia="Calibri" w:hAnsi="Arial" w:cs="Arial"/>
          <w:i/>
          <w:iCs/>
          <w:color w:val="404040" w:themeColor="text1" w:themeTint="BF"/>
          <w:sz w:val="18"/>
          <w:szCs w:val="18"/>
        </w:rPr>
        <w:t>.</w:t>
      </w:r>
      <w:r w:rsidRPr="0001368C">
        <w:rPr>
          <w:rFonts w:ascii="Arial" w:eastAsia="Calibri" w:hAnsi="Arial" w:cs="Arial"/>
          <w:color w:val="404040" w:themeColor="text1" w:themeTint="BF"/>
          <w:sz w:val="18"/>
          <w:szCs w:val="18"/>
        </w:rPr>
        <w:t xml:space="preserve">  </w:t>
      </w:r>
    </w:p>
    <w:p w14:paraId="2291418C" w14:textId="0A0001AE" w:rsidR="0001368C" w:rsidRPr="0001368C" w:rsidRDefault="0001368C" w:rsidP="0001368C">
      <w:pPr>
        <w:autoSpaceDE w:val="0"/>
        <w:autoSpaceDN w:val="0"/>
        <w:adjustRightInd w:val="0"/>
        <w:spacing w:before="120" w:after="120"/>
        <w:ind w:left="720"/>
        <w:rPr>
          <w:rFonts w:ascii="Arial" w:hAnsi="Arial" w:cs="Arial"/>
          <w:color w:val="404040" w:themeColor="text1" w:themeTint="BF"/>
          <w:sz w:val="18"/>
          <w:szCs w:val="18"/>
        </w:rPr>
      </w:pPr>
      <w:r w:rsidRPr="0001368C">
        <w:rPr>
          <w:rFonts w:ascii="Arial" w:eastAsia="Calibri" w:hAnsi="Arial" w:cs="Arial"/>
          <w:color w:val="404040" w:themeColor="text1" w:themeTint="BF"/>
          <w:sz w:val="18"/>
          <w:szCs w:val="18"/>
        </w:rPr>
        <w:t>Patients with Rett syndrome are at risk for aspiration and aspiration pneumonia.</w:t>
      </w:r>
      <w:r w:rsidR="006725AD">
        <w:rPr>
          <w:rFonts w:ascii="Arial" w:eastAsia="Calibri" w:hAnsi="Arial" w:cs="Arial"/>
          <w:color w:val="404040" w:themeColor="text1" w:themeTint="BF"/>
          <w:sz w:val="18"/>
          <w:szCs w:val="18"/>
        </w:rPr>
        <w:t xml:space="preserve"> </w:t>
      </w:r>
      <w:r w:rsidRPr="0001368C">
        <w:rPr>
          <w:rFonts w:ascii="Arial" w:eastAsia="Calibri" w:hAnsi="Arial" w:cs="Arial"/>
          <w:color w:val="404040" w:themeColor="text1" w:themeTint="BF"/>
          <w:sz w:val="18"/>
          <w:szCs w:val="18"/>
        </w:rPr>
        <w:t xml:space="preserve">Aspiration and aspiration pneumonia have been reported following vomiting in patients being treated with DAYBUE. Interrupt, reduce dose, or discontinue DAYBUE or DAYBUE </w:t>
      </w:r>
      <w:r w:rsidR="007F7F12">
        <w:rPr>
          <w:rFonts w:ascii="Arial" w:eastAsia="Calibri" w:hAnsi="Arial" w:cs="Arial"/>
          <w:color w:val="404040" w:themeColor="text1" w:themeTint="BF"/>
          <w:sz w:val="18"/>
          <w:szCs w:val="18"/>
        </w:rPr>
        <w:t>S</w:t>
      </w:r>
      <w:r w:rsidR="00E942A1">
        <w:rPr>
          <w:rFonts w:ascii="Arial" w:eastAsia="Calibri" w:hAnsi="Arial" w:cs="Arial"/>
          <w:color w:val="404040" w:themeColor="text1" w:themeTint="BF"/>
          <w:sz w:val="18"/>
          <w:szCs w:val="18"/>
        </w:rPr>
        <w:t>TIX</w:t>
      </w:r>
      <w:r w:rsidRPr="0001368C">
        <w:rPr>
          <w:rFonts w:ascii="Arial" w:eastAsia="Calibri" w:hAnsi="Arial" w:cs="Arial"/>
          <w:color w:val="404040" w:themeColor="text1" w:themeTint="BF"/>
          <w:sz w:val="18"/>
          <w:szCs w:val="18"/>
        </w:rPr>
        <w:t xml:space="preserve"> if vomiting is severe or occurs despite medical management.  </w:t>
      </w:r>
    </w:p>
    <w:p w14:paraId="398C548D" w14:textId="35E30144" w:rsidR="0001368C" w:rsidRPr="0001368C" w:rsidRDefault="0001368C" w:rsidP="0001368C">
      <w:pPr>
        <w:pStyle w:val="ListParagraph"/>
        <w:numPr>
          <w:ilvl w:val="1"/>
          <w:numId w:val="3"/>
        </w:numPr>
        <w:autoSpaceDE w:val="0"/>
        <w:autoSpaceDN w:val="0"/>
        <w:adjustRightInd w:val="0"/>
        <w:spacing w:before="120" w:after="120"/>
        <w:ind w:left="720"/>
        <w:contextualSpacing w:val="0"/>
        <w:rPr>
          <w:rFonts w:ascii="Arial" w:hAnsi="Arial" w:cs="Arial"/>
          <w:b/>
          <w:bCs/>
          <w:color w:val="404040" w:themeColor="text1" w:themeTint="BF"/>
          <w:sz w:val="18"/>
          <w:szCs w:val="18"/>
        </w:rPr>
      </w:pPr>
      <w:r w:rsidRPr="0001368C">
        <w:rPr>
          <w:rFonts w:ascii="Arial" w:hAnsi="Arial" w:cs="Arial"/>
          <w:b/>
          <w:bCs/>
          <w:color w:val="404040" w:themeColor="text1" w:themeTint="BF"/>
          <w:sz w:val="18"/>
          <w:szCs w:val="18"/>
        </w:rPr>
        <w:t xml:space="preserve">Weight Loss: </w:t>
      </w:r>
      <w:r w:rsidRPr="0001368C">
        <w:rPr>
          <w:rFonts w:ascii="Arial" w:hAnsi="Arial" w:cs="Arial"/>
          <w:color w:val="404040" w:themeColor="text1" w:themeTint="BF"/>
          <w:sz w:val="18"/>
          <w:szCs w:val="18"/>
        </w:rPr>
        <w:t xml:space="preserve">In the 12-week study, </w:t>
      </w:r>
      <w:r w:rsidRPr="0001368C">
        <w:rPr>
          <w:rFonts w:ascii="Arial" w:eastAsia="Calibri" w:hAnsi="Arial" w:cs="Arial"/>
          <w:color w:val="404040" w:themeColor="text1" w:themeTint="BF"/>
          <w:sz w:val="18"/>
          <w:szCs w:val="18"/>
        </w:rPr>
        <w:t xml:space="preserve">12% of patients treated with DAYBUE experienced weight loss of greater than 7% from baseline, compared to 4% of patients who received placebo. In long-term studies, 2.2% of patients discontinued treatment with DAYBUE due to weight loss. Monitor weight and interrupt, reduce dose, or discontinue DAYBUE or DAYBUE </w:t>
      </w:r>
      <w:r w:rsidR="007F7F12">
        <w:rPr>
          <w:rFonts w:ascii="Arial" w:eastAsia="Calibri" w:hAnsi="Arial" w:cs="Arial"/>
          <w:color w:val="404040" w:themeColor="text1" w:themeTint="BF"/>
          <w:sz w:val="18"/>
          <w:szCs w:val="18"/>
        </w:rPr>
        <w:t>S</w:t>
      </w:r>
      <w:r w:rsidR="00E942A1">
        <w:rPr>
          <w:rFonts w:ascii="Arial" w:eastAsia="Calibri" w:hAnsi="Arial" w:cs="Arial"/>
          <w:color w:val="404040" w:themeColor="text1" w:themeTint="BF"/>
          <w:sz w:val="18"/>
          <w:szCs w:val="18"/>
        </w:rPr>
        <w:t>TIX</w:t>
      </w:r>
      <w:r w:rsidRPr="0001368C">
        <w:rPr>
          <w:rFonts w:ascii="Arial" w:eastAsia="Calibri" w:hAnsi="Arial" w:cs="Arial"/>
          <w:color w:val="404040" w:themeColor="text1" w:themeTint="BF"/>
          <w:sz w:val="18"/>
          <w:szCs w:val="18"/>
        </w:rPr>
        <w:t xml:space="preserve"> if significant weight loss occurs.</w:t>
      </w:r>
    </w:p>
    <w:p w14:paraId="57948401" w14:textId="77777777" w:rsidR="0001368C" w:rsidRPr="0001368C" w:rsidRDefault="0001368C" w:rsidP="0001368C">
      <w:pPr>
        <w:pStyle w:val="ListParagraph"/>
        <w:numPr>
          <w:ilvl w:val="0"/>
          <w:numId w:val="3"/>
        </w:numPr>
        <w:autoSpaceDE w:val="0"/>
        <w:autoSpaceDN w:val="0"/>
        <w:adjustRightInd w:val="0"/>
        <w:spacing w:before="120" w:after="120"/>
        <w:contextualSpacing w:val="0"/>
        <w:rPr>
          <w:rFonts w:ascii="Arial" w:hAnsi="Arial" w:cs="Arial"/>
          <w:color w:val="404040" w:themeColor="text1" w:themeTint="BF"/>
          <w:sz w:val="18"/>
          <w:szCs w:val="18"/>
        </w:rPr>
      </w:pPr>
      <w:r w:rsidRPr="0001368C">
        <w:rPr>
          <w:rFonts w:ascii="Arial" w:hAnsi="Arial" w:cs="Arial"/>
          <w:b/>
          <w:bCs/>
          <w:color w:val="404040" w:themeColor="text1" w:themeTint="BF"/>
          <w:sz w:val="18"/>
          <w:szCs w:val="18"/>
        </w:rPr>
        <w:t>Adverse Reactions:</w:t>
      </w:r>
      <w:r w:rsidRPr="0001368C">
        <w:rPr>
          <w:rFonts w:ascii="Arial" w:hAnsi="Arial" w:cs="Arial"/>
          <w:color w:val="404040" w:themeColor="text1" w:themeTint="BF"/>
          <w:sz w:val="18"/>
          <w:szCs w:val="18"/>
        </w:rPr>
        <w:t xml:space="preserve"> The common adverse reactions (≥5% for DAYBUE-treated patients and at least 2% greater than in placebo) reported in the 12-week study were diarrhea (82% vs 20%), vomiting (29% vs 12%), fever (9% vs 4%), seizure (9% vs 6%), anxiety (8% vs 1%), decreased appetite (8% vs 2%), fatigue (8% vs 2%), and nasopharyngitis (5% vs 1%).</w:t>
      </w:r>
    </w:p>
    <w:p w14:paraId="779911F2" w14:textId="5EB27EE7" w:rsidR="0001368C" w:rsidRPr="0001368C" w:rsidRDefault="0001368C" w:rsidP="0001368C">
      <w:pPr>
        <w:pStyle w:val="ListParagraph"/>
        <w:numPr>
          <w:ilvl w:val="0"/>
          <w:numId w:val="3"/>
        </w:numPr>
        <w:autoSpaceDE w:val="0"/>
        <w:autoSpaceDN w:val="0"/>
        <w:adjustRightInd w:val="0"/>
        <w:spacing w:before="120"/>
        <w:rPr>
          <w:rFonts w:ascii="Arial" w:hAnsi="Arial" w:cs="Arial"/>
          <w:b/>
          <w:bCs/>
          <w:color w:val="404040" w:themeColor="text1" w:themeTint="BF"/>
          <w:sz w:val="18"/>
          <w:szCs w:val="18"/>
        </w:rPr>
      </w:pPr>
      <w:r w:rsidRPr="0001368C">
        <w:rPr>
          <w:rFonts w:ascii="Arial" w:hAnsi="Arial" w:cs="Arial"/>
          <w:b/>
          <w:bCs/>
          <w:color w:val="404040" w:themeColor="text1" w:themeTint="BF"/>
          <w:sz w:val="18"/>
          <w:szCs w:val="18"/>
        </w:rPr>
        <w:t xml:space="preserve">Drug Interactions: Effect of DAYBUE and DAYBUE </w:t>
      </w:r>
      <w:r w:rsidR="007F7F12">
        <w:rPr>
          <w:rFonts w:ascii="Arial" w:hAnsi="Arial" w:cs="Arial"/>
          <w:b/>
          <w:bCs/>
          <w:color w:val="404040" w:themeColor="text1" w:themeTint="BF"/>
          <w:sz w:val="18"/>
          <w:szCs w:val="18"/>
        </w:rPr>
        <w:t>S</w:t>
      </w:r>
      <w:r w:rsidR="00E942A1">
        <w:rPr>
          <w:rFonts w:ascii="Arial" w:hAnsi="Arial" w:cs="Arial"/>
          <w:b/>
          <w:bCs/>
          <w:color w:val="404040" w:themeColor="text1" w:themeTint="BF"/>
          <w:sz w:val="18"/>
          <w:szCs w:val="18"/>
        </w:rPr>
        <w:t>TIX</w:t>
      </w:r>
      <w:r w:rsidRPr="0001368C">
        <w:rPr>
          <w:rFonts w:ascii="Arial" w:hAnsi="Arial" w:cs="Arial"/>
          <w:b/>
          <w:bCs/>
          <w:color w:val="404040" w:themeColor="text1" w:themeTint="BF"/>
          <w:sz w:val="18"/>
          <w:szCs w:val="18"/>
        </w:rPr>
        <w:t xml:space="preserve"> on other Drugs</w:t>
      </w:r>
    </w:p>
    <w:p w14:paraId="46526D38" w14:textId="77777777" w:rsidR="0001368C" w:rsidRPr="0001368C" w:rsidRDefault="0001368C" w:rsidP="0001368C">
      <w:pPr>
        <w:pStyle w:val="ListParagraph"/>
        <w:numPr>
          <w:ilvl w:val="1"/>
          <w:numId w:val="3"/>
        </w:numPr>
        <w:autoSpaceDE w:val="0"/>
        <w:autoSpaceDN w:val="0"/>
        <w:adjustRightInd w:val="0"/>
        <w:spacing w:before="120" w:after="120"/>
        <w:ind w:left="720"/>
        <w:contextualSpacing w:val="0"/>
        <w:rPr>
          <w:rFonts w:ascii="Arial" w:hAnsi="Arial" w:cs="Arial"/>
          <w:color w:val="404040" w:themeColor="text1" w:themeTint="BF"/>
          <w:sz w:val="18"/>
          <w:szCs w:val="18"/>
        </w:rPr>
      </w:pPr>
      <w:r w:rsidRPr="0001368C">
        <w:rPr>
          <w:rFonts w:ascii="Arial" w:hAnsi="Arial" w:cs="Arial"/>
          <w:color w:val="404040" w:themeColor="text1" w:themeTint="BF"/>
          <w:sz w:val="18"/>
          <w:szCs w:val="18"/>
        </w:rPr>
        <w:t>Trofinetide, a weak inhibitor of CYP3A and an inhibitor of P-gp, can increase the plasma concentrations of CYP3A and/or P-gp substrates (e.g., loperamide), which may increase the risk of adverse reactions associated with these substrates</w:t>
      </w:r>
      <w:r w:rsidRPr="0001368C">
        <w:rPr>
          <w:rFonts w:ascii="Arial" w:hAnsi="Arial" w:cs="Arial"/>
          <w:i/>
          <w:iCs/>
          <w:color w:val="404040" w:themeColor="text1" w:themeTint="BF"/>
          <w:sz w:val="18"/>
          <w:szCs w:val="18"/>
        </w:rPr>
        <w:t>.</w:t>
      </w:r>
      <w:r w:rsidRPr="0001368C">
        <w:rPr>
          <w:rFonts w:ascii="Arial" w:hAnsi="Arial" w:cs="Arial"/>
          <w:color w:val="404040" w:themeColor="text1" w:themeTint="BF"/>
          <w:sz w:val="18"/>
          <w:szCs w:val="18"/>
        </w:rPr>
        <w:t xml:space="preserve"> </w:t>
      </w:r>
    </w:p>
    <w:p w14:paraId="6334E45E" w14:textId="5F62887E" w:rsidR="0001368C" w:rsidRPr="0001368C" w:rsidRDefault="0001368C" w:rsidP="0001368C">
      <w:pPr>
        <w:pStyle w:val="ListParagraph"/>
        <w:autoSpaceDE w:val="0"/>
        <w:autoSpaceDN w:val="0"/>
        <w:adjustRightInd w:val="0"/>
        <w:spacing w:before="120" w:after="120"/>
        <w:contextualSpacing w:val="0"/>
        <w:rPr>
          <w:rFonts w:ascii="Arial" w:hAnsi="Arial" w:cs="Arial"/>
          <w:color w:val="404040" w:themeColor="text1" w:themeTint="BF"/>
          <w:sz w:val="18"/>
          <w:szCs w:val="18"/>
        </w:rPr>
      </w:pPr>
      <w:r w:rsidRPr="0001368C">
        <w:rPr>
          <w:rFonts w:ascii="Arial" w:hAnsi="Arial" w:cs="Arial"/>
          <w:color w:val="404040" w:themeColor="text1" w:themeTint="BF"/>
          <w:sz w:val="18"/>
          <w:szCs w:val="18"/>
        </w:rPr>
        <w:t xml:space="preserve">Closely monitor patients when DAYBUE or DAYBUE </w:t>
      </w:r>
      <w:r w:rsidR="007F7F12">
        <w:rPr>
          <w:rFonts w:ascii="Arial" w:hAnsi="Arial" w:cs="Arial"/>
          <w:color w:val="404040" w:themeColor="text1" w:themeTint="BF"/>
          <w:sz w:val="18"/>
          <w:szCs w:val="18"/>
        </w:rPr>
        <w:t>S</w:t>
      </w:r>
      <w:r w:rsidR="00E942A1">
        <w:rPr>
          <w:rFonts w:ascii="Arial" w:hAnsi="Arial" w:cs="Arial"/>
          <w:color w:val="404040" w:themeColor="text1" w:themeTint="BF"/>
          <w:sz w:val="18"/>
          <w:szCs w:val="18"/>
        </w:rPr>
        <w:t>TIX</w:t>
      </w:r>
      <w:r w:rsidRPr="0001368C">
        <w:rPr>
          <w:rFonts w:ascii="Arial" w:hAnsi="Arial" w:cs="Arial"/>
          <w:color w:val="404040" w:themeColor="text1" w:themeTint="BF"/>
          <w:sz w:val="18"/>
          <w:szCs w:val="18"/>
        </w:rPr>
        <w:t xml:space="preserve"> is administered concomitantly with sensitive CYP3A and/or P-gp substrates for which a minimal increase in substrate plasma concentration (i.e., drugs with a narrow therapeutic index) may lead to serious adverse reactions.</w:t>
      </w:r>
    </w:p>
    <w:p w14:paraId="7F29E0FB" w14:textId="77777777" w:rsidR="0001368C" w:rsidRPr="0001368C" w:rsidRDefault="0001368C" w:rsidP="0001368C">
      <w:pPr>
        <w:pStyle w:val="ListParagraph"/>
        <w:numPr>
          <w:ilvl w:val="0"/>
          <w:numId w:val="3"/>
        </w:numPr>
        <w:autoSpaceDE w:val="0"/>
        <w:autoSpaceDN w:val="0"/>
        <w:adjustRightInd w:val="0"/>
        <w:spacing w:before="120" w:after="120"/>
        <w:contextualSpacing w:val="0"/>
        <w:rPr>
          <w:rFonts w:ascii="Arial" w:hAnsi="Arial" w:cs="Arial"/>
          <w:b/>
          <w:bCs/>
          <w:color w:val="404040" w:themeColor="text1" w:themeTint="BF"/>
          <w:sz w:val="18"/>
          <w:szCs w:val="18"/>
        </w:rPr>
      </w:pPr>
      <w:r w:rsidRPr="0001368C">
        <w:rPr>
          <w:rFonts w:ascii="Arial" w:hAnsi="Arial" w:cs="Arial"/>
          <w:b/>
          <w:bCs/>
          <w:color w:val="404040" w:themeColor="text1" w:themeTint="BF"/>
          <w:sz w:val="18"/>
          <w:szCs w:val="18"/>
        </w:rPr>
        <w:t>Use in Specific Population: Renal Impairment</w:t>
      </w:r>
    </w:p>
    <w:p w14:paraId="04A90089" w14:textId="5685F26E" w:rsidR="0001368C" w:rsidRPr="0001368C" w:rsidRDefault="0001368C" w:rsidP="0001368C">
      <w:pPr>
        <w:pStyle w:val="ListParagraph"/>
        <w:numPr>
          <w:ilvl w:val="1"/>
          <w:numId w:val="3"/>
        </w:numPr>
        <w:autoSpaceDE w:val="0"/>
        <w:autoSpaceDN w:val="0"/>
        <w:adjustRightInd w:val="0"/>
        <w:spacing w:after="120"/>
        <w:ind w:left="720"/>
        <w:rPr>
          <w:rFonts w:ascii="Arial" w:hAnsi="Arial" w:cs="Arial"/>
          <w:color w:val="404040" w:themeColor="text1" w:themeTint="BF"/>
          <w:sz w:val="18"/>
          <w:szCs w:val="18"/>
        </w:rPr>
      </w:pPr>
      <w:r w:rsidRPr="0001368C">
        <w:rPr>
          <w:rFonts w:ascii="Arial" w:hAnsi="Arial" w:cs="Arial"/>
          <w:color w:val="404040" w:themeColor="text1" w:themeTint="BF"/>
          <w:sz w:val="18"/>
          <w:szCs w:val="18"/>
        </w:rPr>
        <w:t xml:space="preserve">DAYBUE and DAYBUE </w:t>
      </w:r>
      <w:r w:rsidR="007F7F12">
        <w:rPr>
          <w:rFonts w:ascii="Arial" w:hAnsi="Arial" w:cs="Arial"/>
          <w:color w:val="404040" w:themeColor="text1" w:themeTint="BF"/>
          <w:sz w:val="18"/>
          <w:szCs w:val="18"/>
        </w:rPr>
        <w:t>S</w:t>
      </w:r>
      <w:r w:rsidR="00E942A1">
        <w:rPr>
          <w:rFonts w:ascii="Arial" w:hAnsi="Arial" w:cs="Arial"/>
          <w:color w:val="404040" w:themeColor="text1" w:themeTint="BF"/>
          <w:sz w:val="18"/>
          <w:szCs w:val="18"/>
        </w:rPr>
        <w:t>TIX</w:t>
      </w:r>
      <w:r w:rsidRPr="0001368C">
        <w:rPr>
          <w:rFonts w:ascii="Arial" w:hAnsi="Arial" w:cs="Arial"/>
          <w:color w:val="404040" w:themeColor="text1" w:themeTint="BF"/>
          <w:sz w:val="18"/>
          <w:szCs w:val="18"/>
        </w:rPr>
        <w:t xml:space="preserve"> are not recommended for patients with severe renal impairment.</w:t>
      </w:r>
    </w:p>
    <w:p w14:paraId="62864B47" w14:textId="77777777" w:rsidR="0001368C" w:rsidRPr="0001368C" w:rsidRDefault="0001368C" w:rsidP="0001368C">
      <w:pPr>
        <w:autoSpaceDE w:val="0"/>
        <w:autoSpaceDN w:val="0"/>
        <w:adjustRightInd w:val="0"/>
        <w:spacing w:after="120"/>
        <w:rPr>
          <w:rFonts w:ascii="Arial" w:hAnsi="Arial" w:cs="Arial"/>
          <w:color w:val="404040" w:themeColor="text1" w:themeTint="BF"/>
          <w:sz w:val="18"/>
          <w:szCs w:val="18"/>
        </w:rPr>
      </w:pPr>
      <w:bookmarkStart w:id="0" w:name="_Hlk123890540"/>
      <w:r w:rsidRPr="0001368C">
        <w:rPr>
          <w:rFonts w:ascii="Arial" w:hAnsi="Arial" w:cs="Arial"/>
          <w:color w:val="404040" w:themeColor="text1" w:themeTint="BF"/>
          <w:sz w:val="18"/>
          <w:szCs w:val="18"/>
        </w:rPr>
        <w:t>DAYBUE is available as an oral solution (200 mg/mL).</w:t>
      </w:r>
      <w:bookmarkEnd w:id="0"/>
    </w:p>
    <w:p w14:paraId="5502D5E2" w14:textId="3614A31C" w:rsidR="0001368C" w:rsidRPr="0001368C" w:rsidRDefault="0001368C" w:rsidP="0001368C">
      <w:pPr>
        <w:autoSpaceDE w:val="0"/>
        <w:autoSpaceDN w:val="0"/>
        <w:adjustRightInd w:val="0"/>
        <w:spacing w:after="120"/>
        <w:rPr>
          <w:rFonts w:ascii="Arial" w:hAnsi="Arial" w:cs="Arial"/>
          <w:color w:val="404040" w:themeColor="text1" w:themeTint="BF"/>
          <w:sz w:val="18"/>
          <w:szCs w:val="18"/>
        </w:rPr>
      </w:pPr>
      <w:r w:rsidRPr="0001368C">
        <w:rPr>
          <w:rFonts w:ascii="Arial" w:hAnsi="Arial" w:cs="Arial"/>
          <w:color w:val="404040" w:themeColor="text1" w:themeTint="BF"/>
          <w:sz w:val="18"/>
          <w:szCs w:val="18"/>
        </w:rPr>
        <w:t xml:space="preserve">DAYBUE </w:t>
      </w:r>
      <w:r w:rsidR="007F7F12">
        <w:rPr>
          <w:rFonts w:ascii="Arial" w:hAnsi="Arial" w:cs="Arial"/>
          <w:color w:val="404040" w:themeColor="text1" w:themeTint="BF"/>
          <w:sz w:val="18"/>
          <w:szCs w:val="18"/>
        </w:rPr>
        <w:t>S</w:t>
      </w:r>
      <w:r w:rsidR="00E942A1">
        <w:rPr>
          <w:rFonts w:ascii="Arial" w:hAnsi="Arial" w:cs="Arial"/>
          <w:color w:val="404040" w:themeColor="text1" w:themeTint="BF"/>
          <w:sz w:val="18"/>
          <w:szCs w:val="18"/>
        </w:rPr>
        <w:t>TIX</w:t>
      </w:r>
      <w:r w:rsidR="00504B15">
        <w:rPr>
          <w:rFonts w:ascii="Arial" w:hAnsi="Arial" w:cs="Arial"/>
          <w:color w:val="404040" w:themeColor="text1" w:themeTint="BF"/>
          <w:sz w:val="18"/>
          <w:szCs w:val="18"/>
        </w:rPr>
        <w:t xml:space="preserve"> for oral solution powder</w:t>
      </w:r>
      <w:r w:rsidRPr="0001368C">
        <w:rPr>
          <w:rFonts w:ascii="Arial" w:hAnsi="Arial" w:cs="Arial"/>
          <w:color w:val="404040" w:themeColor="text1" w:themeTint="BF"/>
          <w:sz w:val="18"/>
          <w:szCs w:val="18"/>
        </w:rPr>
        <w:t xml:space="preserve"> is available </w:t>
      </w:r>
      <w:r w:rsidR="00504B15">
        <w:rPr>
          <w:rFonts w:ascii="Arial" w:hAnsi="Arial" w:cs="Arial"/>
          <w:color w:val="404040" w:themeColor="text1" w:themeTint="BF"/>
          <w:sz w:val="18"/>
          <w:szCs w:val="18"/>
        </w:rPr>
        <w:t xml:space="preserve">in </w:t>
      </w:r>
      <w:r w:rsidRPr="0001368C">
        <w:rPr>
          <w:rFonts w:ascii="Arial" w:hAnsi="Arial" w:cs="Arial"/>
          <w:color w:val="404040" w:themeColor="text1" w:themeTint="BF"/>
          <w:sz w:val="18"/>
          <w:szCs w:val="18"/>
        </w:rPr>
        <w:t>5,000 mg, 6,000 mg, and 8,000 mg</w:t>
      </w:r>
      <w:r w:rsidR="00504B15">
        <w:rPr>
          <w:rFonts w:ascii="Arial" w:hAnsi="Arial" w:cs="Arial"/>
          <w:color w:val="404040" w:themeColor="text1" w:themeTint="BF"/>
          <w:sz w:val="18"/>
          <w:szCs w:val="18"/>
        </w:rPr>
        <w:t xml:space="preserve"> packets</w:t>
      </w:r>
      <w:r w:rsidRPr="0001368C">
        <w:rPr>
          <w:rFonts w:ascii="Arial" w:hAnsi="Arial" w:cs="Arial"/>
          <w:color w:val="404040" w:themeColor="text1" w:themeTint="BF"/>
          <w:sz w:val="18"/>
          <w:szCs w:val="18"/>
        </w:rPr>
        <w:t>.</w:t>
      </w:r>
    </w:p>
    <w:p w14:paraId="41FCB557" w14:textId="77777777" w:rsidR="00867C12" w:rsidRPr="0001368C" w:rsidRDefault="00867C12" w:rsidP="00867C12">
      <w:pPr>
        <w:autoSpaceDE w:val="0"/>
        <w:autoSpaceDN w:val="0"/>
        <w:adjustRightInd w:val="0"/>
        <w:rPr>
          <w:rFonts w:ascii="Arial" w:hAnsi="Arial" w:cs="Arial"/>
          <w:color w:val="404040" w:themeColor="text1" w:themeTint="BF"/>
          <w:sz w:val="18"/>
          <w:szCs w:val="18"/>
        </w:rPr>
      </w:pPr>
      <w:r w:rsidRPr="0001368C">
        <w:rPr>
          <w:rFonts w:ascii="Arial" w:hAnsi="Arial" w:cs="Arial"/>
          <w:color w:val="404040" w:themeColor="text1" w:themeTint="BF"/>
          <w:sz w:val="18"/>
          <w:szCs w:val="18"/>
        </w:rPr>
        <w:t xml:space="preserve">Please read the full </w:t>
      </w:r>
      <w:hyperlink r:id="rId6" w:history="1">
        <w:r w:rsidRPr="0001368C">
          <w:rPr>
            <w:rStyle w:val="Hyperlink"/>
            <w:rFonts w:ascii="Arial" w:hAnsi="Arial" w:cs="Arial"/>
            <w:b/>
            <w:bCs/>
            <w:color w:val="404040" w:themeColor="text1" w:themeTint="BF"/>
            <w:sz w:val="18"/>
            <w:szCs w:val="18"/>
          </w:rPr>
          <w:t>Prescribing Information</w:t>
        </w:r>
      </w:hyperlink>
      <w:r w:rsidRPr="0001368C">
        <w:rPr>
          <w:rFonts w:ascii="Arial" w:hAnsi="Arial" w:cs="Arial"/>
          <w:color w:val="404040" w:themeColor="text1" w:themeTint="BF"/>
          <w:sz w:val="18"/>
          <w:szCs w:val="18"/>
        </w:rPr>
        <w:t xml:space="preserve">, also available at </w:t>
      </w:r>
      <w:hyperlink r:id="rId7" w:history="1">
        <w:r w:rsidRPr="0001368C">
          <w:rPr>
            <w:rStyle w:val="Hyperlink"/>
            <w:rFonts w:ascii="Arial" w:hAnsi="Arial" w:cs="Arial"/>
            <w:b/>
            <w:bCs/>
            <w:color w:val="404040" w:themeColor="text1" w:themeTint="BF"/>
            <w:sz w:val="18"/>
            <w:szCs w:val="18"/>
          </w:rPr>
          <w:t>DAYBUEhcp.com</w:t>
        </w:r>
      </w:hyperlink>
      <w:r w:rsidRPr="0001368C">
        <w:rPr>
          <w:rFonts w:ascii="Arial" w:hAnsi="Arial" w:cs="Arial"/>
          <w:color w:val="404040" w:themeColor="text1" w:themeTint="BF"/>
          <w:sz w:val="18"/>
          <w:szCs w:val="18"/>
        </w:rPr>
        <w:t>.</w:t>
      </w:r>
    </w:p>
    <w:p w14:paraId="4C38FFCF" w14:textId="77777777" w:rsidR="00867C12" w:rsidRDefault="00867C12" w:rsidP="00867C12">
      <w:pPr>
        <w:pBdr>
          <w:bottom w:val="single" w:sz="4" w:space="1" w:color="auto"/>
        </w:pBdr>
        <w:rPr>
          <w:rFonts w:ascii="Arial" w:hAnsi="Arial" w:cs="Arial"/>
          <w:b/>
          <w:bCs/>
          <w:sz w:val="28"/>
          <w:szCs w:val="28"/>
        </w:rPr>
      </w:pPr>
    </w:p>
    <w:p w14:paraId="4A1073F5" w14:textId="2D8F7CDC" w:rsidR="00867C12" w:rsidRDefault="00867C12" w:rsidP="00D732F4">
      <w:pPr>
        <w:pBdr>
          <w:bottom w:val="single" w:sz="4" w:space="1" w:color="auto"/>
        </w:pBdr>
        <w:rPr>
          <w:rFonts w:ascii="Arial" w:hAnsi="Arial" w:cs="Arial"/>
          <w:b/>
          <w:bCs/>
          <w:sz w:val="28"/>
          <w:szCs w:val="28"/>
        </w:rPr>
      </w:pPr>
    </w:p>
    <w:p w14:paraId="115AF01F" w14:textId="77777777" w:rsidR="0001368C" w:rsidRDefault="0001368C" w:rsidP="0001368C">
      <w:pPr>
        <w:pBdr>
          <w:bottom w:val="single" w:sz="4" w:space="1" w:color="auto"/>
        </w:pBdr>
        <w:rPr>
          <w:rFonts w:ascii="Arial" w:hAnsi="Arial" w:cs="Arial"/>
          <w:b/>
          <w:bCs/>
          <w:sz w:val="28"/>
          <w:szCs w:val="28"/>
        </w:rPr>
      </w:pPr>
    </w:p>
    <w:p w14:paraId="0D6A8364" w14:textId="77777777" w:rsidR="0001368C" w:rsidRDefault="0001368C" w:rsidP="0001368C">
      <w:pPr>
        <w:pBdr>
          <w:bottom w:val="single" w:sz="4" w:space="1" w:color="auto"/>
        </w:pBdr>
        <w:rPr>
          <w:rFonts w:ascii="Arial" w:hAnsi="Arial" w:cs="Arial"/>
          <w:b/>
          <w:bCs/>
          <w:sz w:val="28"/>
          <w:szCs w:val="28"/>
        </w:rPr>
      </w:pPr>
    </w:p>
    <w:p w14:paraId="712307BD" w14:textId="33C68D8F" w:rsidR="004D1FDC" w:rsidRPr="007F7F12" w:rsidRDefault="007F7F12" w:rsidP="00F814D4">
      <w:pPr>
        <w:pBdr>
          <w:bottom w:val="single" w:sz="4" w:space="1" w:color="auto"/>
        </w:pBdr>
        <w:jc w:val="center"/>
        <w:rPr>
          <w:rFonts w:ascii="Arial" w:hAnsi="Arial" w:cs="Arial"/>
          <w:b/>
          <w:bCs/>
          <w:color w:val="FF2F92"/>
          <w:sz w:val="28"/>
          <w:szCs w:val="28"/>
        </w:rPr>
      </w:pPr>
      <w:r w:rsidRPr="007F7F12">
        <w:rPr>
          <w:rFonts w:ascii="Arial" w:hAnsi="Arial" w:cs="Arial"/>
          <w:b/>
          <w:bCs/>
          <w:color w:val="FF2F92"/>
          <w:sz w:val="28"/>
          <w:szCs w:val="28"/>
        </w:rPr>
        <w:lastRenderedPageBreak/>
        <w:t>[</w:t>
      </w:r>
      <w:r w:rsidR="00F814D4" w:rsidRPr="00F814D4">
        <w:rPr>
          <w:rFonts w:ascii="Arial" w:hAnsi="Arial" w:cs="Arial"/>
          <w:b/>
          <w:bCs/>
          <w:color w:val="FF2F92"/>
          <w:sz w:val="28"/>
          <w:szCs w:val="28"/>
        </w:rPr>
        <w:t>DAYBUE Letter of Medical Necessity for Prior Authorization</w:t>
      </w:r>
      <w:r w:rsidRPr="007F7F12">
        <w:rPr>
          <w:rFonts w:ascii="Arial" w:hAnsi="Arial" w:cs="Arial"/>
          <w:b/>
          <w:bCs/>
          <w:color w:val="FF2F92"/>
          <w:sz w:val="28"/>
          <w:szCs w:val="28"/>
        </w:rPr>
        <w:t>]</w:t>
      </w:r>
    </w:p>
    <w:p w14:paraId="0AD7A99E" w14:textId="0E92C8CD" w:rsidR="004D1FDC" w:rsidRPr="00991769" w:rsidRDefault="004D1FDC" w:rsidP="004D1FDC">
      <w:pPr>
        <w:rPr>
          <w:rFonts w:ascii="Arial" w:hAnsi="Arial" w:cs="Arial"/>
          <w:color w:val="FF2F92"/>
          <w:sz w:val="18"/>
          <w:szCs w:val="18"/>
        </w:rPr>
      </w:pPr>
    </w:p>
    <w:p w14:paraId="64EA0189" w14:textId="77777777" w:rsidR="00663C14" w:rsidRPr="00991769" w:rsidRDefault="00663C14" w:rsidP="00663C14">
      <w:pPr>
        <w:rPr>
          <w:rFonts w:ascii="Arial" w:hAnsi="Arial" w:cs="Arial"/>
          <w:color w:val="FF2F92"/>
          <w:sz w:val="22"/>
          <w:szCs w:val="22"/>
        </w:rPr>
      </w:pPr>
      <w:r w:rsidRPr="00991769">
        <w:rPr>
          <w:rFonts w:ascii="Arial" w:hAnsi="Arial" w:cs="Arial"/>
          <w:color w:val="FF2F92"/>
          <w:sz w:val="22"/>
          <w:szCs w:val="22"/>
        </w:rPr>
        <w:t>[Date of service]</w:t>
      </w:r>
    </w:p>
    <w:p w14:paraId="2962D67A" w14:textId="571EF55A" w:rsidR="004D1FDC" w:rsidRPr="00663C14" w:rsidRDefault="004D1FDC" w:rsidP="004D1FDC">
      <w:pPr>
        <w:rPr>
          <w:rFonts w:ascii="Arial" w:hAnsi="Arial" w:cs="Arial"/>
          <w:b/>
          <w:bCs/>
          <w:sz w:val="22"/>
          <w:szCs w:val="22"/>
        </w:rPr>
      </w:pPr>
    </w:p>
    <w:p w14:paraId="1415FC63" w14:textId="203F8FC6" w:rsidR="00635828" w:rsidRPr="00E3256B" w:rsidRDefault="00635828" w:rsidP="00635828">
      <w:pPr>
        <w:spacing w:after="120"/>
        <w:rPr>
          <w:rFonts w:ascii="Arial" w:hAnsi="Arial" w:cs="Arial"/>
          <w:b/>
          <w:bCs/>
          <w:sz w:val="22"/>
          <w:szCs w:val="22"/>
        </w:rPr>
      </w:pPr>
      <w:r w:rsidRPr="00E3256B">
        <w:rPr>
          <w:rFonts w:ascii="Arial" w:hAnsi="Arial" w:cs="Arial"/>
          <w:b/>
          <w:bCs/>
          <w:sz w:val="22"/>
          <w:szCs w:val="22"/>
        </w:rPr>
        <w:t>RE:</w:t>
      </w:r>
    </w:p>
    <w:p w14:paraId="0E72E559" w14:textId="3CD79CC3" w:rsidR="00635828" w:rsidRPr="0035111D" w:rsidRDefault="00635828" w:rsidP="002E32E7">
      <w:pPr>
        <w:spacing w:after="80"/>
        <w:rPr>
          <w:rFonts w:ascii="Arial" w:hAnsi="Arial" w:cs="Arial"/>
          <w:color w:val="FF3399"/>
          <w:sz w:val="22"/>
          <w:szCs w:val="22"/>
        </w:rPr>
      </w:pPr>
      <w:r>
        <w:rPr>
          <w:rFonts w:ascii="Arial" w:hAnsi="Arial" w:cs="Arial"/>
          <w:b/>
          <w:bCs/>
          <w:noProof/>
          <w:sz w:val="22"/>
          <w:szCs w:val="22"/>
        </w:rPr>
        <w:softHyphen/>
      </w:r>
      <w:r w:rsidRPr="00991769">
        <w:rPr>
          <w:rFonts w:ascii="Arial" w:hAnsi="Arial" w:cs="Arial"/>
          <w:color w:val="FF2F92"/>
          <w:sz w:val="22"/>
          <w:szCs w:val="22"/>
        </w:rPr>
        <w:t>[Patient name]</w:t>
      </w:r>
      <w:r w:rsidR="003D0BE5">
        <w:rPr>
          <w:rFonts w:ascii="Arial" w:hAnsi="Arial" w:cs="Arial"/>
          <w:sz w:val="22"/>
          <w:szCs w:val="22"/>
        </w:rPr>
        <w:t xml:space="preserve">, </w:t>
      </w:r>
      <w:r w:rsidRPr="00991769">
        <w:rPr>
          <w:rFonts w:ascii="Arial" w:hAnsi="Arial" w:cs="Arial"/>
          <w:color w:val="FF2F92"/>
          <w:sz w:val="22"/>
          <w:szCs w:val="22"/>
        </w:rPr>
        <w:t>[DOB]</w:t>
      </w:r>
    </w:p>
    <w:p w14:paraId="68D53AA8" w14:textId="4CF475DF" w:rsidR="00635828" w:rsidRPr="0035111D" w:rsidRDefault="00635828" w:rsidP="002E32E7">
      <w:pPr>
        <w:spacing w:after="80"/>
        <w:rPr>
          <w:rFonts w:ascii="Arial" w:hAnsi="Arial" w:cs="Arial"/>
          <w:color w:val="FF3399"/>
          <w:sz w:val="22"/>
          <w:szCs w:val="22"/>
        </w:rPr>
      </w:pPr>
      <w:r w:rsidRPr="00991769">
        <w:rPr>
          <w:rFonts w:ascii="Arial" w:hAnsi="Arial" w:cs="Arial"/>
          <w:color w:val="FF2F92"/>
          <w:sz w:val="22"/>
          <w:szCs w:val="22"/>
        </w:rPr>
        <w:t>[Parent/Legal guardian’s name]</w:t>
      </w:r>
    </w:p>
    <w:p w14:paraId="57382921" w14:textId="595ACEC4" w:rsidR="00635828" w:rsidRPr="00E3256B" w:rsidRDefault="00635828" w:rsidP="002E32E7">
      <w:pPr>
        <w:spacing w:after="80"/>
        <w:rPr>
          <w:rFonts w:ascii="Arial" w:hAnsi="Arial" w:cs="Arial"/>
          <w:color w:val="FF40FF"/>
          <w:sz w:val="22"/>
          <w:szCs w:val="22"/>
        </w:rPr>
      </w:pPr>
      <w:r w:rsidRPr="00E3256B">
        <w:rPr>
          <w:rFonts w:ascii="Arial" w:hAnsi="Arial" w:cs="Arial"/>
          <w:sz w:val="22"/>
          <w:szCs w:val="22"/>
        </w:rPr>
        <w:t xml:space="preserve">Policy number: </w:t>
      </w:r>
      <w:r w:rsidRPr="00991769">
        <w:rPr>
          <w:rFonts w:ascii="Arial" w:hAnsi="Arial" w:cs="Arial"/>
          <w:color w:val="FF2F92"/>
          <w:sz w:val="22"/>
          <w:szCs w:val="22"/>
        </w:rPr>
        <w:t>[Policy number]</w:t>
      </w:r>
    </w:p>
    <w:p w14:paraId="208EB89F" w14:textId="397381CE" w:rsidR="00635828" w:rsidRDefault="00635828" w:rsidP="002E32E7">
      <w:pPr>
        <w:spacing w:after="80"/>
        <w:rPr>
          <w:rFonts w:ascii="Arial" w:hAnsi="Arial" w:cs="Arial"/>
          <w:color w:val="FF40FF"/>
          <w:sz w:val="22"/>
          <w:szCs w:val="22"/>
        </w:rPr>
      </w:pPr>
      <w:r>
        <w:rPr>
          <w:rFonts w:ascii="Arial" w:hAnsi="Arial" w:cs="Arial"/>
          <w:b/>
          <w:bCs/>
          <w:noProof/>
          <w:sz w:val="22"/>
          <w:szCs w:val="22"/>
        </w:rPr>
        <w:softHyphen/>
      </w:r>
      <w:r w:rsidRPr="00E3256B">
        <w:rPr>
          <w:rFonts w:ascii="Arial" w:hAnsi="Arial" w:cs="Arial"/>
          <w:sz w:val="22"/>
          <w:szCs w:val="22"/>
        </w:rPr>
        <w:t xml:space="preserve">Group number: </w:t>
      </w:r>
      <w:r w:rsidRPr="00991769">
        <w:rPr>
          <w:rFonts w:ascii="Arial" w:hAnsi="Arial" w:cs="Arial"/>
          <w:color w:val="FF2F92"/>
          <w:sz w:val="22"/>
          <w:szCs w:val="22"/>
        </w:rPr>
        <w:t>[Group number]</w:t>
      </w:r>
    </w:p>
    <w:p w14:paraId="1E4D793D" w14:textId="115E6DC4" w:rsidR="00635828" w:rsidRDefault="00635828" w:rsidP="002E32E7">
      <w:pPr>
        <w:spacing w:after="80"/>
        <w:rPr>
          <w:rFonts w:ascii="Arial" w:hAnsi="Arial" w:cs="Arial"/>
          <w:color w:val="FF40FF"/>
          <w:sz w:val="22"/>
          <w:szCs w:val="22"/>
        </w:rPr>
      </w:pPr>
      <w:r w:rsidRPr="00E3256B">
        <w:rPr>
          <w:rFonts w:ascii="Arial" w:hAnsi="Arial" w:cs="Arial"/>
          <w:sz w:val="22"/>
          <w:szCs w:val="22"/>
        </w:rPr>
        <w:t xml:space="preserve">Medicaid number (if applicable): </w:t>
      </w:r>
      <w:r w:rsidRPr="00991769">
        <w:rPr>
          <w:rFonts w:ascii="Arial" w:hAnsi="Arial" w:cs="Arial"/>
          <w:color w:val="FF2F92"/>
          <w:sz w:val="22"/>
          <w:szCs w:val="22"/>
        </w:rPr>
        <w:t>[Medicaid number]</w:t>
      </w:r>
    </w:p>
    <w:p w14:paraId="383EB114" w14:textId="77777777" w:rsidR="00635828" w:rsidRDefault="00635828" w:rsidP="004D1FDC">
      <w:pPr>
        <w:rPr>
          <w:rFonts w:ascii="Arial" w:hAnsi="Arial" w:cs="Arial"/>
          <w:color w:val="000000" w:themeColor="text1"/>
          <w:sz w:val="22"/>
          <w:szCs w:val="22"/>
        </w:rPr>
      </w:pPr>
    </w:p>
    <w:p w14:paraId="222BB5B1" w14:textId="67E59C05" w:rsidR="00AA13B1" w:rsidRPr="00F814D4" w:rsidRDefault="00AA13B1" w:rsidP="004D1FDC">
      <w:pPr>
        <w:rPr>
          <w:rFonts w:ascii="Arial" w:hAnsi="Arial" w:cs="Arial"/>
          <w:sz w:val="22"/>
          <w:szCs w:val="22"/>
        </w:rPr>
      </w:pPr>
      <w:r w:rsidRPr="00B81120">
        <w:rPr>
          <w:rFonts w:ascii="Arial" w:hAnsi="Arial" w:cs="Arial"/>
          <w:b/>
          <w:bCs/>
          <w:color w:val="000000" w:themeColor="text1"/>
          <w:sz w:val="22"/>
          <w:szCs w:val="22"/>
        </w:rPr>
        <w:t>Subject:</w:t>
      </w:r>
      <w:r w:rsidRPr="00B81120">
        <w:rPr>
          <w:rFonts w:ascii="Arial" w:hAnsi="Arial" w:cs="Arial"/>
          <w:color w:val="000000" w:themeColor="text1"/>
          <w:sz w:val="22"/>
          <w:szCs w:val="22"/>
        </w:rPr>
        <w:t xml:space="preserve"> </w:t>
      </w:r>
      <w:r w:rsidR="00026732">
        <w:rPr>
          <w:rFonts w:ascii="Arial" w:hAnsi="Arial" w:cs="Arial"/>
          <w:color w:val="000000" w:themeColor="text1"/>
          <w:sz w:val="22"/>
          <w:szCs w:val="22"/>
        </w:rPr>
        <w:t>Intent to treat w</w:t>
      </w:r>
      <w:r w:rsidR="00026732" w:rsidRPr="00F814D4">
        <w:rPr>
          <w:rFonts w:ascii="Arial" w:hAnsi="Arial" w:cs="Arial"/>
          <w:sz w:val="22"/>
          <w:szCs w:val="22"/>
        </w:rPr>
        <w:t>ith</w:t>
      </w:r>
      <w:r w:rsidRPr="00F814D4">
        <w:rPr>
          <w:rFonts w:ascii="Arial" w:hAnsi="Arial" w:cs="Arial"/>
          <w:sz w:val="22"/>
          <w:szCs w:val="22"/>
        </w:rPr>
        <w:t xml:space="preserve"> DAYBUE</w:t>
      </w:r>
      <w:r w:rsidR="00A12242" w:rsidRPr="00F814D4">
        <w:rPr>
          <w:rFonts w:ascii="Arial" w:hAnsi="Arial" w:cs="Arial"/>
          <w:sz w:val="22"/>
          <w:szCs w:val="22"/>
          <w:vertAlign w:val="superscript"/>
        </w:rPr>
        <w:t>®</w:t>
      </w:r>
      <w:r w:rsidR="00FB5CCC" w:rsidRPr="00F814D4">
        <w:rPr>
          <w:rFonts w:ascii="Arial" w:hAnsi="Arial" w:cs="Arial"/>
          <w:sz w:val="22"/>
          <w:szCs w:val="22"/>
        </w:rPr>
        <w:t xml:space="preserve"> </w:t>
      </w:r>
      <w:r w:rsidRPr="00F814D4">
        <w:rPr>
          <w:rFonts w:ascii="Arial" w:hAnsi="Arial" w:cs="Arial"/>
          <w:sz w:val="22"/>
          <w:szCs w:val="22"/>
        </w:rPr>
        <w:t>(trofin</w:t>
      </w:r>
      <w:r w:rsidR="00EC2CA4" w:rsidRPr="00F814D4">
        <w:rPr>
          <w:rFonts w:ascii="Arial" w:hAnsi="Arial" w:cs="Arial"/>
          <w:sz w:val="22"/>
          <w:szCs w:val="22"/>
        </w:rPr>
        <w:t>e</w:t>
      </w:r>
      <w:r w:rsidRPr="00F814D4">
        <w:rPr>
          <w:rFonts w:ascii="Arial" w:hAnsi="Arial" w:cs="Arial"/>
          <w:sz w:val="22"/>
          <w:szCs w:val="22"/>
        </w:rPr>
        <w:t>tide</w:t>
      </w:r>
      <w:r w:rsidR="00F814D4" w:rsidRPr="00F814D4">
        <w:rPr>
          <w:rFonts w:ascii="Arial" w:hAnsi="Arial" w:cs="Arial"/>
          <w:sz w:val="22"/>
          <w:szCs w:val="22"/>
        </w:rPr>
        <w:t>)</w:t>
      </w:r>
    </w:p>
    <w:p w14:paraId="2E5A0293" w14:textId="4E21891C" w:rsidR="00AA13B1" w:rsidRPr="00B81120" w:rsidRDefault="00AA13B1" w:rsidP="004D1FDC">
      <w:pPr>
        <w:rPr>
          <w:rFonts w:ascii="Arial" w:hAnsi="Arial" w:cs="Arial"/>
          <w:color w:val="000000" w:themeColor="text1"/>
          <w:sz w:val="22"/>
          <w:szCs w:val="22"/>
        </w:rPr>
      </w:pPr>
    </w:p>
    <w:p w14:paraId="7795CA7D" w14:textId="1E71D213" w:rsidR="00AA13B1" w:rsidRPr="00FA6EC9" w:rsidRDefault="00AA13B1" w:rsidP="004D1FDC">
      <w:pPr>
        <w:rPr>
          <w:rFonts w:ascii="Arial" w:eastAsia="Arial" w:hAnsi="Arial" w:cs="Arial"/>
          <w:color w:val="EC008C"/>
          <w:sz w:val="22"/>
          <w:szCs w:val="22"/>
        </w:rPr>
      </w:pPr>
      <w:r w:rsidRPr="00FA6EC9">
        <w:rPr>
          <w:rFonts w:ascii="Arial" w:hAnsi="Arial" w:cs="Arial"/>
          <w:color w:val="000000" w:themeColor="text1"/>
          <w:sz w:val="22"/>
          <w:szCs w:val="22"/>
        </w:rPr>
        <w:t xml:space="preserve">Dear </w:t>
      </w:r>
      <w:r w:rsidRPr="00991769">
        <w:rPr>
          <w:rFonts w:ascii="Arial" w:eastAsia="Arial" w:hAnsi="Arial" w:cs="Arial"/>
          <w:color w:val="FF2F92"/>
          <w:sz w:val="22"/>
          <w:szCs w:val="22"/>
        </w:rPr>
        <w:t>[Payer medical director/contact name]</w:t>
      </w:r>
      <w:r w:rsidR="00ED468D" w:rsidRPr="00FA6EC9">
        <w:rPr>
          <w:rFonts w:ascii="Arial" w:eastAsia="Arial" w:hAnsi="Arial" w:cs="Arial"/>
          <w:sz w:val="22"/>
          <w:szCs w:val="22"/>
        </w:rPr>
        <w:t>,</w:t>
      </w:r>
    </w:p>
    <w:p w14:paraId="6C66E55E" w14:textId="427A4088" w:rsidR="00AA13B1" w:rsidRPr="00FA6EC9" w:rsidRDefault="00AA13B1" w:rsidP="004D1FDC">
      <w:pPr>
        <w:rPr>
          <w:rFonts w:ascii="Arial" w:eastAsia="Arial" w:hAnsi="Arial" w:cs="Arial"/>
          <w:color w:val="EC008C"/>
          <w:sz w:val="22"/>
          <w:szCs w:val="22"/>
        </w:rPr>
      </w:pPr>
    </w:p>
    <w:p w14:paraId="2B1B596D" w14:textId="0B0B0C13" w:rsidR="004E585F" w:rsidRPr="003E7ED9" w:rsidRDefault="004E585F" w:rsidP="004E585F">
      <w:pPr>
        <w:rPr>
          <w:rFonts w:ascii="Arial" w:hAnsi="Arial" w:cs="Arial"/>
          <w:sz w:val="22"/>
          <w:szCs w:val="22"/>
        </w:rPr>
      </w:pPr>
      <w:r w:rsidRPr="003E7ED9">
        <w:rPr>
          <w:rFonts w:ascii="Arial" w:hAnsi="Arial" w:cs="Arial"/>
          <w:sz w:val="22"/>
          <w:szCs w:val="22"/>
        </w:rPr>
        <w:t xml:space="preserve">I am writing to </w:t>
      </w:r>
      <w:r>
        <w:rPr>
          <w:rFonts w:ascii="Arial" w:hAnsi="Arial" w:cs="Arial"/>
          <w:sz w:val="22"/>
          <w:szCs w:val="22"/>
        </w:rPr>
        <w:t>request authorization</w:t>
      </w:r>
      <w:r w:rsidRPr="003E7ED9">
        <w:rPr>
          <w:rFonts w:ascii="Arial" w:hAnsi="Arial" w:cs="Arial"/>
          <w:sz w:val="22"/>
          <w:szCs w:val="22"/>
        </w:rPr>
        <w:t xml:space="preserve"> for</w:t>
      </w:r>
      <w:r>
        <w:rPr>
          <w:rFonts w:ascii="Arial" w:hAnsi="Arial" w:cs="Arial"/>
          <w:sz w:val="22"/>
          <w:szCs w:val="22"/>
        </w:rPr>
        <w:t xml:space="preserve"> my patient,</w:t>
      </w:r>
      <w:r w:rsidRPr="003E7ED9">
        <w:rPr>
          <w:rFonts w:ascii="Arial" w:hAnsi="Arial" w:cs="Arial"/>
          <w:sz w:val="22"/>
          <w:szCs w:val="22"/>
        </w:rPr>
        <w:t xml:space="preserve"> </w:t>
      </w:r>
      <w:r w:rsidRPr="003E7ED9">
        <w:rPr>
          <w:rFonts w:ascii="Arial" w:hAnsi="Arial" w:cs="Arial"/>
          <w:color w:val="FF2F92"/>
          <w:sz w:val="22"/>
          <w:szCs w:val="22"/>
        </w:rPr>
        <w:t>[Patient name]</w:t>
      </w:r>
      <w:r>
        <w:rPr>
          <w:rFonts w:ascii="Arial" w:hAnsi="Arial" w:cs="Arial"/>
          <w:sz w:val="22"/>
          <w:szCs w:val="22"/>
        </w:rPr>
        <w:t>, for treatment wit</w:t>
      </w:r>
      <w:r w:rsidRPr="00F814D4">
        <w:rPr>
          <w:rFonts w:ascii="Arial" w:hAnsi="Arial" w:cs="Arial"/>
          <w:sz w:val="22"/>
          <w:szCs w:val="22"/>
        </w:rPr>
        <w:t xml:space="preserve">h DAYBUE. </w:t>
      </w:r>
      <w:r w:rsidR="00FB5CCC" w:rsidRPr="00F814D4">
        <w:rPr>
          <w:rFonts w:ascii="Arial" w:hAnsi="Arial" w:cs="Arial"/>
          <w:sz w:val="22"/>
          <w:szCs w:val="22"/>
        </w:rPr>
        <w:t>DAYBUE</w:t>
      </w:r>
      <w:r w:rsidRPr="00F814D4">
        <w:rPr>
          <w:rFonts w:ascii="Arial" w:hAnsi="Arial" w:cs="Arial"/>
          <w:sz w:val="22"/>
          <w:szCs w:val="22"/>
        </w:rPr>
        <w:t xml:space="preserve"> </w:t>
      </w:r>
      <w:r w:rsidRPr="003E7ED9">
        <w:rPr>
          <w:rFonts w:ascii="Arial" w:hAnsi="Arial" w:cs="Arial"/>
          <w:sz w:val="22"/>
          <w:szCs w:val="22"/>
        </w:rPr>
        <w:t>is the only medication indicated for the treatment of Rett syndrome (ICD-10 code F84.2) in adults and pediatric patients 2 years of age and older.</w:t>
      </w:r>
      <w:r w:rsidR="00FB5CCC">
        <w:rPr>
          <w:rFonts w:ascii="Arial" w:hAnsi="Arial" w:cs="Arial"/>
          <w:sz w:val="22"/>
          <w:szCs w:val="22"/>
          <w:vertAlign w:val="superscript"/>
        </w:rPr>
        <w:t>1,2</w:t>
      </w:r>
      <w:r w:rsidRPr="003E7ED9">
        <w:rPr>
          <w:rFonts w:ascii="Arial" w:hAnsi="Arial" w:cs="Arial"/>
          <w:sz w:val="22"/>
          <w:szCs w:val="22"/>
        </w:rPr>
        <w:t xml:space="preserve"> </w:t>
      </w:r>
      <w:r w:rsidR="00FB5CCC">
        <w:rPr>
          <w:rFonts w:ascii="Arial" w:hAnsi="Arial" w:cs="Arial"/>
          <w:sz w:val="22"/>
          <w:szCs w:val="22"/>
        </w:rPr>
        <w:t xml:space="preserve">DAYBUE </w:t>
      </w:r>
      <w:r w:rsidRPr="003E7ED9">
        <w:rPr>
          <w:rFonts w:ascii="Arial" w:hAnsi="Arial" w:cs="Arial"/>
          <w:sz w:val="22"/>
          <w:szCs w:val="22"/>
        </w:rPr>
        <w:t>is</w:t>
      </w:r>
      <w:r w:rsidR="004B369C">
        <w:rPr>
          <w:rFonts w:ascii="Arial" w:hAnsi="Arial" w:cs="Arial"/>
          <w:sz w:val="22"/>
          <w:szCs w:val="22"/>
        </w:rPr>
        <w:t xml:space="preserve"> part of</w:t>
      </w:r>
      <w:r w:rsidRPr="003E7ED9">
        <w:rPr>
          <w:rFonts w:ascii="Arial" w:hAnsi="Arial" w:cs="Arial"/>
          <w:sz w:val="22"/>
          <w:szCs w:val="22"/>
        </w:rPr>
        <w:t xml:space="preserve"> the standard of care for patients diagnosed with Rett syndrome and was approved by the US Food and Drug Administration on March 1</w:t>
      </w:r>
      <w:r w:rsidR="00D75B36">
        <w:rPr>
          <w:rFonts w:ascii="Arial" w:hAnsi="Arial" w:cs="Arial"/>
          <w:sz w:val="22"/>
          <w:szCs w:val="22"/>
        </w:rPr>
        <w:t>0</w:t>
      </w:r>
      <w:r w:rsidRPr="003E7ED9">
        <w:rPr>
          <w:rFonts w:ascii="Arial" w:hAnsi="Arial" w:cs="Arial"/>
          <w:sz w:val="22"/>
          <w:szCs w:val="22"/>
        </w:rPr>
        <w:t>, 2023</w:t>
      </w:r>
      <w:r w:rsidR="00FB5CCC">
        <w:rPr>
          <w:rFonts w:ascii="Arial" w:hAnsi="Arial" w:cs="Arial"/>
          <w:sz w:val="22"/>
          <w:szCs w:val="22"/>
        </w:rPr>
        <w:t>.</w:t>
      </w:r>
      <w:r w:rsidR="00FB5CCC">
        <w:rPr>
          <w:rFonts w:ascii="Arial" w:hAnsi="Arial" w:cs="Arial"/>
          <w:sz w:val="22"/>
          <w:szCs w:val="22"/>
          <w:vertAlign w:val="superscript"/>
        </w:rPr>
        <w:t>3,4</w:t>
      </w:r>
      <w:r w:rsidRPr="003E7ED9">
        <w:rPr>
          <w:rFonts w:ascii="Arial" w:hAnsi="Arial" w:cs="Arial"/>
          <w:sz w:val="22"/>
          <w:szCs w:val="22"/>
        </w:rPr>
        <w:t xml:space="preserve">  Rett syndrome is a rare, severe</w:t>
      </w:r>
      <w:r w:rsidR="004D2108">
        <w:rPr>
          <w:rFonts w:ascii="Arial" w:hAnsi="Arial" w:cs="Arial"/>
          <w:sz w:val="22"/>
          <w:szCs w:val="22"/>
        </w:rPr>
        <w:t>,</w:t>
      </w:r>
      <w:r w:rsidRPr="003E7ED9">
        <w:rPr>
          <w:rFonts w:ascii="Arial" w:hAnsi="Arial" w:cs="Arial"/>
          <w:sz w:val="22"/>
          <w:szCs w:val="22"/>
        </w:rPr>
        <w:t xml:space="preserve"> and progressive neurodevelopmental disorder that is diagnosed by clinical assessment.</w:t>
      </w:r>
      <w:r w:rsidR="00FB5CCC">
        <w:rPr>
          <w:rFonts w:ascii="Arial" w:hAnsi="Arial" w:cs="Arial"/>
          <w:sz w:val="22"/>
          <w:szCs w:val="22"/>
          <w:vertAlign w:val="superscript"/>
        </w:rPr>
        <w:t>5</w:t>
      </w:r>
      <w:r w:rsidR="00F30607">
        <w:rPr>
          <w:rFonts w:ascii="Arial" w:hAnsi="Arial" w:cs="Arial"/>
          <w:sz w:val="22"/>
          <w:szCs w:val="22"/>
          <w:vertAlign w:val="superscript"/>
        </w:rPr>
        <w:t>,6</w:t>
      </w:r>
      <w:r w:rsidRPr="003E7ED9">
        <w:rPr>
          <w:rFonts w:ascii="Arial" w:hAnsi="Arial" w:cs="Arial"/>
          <w:sz w:val="22"/>
          <w:szCs w:val="22"/>
          <w:vertAlign w:val="superscript"/>
        </w:rPr>
        <w:t xml:space="preserve"> </w:t>
      </w:r>
      <w:r w:rsidRPr="003E7ED9">
        <w:rPr>
          <w:rFonts w:ascii="Arial" w:hAnsi="Arial" w:cs="Arial"/>
          <w:color w:val="FF2F92"/>
          <w:sz w:val="22"/>
          <w:szCs w:val="22"/>
        </w:rPr>
        <w:t>[Patient name]</w:t>
      </w:r>
      <w:r w:rsidRPr="003E7ED9">
        <w:rPr>
          <w:rFonts w:ascii="Arial" w:hAnsi="Arial" w:cs="Arial"/>
          <w:sz w:val="22"/>
          <w:szCs w:val="22"/>
        </w:rPr>
        <w:t>’s specific diagnostic features are listed below.</w:t>
      </w:r>
    </w:p>
    <w:p w14:paraId="53428329" w14:textId="77777777" w:rsidR="004E585F" w:rsidRDefault="004E585F" w:rsidP="004E585F">
      <w:pPr>
        <w:pStyle w:val="NoSpacing"/>
        <w:rPr>
          <w:rFonts w:ascii="Arial" w:hAnsi="Arial" w:cs="Arial"/>
        </w:rPr>
      </w:pPr>
    </w:p>
    <w:p w14:paraId="0A9C2ABB" w14:textId="4F14CCC9" w:rsidR="00504B15" w:rsidRPr="008658A6" w:rsidRDefault="00504B15" w:rsidP="00504B15">
      <w:pPr>
        <w:rPr>
          <w:rFonts w:ascii="Arial" w:hAnsi="Arial" w:cs="Arial"/>
          <w:sz w:val="22"/>
          <w:szCs w:val="22"/>
        </w:rPr>
      </w:pPr>
      <w:r w:rsidRPr="008658A6">
        <w:rPr>
          <w:rFonts w:ascii="Arial" w:hAnsi="Arial" w:cs="Arial"/>
          <w:color w:val="FF2F92"/>
          <w:sz w:val="22"/>
          <w:szCs w:val="22"/>
        </w:rPr>
        <w:t>[Patient name]</w:t>
      </w:r>
      <w:r w:rsidRPr="008658A6">
        <w:rPr>
          <w:rFonts w:ascii="Arial" w:hAnsi="Arial" w:cs="Arial"/>
          <w:sz w:val="22"/>
          <w:szCs w:val="22"/>
        </w:rPr>
        <w:t xml:space="preserve"> was diagnosed with Rett syndrome on </w:t>
      </w:r>
      <w:r w:rsidRPr="008658A6">
        <w:rPr>
          <w:rFonts w:ascii="Arial" w:hAnsi="Arial" w:cs="Arial"/>
          <w:color w:val="FF2F92"/>
          <w:sz w:val="22"/>
          <w:szCs w:val="22"/>
        </w:rPr>
        <w:t>[Date]</w:t>
      </w:r>
      <w:r w:rsidR="008E690A">
        <w:rPr>
          <w:rFonts w:ascii="Arial" w:hAnsi="Arial" w:cs="Arial"/>
          <w:sz w:val="22"/>
          <w:szCs w:val="22"/>
        </w:rPr>
        <w:t>.</w:t>
      </w:r>
    </w:p>
    <w:p w14:paraId="24200347" w14:textId="77777777" w:rsidR="00504B15" w:rsidRPr="008658A6" w:rsidRDefault="00504B15" w:rsidP="00504B15">
      <w:pPr>
        <w:pStyle w:val="NoSpacing"/>
        <w:rPr>
          <w:rFonts w:ascii="Arial" w:hAnsi="Arial" w:cs="Arial"/>
        </w:rPr>
      </w:pPr>
    </w:p>
    <w:p w14:paraId="7B2A8F3C" w14:textId="2303EA0E" w:rsidR="00504B15" w:rsidRPr="008658A6" w:rsidRDefault="00504B15" w:rsidP="00504B15">
      <w:pPr>
        <w:pStyle w:val="NoSpacing"/>
        <w:rPr>
          <w:rFonts w:ascii="Arial" w:hAnsi="Arial" w:cs="Arial"/>
        </w:rPr>
      </w:pPr>
      <w:r w:rsidRPr="008658A6">
        <w:rPr>
          <w:rFonts w:ascii="Arial" w:hAnsi="Arial" w:cs="Arial"/>
        </w:rPr>
        <w:t xml:space="preserve">Based on my clinical assessment, </w:t>
      </w:r>
      <w:r w:rsidRPr="008658A6">
        <w:rPr>
          <w:rFonts w:ascii="Arial" w:hAnsi="Arial" w:cs="Arial"/>
          <w:color w:val="FF2F92"/>
        </w:rPr>
        <w:t>[Patient name]</w:t>
      </w:r>
      <w:r w:rsidRPr="008658A6">
        <w:rPr>
          <w:rFonts w:ascii="Arial" w:hAnsi="Arial" w:cs="Arial"/>
        </w:rPr>
        <w:t xml:space="preserve"> demonstrates the following diagnostic features of Rett syndrome</w:t>
      </w:r>
      <w:r w:rsidR="00981559">
        <w:rPr>
          <w:rFonts w:ascii="Arial" w:hAnsi="Arial" w:cs="Arial"/>
        </w:rPr>
        <w:t>* (per the criteria in Neul 2010)</w:t>
      </w:r>
      <w:r w:rsidRPr="008658A6">
        <w:rPr>
          <w:rFonts w:ascii="Arial" w:hAnsi="Arial" w:cs="Arial"/>
        </w:rPr>
        <w:t xml:space="preserve"> and is an appropriate patient for treatment with DAYBUE</w:t>
      </w:r>
      <w:r w:rsidRPr="008658A6">
        <w:rPr>
          <w:rFonts w:ascii="Arial" w:hAnsi="Arial" w:cs="Arial"/>
          <w:vertAlign w:val="superscript"/>
        </w:rPr>
        <w:t>6</w:t>
      </w:r>
      <w:r w:rsidRPr="008658A6">
        <w:rPr>
          <w:rFonts w:ascii="Arial" w:hAnsi="Arial" w:cs="Arial"/>
        </w:rPr>
        <w:t>:</w:t>
      </w:r>
    </w:p>
    <w:p w14:paraId="2AC5E5D6" w14:textId="77777777" w:rsidR="00504B15" w:rsidRPr="008658A6" w:rsidRDefault="00504B15" w:rsidP="00504B15">
      <w:pPr>
        <w:pStyle w:val="NoSpacing"/>
        <w:numPr>
          <w:ilvl w:val="0"/>
          <w:numId w:val="7"/>
        </w:numPr>
        <w:rPr>
          <w:rFonts w:ascii="Arial" w:hAnsi="Arial" w:cs="Arial"/>
        </w:rPr>
      </w:pPr>
      <w:r w:rsidRPr="008658A6">
        <w:rPr>
          <w:rFonts w:ascii="Arial" w:hAnsi="Arial" w:cs="Arial"/>
        </w:rPr>
        <w:t>A period of regression followed by recovery or stabilization</w:t>
      </w:r>
    </w:p>
    <w:p w14:paraId="050F11F2" w14:textId="25E4EE19" w:rsidR="00504B15" w:rsidRPr="008658A6" w:rsidRDefault="00504B15" w:rsidP="00504B15">
      <w:pPr>
        <w:pStyle w:val="NoSpacing"/>
        <w:numPr>
          <w:ilvl w:val="0"/>
          <w:numId w:val="7"/>
        </w:numPr>
        <w:rPr>
          <w:rFonts w:ascii="Arial" w:hAnsi="Arial" w:cs="Arial"/>
        </w:rPr>
      </w:pPr>
      <w:r w:rsidRPr="008658A6">
        <w:rPr>
          <w:rFonts w:ascii="Arial" w:hAnsi="Arial" w:cs="Arial"/>
        </w:rPr>
        <w:t xml:space="preserve">Main criteria </w:t>
      </w:r>
      <w:r w:rsidRPr="008658A6">
        <w:rPr>
          <w:rFonts w:ascii="Arial" w:hAnsi="Arial" w:cs="Arial"/>
          <w:b/>
          <w:bCs/>
          <w:color w:val="FF2F92"/>
        </w:rPr>
        <w:t xml:space="preserve">[Only remove non-applicable bullets if your patient has </w:t>
      </w:r>
      <w:r w:rsidRPr="008658A6">
        <w:rPr>
          <w:rFonts w:ascii="Arial" w:hAnsi="Arial" w:cs="Arial"/>
          <w:b/>
          <w:bCs/>
          <w:color w:val="FF2F92"/>
          <w:u w:val="single"/>
        </w:rPr>
        <w:t>atypical</w:t>
      </w:r>
      <w:r w:rsidRPr="008658A6">
        <w:rPr>
          <w:rFonts w:ascii="Arial" w:hAnsi="Arial" w:cs="Arial"/>
          <w:b/>
          <w:bCs/>
          <w:color w:val="FF2F92"/>
        </w:rPr>
        <w:t xml:space="preserve"> Rett syndrome. Remove these magenta sentences once you are done]</w:t>
      </w:r>
    </w:p>
    <w:p w14:paraId="2E30242B" w14:textId="77777777" w:rsidR="00504B15" w:rsidRPr="008658A6" w:rsidRDefault="00504B15" w:rsidP="00504B15">
      <w:pPr>
        <w:pStyle w:val="NoSpacing"/>
        <w:numPr>
          <w:ilvl w:val="1"/>
          <w:numId w:val="7"/>
        </w:numPr>
        <w:rPr>
          <w:rFonts w:ascii="Arial" w:hAnsi="Arial" w:cs="Arial"/>
        </w:rPr>
      </w:pPr>
      <w:r w:rsidRPr="008658A6">
        <w:rPr>
          <w:rFonts w:ascii="Arial" w:hAnsi="Arial" w:cs="Arial"/>
        </w:rPr>
        <w:t>Partial or complete loss of acquired purposeful hand skills</w:t>
      </w:r>
    </w:p>
    <w:p w14:paraId="07E84264" w14:textId="77777777" w:rsidR="00504B15" w:rsidRPr="008658A6" w:rsidRDefault="00504B15" w:rsidP="00504B15">
      <w:pPr>
        <w:pStyle w:val="NoSpacing"/>
        <w:numPr>
          <w:ilvl w:val="1"/>
          <w:numId w:val="7"/>
        </w:numPr>
        <w:rPr>
          <w:rFonts w:ascii="Arial" w:hAnsi="Arial" w:cs="Arial"/>
        </w:rPr>
      </w:pPr>
      <w:r w:rsidRPr="008658A6">
        <w:rPr>
          <w:rFonts w:ascii="Arial" w:hAnsi="Arial" w:cs="Arial"/>
        </w:rPr>
        <w:t>Partial or complete loss of acquired spoken language</w:t>
      </w:r>
    </w:p>
    <w:p w14:paraId="7447B5B7" w14:textId="77777777" w:rsidR="00504B15" w:rsidRPr="008658A6" w:rsidRDefault="00504B15" w:rsidP="00504B15">
      <w:pPr>
        <w:pStyle w:val="NoSpacing"/>
        <w:numPr>
          <w:ilvl w:val="1"/>
          <w:numId w:val="7"/>
        </w:numPr>
        <w:rPr>
          <w:rFonts w:ascii="Arial" w:hAnsi="Arial" w:cs="Arial"/>
        </w:rPr>
      </w:pPr>
      <w:r w:rsidRPr="008658A6">
        <w:rPr>
          <w:rFonts w:ascii="Arial" w:hAnsi="Arial" w:cs="Arial"/>
        </w:rPr>
        <w:t xml:space="preserve">Gait abnormalities: impaired (dyspraxic) or absence of ability </w:t>
      </w:r>
    </w:p>
    <w:p w14:paraId="7E1320F1" w14:textId="237F0AE4" w:rsidR="00504B15" w:rsidRPr="008658A6" w:rsidRDefault="00504B15" w:rsidP="00504B15">
      <w:pPr>
        <w:pStyle w:val="NoSpacing"/>
        <w:numPr>
          <w:ilvl w:val="1"/>
          <w:numId w:val="7"/>
        </w:numPr>
        <w:rPr>
          <w:rFonts w:ascii="Arial" w:hAnsi="Arial" w:cs="Arial"/>
        </w:rPr>
      </w:pPr>
      <w:r w:rsidRPr="008658A6">
        <w:rPr>
          <w:rFonts w:ascii="Arial" w:hAnsi="Arial" w:cs="Arial"/>
        </w:rPr>
        <w:t>Stereotypic hand movements such as hand wringing/squeezing, clapping/tapping, mouthing and washing/rubbing automati</w:t>
      </w:r>
      <w:r w:rsidR="002E32E7">
        <w:rPr>
          <w:rFonts w:ascii="Arial" w:hAnsi="Arial" w:cs="Arial"/>
        </w:rPr>
        <w:t>sm</w:t>
      </w:r>
      <w:r w:rsidRPr="008658A6">
        <w:rPr>
          <w:rFonts w:ascii="Arial" w:hAnsi="Arial" w:cs="Arial"/>
        </w:rPr>
        <w:t>s</w:t>
      </w:r>
    </w:p>
    <w:p w14:paraId="4581B8EF" w14:textId="77777777" w:rsidR="00504B15" w:rsidRPr="008658A6" w:rsidRDefault="00504B15" w:rsidP="00504B15">
      <w:pPr>
        <w:pStyle w:val="NoSpacing"/>
        <w:numPr>
          <w:ilvl w:val="0"/>
          <w:numId w:val="7"/>
        </w:numPr>
        <w:rPr>
          <w:rFonts w:ascii="Arial" w:hAnsi="Arial" w:cs="Arial"/>
        </w:rPr>
      </w:pPr>
      <w:r w:rsidRPr="008658A6">
        <w:rPr>
          <w:rFonts w:ascii="Arial" w:hAnsi="Arial" w:cs="Arial"/>
        </w:rPr>
        <w:t xml:space="preserve">Supportive criteria for atypical Rett syndrome </w:t>
      </w:r>
      <w:r w:rsidRPr="008658A6">
        <w:rPr>
          <w:rFonts w:ascii="Arial" w:hAnsi="Arial" w:cs="Arial"/>
          <w:b/>
          <w:bCs/>
          <w:color w:val="FF2F92"/>
        </w:rPr>
        <w:t xml:space="preserve">[Only include the supportive criteria bullets if your patient has </w:t>
      </w:r>
      <w:r w:rsidRPr="008658A6">
        <w:rPr>
          <w:rFonts w:ascii="Arial" w:hAnsi="Arial" w:cs="Arial"/>
          <w:b/>
          <w:bCs/>
          <w:color w:val="FF2F92"/>
          <w:u w:val="single"/>
        </w:rPr>
        <w:t>atypical</w:t>
      </w:r>
      <w:r w:rsidRPr="008658A6">
        <w:rPr>
          <w:rFonts w:ascii="Arial" w:hAnsi="Arial" w:cs="Arial"/>
          <w:b/>
          <w:bCs/>
          <w:color w:val="FF2F92"/>
        </w:rPr>
        <w:t xml:space="preserve"> Rett syndrome and keep the bullets that are applicable. Remove these magenta sentences once you are done]</w:t>
      </w:r>
    </w:p>
    <w:p w14:paraId="1CA07D7F"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Breathing disturbances when awake</w:t>
      </w:r>
    </w:p>
    <w:p w14:paraId="53FB2E5A"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Bruxism (teeth grinding) when awake</w:t>
      </w:r>
    </w:p>
    <w:p w14:paraId="662E1BE5"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Impaired sleep pattern</w:t>
      </w:r>
    </w:p>
    <w:p w14:paraId="11F0FAEF"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Abnormal muscle tone</w:t>
      </w:r>
    </w:p>
    <w:p w14:paraId="64D75506"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Peripheral vasomotor disturbances</w:t>
      </w:r>
    </w:p>
    <w:p w14:paraId="33E5BBD8"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Scoliosis/kyphosis</w:t>
      </w:r>
    </w:p>
    <w:p w14:paraId="0F642031"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Growth retardation</w:t>
      </w:r>
    </w:p>
    <w:p w14:paraId="0F33BFA9"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Small, cold hands/feet</w:t>
      </w:r>
    </w:p>
    <w:p w14:paraId="4F4C714A"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Inappropriate laughing/screaming spells</w:t>
      </w:r>
    </w:p>
    <w:p w14:paraId="42A2F4E1" w14:textId="77777777" w:rsidR="00504B15" w:rsidRPr="008658A6" w:rsidRDefault="00504B15" w:rsidP="00504B15">
      <w:pPr>
        <w:pStyle w:val="ListParagraph"/>
        <w:numPr>
          <w:ilvl w:val="1"/>
          <w:numId w:val="7"/>
        </w:numPr>
        <w:spacing w:after="160" w:line="278" w:lineRule="auto"/>
        <w:rPr>
          <w:rFonts w:ascii="Arial" w:hAnsi="Arial" w:cs="Arial"/>
          <w:sz w:val="22"/>
          <w:szCs w:val="22"/>
        </w:rPr>
      </w:pPr>
      <w:r w:rsidRPr="008658A6">
        <w:rPr>
          <w:rFonts w:ascii="Arial" w:hAnsi="Arial" w:cs="Arial"/>
          <w:sz w:val="22"/>
          <w:szCs w:val="22"/>
        </w:rPr>
        <w:t>Diminished response to pain</w:t>
      </w:r>
    </w:p>
    <w:p w14:paraId="00994325" w14:textId="77777777" w:rsidR="00504B15" w:rsidRPr="008658A6" w:rsidRDefault="00504B15" w:rsidP="00504B15">
      <w:pPr>
        <w:pStyle w:val="ListParagraph"/>
        <w:numPr>
          <w:ilvl w:val="1"/>
          <w:numId w:val="7"/>
        </w:numPr>
        <w:spacing w:line="278" w:lineRule="auto"/>
        <w:rPr>
          <w:rFonts w:ascii="Arial" w:hAnsi="Arial" w:cs="Arial"/>
          <w:sz w:val="22"/>
          <w:szCs w:val="22"/>
        </w:rPr>
      </w:pPr>
      <w:r w:rsidRPr="008658A6">
        <w:rPr>
          <w:rFonts w:ascii="Arial" w:hAnsi="Arial" w:cs="Arial"/>
          <w:sz w:val="22"/>
          <w:szCs w:val="22"/>
        </w:rPr>
        <w:t>Intense eye communication – “eye pointing”</w:t>
      </w:r>
    </w:p>
    <w:p w14:paraId="6BA50477" w14:textId="77777777" w:rsidR="00981559" w:rsidRDefault="00981559" w:rsidP="00981559">
      <w:pPr>
        <w:pStyle w:val="NoSpacing"/>
        <w:rPr>
          <w:rFonts w:ascii="Arial" w:hAnsi="Arial" w:cs="Arial"/>
        </w:rPr>
      </w:pPr>
    </w:p>
    <w:p w14:paraId="3429EEFA" w14:textId="52E064AF" w:rsidR="00981559" w:rsidRPr="00981559" w:rsidRDefault="00981559" w:rsidP="00981559">
      <w:pPr>
        <w:pStyle w:val="NoSpacing"/>
        <w:rPr>
          <w:rFonts w:ascii="Arial" w:hAnsi="Arial" w:cs="Arial"/>
          <w:sz w:val="18"/>
          <w:szCs w:val="18"/>
        </w:rPr>
      </w:pPr>
      <w:r w:rsidRPr="00981559">
        <w:rPr>
          <w:rFonts w:ascii="Arial" w:hAnsi="Arial" w:cs="Arial"/>
          <w:sz w:val="18"/>
          <w:szCs w:val="18"/>
        </w:rPr>
        <w:t>*</w:t>
      </w:r>
      <w:r w:rsidR="002E32E7">
        <w:rPr>
          <w:rFonts w:ascii="Arial" w:hAnsi="Arial" w:cs="Arial"/>
          <w:sz w:val="18"/>
          <w:szCs w:val="18"/>
        </w:rPr>
        <w:t>Diagnostic e</w:t>
      </w:r>
      <w:r w:rsidRPr="00981559">
        <w:rPr>
          <w:rFonts w:ascii="Arial" w:hAnsi="Arial" w:cs="Arial"/>
          <w:sz w:val="18"/>
          <w:szCs w:val="18"/>
        </w:rPr>
        <w:t xml:space="preserve">xclusion criteria for typical Rett syndrome </w:t>
      </w:r>
      <w:r w:rsidR="002E32E7">
        <w:rPr>
          <w:rFonts w:ascii="Arial" w:hAnsi="Arial" w:cs="Arial"/>
          <w:sz w:val="18"/>
          <w:szCs w:val="18"/>
        </w:rPr>
        <w:t>are listed in Neul 2010 as</w:t>
      </w:r>
      <w:r w:rsidRPr="00981559">
        <w:rPr>
          <w:rFonts w:ascii="Arial" w:hAnsi="Arial" w:cs="Arial"/>
          <w:sz w:val="18"/>
          <w:szCs w:val="18"/>
        </w:rPr>
        <w:t xml:space="preserve"> brain injury secondary to trauma (peri- or postnatally), neurometabolic disease, or severe infection that causes neurological problems </w:t>
      </w:r>
      <w:r w:rsidR="00981A87">
        <w:rPr>
          <w:rFonts w:ascii="Arial" w:hAnsi="Arial" w:cs="Arial"/>
          <w:sz w:val="18"/>
          <w:szCs w:val="18"/>
        </w:rPr>
        <w:t>and</w:t>
      </w:r>
      <w:r w:rsidRPr="00981559">
        <w:rPr>
          <w:rFonts w:ascii="Arial" w:hAnsi="Arial" w:cs="Arial"/>
          <w:sz w:val="18"/>
          <w:szCs w:val="18"/>
        </w:rPr>
        <w:t xml:space="preserve"> grossly abnormal psychomotor development in first 6 months of life.</w:t>
      </w:r>
    </w:p>
    <w:p w14:paraId="12B18908" w14:textId="77777777" w:rsidR="00504B15" w:rsidRPr="008658A6" w:rsidRDefault="00504B15" w:rsidP="00504B15">
      <w:pPr>
        <w:rPr>
          <w:rFonts w:ascii="Arial" w:hAnsi="Arial" w:cs="Arial"/>
          <w:sz w:val="22"/>
          <w:szCs w:val="22"/>
        </w:rPr>
      </w:pPr>
    </w:p>
    <w:p w14:paraId="3FE2C04A" w14:textId="77777777" w:rsidR="00504B15" w:rsidRPr="008658A6" w:rsidRDefault="00504B15" w:rsidP="00504B15">
      <w:pPr>
        <w:rPr>
          <w:rFonts w:ascii="Arial" w:hAnsi="Arial" w:cs="Arial"/>
          <w:color w:val="FF2F92"/>
          <w:sz w:val="22"/>
          <w:szCs w:val="22"/>
        </w:rPr>
      </w:pPr>
      <w:r w:rsidRPr="008658A6">
        <w:rPr>
          <w:rFonts w:ascii="Arial" w:hAnsi="Arial" w:cs="Arial"/>
          <w:sz w:val="22"/>
          <w:szCs w:val="22"/>
        </w:rPr>
        <w:t>Additional signs and symptoms contributing to </w:t>
      </w:r>
      <w:r w:rsidRPr="008658A6">
        <w:rPr>
          <w:rFonts w:ascii="Arial" w:hAnsi="Arial" w:cs="Arial"/>
          <w:color w:val="FF2F92"/>
          <w:sz w:val="22"/>
          <w:szCs w:val="22"/>
        </w:rPr>
        <w:t>[Patient name]</w:t>
      </w:r>
      <w:r w:rsidRPr="008658A6">
        <w:rPr>
          <w:rFonts w:ascii="Arial" w:hAnsi="Arial" w:cs="Arial"/>
          <w:sz w:val="22"/>
          <w:szCs w:val="22"/>
        </w:rPr>
        <w:t>'s Rett syndrome diagnosis: </w:t>
      </w:r>
      <w:r w:rsidRPr="008658A6">
        <w:rPr>
          <w:rFonts w:ascii="Arial" w:hAnsi="Arial" w:cs="Arial"/>
          <w:color w:val="FF2F92"/>
          <w:sz w:val="22"/>
          <w:szCs w:val="22"/>
        </w:rPr>
        <w:t>[Additional signs and</w:t>
      </w:r>
    </w:p>
    <w:p w14:paraId="0596AC17" w14:textId="77777777" w:rsidR="00981559" w:rsidRDefault="00504B15" w:rsidP="004E585F">
      <w:pPr>
        <w:rPr>
          <w:rFonts w:ascii="Arial" w:hAnsi="Arial" w:cs="Arial"/>
          <w:color w:val="FF2F92"/>
          <w:sz w:val="22"/>
          <w:szCs w:val="22"/>
        </w:rPr>
      </w:pPr>
      <w:r w:rsidRPr="008658A6">
        <w:rPr>
          <w:rFonts w:ascii="Arial" w:hAnsi="Arial" w:cs="Arial"/>
          <w:color w:val="FF2F92"/>
          <w:sz w:val="22"/>
          <w:szCs w:val="22"/>
        </w:rPr>
        <w:t>symptoms, if applicable]</w:t>
      </w:r>
    </w:p>
    <w:p w14:paraId="3F9EEF29" w14:textId="2EFEF200" w:rsidR="004E585F" w:rsidRPr="00981559" w:rsidRDefault="004E585F" w:rsidP="004E585F">
      <w:pPr>
        <w:rPr>
          <w:rFonts w:ascii="Arial" w:hAnsi="Arial" w:cs="Arial"/>
          <w:color w:val="FF2F92"/>
          <w:sz w:val="22"/>
          <w:szCs w:val="22"/>
        </w:rPr>
      </w:pPr>
      <w:r w:rsidRPr="008658A6">
        <w:rPr>
          <w:rFonts w:ascii="Arial" w:hAnsi="Arial" w:cs="Arial"/>
          <w:sz w:val="22"/>
          <w:szCs w:val="22"/>
        </w:rPr>
        <w:lastRenderedPageBreak/>
        <w:t xml:space="preserve">Based on the information above, please approve </w:t>
      </w:r>
      <w:r w:rsidR="0086539D" w:rsidRPr="008658A6">
        <w:rPr>
          <w:rFonts w:ascii="Arial" w:hAnsi="Arial" w:cs="Arial"/>
          <w:sz w:val="22"/>
          <w:szCs w:val="22"/>
        </w:rPr>
        <w:t>DAYBUE</w:t>
      </w:r>
      <w:r w:rsidRPr="008658A6">
        <w:rPr>
          <w:rFonts w:ascii="Arial" w:hAnsi="Arial" w:cs="Arial"/>
          <w:sz w:val="22"/>
          <w:szCs w:val="22"/>
        </w:rPr>
        <w:t xml:space="preserve"> as requested for </w:t>
      </w:r>
      <w:r w:rsidRPr="008658A6">
        <w:rPr>
          <w:rFonts w:ascii="Arial" w:hAnsi="Arial" w:cs="Arial"/>
          <w:color w:val="FF2F92"/>
          <w:sz w:val="22"/>
          <w:szCs w:val="22"/>
        </w:rPr>
        <w:t>[Patient name]</w:t>
      </w:r>
      <w:r w:rsidRPr="008658A6">
        <w:rPr>
          <w:rFonts w:ascii="Arial" w:hAnsi="Arial" w:cs="Arial"/>
          <w:sz w:val="22"/>
          <w:szCs w:val="22"/>
        </w:rPr>
        <w:t xml:space="preserve">. </w:t>
      </w:r>
    </w:p>
    <w:p w14:paraId="43B43262" w14:textId="77777777" w:rsidR="00AE2B7B" w:rsidRPr="008658A6" w:rsidRDefault="00AE2B7B" w:rsidP="00AE2B7B">
      <w:pPr>
        <w:rPr>
          <w:rFonts w:ascii="Arial" w:hAnsi="Arial" w:cs="Arial"/>
          <w:sz w:val="22"/>
          <w:szCs w:val="22"/>
        </w:rPr>
      </w:pPr>
    </w:p>
    <w:p w14:paraId="44CD2494" w14:textId="3C7A8388" w:rsidR="007868DF" w:rsidRPr="008658A6" w:rsidRDefault="007868DF" w:rsidP="007868DF">
      <w:pPr>
        <w:rPr>
          <w:rFonts w:ascii="Arial" w:hAnsi="Arial" w:cs="Arial"/>
          <w:color w:val="000000" w:themeColor="text1"/>
          <w:sz w:val="22"/>
          <w:szCs w:val="22"/>
        </w:rPr>
      </w:pPr>
      <w:r w:rsidRPr="008658A6">
        <w:rPr>
          <w:rFonts w:ascii="Arial" w:hAnsi="Arial" w:cs="Arial"/>
          <w:color w:val="000000" w:themeColor="text1"/>
          <w:sz w:val="22"/>
          <w:szCs w:val="22"/>
        </w:rPr>
        <w:t>Sincerely,</w:t>
      </w:r>
    </w:p>
    <w:p w14:paraId="0D01281F" w14:textId="77777777" w:rsidR="007868DF" w:rsidRPr="008658A6" w:rsidRDefault="007868DF" w:rsidP="007868DF">
      <w:pPr>
        <w:rPr>
          <w:rFonts w:ascii="Arial" w:hAnsi="Arial" w:cs="Arial"/>
          <w:color w:val="000000" w:themeColor="text1"/>
          <w:sz w:val="22"/>
          <w:szCs w:val="22"/>
        </w:rPr>
      </w:pPr>
    </w:p>
    <w:p w14:paraId="006CE563" w14:textId="1462D1AC" w:rsidR="007868DF" w:rsidRPr="008658A6" w:rsidRDefault="007868DF" w:rsidP="007868DF">
      <w:pPr>
        <w:spacing w:line="360" w:lineRule="auto"/>
        <w:rPr>
          <w:rFonts w:ascii="Arial" w:eastAsia="Arial" w:hAnsi="Arial" w:cs="Arial"/>
          <w:color w:val="FF2F92"/>
          <w:sz w:val="22"/>
          <w:szCs w:val="22"/>
          <w:u w:color="000000" w:themeColor="text1"/>
        </w:rPr>
      </w:pPr>
      <w:r w:rsidRPr="008658A6">
        <w:rPr>
          <w:rFonts w:ascii="Arial" w:eastAsia="Arial" w:hAnsi="Arial" w:cs="Arial"/>
          <w:color w:val="FF2F92"/>
          <w:sz w:val="22"/>
          <w:szCs w:val="22"/>
          <w:u w:color="000000" w:themeColor="text1"/>
        </w:rPr>
        <w:t>[Physician name]</w:t>
      </w:r>
      <w:r w:rsidR="00997225" w:rsidRPr="008658A6">
        <w:rPr>
          <w:rFonts w:ascii="Arial" w:eastAsia="Arial" w:hAnsi="Arial" w:cs="Arial"/>
          <w:color w:val="FF2F92"/>
          <w:sz w:val="22"/>
          <w:szCs w:val="22"/>
          <w:u w:color="000000" w:themeColor="text1"/>
        </w:rPr>
        <w:t>,</w:t>
      </w:r>
      <w:r w:rsidRPr="008658A6">
        <w:rPr>
          <w:rFonts w:ascii="Arial" w:eastAsia="Arial" w:hAnsi="Arial" w:cs="Arial"/>
          <w:color w:val="FF2F92"/>
          <w:sz w:val="22"/>
          <w:szCs w:val="22"/>
          <w:u w:color="000000" w:themeColor="text1"/>
        </w:rPr>
        <w:t xml:space="preserve"> [Credentials]</w:t>
      </w:r>
    </w:p>
    <w:p w14:paraId="6CA8BC50" w14:textId="2E1278B8" w:rsidR="007868DF" w:rsidRPr="008658A6" w:rsidRDefault="007868DF" w:rsidP="007868DF">
      <w:pPr>
        <w:spacing w:line="360" w:lineRule="auto"/>
        <w:rPr>
          <w:rFonts w:ascii="Arial" w:eastAsia="Arial" w:hAnsi="Arial" w:cs="Arial"/>
          <w:color w:val="FF2F92"/>
          <w:sz w:val="22"/>
          <w:szCs w:val="22"/>
          <w:u w:color="000000" w:themeColor="text1"/>
        </w:rPr>
      </w:pPr>
      <w:r w:rsidRPr="008658A6">
        <w:rPr>
          <w:rFonts w:ascii="Arial" w:eastAsia="Arial" w:hAnsi="Arial" w:cs="Arial"/>
          <w:color w:val="FF2F92"/>
          <w:sz w:val="22"/>
          <w:szCs w:val="22"/>
          <w:u w:color="000000" w:themeColor="text1"/>
        </w:rPr>
        <w:t>[Physician address]</w:t>
      </w:r>
    </w:p>
    <w:p w14:paraId="204D2F7E" w14:textId="15ADFE64" w:rsidR="007868DF" w:rsidRPr="008658A6" w:rsidRDefault="007868DF" w:rsidP="007868DF">
      <w:pPr>
        <w:spacing w:line="360" w:lineRule="auto"/>
        <w:rPr>
          <w:rFonts w:ascii="Arial" w:eastAsia="Arial" w:hAnsi="Arial" w:cs="Arial"/>
          <w:color w:val="FF2F92"/>
          <w:sz w:val="22"/>
          <w:szCs w:val="22"/>
          <w:u w:color="000000" w:themeColor="text1"/>
        </w:rPr>
      </w:pPr>
      <w:r w:rsidRPr="008658A6">
        <w:rPr>
          <w:rFonts w:ascii="Arial" w:eastAsia="Arial" w:hAnsi="Arial" w:cs="Arial"/>
          <w:color w:val="FF2F92"/>
          <w:sz w:val="22"/>
          <w:szCs w:val="22"/>
          <w:u w:color="000000" w:themeColor="text1"/>
        </w:rPr>
        <w:t>[Physician phone number]</w:t>
      </w:r>
    </w:p>
    <w:p w14:paraId="4C23BF7A" w14:textId="77777777" w:rsidR="007868DF" w:rsidRPr="008658A6" w:rsidRDefault="007868DF" w:rsidP="007868DF">
      <w:pPr>
        <w:spacing w:line="360" w:lineRule="auto"/>
        <w:rPr>
          <w:rFonts w:ascii="Arial" w:eastAsia="Arial" w:hAnsi="Arial" w:cs="Arial"/>
          <w:color w:val="FF2F92"/>
          <w:sz w:val="22"/>
          <w:szCs w:val="22"/>
          <w:u w:color="000000" w:themeColor="text1"/>
        </w:rPr>
      </w:pPr>
      <w:r w:rsidRPr="008658A6">
        <w:rPr>
          <w:rFonts w:ascii="Arial" w:eastAsia="Arial" w:hAnsi="Arial" w:cs="Arial"/>
          <w:color w:val="FF2F92"/>
          <w:sz w:val="22"/>
          <w:szCs w:val="22"/>
          <w:u w:color="000000" w:themeColor="text1"/>
        </w:rPr>
        <w:t>[Physician email address]</w:t>
      </w:r>
    </w:p>
    <w:p w14:paraId="127588D5" w14:textId="77777777" w:rsidR="007868DF" w:rsidRPr="00B81120" w:rsidRDefault="007868DF" w:rsidP="007868DF">
      <w:pPr>
        <w:rPr>
          <w:rFonts w:ascii="Arial" w:hAnsi="Arial" w:cs="Arial"/>
          <w:color w:val="FF40FF"/>
          <w:sz w:val="22"/>
          <w:szCs w:val="22"/>
          <w:u w:val="single"/>
        </w:rPr>
      </w:pPr>
    </w:p>
    <w:p w14:paraId="420F213B" w14:textId="0D970BF8" w:rsidR="007868DF" w:rsidRPr="00685672" w:rsidRDefault="007868DF" w:rsidP="007868DF">
      <w:pPr>
        <w:spacing w:line="360" w:lineRule="auto"/>
        <w:rPr>
          <w:rFonts w:ascii="Arial" w:hAnsi="Arial" w:cs="Arial"/>
          <w:color w:val="FF2F92"/>
          <w:sz w:val="22"/>
          <w:szCs w:val="22"/>
        </w:rPr>
      </w:pPr>
      <w:r w:rsidRPr="00B81120">
        <w:rPr>
          <w:rFonts w:ascii="Arial" w:hAnsi="Arial" w:cs="Arial"/>
          <w:b/>
          <w:bCs/>
          <w:color w:val="000000" w:themeColor="text1"/>
          <w:sz w:val="22"/>
          <w:szCs w:val="22"/>
        </w:rPr>
        <w:t>Enclo</w:t>
      </w:r>
      <w:r w:rsidR="00FA6EC9">
        <w:rPr>
          <w:rFonts w:ascii="Arial" w:hAnsi="Arial" w:cs="Arial"/>
          <w:b/>
          <w:bCs/>
          <w:color w:val="000000" w:themeColor="text1"/>
          <w:sz w:val="22"/>
          <w:szCs w:val="22"/>
        </w:rPr>
        <w:t>sure</w:t>
      </w:r>
      <w:r w:rsidR="0042509F">
        <w:rPr>
          <w:rFonts w:ascii="Arial" w:hAnsi="Arial" w:cs="Arial"/>
          <w:b/>
          <w:bCs/>
          <w:color w:val="000000" w:themeColor="text1"/>
          <w:sz w:val="22"/>
          <w:szCs w:val="22"/>
        </w:rPr>
        <w:t>s</w:t>
      </w:r>
      <w:r w:rsidRPr="00B81120">
        <w:rPr>
          <w:rFonts w:ascii="Arial" w:hAnsi="Arial" w:cs="Arial"/>
          <w:color w:val="000000" w:themeColor="text1"/>
          <w:sz w:val="22"/>
          <w:szCs w:val="22"/>
        </w:rPr>
        <w:t xml:space="preserve"> </w:t>
      </w:r>
      <w:r w:rsidRPr="00991769">
        <w:rPr>
          <w:rFonts w:ascii="Arial" w:eastAsia="Arial" w:hAnsi="Arial" w:cs="Arial"/>
          <w:color w:val="FF2F92"/>
          <w:sz w:val="22"/>
          <w:szCs w:val="22"/>
        </w:rPr>
        <w:t>[</w:t>
      </w:r>
      <w:r w:rsidRPr="00685672">
        <w:rPr>
          <w:rFonts w:ascii="Arial" w:eastAsia="Arial" w:hAnsi="Arial" w:cs="Arial"/>
          <w:color w:val="FF2F92"/>
          <w:sz w:val="22"/>
          <w:szCs w:val="22"/>
        </w:rPr>
        <w:t>suggested]</w:t>
      </w:r>
    </w:p>
    <w:p w14:paraId="597AA3B5" w14:textId="42EC201F" w:rsidR="007868DF" w:rsidRPr="00685672" w:rsidRDefault="007868DF" w:rsidP="007868DF">
      <w:pPr>
        <w:spacing w:line="360" w:lineRule="auto"/>
        <w:rPr>
          <w:rFonts w:ascii="Arial" w:eastAsia="Arial" w:hAnsi="Arial" w:cs="Arial"/>
          <w:color w:val="FF2F92"/>
          <w:sz w:val="22"/>
          <w:szCs w:val="22"/>
          <w:u w:color="000000" w:themeColor="text1"/>
        </w:rPr>
      </w:pPr>
      <w:r w:rsidRPr="00685672">
        <w:rPr>
          <w:rFonts w:ascii="Arial" w:eastAsia="Arial" w:hAnsi="Arial" w:cs="Arial"/>
          <w:color w:val="FF2F92"/>
          <w:sz w:val="22"/>
          <w:szCs w:val="22"/>
          <w:u w:color="000000" w:themeColor="text1"/>
        </w:rPr>
        <w:t>[</w:t>
      </w:r>
      <w:hyperlink r:id="rId8" w:history="1">
        <w:r w:rsidRPr="00685672">
          <w:rPr>
            <w:rStyle w:val="Hyperlink"/>
            <w:rFonts w:ascii="Arial" w:eastAsia="Arial" w:hAnsi="Arial" w:cs="Arial"/>
            <w:color w:val="FF2F92"/>
            <w:sz w:val="22"/>
            <w:szCs w:val="22"/>
          </w:rPr>
          <w:t>DAYBUE</w:t>
        </w:r>
        <w:r w:rsidR="00F814D4" w:rsidRPr="00685672">
          <w:rPr>
            <w:rStyle w:val="Hyperlink"/>
            <w:rFonts w:ascii="Arial" w:eastAsia="Arial" w:hAnsi="Arial" w:cs="Arial"/>
            <w:color w:val="FF2F92"/>
            <w:sz w:val="22"/>
            <w:szCs w:val="22"/>
          </w:rPr>
          <w:t xml:space="preserve"> </w:t>
        </w:r>
        <w:r w:rsidRPr="00685672">
          <w:rPr>
            <w:rStyle w:val="Hyperlink"/>
            <w:rFonts w:ascii="Arial" w:eastAsia="Arial" w:hAnsi="Arial" w:cs="Arial"/>
            <w:color w:val="FF2F92"/>
            <w:sz w:val="22"/>
            <w:szCs w:val="22"/>
          </w:rPr>
          <w:t>Prescri</w:t>
        </w:r>
        <w:r w:rsidR="000F3B21" w:rsidRPr="00685672">
          <w:rPr>
            <w:rStyle w:val="Hyperlink"/>
            <w:rFonts w:ascii="Arial" w:eastAsia="Arial" w:hAnsi="Arial" w:cs="Arial"/>
            <w:color w:val="FF2F92"/>
            <w:sz w:val="22"/>
            <w:szCs w:val="22"/>
          </w:rPr>
          <w:t>bing</w:t>
        </w:r>
        <w:r w:rsidRPr="00685672">
          <w:rPr>
            <w:rStyle w:val="Hyperlink"/>
            <w:rFonts w:ascii="Arial" w:eastAsia="Arial" w:hAnsi="Arial" w:cs="Arial"/>
            <w:color w:val="FF2F92"/>
            <w:sz w:val="22"/>
            <w:szCs w:val="22"/>
          </w:rPr>
          <w:t xml:space="preserve"> Information</w:t>
        </w:r>
      </w:hyperlink>
      <w:r w:rsidRPr="00685672">
        <w:rPr>
          <w:rFonts w:ascii="Arial" w:eastAsia="Arial" w:hAnsi="Arial" w:cs="Arial"/>
          <w:color w:val="FF2F92"/>
          <w:sz w:val="22"/>
          <w:szCs w:val="22"/>
          <w:u w:color="000000" w:themeColor="text1"/>
        </w:rPr>
        <w:t>]</w:t>
      </w:r>
    </w:p>
    <w:p w14:paraId="50E73756" w14:textId="31FB1D9E" w:rsidR="007868DF" w:rsidRPr="00685672" w:rsidRDefault="007868DF" w:rsidP="007868DF">
      <w:pPr>
        <w:spacing w:line="360" w:lineRule="auto"/>
        <w:rPr>
          <w:rFonts w:ascii="Arial" w:eastAsia="Arial" w:hAnsi="Arial" w:cs="Arial"/>
          <w:color w:val="FF2F92"/>
          <w:sz w:val="22"/>
          <w:szCs w:val="22"/>
          <w:u w:color="000000" w:themeColor="text1"/>
        </w:rPr>
      </w:pPr>
      <w:r w:rsidRPr="00685672">
        <w:rPr>
          <w:rFonts w:ascii="Arial" w:eastAsia="Arial" w:hAnsi="Arial" w:cs="Arial"/>
          <w:color w:val="FF2F92"/>
          <w:sz w:val="22"/>
          <w:szCs w:val="22"/>
          <w:u w:color="000000" w:themeColor="text1"/>
        </w:rPr>
        <w:t>[</w:t>
      </w:r>
      <w:hyperlink r:id="rId9" w:history="1">
        <w:r w:rsidRPr="00685672">
          <w:rPr>
            <w:rStyle w:val="Hyperlink"/>
            <w:rFonts w:ascii="Arial" w:eastAsia="Arial" w:hAnsi="Arial" w:cs="Arial"/>
            <w:color w:val="FF2F92"/>
            <w:sz w:val="22"/>
            <w:szCs w:val="22"/>
          </w:rPr>
          <w:t>DAYBUE FDA Approval</w:t>
        </w:r>
        <w:r w:rsidR="007810B0" w:rsidRPr="00685672">
          <w:rPr>
            <w:rStyle w:val="Hyperlink"/>
            <w:rFonts w:ascii="Arial" w:eastAsia="Arial" w:hAnsi="Arial" w:cs="Arial"/>
            <w:color w:val="FF2F92"/>
            <w:sz w:val="22"/>
            <w:szCs w:val="22"/>
          </w:rPr>
          <w:t xml:space="preserve"> Letter</w:t>
        </w:r>
      </w:hyperlink>
      <w:r w:rsidRPr="00685672">
        <w:rPr>
          <w:rFonts w:ascii="Arial" w:eastAsia="Arial" w:hAnsi="Arial" w:cs="Arial"/>
          <w:color w:val="FF2F92"/>
          <w:sz w:val="22"/>
          <w:szCs w:val="22"/>
          <w:u w:color="000000" w:themeColor="text1"/>
        </w:rPr>
        <w:t>]</w:t>
      </w:r>
    </w:p>
    <w:p w14:paraId="74B51A73" w14:textId="13A3A0A6" w:rsidR="003B61CB" w:rsidRPr="00685672" w:rsidRDefault="003B61CB" w:rsidP="003B61CB">
      <w:pPr>
        <w:spacing w:line="360" w:lineRule="auto"/>
        <w:rPr>
          <w:rFonts w:ascii="Arial" w:eastAsia="Arial" w:hAnsi="Arial" w:cs="Arial"/>
          <w:color w:val="FF2F92"/>
          <w:sz w:val="22"/>
          <w:szCs w:val="22"/>
          <w:u w:color="000000" w:themeColor="text1"/>
        </w:rPr>
      </w:pPr>
      <w:r w:rsidRPr="00685672">
        <w:rPr>
          <w:rFonts w:ascii="Arial" w:eastAsia="Arial" w:hAnsi="Arial" w:cs="Arial"/>
          <w:color w:val="FF2F92"/>
          <w:sz w:val="22"/>
          <w:szCs w:val="22"/>
          <w:u w:color="000000" w:themeColor="text1"/>
        </w:rPr>
        <w:t>[</w:t>
      </w:r>
      <w:hyperlink r:id="rId10" w:history="1">
        <w:r w:rsidRPr="00685672">
          <w:rPr>
            <w:rStyle w:val="Hyperlink"/>
            <w:rFonts w:ascii="Arial" w:eastAsia="Arial" w:hAnsi="Arial" w:cs="Arial"/>
            <w:color w:val="FF2F92"/>
            <w:sz w:val="22"/>
            <w:szCs w:val="22"/>
          </w:rPr>
          <w:t>Pivotal clinical trial (LAVENDER</w:t>
        </w:r>
        <w:r w:rsidRPr="00685672">
          <w:rPr>
            <w:rStyle w:val="Hyperlink"/>
            <w:rFonts w:ascii="Arial" w:eastAsia="Arial" w:hAnsi="Arial" w:cs="Arial"/>
            <w:color w:val="FF2F92"/>
            <w:sz w:val="22"/>
            <w:szCs w:val="22"/>
            <w:vertAlign w:val="superscript"/>
          </w:rPr>
          <w:t>TM</w:t>
        </w:r>
        <w:r w:rsidRPr="00685672">
          <w:rPr>
            <w:rStyle w:val="Hyperlink"/>
            <w:rFonts w:ascii="Arial" w:eastAsia="Arial" w:hAnsi="Arial" w:cs="Arial"/>
            <w:color w:val="FF2F92"/>
            <w:sz w:val="22"/>
            <w:szCs w:val="22"/>
          </w:rPr>
          <w:t>)</w:t>
        </w:r>
      </w:hyperlink>
      <w:r w:rsidRPr="00685672">
        <w:rPr>
          <w:rFonts w:ascii="Arial" w:eastAsia="Arial" w:hAnsi="Arial" w:cs="Arial"/>
          <w:color w:val="FF2F92"/>
          <w:sz w:val="22"/>
          <w:szCs w:val="22"/>
          <w:u w:color="000000" w:themeColor="text1"/>
        </w:rPr>
        <w:t>]</w:t>
      </w:r>
    </w:p>
    <w:p w14:paraId="71AFDD8C" w14:textId="77777777" w:rsidR="003B61CB" w:rsidRPr="00685672" w:rsidRDefault="003B61CB" w:rsidP="003B61CB">
      <w:pPr>
        <w:spacing w:line="360" w:lineRule="auto"/>
        <w:rPr>
          <w:rFonts w:ascii="Arial" w:eastAsia="Arial" w:hAnsi="Arial" w:cs="Arial"/>
          <w:color w:val="FF2F92"/>
          <w:sz w:val="22"/>
          <w:szCs w:val="22"/>
          <w:u w:color="000000" w:themeColor="text1"/>
        </w:rPr>
      </w:pPr>
      <w:r w:rsidRPr="00685672">
        <w:rPr>
          <w:rFonts w:ascii="Arial" w:eastAsia="Arial" w:hAnsi="Arial" w:cs="Arial"/>
          <w:color w:val="FF2F92"/>
          <w:sz w:val="22"/>
          <w:szCs w:val="22"/>
          <w:u w:color="000000" w:themeColor="text1"/>
        </w:rPr>
        <w:t>[Relevant medical records]</w:t>
      </w:r>
    </w:p>
    <w:p w14:paraId="3BD4A45B" w14:textId="77777777" w:rsidR="007868DF" w:rsidRDefault="007868DF" w:rsidP="00AE2B7B">
      <w:pPr>
        <w:rPr>
          <w:rFonts w:ascii="Arial" w:hAnsi="Arial" w:cs="Arial"/>
          <w:b/>
          <w:bCs/>
          <w:sz w:val="22"/>
          <w:szCs w:val="22"/>
        </w:rPr>
      </w:pPr>
    </w:p>
    <w:p w14:paraId="46387D9A" w14:textId="1B7AA7BD" w:rsidR="004E585F" w:rsidRPr="00FB5CCC" w:rsidRDefault="004E585F" w:rsidP="00D75B36">
      <w:pPr>
        <w:autoSpaceDE w:val="0"/>
        <w:autoSpaceDN w:val="0"/>
        <w:adjustRightInd w:val="0"/>
        <w:rPr>
          <w:rFonts w:ascii="Arial" w:hAnsi="Arial" w:cs="Arial"/>
          <w:sz w:val="22"/>
          <w:szCs w:val="22"/>
        </w:rPr>
      </w:pPr>
      <w:r w:rsidRPr="00FB5CCC">
        <w:rPr>
          <w:rFonts w:ascii="Arial" w:hAnsi="Arial" w:cs="Arial"/>
          <w:b/>
          <w:bCs/>
          <w:sz w:val="22"/>
          <w:szCs w:val="22"/>
        </w:rPr>
        <w:t>References:</w:t>
      </w:r>
      <w:r w:rsidRPr="00FB5CCC">
        <w:rPr>
          <w:rFonts w:ascii="Arial" w:hAnsi="Arial" w:cs="Arial"/>
          <w:sz w:val="22"/>
          <w:szCs w:val="22"/>
        </w:rPr>
        <w:t xml:space="preserve"> </w:t>
      </w:r>
      <w:r w:rsidRPr="00FB5CCC">
        <w:rPr>
          <w:rFonts w:ascii="Arial" w:hAnsi="Arial" w:cs="Arial"/>
          <w:b/>
          <w:bCs/>
          <w:sz w:val="22"/>
          <w:szCs w:val="22"/>
        </w:rPr>
        <w:t>1.</w:t>
      </w:r>
      <w:r w:rsidRPr="00FB5CCC">
        <w:rPr>
          <w:rFonts w:ascii="Arial" w:hAnsi="Arial" w:cs="Arial"/>
          <w:sz w:val="22"/>
          <w:szCs w:val="22"/>
        </w:rPr>
        <w:t xml:space="preserve"> Acadia Pharmaceuticals Inc. DAYBUE [package insert]. San Diego, CA; 2025. </w:t>
      </w:r>
      <w:r w:rsidRPr="00FB5CCC">
        <w:rPr>
          <w:rFonts w:ascii="Arial" w:hAnsi="Arial" w:cs="Arial"/>
          <w:b/>
          <w:bCs/>
          <w:sz w:val="22"/>
          <w:szCs w:val="22"/>
        </w:rPr>
        <w:t>2.</w:t>
      </w:r>
      <w:r w:rsidR="00D75B36">
        <w:rPr>
          <w:rFonts w:ascii="Arial" w:hAnsi="Arial" w:cs="Arial"/>
          <w:sz w:val="22"/>
          <w:szCs w:val="22"/>
        </w:rPr>
        <w:t xml:space="preserve"> </w:t>
      </w:r>
      <w:r w:rsidRPr="00FB5CCC">
        <w:rPr>
          <w:rFonts w:ascii="Arial" w:hAnsi="Arial" w:cs="Arial"/>
          <w:sz w:val="22"/>
          <w:szCs w:val="22"/>
        </w:rPr>
        <w:t xml:space="preserve">Centers for Medicare &amp; Medicaid Services. ICD-10-CM tabular list of diseases and injuries. Updated August 7, 2025. Accessed November 10, 2025. </w:t>
      </w:r>
      <w:r w:rsidR="00D75B36" w:rsidRPr="00D75B36">
        <w:rPr>
          <w:rFonts w:ascii="Arial" w:hAnsi="Arial" w:cs="Arial"/>
          <w:sz w:val="22"/>
          <w:szCs w:val="22"/>
        </w:rPr>
        <w:t>https://www.cms.gov/medicare/coding-billing/icd-10-codes</w:t>
      </w:r>
      <w:r w:rsidRPr="00FB5CCC">
        <w:rPr>
          <w:rFonts w:ascii="Arial" w:hAnsi="Arial" w:cs="Arial"/>
          <w:sz w:val="22"/>
          <w:szCs w:val="22"/>
        </w:rPr>
        <w:t>.</w:t>
      </w:r>
      <w:r w:rsidR="00D75B36">
        <w:rPr>
          <w:rFonts w:ascii="Arial" w:hAnsi="Arial" w:cs="Arial"/>
          <w:sz w:val="22"/>
          <w:szCs w:val="22"/>
        </w:rPr>
        <w:t xml:space="preserve"> </w:t>
      </w:r>
      <w:r w:rsidR="00D75B36" w:rsidRPr="00D75B36">
        <w:rPr>
          <w:rFonts w:ascii="Arial" w:hAnsi="Arial" w:cs="Arial"/>
          <w:b/>
          <w:bCs/>
          <w:sz w:val="22"/>
          <w:szCs w:val="22"/>
        </w:rPr>
        <w:t>3</w:t>
      </w:r>
      <w:r w:rsidR="00D75B36">
        <w:rPr>
          <w:rFonts w:ascii="Arial" w:hAnsi="Arial" w:cs="Arial"/>
          <w:sz w:val="22"/>
          <w:szCs w:val="22"/>
        </w:rPr>
        <w:t xml:space="preserve">. </w:t>
      </w:r>
      <w:r w:rsidR="00D75B36" w:rsidRPr="00FB5CCC">
        <w:rPr>
          <w:rFonts w:ascii="Arial" w:hAnsi="Arial" w:cs="Arial"/>
          <w:sz w:val="22"/>
          <w:szCs w:val="22"/>
        </w:rPr>
        <w:t>Acadia Pharmaceuticals Inc. Acadia Pharmaceuticals announces U.S. FDA approval of DAYBUE™ (trofinetide) for the treatment of Rett syndrome in adult and pediatric patients two years of age and older. [press release]. Acadia Pharmaceuticals Inc. 10 Mar 2023.</w:t>
      </w:r>
      <w:r w:rsidR="009F011F">
        <w:rPr>
          <w:rFonts w:ascii="Arial" w:hAnsi="Arial" w:cs="Arial"/>
          <w:sz w:val="22"/>
          <w:szCs w:val="22"/>
        </w:rPr>
        <w:t xml:space="preserve"> </w:t>
      </w:r>
      <w:r w:rsidRPr="00FB5CCC">
        <w:rPr>
          <w:rFonts w:ascii="Arial" w:hAnsi="Arial" w:cs="Arial"/>
          <w:b/>
          <w:bCs/>
          <w:sz w:val="22"/>
          <w:szCs w:val="22"/>
        </w:rPr>
        <w:t>4.</w:t>
      </w:r>
      <w:r w:rsidR="00FB5CCC">
        <w:rPr>
          <w:rFonts w:ascii="Arial" w:hAnsi="Arial" w:cs="Arial"/>
          <w:sz w:val="22"/>
          <w:szCs w:val="22"/>
        </w:rPr>
        <w:t xml:space="preserve"> </w:t>
      </w:r>
      <w:r w:rsidR="00FB5CCC" w:rsidRPr="00FB5CCC">
        <w:rPr>
          <w:rFonts w:ascii="Arial" w:hAnsi="Arial" w:cs="Arial"/>
          <w:sz w:val="22"/>
          <w:szCs w:val="22"/>
        </w:rPr>
        <w:t>Prange E, Beisang A, Pehlivan D, et al. Expert consensus on real-world use of trofinetide for Rett syndrome using a modified delphi method. Presented at: The 54th Annual Meeting of the Child Neurology Society</w:t>
      </w:r>
      <w:r w:rsidR="007F7F12">
        <w:rPr>
          <w:rFonts w:ascii="Arial" w:hAnsi="Arial" w:cs="Arial"/>
          <w:sz w:val="22"/>
          <w:szCs w:val="22"/>
        </w:rPr>
        <w:t xml:space="preserve">; </w:t>
      </w:r>
      <w:r w:rsidR="00FB5CCC" w:rsidRPr="00FB5CCC">
        <w:rPr>
          <w:rFonts w:ascii="Arial" w:hAnsi="Arial" w:cs="Arial"/>
          <w:sz w:val="22"/>
          <w:szCs w:val="22"/>
        </w:rPr>
        <w:t>October 8-11, 2025</w:t>
      </w:r>
      <w:r w:rsidR="007F7F12">
        <w:rPr>
          <w:rFonts w:ascii="Arial" w:hAnsi="Arial" w:cs="Arial"/>
          <w:sz w:val="22"/>
          <w:szCs w:val="22"/>
        </w:rPr>
        <w:t>;</w:t>
      </w:r>
      <w:r w:rsidR="001005F4">
        <w:rPr>
          <w:rFonts w:ascii="Arial" w:hAnsi="Arial" w:cs="Arial"/>
          <w:sz w:val="22"/>
          <w:szCs w:val="22"/>
        </w:rPr>
        <w:t xml:space="preserve"> Charlotte, NC.</w:t>
      </w:r>
      <w:r w:rsidR="007F7F12">
        <w:rPr>
          <w:rFonts w:ascii="Arial" w:hAnsi="Arial" w:cs="Arial"/>
          <w:sz w:val="22"/>
          <w:szCs w:val="22"/>
        </w:rPr>
        <w:t xml:space="preserve"> </w:t>
      </w:r>
      <w:r w:rsidR="00FB5CCC" w:rsidRPr="00FB5CCC">
        <w:rPr>
          <w:rFonts w:ascii="Arial" w:hAnsi="Arial" w:cs="Arial"/>
          <w:b/>
          <w:bCs/>
          <w:sz w:val="22"/>
          <w:szCs w:val="22"/>
        </w:rPr>
        <w:t>5.</w:t>
      </w:r>
      <w:r w:rsidR="00F30607">
        <w:rPr>
          <w:rFonts w:ascii="Arial" w:hAnsi="Arial" w:cs="Arial"/>
          <w:sz w:val="22"/>
          <w:szCs w:val="22"/>
        </w:rPr>
        <w:t xml:space="preserve"> </w:t>
      </w:r>
      <w:r w:rsidRPr="00FB5CCC">
        <w:rPr>
          <w:rFonts w:ascii="Arial" w:hAnsi="Arial" w:cs="Arial"/>
          <w:color w:val="181717"/>
          <w:sz w:val="22"/>
          <w:szCs w:val="22"/>
        </w:rPr>
        <w:t xml:space="preserve">Fu C, Armstrong D, Marsh E, et al. Multisystem comorbidities in classic Rett syndrome: a scoping review. </w:t>
      </w:r>
      <w:r w:rsidRPr="00FB5CCC">
        <w:rPr>
          <w:rFonts w:ascii="Arial" w:hAnsi="Arial" w:cs="Arial"/>
          <w:i/>
          <w:iCs/>
          <w:color w:val="181717"/>
          <w:sz w:val="22"/>
          <w:szCs w:val="22"/>
        </w:rPr>
        <w:t>BMJ Paediatr Open</w:t>
      </w:r>
      <w:r w:rsidRPr="00FB5CCC">
        <w:rPr>
          <w:rFonts w:ascii="Arial" w:hAnsi="Arial" w:cs="Arial"/>
          <w:color w:val="181717"/>
          <w:sz w:val="22"/>
          <w:szCs w:val="22"/>
        </w:rPr>
        <w:t>. 2020;4:e000731.</w:t>
      </w:r>
      <w:r w:rsidR="00F30607">
        <w:rPr>
          <w:rFonts w:ascii="Arial" w:hAnsi="Arial" w:cs="Arial"/>
          <w:color w:val="181717"/>
          <w:sz w:val="22"/>
          <w:szCs w:val="22"/>
        </w:rPr>
        <w:t xml:space="preserve"> </w:t>
      </w:r>
      <w:r w:rsidR="00F30607">
        <w:rPr>
          <w:rFonts w:ascii="Arial" w:hAnsi="Arial" w:cs="Arial"/>
          <w:b/>
          <w:bCs/>
          <w:color w:val="181717"/>
          <w:sz w:val="22"/>
          <w:szCs w:val="22"/>
        </w:rPr>
        <w:t>6</w:t>
      </w:r>
      <w:r w:rsidRPr="00FB5CCC">
        <w:rPr>
          <w:rFonts w:ascii="Arial" w:hAnsi="Arial" w:cs="Arial"/>
          <w:b/>
          <w:bCs/>
          <w:color w:val="181717"/>
          <w:sz w:val="22"/>
          <w:szCs w:val="22"/>
        </w:rPr>
        <w:t>.</w:t>
      </w:r>
      <w:r w:rsidRPr="00FB5CCC">
        <w:rPr>
          <w:rFonts w:ascii="Arial" w:hAnsi="Arial" w:cs="Arial"/>
          <w:color w:val="181717"/>
          <w:sz w:val="22"/>
          <w:szCs w:val="22"/>
        </w:rPr>
        <w:t xml:space="preserve"> </w:t>
      </w:r>
      <w:r w:rsidRPr="00FB5CCC">
        <w:rPr>
          <w:rFonts w:ascii="Arial" w:hAnsi="Arial" w:cs="Arial"/>
          <w:sz w:val="22"/>
          <w:szCs w:val="22"/>
        </w:rPr>
        <w:t>Neul JL, Kaufmann WE, Glaze DG, et al. Rett syndrome: revised diagnostic</w:t>
      </w:r>
      <w:r w:rsidRPr="00FB5CCC">
        <w:rPr>
          <w:rFonts w:ascii="Arial" w:hAnsi="Arial" w:cs="Arial"/>
          <w:color w:val="181717"/>
          <w:sz w:val="22"/>
          <w:szCs w:val="22"/>
        </w:rPr>
        <w:t xml:space="preserve"> </w:t>
      </w:r>
      <w:r w:rsidRPr="00FB5CCC">
        <w:rPr>
          <w:rFonts w:ascii="Arial" w:hAnsi="Arial" w:cs="Arial"/>
          <w:sz w:val="22"/>
          <w:szCs w:val="22"/>
        </w:rPr>
        <w:t xml:space="preserve">criteria and nomenclature. </w:t>
      </w:r>
      <w:r w:rsidRPr="00FB5CCC">
        <w:rPr>
          <w:rFonts w:ascii="Arial" w:hAnsi="Arial" w:cs="Arial"/>
          <w:i/>
          <w:iCs/>
          <w:sz w:val="22"/>
          <w:szCs w:val="22"/>
        </w:rPr>
        <w:t>Ann Neurol</w:t>
      </w:r>
      <w:r w:rsidRPr="00FB5CCC">
        <w:rPr>
          <w:rFonts w:ascii="Arial" w:hAnsi="Arial" w:cs="Arial"/>
          <w:sz w:val="22"/>
          <w:szCs w:val="22"/>
        </w:rPr>
        <w:t>. 2010;68(6):944-950.</w:t>
      </w:r>
    </w:p>
    <w:p w14:paraId="003745B4" w14:textId="77777777" w:rsidR="004E585F" w:rsidRPr="003E7ED9" w:rsidRDefault="004E585F" w:rsidP="004E585F">
      <w:pPr>
        <w:spacing w:line="360" w:lineRule="auto"/>
        <w:rPr>
          <w:rFonts w:ascii="Arial" w:hAnsi="Arial" w:cs="Arial"/>
          <w:color w:val="FF40FF"/>
          <w:sz w:val="22"/>
          <w:szCs w:val="22"/>
        </w:rPr>
      </w:pPr>
    </w:p>
    <w:p w14:paraId="6379CC2D" w14:textId="7909839F" w:rsidR="004E585F" w:rsidRPr="003E7ED9" w:rsidRDefault="004E585F" w:rsidP="004E585F">
      <w:pPr>
        <w:rPr>
          <w:rFonts w:ascii="Arial" w:hAnsi="Arial" w:cs="Arial"/>
          <w:color w:val="000000" w:themeColor="text1"/>
          <w:sz w:val="22"/>
          <w:szCs w:val="22"/>
        </w:rPr>
      </w:pPr>
      <w:r w:rsidRPr="003E7ED9">
        <w:rPr>
          <w:rFonts w:ascii="Arial" w:hAnsi="Arial" w:cs="Arial"/>
          <w:color w:val="000000" w:themeColor="text1"/>
          <w:sz w:val="22"/>
          <w:szCs w:val="22"/>
        </w:rPr>
        <w:t>©2025 Acadia Pharmaceuticals Inc. Acadia</w:t>
      </w:r>
      <w:r w:rsidR="00E942A1">
        <w:rPr>
          <w:rFonts w:ascii="Arial" w:hAnsi="Arial" w:cs="Arial"/>
          <w:color w:val="000000" w:themeColor="text1"/>
          <w:sz w:val="22"/>
          <w:szCs w:val="22"/>
        </w:rPr>
        <w:t>,</w:t>
      </w:r>
      <w:r w:rsidRPr="003E7ED9">
        <w:rPr>
          <w:rFonts w:ascii="Arial" w:hAnsi="Arial" w:cs="Arial"/>
          <w:color w:val="000000" w:themeColor="text1"/>
          <w:sz w:val="22"/>
          <w:szCs w:val="22"/>
        </w:rPr>
        <w:t xml:space="preserve"> Acadia Connect and DAYBUE are registered trademarks of Acadia Pharmaceuticals Inc. All rights reserved. </w:t>
      </w:r>
      <w:r w:rsidR="003D0BE5">
        <w:rPr>
          <w:rFonts w:ascii="Arial" w:hAnsi="Arial" w:cs="Arial"/>
          <w:color w:val="000000" w:themeColor="text1"/>
          <w:sz w:val="22"/>
          <w:szCs w:val="22"/>
        </w:rPr>
        <w:t xml:space="preserve">DAY-US-0140-v3 </w:t>
      </w:r>
      <w:r w:rsidRPr="003E7ED9">
        <w:rPr>
          <w:rFonts w:ascii="Arial" w:hAnsi="Arial" w:cs="Arial"/>
          <w:color w:val="000000" w:themeColor="text1"/>
          <w:sz w:val="22"/>
          <w:szCs w:val="22"/>
        </w:rPr>
        <w:t>1</w:t>
      </w:r>
      <w:r w:rsidR="00C25DBD">
        <w:rPr>
          <w:rFonts w:ascii="Arial" w:hAnsi="Arial" w:cs="Arial"/>
          <w:color w:val="000000" w:themeColor="text1"/>
          <w:sz w:val="22"/>
          <w:szCs w:val="22"/>
        </w:rPr>
        <w:t>2</w:t>
      </w:r>
      <w:r w:rsidRPr="003E7ED9">
        <w:rPr>
          <w:rFonts w:ascii="Arial" w:hAnsi="Arial" w:cs="Arial"/>
          <w:color w:val="000000" w:themeColor="text1"/>
          <w:sz w:val="22"/>
          <w:szCs w:val="22"/>
        </w:rPr>
        <w:t>/25</w:t>
      </w:r>
    </w:p>
    <w:p w14:paraId="08C3ED27" w14:textId="6C56B69F" w:rsidR="00EC2CA4" w:rsidRPr="000B1F0F" w:rsidRDefault="00EC2CA4" w:rsidP="004E585F">
      <w:pPr>
        <w:autoSpaceDE w:val="0"/>
        <w:autoSpaceDN w:val="0"/>
        <w:adjustRightInd w:val="0"/>
        <w:rPr>
          <w:rFonts w:ascii="Arial" w:hAnsi="Arial" w:cs="Arial"/>
          <w:color w:val="000000" w:themeColor="text1"/>
          <w:sz w:val="22"/>
          <w:szCs w:val="22"/>
        </w:rPr>
      </w:pPr>
    </w:p>
    <w:sectPr w:rsidR="00EC2CA4" w:rsidRPr="000B1F0F" w:rsidSect="00753454">
      <w:pgSz w:w="12240" w:h="15840"/>
      <w:pgMar w:top="562" w:right="562" w:bottom="274"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911"/>
    <w:multiLevelType w:val="hybridMultilevel"/>
    <w:tmpl w:val="A30A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D6694"/>
    <w:multiLevelType w:val="hybridMultilevel"/>
    <w:tmpl w:val="079E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E0F3C"/>
    <w:multiLevelType w:val="hybridMultilevel"/>
    <w:tmpl w:val="4338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037EC"/>
    <w:multiLevelType w:val="hybridMultilevel"/>
    <w:tmpl w:val="99FE2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A3878"/>
    <w:multiLevelType w:val="hybridMultilevel"/>
    <w:tmpl w:val="3588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71B7F"/>
    <w:multiLevelType w:val="hybridMultilevel"/>
    <w:tmpl w:val="3E6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76D5F"/>
    <w:multiLevelType w:val="hybridMultilevel"/>
    <w:tmpl w:val="7CE4C6C6"/>
    <w:lvl w:ilvl="0" w:tplc="AE546F78">
      <w:start w:val="1"/>
      <w:numFmt w:val="bullet"/>
      <w:lvlText w:val=""/>
      <w:lvlJc w:val="left"/>
      <w:pPr>
        <w:ind w:left="360" w:hanging="360"/>
      </w:pPr>
      <w:rPr>
        <w:rFonts w:ascii="Symbol" w:hAnsi="Symbol" w:hint="default"/>
        <w:color w:val="404040" w:themeColor="text1" w:themeTint="BF"/>
      </w:rPr>
    </w:lvl>
    <w:lvl w:ilvl="1" w:tplc="40EE6D6E">
      <w:start w:val="1"/>
      <w:numFmt w:val="bullet"/>
      <w:lvlText w:val="o"/>
      <w:lvlJc w:val="left"/>
      <w:pPr>
        <w:ind w:left="1080" w:hanging="360"/>
      </w:pPr>
      <w:rPr>
        <w:rFonts w:ascii="Courier New" w:hAnsi="Courier New" w:cs="Courier New" w:hint="default"/>
        <w:color w:val="404040" w:themeColor="text1" w:themeTint="BF"/>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422370">
    <w:abstractNumId w:val="1"/>
  </w:num>
  <w:num w:numId="2" w16cid:durableId="1899047977">
    <w:abstractNumId w:val="5"/>
  </w:num>
  <w:num w:numId="3" w16cid:durableId="1578321724">
    <w:abstractNumId w:val="6"/>
  </w:num>
  <w:num w:numId="4" w16cid:durableId="2013674924">
    <w:abstractNumId w:val="2"/>
  </w:num>
  <w:num w:numId="5" w16cid:durableId="506285730">
    <w:abstractNumId w:val="4"/>
  </w:num>
  <w:num w:numId="6" w16cid:durableId="243103401">
    <w:abstractNumId w:val="0"/>
  </w:num>
  <w:num w:numId="7" w16cid:durableId="36572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DC"/>
    <w:rsid w:val="0001368C"/>
    <w:rsid w:val="00026732"/>
    <w:rsid w:val="00031DFC"/>
    <w:rsid w:val="00084D9C"/>
    <w:rsid w:val="000862B5"/>
    <w:rsid w:val="00093A7E"/>
    <w:rsid w:val="000A5C63"/>
    <w:rsid w:val="000A7650"/>
    <w:rsid w:val="000B1F0F"/>
    <w:rsid w:val="000E5D45"/>
    <w:rsid w:val="000F3B21"/>
    <w:rsid w:val="001005F4"/>
    <w:rsid w:val="001118E5"/>
    <w:rsid w:val="0016562D"/>
    <w:rsid w:val="001666DF"/>
    <w:rsid w:val="001A0EF2"/>
    <w:rsid w:val="001E42FB"/>
    <w:rsid w:val="001F2B99"/>
    <w:rsid w:val="00212F39"/>
    <w:rsid w:val="00227510"/>
    <w:rsid w:val="00237309"/>
    <w:rsid w:val="00267BD9"/>
    <w:rsid w:val="002940D4"/>
    <w:rsid w:val="002A5C68"/>
    <w:rsid w:val="002A7B9A"/>
    <w:rsid w:val="002E32E7"/>
    <w:rsid w:val="002F5949"/>
    <w:rsid w:val="0032453C"/>
    <w:rsid w:val="00341CC8"/>
    <w:rsid w:val="00355B48"/>
    <w:rsid w:val="003A1F17"/>
    <w:rsid w:val="003B15F6"/>
    <w:rsid w:val="003B61CB"/>
    <w:rsid w:val="003D0BE5"/>
    <w:rsid w:val="0042509F"/>
    <w:rsid w:val="00426180"/>
    <w:rsid w:val="00444875"/>
    <w:rsid w:val="0047085C"/>
    <w:rsid w:val="004730C2"/>
    <w:rsid w:val="004A04BA"/>
    <w:rsid w:val="004B11C9"/>
    <w:rsid w:val="004B369C"/>
    <w:rsid w:val="004C39D7"/>
    <w:rsid w:val="004D1FDC"/>
    <w:rsid w:val="004D2108"/>
    <w:rsid w:val="004E56C0"/>
    <w:rsid w:val="004E585F"/>
    <w:rsid w:val="004F266C"/>
    <w:rsid w:val="004F4248"/>
    <w:rsid w:val="004F64CD"/>
    <w:rsid w:val="00504B15"/>
    <w:rsid w:val="0052464C"/>
    <w:rsid w:val="00564C3D"/>
    <w:rsid w:val="005663EB"/>
    <w:rsid w:val="00575F86"/>
    <w:rsid w:val="00593E69"/>
    <w:rsid w:val="005F1BFF"/>
    <w:rsid w:val="00635828"/>
    <w:rsid w:val="00636A81"/>
    <w:rsid w:val="0064482D"/>
    <w:rsid w:val="006524B6"/>
    <w:rsid w:val="00663C14"/>
    <w:rsid w:val="006725AD"/>
    <w:rsid w:val="00685672"/>
    <w:rsid w:val="007141A5"/>
    <w:rsid w:val="0073018D"/>
    <w:rsid w:val="00753454"/>
    <w:rsid w:val="00761AFA"/>
    <w:rsid w:val="00772BFE"/>
    <w:rsid w:val="00775529"/>
    <w:rsid w:val="00777B58"/>
    <w:rsid w:val="007810B0"/>
    <w:rsid w:val="007868DF"/>
    <w:rsid w:val="00793F84"/>
    <w:rsid w:val="007D1498"/>
    <w:rsid w:val="007E6621"/>
    <w:rsid w:val="007F7F12"/>
    <w:rsid w:val="00813CB1"/>
    <w:rsid w:val="00814897"/>
    <w:rsid w:val="008512C8"/>
    <w:rsid w:val="00852FF1"/>
    <w:rsid w:val="00864225"/>
    <w:rsid w:val="0086539D"/>
    <w:rsid w:val="008658A6"/>
    <w:rsid w:val="00867C12"/>
    <w:rsid w:val="00894290"/>
    <w:rsid w:val="008E690A"/>
    <w:rsid w:val="00903FFA"/>
    <w:rsid w:val="009437ED"/>
    <w:rsid w:val="009459AF"/>
    <w:rsid w:val="00981559"/>
    <w:rsid w:val="00981A87"/>
    <w:rsid w:val="00983681"/>
    <w:rsid w:val="009871E0"/>
    <w:rsid w:val="00990167"/>
    <w:rsid w:val="00991769"/>
    <w:rsid w:val="009960D1"/>
    <w:rsid w:val="00997225"/>
    <w:rsid w:val="009A2AEA"/>
    <w:rsid w:val="009B1951"/>
    <w:rsid w:val="009C2270"/>
    <w:rsid w:val="009D3CBC"/>
    <w:rsid w:val="009E1497"/>
    <w:rsid w:val="009E4034"/>
    <w:rsid w:val="009F011F"/>
    <w:rsid w:val="00A12242"/>
    <w:rsid w:val="00A43DA5"/>
    <w:rsid w:val="00A62A0A"/>
    <w:rsid w:val="00A775A6"/>
    <w:rsid w:val="00AA0F17"/>
    <w:rsid w:val="00AA13B1"/>
    <w:rsid w:val="00AB5371"/>
    <w:rsid w:val="00AE2B7B"/>
    <w:rsid w:val="00AE4280"/>
    <w:rsid w:val="00B40913"/>
    <w:rsid w:val="00B81120"/>
    <w:rsid w:val="00B973A7"/>
    <w:rsid w:val="00BB3190"/>
    <w:rsid w:val="00BB43D7"/>
    <w:rsid w:val="00BD31D7"/>
    <w:rsid w:val="00C014CB"/>
    <w:rsid w:val="00C25DBD"/>
    <w:rsid w:val="00C26A35"/>
    <w:rsid w:val="00C573A7"/>
    <w:rsid w:val="00C953A2"/>
    <w:rsid w:val="00CC3F10"/>
    <w:rsid w:val="00D0231D"/>
    <w:rsid w:val="00D22A8C"/>
    <w:rsid w:val="00D24506"/>
    <w:rsid w:val="00D6718D"/>
    <w:rsid w:val="00D732F4"/>
    <w:rsid w:val="00D75B36"/>
    <w:rsid w:val="00D87041"/>
    <w:rsid w:val="00DA6A69"/>
    <w:rsid w:val="00DD25C3"/>
    <w:rsid w:val="00DD7144"/>
    <w:rsid w:val="00DE6B54"/>
    <w:rsid w:val="00E02467"/>
    <w:rsid w:val="00E46971"/>
    <w:rsid w:val="00E46E60"/>
    <w:rsid w:val="00E52093"/>
    <w:rsid w:val="00E52ABD"/>
    <w:rsid w:val="00E541F6"/>
    <w:rsid w:val="00E60870"/>
    <w:rsid w:val="00E942A1"/>
    <w:rsid w:val="00EB6AC8"/>
    <w:rsid w:val="00EC0804"/>
    <w:rsid w:val="00EC24AE"/>
    <w:rsid w:val="00EC2CA4"/>
    <w:rsid w:val="00ED468D"/>
    <w:rsid w:val="00EE745F"/>
    <w:rsid w:val="00EE7E26"/>
    <w:rsid w:val="00F30607"/>
    <w:rsid w:val="00F46833"/>
    <w:rsid w:val="00F61C96"/>
    <w:rsid w:val="00F8113E"/>
    <w:rsid w:val="00F814D4"/>
    <w:rsid w:val="00F93E09"/>
    <w:rsid w:val="00FA6EC9"/>
    <w:rsid w:val="00FB5CCC"/>
    <w:rsid w:val="00FE1927"/>
    <w:rsid w:val="00FE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6C77"/>
  <w15:chartTrackingRefBased/>
  <w15:docId w15:val="{8ACA9267-82C7-3C47-BB22-64B5C0EF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266C"/>
    <w:pPr>
      <w:ind w:left="720"/>
      <w:contextualSpacing/>
    </w:pPr>
  </w:style>
  <w:style w:type="character" w:customStyle="1" w:styleId="ListParagraphChar">
    <w:name w:val="List Paragraph Char"/>
    <w:basedOn w:val="DefaultParagraphFont"/>
    <w:link w:val="ListParagraph"/>
    <w:uiPriority w:val="34"/>
    <w:rsid w:val="00AE2B7B"/>
  </w:style>
  <w:style w:type="character" w:styleId="Hyperlink">
    <w:name w:val="Hyperlink"/>
    <w:basedOn w:val="DefaultParagraphFont"/>
    <w:uiPriority w:val="99"/>
    <w:unhideWhenUsed/>
    <w:rsid w:val="00AE2B7B"/>
    <w:rPr>
      <w:color w:val="0563C1" w:themeColor="hyperlink"/>
      <w:u w:val="single"/>
    </w:rPr>
  </w:style>
  <w:style w:type="paragraph" w:styleId="NoSpacing">
    <w:name w:val="No Spacing"/>
    <w:uiPriority w:val="1"/>
    <w:qFormat/>
    <w:rsid w:val="00AE2B7B"/>
    <w:rPr>
      <w:sz w:val="22"/>
      <w:szCs w:val="22"/>
    </w:rPr>
  </w:style>
  <w:style w:type="character" w:styleId="UnresolvedMention">
    <w:name w:val="Unresolved Mention"/>
    <w:basedOn w:val="DefaultParagraphFont"/>
    <w:uiPriority w:val="99"/>
    <w:semiHidden/>
    <w:unhideWhenUsed/>
    <w:rsid w:val="009B1951"/>
    <w:rPr>
      <w:color w:val="605E5C"/>
      <w:shd w:val="clear" w:color="auto" w:fill="E1DFDD"/>
    </w:rPr>
  </w:style>
  <w:style w:type="character" w:styleId="FollowedHyperlink">
    <w:name w:val="FollowedHyperlink"/>
    <w:basedOn w:val="DefaultParagraphFont"/>
    <w:uiPriority w:val="99"/>
    <w:semiHidden/>
    <w:unhideWhenUsed/>
    <w:rsid w:val="001F2B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ybuehcp.com/daybue-pi.pdf" TargetMode="External"/><Relationship Id="rId3" Type="http://schemas.openxmlformats.org/officeDocument/2006/relationships/styles" Target="styles.xml"/><Relationship Id="rId7" Type="http://schemas.openxmlformats.org/officeDocument/2006/relationships/hyperlink" Target="https://daybuehcp.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ybuehcp.com/daybue-pi.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mc.ncbi.nlm.nih.gov/articles/PMC10287558/pdf/41591_2023_Article_2398.pdf" TargetMode="External"/><Relationship Id="rId4" Type="http://schemas.openxmlformats.org/officeDocument/2006/relationships/settings" Target="settings.xml"/><Relationship Id="rId9" Type="http://schemas.openxmlformats.org/officeDocument/2006/relationships/hyperlink" Target="https://www.fda.gov/drugs/news-events-human-drugs/fda-approves-first-treatment-rett-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F9E6-50B3-4E48-ACF2-F9B37805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1324</Words>
  <Characters>7789</Characters>
  <Application>Microsoft Office Word</Application>
  <DocSecurity>0</DocSecurity>
  <Lines>155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Conley</dc:creator>
  <cp:keywords/>
  <dc:description/>
  <cp:lastModifiedBy>Kayla Johnson</cp:lastModifiedBy>
  <cp:revision>3</cp:revision>
  <cp:lastPrinted>2025-11-18T02:35:00Z</cp:lastPrinted>
  <dcterms:created xsi:type="dcterms:W3CDTF">2026-01-15T22:52:00Z</dcterms:created>
  <dcterms:modified xsi:type="dcterms:W3CDTF">2026-01-16T00:20:00Z</dcterms:modified>
</cp:coreProperties>
</file>