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F07B" w14:textId="74026DCB" w:rsidR="008D7A1B" w:rsidRPr="009D26B7" w:rsidRDefault="00BE28DA" w:rsidP="009D26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Appendix 14: </w:t>
      </w:r>
      <w:r w:rsidR="00523A97" w:rsidRPr="009D26B7">
        <w:rPr>
          <w:rFonts w:ascii="Arial" w:hAnsi="Arial" w:cs="Arial"/>
          <w:b/>
          <w:bCs/>
        </w:rPr>
        <w:t>Adjudicator Governance Framework</w:t>
      </w:r>
    </w:p>
    <w:p w14:paraId="57AF140E" w14:textId="3FCADEE7" w:rsidR="00BE28DA" w:rsidRPr="00DD5EDD" w:rsidRDefault="009D26B7" w:rsidP="00DD5ED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E28DA">
        <w:rPr>
          <w:rFonts w:ascii="Arial" w:hAnsi="Arial" w:cs="Arial"/>
          <w:b/>
          <w:bCs/>
        </w:rPr>
        <w:t xml:space="preserve">Purpose of this </w:t>
      </w:r>
      <w:r w:rsidR="00F97653" w:rsidRPr="00BE28DA">
        <w:rPr>
          <w:rFonts w:ascii="Arial" w:hAnsi="Arial" w:cs="Arial"/>
          <w:b/>
          <w:bCs/>
        </w:rPr>
        <w:t>framework</w:t>
      </w:r>
    </w:p>
    <w:p w14:paraId="57570EC2" w14:textId="6E6DC3E2" w:rsidR="00EE65A8" w:rsidRDefault="00EE65A8" w:rsidP="004C2F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C2F2A">
        <w:rPr>
          <w:rFonts w:ascii="Arial" w:hAnsi="Arial" w:cs="Arial"/>
        </w:rPr>
        <w:t>Adjudicators are</w:t>
      </w:r>
      <w:r w:rsidR="005974D3">
        <w:rPr>
          <w:rFonts w:ascii="Arial" w:hAnsi="Arial" w:cs="Arial"/>
        </w:rPr>
        <w:t xml:space="preserve"> legally qualified </w:t>
      </w:r>
      <w:r w:rsidR="00E45C6C">
        <w:rPr>
          <w:rFonts w:ascii="Arial" w:hAnsi="Arial" w:cs="Arial"/>
        </w:rPr>
        <w:t xml:space="preserve">persons, employed by the Gambling Commission (the Commission) to </w:t>
      </w:r>
      <w:r w:rsidR="00963F1D">
        <w:rPr>
          <w:rFonts w:ascii="Arial" w:hAnsi="Arial" w:cs="Arial"/>
        </w:rPr>
        <w:t>sit as members of Regulatory Panels</w:t>
      </w:r>
      <w:r w:rsidR="008C277D">
        <w:rPr>
          <w:rFonts w:ascii="Arial" w:hAnsi="Arial" w:cs="Arial"/>
        </w:rPr>
        <w:t>.  The delegated powers of Regulatory Panels are outlined in Appendix 6 of the Corporate Governance Framework</w:t>
      </w:r>
      <w:r w:rsidR="00D820AA">
        <w:rPr>
          <w:rFonts w:ascii="Arial" w:hAnsi="Arial" w:cs="Arial"/>
        </w:rPr>
        <w:t xml:space="preserve">, </w:t>
      </w:r>
      <w:r w:rsidR="008C277D">
        <w:rPr>
          <w:rFonts w:ascii="Arial" w:hAnsi="Arial" w:cs="Arial"/>
        </w:rPr>
        <w:t xml:space="preserve"> </w:t>
      </w:r>
      <w:r w:rsidR="00D820AA" w:rsidRPr="00D820AA">
        <w:rPr>
          <w:rFonts w:ascii="Arial" w:hAnsi="Arial" w:cs="Arial"/>
          <w:i/>
          <w:iCs/>
        </w:rPr>
        <w:t>Delegation of licensing and regulatory decisions in respect of gambling</w:t>
      </w:r>
      <w:r w:rsidR="00D820AA">
        <w:rPr>
          <w:rFonts w:ascii="Arial" w:hAnsi="Arial" w:cs="Arial"/>
        </w:rPr>
        <w:t>.</w:t>
      </w:r>
    </w:p>
    <w:p w14:paraId="0400995C" w14:textId="77777777" w:rsidR="000C712F" w:rsidRDefault="000C712F" w:rsidP="000C712F">
      <w:pPr>
        <w:pStyle w:val="ListParagraph"/>
        <w:ind w:left="360"/>
        <w:rPr>
          <w:rFonts w:ascii="Arial" w:hAnsi="Arial" w:cs="Arial"/>
        </w:rPr>
      </w:pPr>
    </w:p>
    <w:p w14:paraId="1EA8E422" w14:textId="16D1E409" w:rsidR="006D43D7" w:rsidRDefault="006D43D7" w:rsidP="004C2F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recognition that Adjudicators </w:t>
      </w:r>
      <w:r w:rsidR="00314F4C">
        <w:rPr>
          <w:rFonts w:ascii="Arial" w:hAnsi="Arial" w:cs="Arial"/>
        </w:rPr>
        <w:t>are involved at the highest level of decision making</w:t>
      </w:r>
      <w:r w:rsidR="00FA2458">
        <w:rPr>
          <w:rFonts w:ascii="Arial" w:hAnsi="Arial" w:cs="Arial"/>
        </w:rPr>
        <w:t xml:space="preserve"> within the Commission, the Commission has committed to defining </w:t>
      </w:r>
      <w:r w:rsidR="00DC49C0">
        <w:rPr>
          <w:rFonts w:ascii="Arial" w:hAnsi="Arial" w:cs="Arial"/>
        </w:rPr>
        <w:t>and publishing th</w:t>
      </w:r>
      <w:r w:rsidR="000C712F">
        <w:rPr>
          <w:rFonts w:ascii="Arial" w:hAnsi="Arial" w:cs="Arial"/>
        </w:rPr>
        <w:t xml:space="preserve">e </w:t>
      </w:r>
      <w:r w:rsidR="00FA2458">
        <w:rPr>
          <w:rFonts w:ascii="Arial" w:hAnsi="Arial" w:cs="Arial"/>
        </w:rPr>
        <w:t xml:space="preserve">framework </w:t>
      </w:r>
      <w:r w:rsidR="00DC49C0">
        <w:rPr>
          <w:rFonts w:ascii="Arial" w:hAnsi="Arial" w:cs="Arial"/>
        </w:rPr>
        <w:t xml:space="preserve">in which </w:t>
      </w:r>
      <w:r w:rsidR="00E64BF6">
        <w:rPr>
          <w:rFonts w:ascii="Arial" w:hAnsi="Arial" w:cs="Arial"/>
        </w:rPr>
        <w:t>Adjudicators</w:t>
      </w:r>
      <w:r w:rsidR="00DC49C0">
        <w:rPr>
          <w:rFonts w:ascii="Arial" w:hAnsi="Arial" w:cs="Arial"/>
        </w:rPr>
        <w:t xml:space="preserve"> will operate.</w:t>
      </w:r>
    </w:p>
    <w:p w14:paraId="4B17E30A" w14:textId="77777777" w:rsidR="000C712F" w:rsidRPr="004C2F2A" w:rsidRDefault="000C712F" w:rsidP="000C712F">
      <w:pPr>
        <w:pStyle w:val="ListParagraph"/>
        <w:ind w:left="360"/>
        <w:rPr>
          <w:rFonts w:ascii="Arial" w:hAnsi="Arial" w:cs="Arial"/>
        </w:rPr>
      </w:pPr>
    </w:p>
    <w:p w14:paraId="600B202D" w14:textId="7187BE10" w:rsidR="00A95375" w:rsidRPr="00DD5EDD" w:rsidRDefault="00CB4194" w:rsidP="00DD5ED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C712F">
        <w:rPr>
          <w:rFonts w:ascii="Arial" w:hAnsi="Arial" w:cs="Arial"/>
          <w:b/>
          <w:bCs/>
        </w:rPr>
        <w:t>Status of this framework</w:t>
      </w:r>
    </w:p>
    <w:p w14:paraId="48CF12AD" w14:textId="15AB8E0A" w:rsidR="00793985" w:rsidRPr="00A95375" w:rsidRDefault="003C260E" w:rsidP="00A95375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</w:rPr>
      </w:pPr>
      <w:r w:rsidRPr="00A95375">
        <w:rPr>
          <w:rFonts w:ascii="Arial" w:hAnsi="Arial" w:cs="Arial"/>
        </w:rPr>
        <w:t xml:space="preserve">This framework is part of the </w:t>
      </w:r>
      <w:r w:rsidR="00506627" w:rsidRPr="00A95375">
        <w:rPr>
          <w:rFonts w:ascii="Arial" w:hAnsi="Arial" w:cs="Arial"/>
        </w:rPr>
        <w:t>Commission’s Corporate Governance Framework.  As such it will be reviewed in full at least every three years</w:t>
      </w:r>
      <w:r w:rsidR="00BD459A" w:rsidRPr="00A95375">
        <w:rPr>
          <w:rFonts w:ascii="Arial" w:hAnsi="Arial" w:cs="Arial"/>
        </w:rPr>
        <w:t xml:space="preserve"> to ensure it remains fit for purpose.</w:t>
      </w:r>
      <w:r w:rsidR="00D37DD0" w:rsidRPr="00A95375">
        <w:rPr>
          <w:rFonts w:ascii="Arial" w:hAnsi="Arial" w:cs="Arial"/>
        </w:rPr>
        <w:t xml:space="preserve"> </w:t>
      </w:r>
      <w:r w:rsidR="00BD459A" w:rsidRPr="00A95375">
        <w:rPr>
          <w:rFonts w:ascii="Arial" w:hAnsi="Arial" w:cs="Arial"/>
        </w:rPr>
        <w:t xml:space="preserve">Any </w:t>
      </w:r>
      <w:r w:rsidR="00D37DD0" w:rsidRPr="00A95375">
        <w:rPr>
          <w:rFonts w:ascii="Arial" w:hAnsi="Arial" w:cs="Arial"/>
        </w:rPr>
        <w:t>amendments</w:t>
      </w:r>
      <w:r w:rsidR="00BD459A" w:rsidRPr="00A95375">
        <w:rPr>
          <w:rFonts w:ascii="Arial" w:hAnsi="Arial" w:cs="Arial"/>
        </w:rPr>
        <w:t xml:space="preserve"> to the framework</w:t>
      </w:r>
      <w:r w:rsidR="00D37DD0" w:rsidRPr="00A95375">
        <w:rPr>
          <w:rFonts w:ascii="Arial" w:hAnsi="Arial" w:cs="Arial"/>
        </w:rPr>
        <w:t xml:space="preserve"> must be approved by the Board of the Commission</w:t>
      </w:r>
      <w:r w:rsidR="00793985" w:rsidRPr="00A95375">
        <w:rPr>
          <w:rFonts w:ascii="Arial" w:hAnsi="Arial" w:cs="Arial"/>
        </w:rPr>
        <w:t>.</w:t>
      </w:r>
    </w:p>
    <w:p w14:paraId="4151D582" w14:textId="77777777" w:rsidR="00E6232E" w:rsidRPr="008C7A53" w:rsidRDefault="00E6232E" w:rsidP="00E6232E">
      <w:pPr>
        <w:pStyle w:val="ListParagraph"/>
        <w:ind w:left="360"/>
        <w:rPr>
          <w:rFonts w:ascii="Arial" w:hAnsi="Arial" w:cs="Arial"/>
          <w:b/>
          <w:bCs/>
        </w:rPr>
      </w:pPr>
    </w:p>
    <w:p w14:paraId="5E77E807" w14:textId="61EFD090" w:rsidR="00DD5EDD" w:rsidRPr="00DD5EDD" w:rsidRDefault="00CB4194" w:rsidP="00DD5ED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93985">
        <w:rPr>
          <w:rFonts w:ascii="Arial" w:hAnsi="Arial" w:cs="Arial"/>
          <w:b/>
          <w:bCs/>
        </w:rPr>
        <w:t>The role of the Adjudicator</w:t>
      </w:r>
    </w:p>
    <w:p w14:paraId="27D833E0" w14:textId="50835B6C" w:rsidR="00DD5EDD" w:rsidRPr="00690CBF" w:rsidRDefault="00690CBF" w:rsidP="00690C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690CBF">
        <w:rPr>
          <w:rFonts w:ascii="Arial" w:hAnsi="Arial" w:cs="Arial"/>
        </w:rPr>
        <w:t xml:space="preserve"> </w:t>
      </w:r>
      <w:r w:rsidR="00055705" w:rsidRPr="00690CBF">
        <w:rPr>
          <w:rFonts w:ascii="Arial" w:hAnsi="Arial" w:cs="Arial"/>
        </w:rPr>
        <w:t>Adjudicators will be employees of the Gambling Commission</w:t>
      </w:r>
      <w:r w:rsidR="00077376" w:rsidRPr="00690CBF">
        <w:rPr>
          <w:rFonts w:ascii="Arial" w:hAnsi="Arial" w:cs="Arial"/>
        </w:rPr>
        <w:t>.</w:t>
      </w:r>
      <w:r w:rsidR="000F14E4" w:rsidRPr="00690CBF">
        <w:rPr>
          <w:rFonts w:ascii="Arial" w:hAnsi="Arial" w:cs="Arial"/>
        </w:rPr>
        <w:t xml:space="preserve">  </w:t>
      </w:r>
    </w:p>
    <w:p w14:paraId="4D32CD88" w14:textId="77777777" w:rsidR="00DD5EDD" w:rsidRPr="00690CBF" w:rsidRDefault="00077376" w:rsidP="00690C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DD5EDD">
        <w:rPr>
          <w:rFonts w:ascii="Arial" w:hAnsi="Arial" w:cs="Arial"/>
        </w:rPr>
        <w:t xml:space="preserve">Adjudicators will be legal qualified persons, with appropriate </w:t>
      </w:r>
      <w:r w:rsidR="007E7C43" w:rsidRPr="00DD5EDD">
        <w:rPr>
          <w:rFonts w:ascii="Arial" w:hAnsi="Arial" w:cs="Arial"/>
        </w:rPr>
        <w:t>experience to undertake their role.</w:t>
      </w:r>
    </w:p>
    <w:p w14:paraId="51E503BE" w14:textId="3103B9A4" w:rsidR="00E42ED5" w:rsidRPr="00690CBF" w:rsidRDefault="007E7C43" w:rsidP="00690CB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DD5EDD">
        <w:rPr>
          <w:rFonts w:ascii="Arial" w:hAnsi="Arial" w:cs="Arial"/>
        </w:rPr>
        <w:t xml:space="preserve">It </w:t>
      </w:r>
      <w:r w:rsidR="007438F0" w:rsidRPr="00DD5EDD">
        <w:rPr>
          <w:rFonts w:ascii="Arial" w:hAnsi="Arial" w:cs="Arial"/>
        </w:rPr>
        <w:t xml:space="preserve">is a term of each Adjudicator’s contract of employment that they are required to determine any matter before them in a Regulatory Panel meeting </w:t>
      </w:r>
      <w:r w:rsidR="00E42ED5" w:rsidRPr="00DD5EDD">
        <w:rPr>
          <w:rFonts w:ascii="Arial" w:hAnsi="Arial" w:cs="Arial"/>
        </w:rPr>
        <w:t>on the basis of the law and the evidence alone, in accordance with the procedures published by the Commission.</w:t>
      </w:r>
    </w:p>
    <w:p w14:paraId="76F59D3E" w14:textId="77777777" w:rsidR="00DD5EDD" w:rsidRPr="00DD5EDD" w:rsidRDefault="00DD5EDD" w:rsidP="00DD5EDD">
      <w:pPr>
        <w:pStyle w:val="ListParagraph"/>
        <w:ind w:left="360"/>
        <w:rPr>
          <w:rFonts w:ascii="Arial" w:hAnsi="Arial" w:cs="Arial"/>
          <w:b/>
          <w:bCs/>
        </w:rPr>
      </w:pPr>
    </w:p>
    <w:p w14:paraId="4EA38D9A" w14:textId="77777777" w:rsidR="00DD5EDD" w:rsidRDefault="006326A0" w:rsidP="009615D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543619">
        <w:rPr>
          <w:rFonts w:ascii="Arial" w:hAnsi="Arial" w:cs="Arial"/>
          <w:b/>
          <w:bCs/>
        </w:rPr>
        <w:t>Conflicts of interest</w:t>
      </w:r>
    </w:p>
    <w:p w14:paraId="1FB57EC6" w14:textId="77777777" w:rsidR="00DD5EDD" w:rsidRPr="00DD5EDD" w:rsidRDefault="009615DC" w:rsidP="00DD5EDD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>Adjudicators are required to complete a declaration of their outside interests</w:t>
      </w:r>
      <w:r w:rsidR="002F0B53" w:rsidRPr="00DD5EDD">
        <w:rPr>
          <w:rFonts w:ascii="Arial" w:hAnsi="Arial" w:cs="Arial"/>
        </w:rPr>
        <w:t xml:space="preserve"> in accordance with the </w:t>
      </w:r>
      <w:proofErr w:type="gramStart"/>
      <w:r w:rsidR="002F0B53" w:rsidRPr="00DD5EDD">
        <w:rPr>
          <w:rFonts w:ascii="Arial" w:hAnsi="Arial" w:cs="Arial"/>
        </w:rPr>
        <w:t>Conflict of Interest</w:t>
      </w:r>
      <w:proofErr w:type="gramEnd"/>
      <w:r w:rsidR="002F0B53" w:rsidRPr="00DD5EDD">
        <w:rPr>
          <w:rFonts w:ascii="Arial" w:hAnsi="Arial" w:cs="Arial"/>
        </w:rPr>
        <w:t xml:space="preserve"> </w:t>
      </w:r>
      <w:r w:rsidR="00FA47C3" w:rsidRPr="00DD5EDD">
        <w:rPr>
          <w:rFonts w:ascii="Arial" w:hAnsi="Arial" w:cs="Arial"/>
        </w:rPr>
        <w:t>policy</w:t>
      </w:r>
      <w:r w:rsidRPr="00DD5EDD">
        <w:rPr>
          <w:rFonts w:ascii="Arial" w:hAnsi="Arial" w:cs="Arial"/>
        </w:rPr>
        <w:t xml:space="preserve">.  </w:t>
      </w:r>
      <w:r w:rsidR="00FA47C3" w:rsidRPr="00DD5EDD">
        <w:rPr>
          <w:rFonts w:ascii="Arial" w:hAnsi="Arial" w:cs="Arial"/>
        </w:rPr>
        <w:t xml:space="preserve">Their declarations will be refreshed at least annually or when a new interest arises or an existing interest is removed.  </w:t>
      </w:r>
      <w:r w:rsidR="00C25725" w:rsidRPr="00DD5EDD">
        <w:rPr>
          <w:rFonts w:ascii="Arial" w:hAnsi="Arial" w:cs="Arial"/>
        </w:rPr>
        <w:t>Their</w:t>
      </w:r>
      <w:r w:rsidR="001F4865" w:rsidRPr="00DD5EDD">
        <w:rPr>
          <w:rFonts w:ascii="Arial" w:hAnsi="Arial" w:cs="Arial"/>
        </w:rPr>
        <w:t xml:space="preserve"> interests will be published </w:t>
      </w:r>
      <w:r w:rsidR="00140A1B" w:rsidRPr="00DD5EDD">
        <w:rPr>
          <w:rFonts w:ascii="Arial" w:hAnsi="Arial" w:cs="Arial"/>
        </w:rPr>
        <w:t xml:space="preserve">in outline </w:t>
      </w:r>
      <w:r w:rsidR="001F4865" w:rsidRPr="00DD5EDD">
        <w:rPr>
          <w:rFonts w:ascii="Arial" w:hAnsi="Arial" w:cs="Arial"/>
        </w:rPr>
        <w:t>on the Commission website.</w:t>
      </w:r>
    </w:p>
    <w:p w14:paraId="4D4644C0" w14:textId="77777777" w:rsidR="00DD5EDD" w:rsidRPr="00DD5EDD" w:rsidRDefault="0055134D" w:rsidP="00DD5EDD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 xml:space="preserve">Decision makers may have a conflict of interest in a matter if it affects them, their friends, relative or people with whom they have a business relationship.  </w:t>
      </w:r>
      <w:r w:rsidR="009240D1" w:rsidRPr="00DD5EDD">
        <w:rPr>
          <w:rFonts w:ascii="Arial" w:hAnsi="Arial" w:cs="Arial"/>
        </w:rPr>
        <w:t xml:space="preserve">If an Adjudicator has a personal and </w:t>
      </w:r>
      <w:r w:rsidR="00107AE6" w:rsidRPr="00DD5EDD">
        <w:rPr>
          <w:rFonts w:ascii="Arial" w:hAnsi="Arial" w:cs="Arial"/>
        </w:rPr>
        <w:t>potentially</w:t>
      </w:r>
      <w:r w:rsidR="009240D1" w:rsidRPr="00DD5EDD">
        <w:rPr>
          <w:rFonts w:ascii="Arial" w:hAnsi="Arial" w:cs="Arial"/>
        </w:rPr>
        <w:t xml:space="preserve"> prejudicial interest in a matter then they:</w:t>
      </w:r>
    </w:p>
    <w:p w14:paraId="66C63F3E" w14:textId="77777777" w:rsidR="00DD5EDD" w:rsidRPr="00DD5EDD" w:rsidRDefault="009240D1" w:rsidP="00DD5EDD">
      <w:pPr>
        <w:pStyle w:val="ListParagraph"/>
        <w:numPr>
          <w:ilvl w:val="2"/>
          <w:numId w:val="11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 xml:space="preserve">must not sit as a member of the relevant Regulatory Panel, or otherwise take part in the </w:t>
      </w:r>
      <w:proofErr w:type="gramStart"/>
      <w:r w:rsidRPr="00DD5EDD">
        <w:rPr>
          <w:rFonts w:ascii="Arial" w:hAnsi="Arial" w:cs="Arial"/>
        </w:rPr>
        <w:t>decision making</w:t>
      </w:r>
      <w:proofErr w:type="gramEnd"/>
      <w:r w:rsidRPr="00DD5EDD">
        <w:rPr>
          <w:rFonts w:ascii="Arial" w:hAnsi="Arial" w:cs="Arial"/>
        </w:rPr>
        <w:t xml:space="preserve"> process</w:t>
      </w:r>
      <w:r w:rsidR="0066477A" w:rsidRPr="00DD5EDD">
        <w:rPr>
          <w:rFonts w:ascii="Arial" w:hAnsi="Arial" w:cs="Arial"/>
        </w:rPr>
        <w:t>; or</w:t>
      </w:r>
    </w:p>
    <w:p w14:paraId="25417670" w14:textId="77777777" w:rsidR="00DD5EDD" w:rsidRPr="00DD5EDD" w:rsidRDefault="000D7643" w:rsidP="00DD5EDD">
      <w:pPr>
        <w:pStyle w:val="ListParagraph"/>
        <w:numPr>
          <w:ilvl w:val="2"/>
          <w:numId w:val="11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 xml:space="preserve">must not </w:t>
      </w:r>
      <w:r w:rsidR="006B1C5A" w:rsidRPr="00DD5EDD">
        <w:rPr>
          <w:rFonts w:ascii="Arial" w:hAnsi="Arial" w:cs="Arial"/>
        </w:rPr>
        <w:t xml:space="preserve">access any of the </w:t>
      </w:r>
      <w:r w:rsidR="003E73E1" w:rsidRPr="00DD5EDD">
        <w:rPr>
          <w:rFonts w:ascii="Arial" w:hAnsi="Arial" w:cs="Arial"/>
        </w:rPr>
        <w:t>case materials; or</w:t>
      </w:r>
    </w:p>
    <w:p w14:paraId="493A7D7D" w14:textId="77777777" w:rsidR="00DD5EDD" w:rsidRPr="00DD5EDD" w:rsidRDefault="005C0385" w:rsidP="00DD5EDD">
      <w:pPr>
        <w:pStyle w:val="ListParagraph"/>
        <w:numPr>
          <w:ilvl w:val="2"/>
          <w:numId w:val="11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>must not</w:t>
      </w:r>
      <w:r w:rsidR="003E73E1" w:rsidRPr="00DD5EDD">
        <w:rPr>
          <w:rFonts w:ascii="Arial" w:hAnsi="Arial" w:cs="Arial"/>
        </w:rPr>
        <w:t xml:space="preserve"> seek to lobby those who will be sitting as a member of the Regulatory Panel in question.</w:t>
      </w:r>
    </w:p>
    <w:p w14:paraId="7BEC163C" w14:textId="77777777" w:rsidR="00DD5EDD" w:rsidRPr="00DD5EDD" w:rsidRDefault="00171067" w:rsidP="00DD5EDD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 xml:space="preserve">If there is any doubt about whether there might be a possible conflict of interest then the Chair of the Commission </w:t>
      </w:r>
      <w:r w:rsidR="00690B68" w:rsidRPr="00DD5EDD">
        <w:rPr>
          <w:rFonts w:ascii="Arial" w:hAnsi="Arial" w:cs="Arial"/>
        </w:rPr>
        <w:t>will decide.</w:t>
      </w:r>
    </w:p>
    <w:p w14:paraId="49771167" w14:textId="1ECE1B40" w:rsidR="00791085" w:rsidRPr="00690CBF" w:rsidRDefault="00791085" w:rsidP="009615DC">
      <w:pPr>
        <w:pStyle w:val="ListParagraph"/>
        <w:numPr>
          <w:ilvl w:val="1"/>
          <w:numId w:val="11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 xml:space="preserve">Adjudicators are also bound by the Commission’s policy on the acceptance of gifts and hospitality. </w:t>
      </w:r>
    </w:p>
    <w:p w14:paraId="63F81647" w14:textId="3F7B8C31" w:rsidR="00690CBF" w:rsidRDefault="00690CBF" w:rsidP="00690CBF">
      <w:pPr>
        <w:pStyle w:val="ListParagraph"/>
        <w:ind w:left="360"/>
        <w:contextualSpacing w:val="0"/>
        <w:rPr>
          <w:rFonts w:ascii="Arial" w:hAnsi="Arial" w:cs="Arial"/>
        </w:rPr>
      </w:pPr>
    </w:p>
    <w:p w14:paraId="01BE0AF2" w14:textId="77777777" w:rsidR="00690CBF" w:rsidRPr="00690CBF" w:rsidRDefault="00690CBF" w:rsidP="00690CBF">
      <w:pPr>
        <w:pStyle w:val="ListParagraph"/>
        <w:ind w:left="360"/>
        <w:contextualSpacing w:val="0"/>
        <w:rPr>
          <w:rFonts w:ascii="Arial" w:hAnsi="Arial" w:cs="Arial"/>
          <w:b/>
          <w:bCs/>
        </w:rPr>
      </w:pPr>
    </w:p>
    <w:p w14:paraId="59B228EC" w14:textId="77777777" w:rsidR="00DD5EDD" w:rsidRDefault="00D5077C" w:rsidP="009C702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C7021">
        <w:rPr>
          <w:rFonts w:ascii="Arial" w:hAnsi="Arial" w:cs="Arial"/>
          <w:b/>
          <w:bCs/>
        </w:rPr>
        <w:lastRenderedPageBreak/>
        <w:t>Adjudicator t</w:t>
      </w:r>
      <w:r w:rsidR="006326A0" w:rsidRPr="009C7021">
        <w:rPr>
          <w:rFonts w:ascii="Arial" w:hAnsi="Arial" w:cs="Arial"/>
          <w:b/>
          <w:bCs/>
        </w:rPr>
        <w:t>raining plans</w:t>
      </w:r>
    </w:p>
    <w:p w14:paraId="0935F3EF" w14:textId="3BA14EA8" w:rsidR="009C7021" w:rsidRPr="00DD5EDD" w:rsidRDefault="004E228A" w:rsidP="00DD5EDD">
      <w:pPr>
        <w:pStyle w:val="ListParagraph"/>
        <w:numPr>
          <w:ilvl w:val="1"/>
          <w:numId w:val="12"/>
        </w:numPr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 xml:space="preserve">It is important that Adjudicators receive the necessary training to undertake their role.  </w:t>
      </w:r>
      <w:r w:rsidR="0022186C" w:rsidRPr="00DD5EDD">
        <w:rPr>
          <w:rFonts w:ascii="Arial" w:hAnsi="Arial" w:cs="Arial"/>
        </w:rPr>
        <w:t>Adjudicators will receive the following training as a minimum:</w:t>
      </w:r>
    </w:p>
    <w:p w14:paraId="1E8FEB95" w14:textId="37AF5AC1" w:rsidR="0022186C" w:rsidRDefault="0022186C" w:rsidP="009C7021">
      <w:pPr>
        <w:rPr>
          <w:rFonts w:ascii="Arial" w:hAnsi="Arial" w:cs="Arial"/>
        </w:rPr>
      </w:pPr>
      <w:r>
        <w:rPr>
          <w:rFonts w:ascii="Arial" w:hAnsi="Arial" w:cs="Arial"/>
        </w:rPr>
        <w:tab/>
        <w:t>5.1.1 Corporate induction (on joining the Commission)</w:t>
      </w:r>
    </w:p>
    <w:p w14:paraId="5D396E23" w14:textId="44BC5145" w:rsidR="0022186C" w:rsidRDefault="0022186C" w:rsidP="00C759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5.1.2 Overview of the gambling environment (on joining the Commission)</w:t>
      </w:r>
    </w:p>
    <w:p w14:paraId="07868DE0" w14:textId="208A7017" w:rsidR="0022186C" w:rsidRDefault="00B52F8A" w:rsidP="00C759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5.1.3 Applicable law (on joining the Commission)</w:t>
      </w:r>
    </w:p>
    <w:p w14:paraId="79FAE8B6" w14:textId="1B23DE2C" w:rsidR="00B52F8A" w:rsidRDefault="00B52F8A" w:rsidP="00C759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5.1.4 Regulatory Panel procedure (on joining the Commission)</w:t>
      </w:r>
    </w:p>
    <w:p w14:paraId="4A0EF44F" w14:textId="55DF1EEB" w:rsidR="00B52F8A" w:rsidRPr="009C7021" w:rsidRDefault="00B52F8A" w:rsidP="00C759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5.1.5 </w:t>
      </w:r>
      <w:r w:rsidR="00C7593F">
        <w:rPr>
          <w:rFonts w:ascii="Arial" w:hAnsi="Arial" w:cs="Arial"/>
        </w:rPr>
        <w:t xml:space="preserve">Case law updates (every six months for the </w:t>
      </w:r>
      <w:r w:rsidR="00B51613">
        <w:rPr>
          <w:rFonts w:ascii="Arial" w:hAnsi="Arial" w:cs="Arial"/>
        </w:rPr>
        <w:t>duration</w:t>
      </w:r>
      <w:r w:rsidR="00C7593F">
        <w:rPr>
          <w:rFonts w:ascii="Arial" w:hAnsi="Arial" w:cs="Arial"/>
        </w:rPr>
        <w:t xml:space="preserve"> of their employment by the Commission)</w:t>
      </w:r>
    </w:p>
    <w:p w14:paraId="324B01CB" w14:textId="77777777" w:rsidR="00DD5EDD" w:rsidRDefault="00D5077C" w:rsidP="00DD5ED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51706">
        <w:rPr>
          <w:rFonts w:ascii="Arial" w:hAnsi="Arial" w:cs="Arial"/>
          <w:b/>
          <w:bCs/>
        </w:rPr>
        <w:t>Management and performance appraisal of Adjudicators</w:t>
      </w:r>
    </w:p>
    <w:p w14:paraId="3CD2F0C9" w14:textId="77777777" w:rsidR="00DD5EDD" w:rsidRPr="00DD5EDD" w:rsidRDefault="00B53A59" w:rsidP="00DD5EDD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>As members of Commission staff, Adjudicators will receive annual performance appraisals</w:t>
      </w:r>
      <w:r w:rsidR="00B52FCB" w:rsidRPr="00DD5EDD">
        <w:rPr>
          <w:rFonts w:ascii="Arial" w:hAnsi="Arial" w:cs="Arial"/>
        </w:rPr>
        <w:t xml:space="preserve"> </w:t>
      </w:r>
      <w:r w:rsidR="00BD3909" w:rsidRPr="00DD5EDD">
        <w:rPr>
          <w:rFonts w:ascii="Arial" w:hAnsi="Arial" w:cs="Arial"/>
        </w:rPr>
        <w:t>in</w:t>
      </w:r>
      <w:r w:rsidR="00975831" w:rsidRPr="00DD5EDD">
        <w:rPr>
          <w:rFonts w:ascii="Arial" w:hAnsi="Arial" w:cs="Arial"/>
        </w:rPr>
        <w:t xml:space="preserve"> the</w:t>
      </w:r>
      <w:r w:rsidR="00B52FCB" w:rsidRPr="00DD5EDD">
        <w:rPr>
          <w:rFonts w:ascii="Arial" w:hAnsi="Arial" w:cs="Arial"/>
        </w:rPr>
        <w:t xml:space="preserve"> Commission’s </w:t>
      </w:r>
      <w:r w:rsidR="00BD3909" w:rsidRPr="00DD5EDD">
        <w:rPr>
          <w:rFonts w:ascii="Arial" w:hAnsi="Arial" w:cs="Arial"/>
        </w:rPr>
        <w:t>performance cycle</w:t>
      </w:r>
      <w:r w:rsidR="00B52FCB" w:rsidRPr="00DD5EDD">
        <w:rPr>
          <w:rFonts w:ascii="Arial" w:hAnsi="Arial" w:cs="Arial"/>
        </w:rPr>
        <w:t>.</w:t>
      </w:r>
    </w:p>
    <w:p w14:paraId="245E11EF" w14:textId="77777777" w:rsidR="00DD5EDD" w:rsidRPr="00DD5EDD" w:rsidRDefault="00BD3909" w:rsidP="00DD5EDD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 xml:space="preserve">In order to </w:t>
      </w:r>
      <w:r w:rsidR="00141AFF" w:rsidRPr="00DD5EDD">
        <w:rPr>
          <w:rFonts w:ascii="Arial" w:hAnsi="Arial" w:cs="Arial"/>
        </w:rPr>
        <w:t xml:space="preserve">protect Adjudicators from any perception that </w:t>
      </w:r>
      <w:r w:rsidR="00D81954" w:rsidRPr="00DD5EDD">
        <w:rPr>
          <w:rFonts w:ascii="Arial" w:hAnsi="Arial" w:cs="Arial"/>
        </w:rPr>
        <w:t xml:space="preserve">their annual performance rating is linked to </w:t>
      </w:r>
      <w:r w:rsidR="00541AC1" w:rsidRPr="00DD5EDD">
        <w:rPr>
          <w:rFonts w:ascii="Arial" w:hAnsi="Arial" w:cs="Arial"/>
        </w:rPr>
        <w:t>partiality towards the Commission:</w:t>
      </w:r>
    </w:p>
    <w:p w14:paraId="47FD7EC0" w14:textId="77777777" w:rsidR="00DD5EDD" w:rsidRPr="00DD5EDD" w:rsidRDefault="009355F6" w:rsidP="00DD5EDD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>Adjudicator</w:t>
      </w:r>
      <w:r w:rsidR="0035136F" w:rsidRPr="00DD5EDD">
        <w:rPr>
          <w:rFonts w:ascii="Arial" w:hAnsi="Arial" w:cs="Arial"/>
        </w:rPr>
        <w:t>’s annual performance appraisals will be undertaken by the Chair of the Commission or the Senior Independent Director, not a member of Commission staff; and</w:t>
      </w:r>
    </w:p>
    <w:p w14:paraId="01A2F570" w14:textId="77777777" w:rsidR="00DD5EDD" w:rsidRPr="00DD5EDD" w:rsidRDefault="0035136F" w:rsidP="00DD5EDD">
      <w:pPr>
        <w:pStyle w:val="ListParagraph"/>
        <w:numPr>
          <w:ilvl w:val="2"/>
          <w:numId w:val="13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 xml:space="preserve"> </w:t>
      </w:r>
      <w:r w:rsidR="006C71A6" w:rsidRPr="00DD5EDD">
        <w:rPr>
          <w:rFonts w:ascii="Arial" w:hAnsi="Arial" w:cs="Arial"/>
        </w:rPr>
        <w:t xml:space="preserve">Adjudicator’s annual objectives will be linked to </w:t>
      </w:r>
      <w:r w:rsidR="00DC560A" w:rsidRPr="00DD5EDD">
        <w:rPr>
          <w:rFonts w:ascii="Arial" w:hAnsi="Arial" w:cs="Arial"/>
        </w:rPr>
        <w:t xml:space="preserve">the </w:t>
      </w:r>
      <w:r w:rsidR="006C71A6" w:rsidRPr="00DD5EDD">
        <w:rPr>
          <w:rFonts w:ascii="Arial" w:hAnsi="Arial" w:cs="Arial"/>
        </w:rPr>
        <w:t>independ</w:t>
      </w:r>
      <w:r w:rsidR="00E15F1B" w:rsidRPr="00DD5EDD">
        <w:rPr>
          <w:rFonts w:ascii="Arial" w:hAnsi="Arial" w:cs="Arial"/>
        </w:rPr>
        <w:t xml:space="preserve">ence </w:t>
      </w:r>
      <w:r w:rsidR="00DC560A" w:rsidRPr="00DD5EDD">
        <w:rPr>
          <w:rFonts w:ascii="Arial" w:hAnsi="Arial" w:cs="Arial"/>
        </w:rPr>
        <w:t xml:space="preserve">and quality of their </w:t>
      </w:r>
      <w:proofErr w:type="gramStart"/>
      <w:r w:rsidR="00DC560A" w:rsidRPr="00DD5EDD">
        <w:rPr>
          <w:rFonts w:ascii="Arial" w:hAnsi="Arial" w:cs="Arial"/>
        </w:rPr>
        <w:t xml:space="preserve">performance, </w:t>
      </w:r>
      <w:r w:rsidR="00B819AF" w:rsidRPr="00DD5EDD">
        <w:rPr>
          <w:rFonts w:ascii="Arial" w:hAnsi="Arial" w:cs="Arial"/>
        </w:rPr>
        <w:t>and</w:t>
      </w:r>
      <w:proofErr w:type="gramEnd"/>
      <w:r w:rsidR="00B819AF" w:rsidRPr="00DD5EDD">
        <w:rPr>
          <w:rFonts w:ascii="Arial" w:hAnsi="Arial" w:cs="Arial"/>
        </w:rPr>
        <w:t xml:space="preserve"> will not</w:t>
      </w:r>
      <w:r w:rsidR="00B7167A" w:rsidRPr="00DD5EDD">
        <w:rPr>
          <w:rFonts w:ascii="Arial" w:hAnsi="Arial" w:cs="Arial"/>
        </w:rPr>
        <w:t xml:space="preserve"> be linked to the extent to which they have found in favour of the Commission</w:t>
      </w:r>
      <w:r w:rsidR="00FF6FD7" w:rsidRPr="00DD5EDD">
        <w:rPr>
          <w:rFonts w:ascii="Arial" w:hAnsi="Arial" w:cs="Arial"/>
        </w:rPr>
        <w:t>.</w:t>
      </w:r>
    </w:p>
    <w:p w14:paraId="0C65B102" w14:textId="1EE5FBDC" w:rsidR="0035136F" w:rsidRPr="00DD5EDD" w:rsidRDefault="009330B8" w:rsidP="00DD5EDD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b/>
          <w:bCs/>
        </w:rPr>
      </w:pPr>
      <w:r w:rsidRPr="00DD5EDD">
        <w:rPr>
          <w:rFonts w:ascii="Arial" w:hAnsi="Arial" w:cs="Arial"/>
        </w:rPr>
        <w:t>The Commission’s Governance Team will manage all routine contact with Adj</w:t>
      </w:r>
      <w:r w:rsidR="003C179A" w:rsidRPr="00DD5EDD">
        <w:rPr>
          <w:rFonts w:ascii="Arial" w:hAnsi="Arial" w:cs="Arial"/>
        </w:rPr>
        <w:t>udicators</w:t>
      </w:r>
      <w:r w:rsidR="00C51950" w:rsidRPr="00DD5EDD">
        <w:rPr>
          <w:rFonts w:ascii="Arial" w:hAnsi="Arial" w:cs="Arial"/>
        </w:rPr>
        <w:t xml:space="preserve"> in order to minimise their contact with other </w:t>
      </w:r>
      <w:r w:rsidR="00660342" w:rsidRPr="00DD5EDD">
        <w:rPr>
          <w:rFonts w:ascii="Arial" w:hAnsi="Arial" w:cs="Arial"/>
        </w:rPr>
        <w:t>teams within the Commission.</w:t>
      </w:r>
    </w:p>
    <w:p w14:paraId="18499FC2" w14:textId="48DBF444" w:rsidR="00523A97" w:rsidRPr="00487A38" w:rsidRDefault="00487A38" w:rsidP="00DD5EDD">
      <w:pPr>
        <w:spacing w:after="0"/>
        <w:rPr>
          <w:rFonts w:ascii="Arial" w:hAnsi="Arial" w:cs="Arial"/>
          <w:b/>
          <w:bCs/>
        </w:rPr>
      </w:pPr>
      <w:r w:rsidRPr="00487A38">
        <w:rPr>
          <w:rFonts w:ascii="Arial" w:hAnsi="Arial" w:cs="Arial"/>
          <w:b/>
          <w:bCs/>
        </w:rPr>
        <w:t xml:space="preserve">7.  </w:t>
      </w:r>
      <w:r w:rsidR="00523A97" w:rsidRPr="00487A38">
        <w:rPr>
          <w:rFonts w:ascii="Arial" w:hAnsi="Arial" w:cs="Arial"/>
          <w:b/>
          <w:bCs/>
        </w:rPr>
        <w:t>Operating framework</w:t>
      </w:r>
    </w:p>
    <w:p w14:paraId="2CD47842" w14:textId="77777777" w:rsidR="00F0769C" w:rsidRDefault="00D72115" w:rsidP="00A95375">
      <w:pPr>
        <w:pStyle w:val="ListParagraph"/>
        <w:numPr>
          <w:ilvl w:val="1"/>
          <w:numId w:val="7"/>
        </w:numPr>
        <w:spacing w:before="240"/>
        <w:ind w:left="357" w:hanging="357"/>
        <w:contextualSpacing w:val="0"/>
        <w:rPr>
          <w:rFonts w:ascii="Arial" w:hAnsi="Arial" w:cs="Arial"/>
        </w:rPr>
      </w:pPr>
      <w:r w:rsidRPr="000A6029">
        <w:rPr>
          <w:rFonts w:ascii="Arial" w:hAnsi="Arial" w:cs="Arial"/>
        </w:rPr>
        <w:t xml:space="preserve">Adjudicators will be selected for </w:t>
      </w:r>
      <w:r w:rsidR="000A6029">
        <w:rPr>
          <w:rFonts w:ascii="Arial" w:hAnsi="Arial" w:cs="Arial"/>
        </w:rPr>
        <w:t xml:space="preserve">Regulatory </w:t>
      </w:r>
      <w:r w:rsidRPr="000A6029">
        <w:rPr>
          <w:rFonts w:ascii="Arial" w:hAnsi="Arial" w:cs="Arial"/>
        </w:rPr>
        <w:t>Panels based on their availability</w:t>
      </w:r>
      <w:r w:rsidR="00DD2B52">
        <w:rPr>
          <w:rFonts w:ascii="Arial" w:hAnsi="Arial" w:cs="Arial"/>
        </w:rPr>
        <w:t>, subject to a</w:t>
      </w:r>
      <w:r w:rsidR="00F0769C">
        <w:rPr>
          <w:rFonts w:ascii="Arial" w:hAnsi="Arial" w:cs="Arial"/>
        </w:rPr>
        <w:t>ny</w:t>
      </w:r>
      <w:r w:rsidR="00DD2B52">
        <w:rPr>
          <w:rFonts w:ascii="Arial" w:hAnsi="Arial" w:cs="Arial"/>
        </w:rPr>
        <w:t xml:space="preserve"> conflict of interest.</w:t>
      </w:r>
    </w:p>
    <w:p w14:paraId="7188CE03" w14:textId="77777777" w:rsidR="0035187A" w:rsidRDefault="000C7AF2" w:rsidP="00A95375">
      <w:pPr>
        <w:pStyle w:val="ListParagraph"/>
        <w:numPr>
          <w:ilvl w:val="1"/>
          <w:numId w:val="7"/>
        </w:numPr>
        <w:spacing w:before="240"/>
        <w:ind w:left="357" w:hanging="357"/>
        <w:contextualSpacing w:val="0"/>
        <w:rPr>
          <w:rFonts w:ascii="Arial" w:hAnsi="Arial" w:cs="Arial"/>
        </w:rPr>
      </w:pPr>
      <w:r w:rsidRPr="00F0769C">
        <w:rPr>
          <w:rFonts w:ascii="Arial" w:hAnsi="Arial" w:cs="Arial"/>
        </w:rPr>
        <w:t xml:space="preserve">Adjudicators will act as the Chair of any </w:t>
      </w:r>
      <w:r w:rsidR="0035187A">
        <w:rPr>
          <w:rFonts w:ascii="Arial" w:hAnsi="Arial" w:cs="Arial"/>
        </w:rPr>
        <w:t xml:space="preserve">Regulatory </w:t>
      </w:r>
      <w:r w:rsidRPr="00F0769C">
        <w:rPr>
          <w:rFonts w:ascii="Arial" w:hAnsi="Arial" w:cs="Arial"/>
        </w:rPr>
        <w:t>Panel</w:t>
      </w:r>
      <w:r w:rsidR="006376ED" w:rsidRPr="00F0769C">
        <w:rPr>
          <w:rFonts w:ascii="Arial" w:hAnsi="Arial" w:cs="Arial"/>
        </w:rPr>
        <w:t xml:space="preserve"> on which they sit</w:t>
      </w:r>
      <w:r w:rsidR="0035187A">
        <w:rPr>
          <w:rFonts w:ascii="Arial" w:hAnsi="Arial" w:cs="Arial"/>
        </w:rPr>
        <w:t>.</w:t>
      </w:r>
    </w:p>
    <w:p w14:paraId="366765F5" w14:textId="77777777" w:rsidR="008C1DF2" w:rsidRPr="008C1DF2" w:rsidRDefault="00BE61AB" w:rsidP="00A95375">
      <w:pPr>
        <w:pStyle w:val="ListParagraph"/>
        <w:numPr>
          <w:ilvl w:val="1"/>
          <w:numId w:val="7"/>
        </w:numPr>
        <w:spacing w:before="240"/>
        <w:ind w:left="357" w:hanging="357"/>
        <w:contextualSpacing w:val="0"/>
        <w:rPr>
          <w:rFonts w:ascii="Arial" w:hAnsi="Arial" w:cs="Arial"/>
        </w:rPr>
      </w:pPr>
      <w:r w:rsidRPr="0035187A">
        <w:rPr>
          <w:rFonts w:ascii="Arial" w:hAnsi="Arial" w:cs="Arial"/>
        </w:rPr>
        <w:t xml:space="preserve">The Adjudicator acts as </w:t>
      </w:r>
      <w:r w:rsidR="00DE1231">
        <w:rPr>
          <w:rFonts w:ascii="Arial" w:hAnsi="Arial" w:cs="Arial"/>
        </w:rPr>
        <w:t xml:space="preserve">the </w:t>
      </w:r>
      <w:r w:rsidRPr="0035187A">
        <w:rPr>
          <w:rFonts w:ascii="Arial" w:hAnsi="Arial" w:cs="Arial"/>
        </w:rPr>
        <w:t xml:space="preserve">legal adviser to </w:t>
      </w:r>
      <w:r w:rsidR="00DE1231">
        <w:rPr>
          <w:rFonts w:ascii="Arial" w:hAnsi="Arial" w:cs="Arial"/>
        </w:rPr>
        <w:t xml:space="preserve">any Regulatory </w:t>
      </w:r>
      <w:r w:rsidRPr="0035187A">
        <w:rPr>
          <w:rFonts w:ascii="Arial" w:hAnsi="Arial" w:cs="Arial"/>
        </w:rPr>
        <w:t>Panel</w:t>
      </w:r>
      <w:r w:rsidR="00DE1231">
        <w:rPr>
          <w:rFonts w:ascii="Arial" w:hAnsi="Arial" w:cs="Arial"/>
        </w:rPr>
        <w:t xml:space="preserve"> on which they sit</w:t>
      </w:r>
      <w:r w:rsidRPr="0035187A">
        <w:rPr>
          <w:rFonts w:ascii="Arial" w:hAnsi="Arial" w:cs="Arial"/>
        </w:rPr>
        <w:t xml:space="preserve">.  To ensure fairness, </w:t>
      </w:r>
      <w:r w:rsidR="001C1840" w:rsidRPr="0035187A">
        <w:rPr>
          <w:rFonts w:ascii="Arial" w:hAnsi="Arial" w:cs="Arial"/>
          <w:color w:val="000000"/>
        </w:rPr>
        <w:t xml:space="preserve">in every matter before a </w:t>
      </w:r>
      <w:r w:rsidR="00DE1231">
        <w:rPr>
          <w:rFonts w:ascii="Arial" w:hAnsi="Arial" w:cs="Arial"/>
          <w:color w:val="000000"/>
        </w:rPr>
        <w:t xml:space="preserve">Regulatory </w:t>
      </w:r>
      <w:r w:rsidR="001C1840" w:rsidRPr="0035187A">
        <w:rPr>
          <w:rFonts w:ascii="Arial" w:hAnsi="Arial" w:cs="Arial"/>
          <w:color w:val="000000"/>
        </w:rPr>
        <w:t>Panel, an explanation of what the Adjudicator understands the law to be</w:t>
      </w:r>
      <w:r w:rsidR="001E3406">
        <w:rPr>
          <w:rFonts w:ascii="Arial" w:hAnsi="Arial" w:cs="Arial"/>
          <w:color w:val="000000"/>
        </w:rPr>
        <w:t xml:space="preserve"> and </w:t>
      </w:r>
      <w:r w:rsidR="001C1840" w:rsidRPr="0035187A">
        <w:rPr>
          <w:rFonts w:ascii="Arial" w:hAnsi="Arial" w:cs="Arial"/>
          <w:color w:val="000000"/>
        </w:rPr>
        <w:t>on which the</w:t>
      </w:r>
      <w:r w:rsidR="000478B5">
        <w:rPr>
          <w:rFonts w:ascii="Arial" w:hAnsi="Arial" w:cs="Arial"/>
          <w:color w:val="000000"/>
        </w:rPr>
        <w:t xml:space="preserve"> Panel</w:t>
      </w:r>
      <w:r w:rsidR="001C1840" w:rsidRPr="0035187A">
        <w:rPr>
          <w:rFonts w:ascii="Arial" w:hAnsi="Arial" w:cs="Arial"/>
          <w:color w:val="000000"/>
        </w:rPr>
        <w:t xml:space="preserve"> intend</w:t>
      </w:r>
      <w:r w:rsidR="000478B5">
        <w:rPr>
          <w:rFonts w:ascii="Arial" w:hAnsi="Arial" w:cs="Arial"/>
          <w:color w:val="000000"/>
        </w:rPr>
        <w:t>s</w:t>
      </w:r>
      <w:r w:rsidR="001C1840" w:rsidRPr="0035187A">
        <w:rPr>
          <w:rFonts w:ascii="Arial" w:hAnsi="Arial" w:cs="Arial"/>
          <w:color w:val="000000"/>
        </w:rPr>
        <w:t xml:space="preserve"> to rely will be set out in a manner which enables the parties to challenge it and make submissions on it if they wish to do so</w:t>
      </w:r>
      <w:r w:rsidR="00B91984" w:rsidRPr="0035187A">
        <w:rPr>
          <w:rFonts w:ascii="Arial" w:hAnsi="Arial" w:cs="Arial"/>
          <w:color w:val="000000"/>
        </w:rPr>
        <w:t xml:space="preserve">.  </w:t>
      </w:r>
    </w:p>
    <w:p w14:paraId="0D6638BA" w14:textId="6DD1301A" w:rsidR="00F45315" w:rsidRPr="008C1DF2" w:rsidRDefault="00F45315" w:rsidP="00A95375">
      <w:pPr>
        <w:pStyle w:val="ListParagraph"/>
        <w:ind w:left="360"/>
        <w:rPr>
          <w:rFonts w:ascii="Arial" w:hAnsi="Arial" w:cs="Arial"/>
        </w:rPr>
      </w:pPr>
    </w:p>
    <w:sectPr w:rsidR="00F45315" w:rsidRPr="008C1DF2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A805" w14:textId="77777777" w:rsidR="00FF53B1" w:rsidRDefault="00FF53B1" w:rsidP="009D26B7">
      <w:pPr>
        <w:spacing w:after="0" w:line="240" w:lineRule="auto"/>
      </w:pPr>
      <w:r>
        <w:separator/>
      </w:r>
    </w:p>
  </w:endnote>
  <w:endnote w:type="continuationSeparator" w:id="0">
    <w:p w14:paraId="30234090" w14:textId="77777777" w:rsidR="00FF53B1" w:rsidRDefault="00FF53B1" w:rsidP="009D26B7">
      <w:pPr>
        <w:spacing w:after="0" w:line="240" w:lineRule="auto"/>
      </w:pPr>
      <w:r>
        <w:continuationSeparator/>
      </w:r>
    </w:p>
  </w:endnote>
  <w:endnote w:type="continuationNotice" w:id="1">
    <w:p w14:paraId="228E5A18" w14:textId="77777777" w:rsidR="00FF53B1" w:rsidRDefault="00FF5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9CA5" w14:textId="77777777" w:rsidR="00FF53B1" w:rsidRDefault="00FF53B1" w:rsidP="009D26B7">
      <w:pPr>
        <w:spacing w:after="0" w:line="240" w:lineRule="auto"/>
      </w:pPr>
      <w:r>
        <w:separator/>
      </w:r>
    </w:p>
  </w:footnote>
  <w:footnote w:type="continuationSeparator" w:id="0">
    <w:p w14:paraId="0111F190" w14:textId="77777777" w:rsidR="00FF53B1" w:rsidRDefault="00FF53B1" w:rsidP="009D26B7">
      <w:pPr>
        <w:spacing w:after="0" w:line="240" w:lineRule="auto"/>
      </w:pPr>
      <w:r>
        <w:continuationSeparator/>
      </w:r>
    </w:p>
  </w:footnote>
  <w:footnote w:type="continuationNotice" w:id="1">
    <w:p w14:paraId="6F872982" w14:textId="77777777" w:rsidR="00FF53B1" w:rsidRDefault="00FF5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A941" w14:textId="29766FA0" w:rsidR="009D26B7" w:rsidRDefault="00FF53B1">
    <w:pPr>
      <w:pStyle w:val="Header"/>
    </w:pPr>
    <w:r>
      <w:rPr>
        <w:noProof/>
      </w:rPr>
      <w:pict w14:anchorId="399BC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2pt;height:212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3E57" w14:textId="70D49C32" w:rsidR="00A95375" w:rsidRDefault="00A95375" w:rsidP="00A95375">
    <w:pPr>
      <w:pStyle w:val="Header"/>
      <w:jc w:val="right"/>
    </w:pPr>
    <w:r>
      <w:t>September 2021</w:t>
    </w:r>
  </w:p>
  <w:p w14:paraId="4DE8DF0A" w14:textId="67A940DD" w:rsidR="009D26B7" w:rsidRDefault="009D2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51BE" w14:textId="70B53815" w:rsidR="009D26B7" w:rsidRDefault="00FF53B1">
    <w:pPr>
      <w:pStyle w:val="Header"/>
    </w:pPr>
    <w:r>
      <w:rPr>
        <w:noProof/>
      </w:rPr>
      <w:pict w14:anchorId="55531E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24.2pt;height:21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6F"/>
    <w:multiLevelType w:val="hybridMultilevel"/>
    <w:tmpl w:val="6C0099F8"/>
    <w:lvl w:ilvl="0" w:tplc="70D40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6F8"/>
    <w:multiLevelType w:val="multilevel"/>
    <w:tmpl w:val="5E4E6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EF65197"/>
    <w:multiLevelType w:val="multilevel"/>
    <w:tmpl w:val="C67E65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65237E4"/>
    <w:multiLevelType w:val="multilevel"/>
    <w:tmpl w:val="CE66D3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3B225985"/>
    <w:multiLevelType w:val="multilevel"/>
    <w:tmpl w:val="FB1ACA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5462F5"/>
    <w:multiLevelType w:val="multilevel"/>
    <w:tmpl w:val="5E4E6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726B71"/>
    <w:multiLevelType w:val="multilevel"/>
    <w:tmpl w:val="5E4E6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C82F30"/>
    <w:multiLevelType w:val="multilevel"/>
    <w:tmpl w:val="5E4E6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8283F83"/>
    <w:multiLevelType w:val="multilevel"/>
    <w:tmpl w:val="901275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65AB5"/>
    <w:multiLevelType w:val="multilevel"/>
    <w:tmpl w:val="4252C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8571DF"/>
    <w:multiLevelType w:val="multilevel"/>
    <w:tmpl w:val="5E4E6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61C7AC3"/>
    <w:multiLevelType w:val="hybridMultilevel"/>
    <w:tmpl w:val="B54E2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0366E"/>
    <w:multiLevelType w:val="multilevel"/>
    <w:tmpl w:val="99026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7327B5"/>
    <w:multiLevelType w:val="multilevel"/>
    <w:tmpl w:val="5E4E6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97"/>
    <w:rsid w:val="000314C0"/>
    <w:rsid w:val="000478B5"/>
    <w:rsid w:val="00051706"/>
    <w:rsid w:val="00055705"/>
    <w:rsid w:val="00077376"/>
    <w:rsid w:val="000A381E"/>
    <w:rsid w:val="000A6029"/>
    <w:rsid w:val="000C3582"/>
    <w:rsid w:val="000C712F"/>
    <w:rsid w:val="000C7AF2"/>
    <w:rsid w:val="000D7643"/>
    <w:rsid w:val="000E03F8"/>
    <w:rsid w:val="000F0091"/>
    <w:rsid w:val="000F14E4"/>
    <w:rsid w:val="000F38E3"/>
    <w:rsid w:val="00107AE6"/>
    <w:rsid w:val="00140A1B"/>
    <w:rsid w:val="00141AFF"/>
    <w:rsid w:val="00171067"/>
    <w:rsid w:val="0018123D"/>
    <w:rsid w:val="00192095"/>
    <w:rsid w:val="00196CA7"/>
    <w:rsid w:val="001C1840"/>
    <w:rsid w:val="001E3406"/>
    <w:rsid w:val="001F4865"/>
    <w:rsid w:val="001F4C3C"/>
    <w:rsid w:val="0022186C"/>
    <w:rsid w:val="00227947"/>
    <w:rsid w:val="00260EDE"/>
    <w:rsid w:val="0027221C"/>
    <w:rsid w:val="002927F1"/>
    <w:rsid w:val="002B6532"/>
    <w:rsid w:val="002C739C"/>
    <w:rsid w:val="002E52F7"/>
    <w:rsid w:val="002F0B53"/>
    <w:rsid w:val="0030131A"/>
    <w:rsid w:val="0030182F"/>
    <w:rsid w:val="00304CF0"/>
    <w:rsid w:val="00314F4C"/>
    <w:rsid w:val="0035136F"/>
    <w:rsid w:val="0035187A"/>
    <w:rsid w:val="00374B7D"/>
    <w:rsid w:val="003A1297"/>
    <w:rsid w:val="003C179A"/>
    <w:rsid w:val="003C260E"/>
    <w:rsid w:val="003E0A72"/>
    <w:rsid w:val="003E73E1"/>
    <w:rsid w:val="003F5B74"/>
    <w:rsid w:val="0044220C"/>
    <w:rsid w:val="00465B32"/>
    <w:rsid w:val="004823A3"/>
    <w:rsid w:val="00487A38"/>
    <w:rsid w:val="004A59A3"/>
    <w:rsid w:val="004C2F2A"/>
    <w:rsid w:val="004C7A04"/>
    <w:rsid w:val="004E228A"/>
    <w:rsid w:val="004F284B"/>
    <w:rsid w:val="004F5540"/>
    <w:rsid w:val="00506627"/>
    <w:rsid w:val="00517295"/>
    <w:rsid w:val="0052237B"/>
    <w:rsid w:val="00523A97"/>
    <w:rsid w:val="00541AC1"/>
    <w:rsid w:val="00543619"/>
    <w:rsid w:val="0055134D"/>
    <w:rsid w:val="005717DF"/>
    <w:rsid w:val="0057468B"/>
    <w:rsid w:val="00576902"/>
    <w:rsid w:val="005974D3"/>
    <w:rsid w:val="005A71D1"/>
    <w:rsid w:val="005C0385"/>
    <w:rsid w:val="005E52B0"/>
    <w:rsid w:val="006326A0"/>
    <w:rsid w:val="00632A6B"/>
    <w:rsid w:val="006376ED"/>
    <w:rsid w:val="006437C6"/>
    <w:rsid w:val="006450FB"/>
    <w:rsid w:val="00660342"/>
    <w:rsid w:val="0066477A"/>
    <w:rsid w:val="00690B68"/>
    <w:rsid w:val="00690CBF"/>
    <w:rsid w:val="006B1C5A"/>
    <w:rsid w:val="006C1EA9"/>
    <w:rsid w:val="006C71A6"/>
    <w:rsid w:val="006D43D7"/>
    <w:rsid w:val="007438F0"/>
    <w:rsid w:val="00786055"/>
    <w:rsid w:val="00791085"/>
    <w:rsid w:val="00793985"/>
    <w:rsid w:val="007A12BF"/>
    <w:rsid w:val="007A62F5"/>
    <w:rsid w:val="007C2F6E"/>
    <w:rsid w:val="007E5DBB"/>
    <w:rsid w:val="007E6C4A"/>
    <w:rsid w:val="007E7398"/>
    <w:rsid w:val="007E7C43"/>
    <w:rsid w:val="00805B22"/>
    <w:rsid w:val="00876056"/>
    <w:rsid w:val="008A1D06"/>
    <w:rsid w:val="008A6791"/>
    <w:rsid w:val="008C1DF2"/>
    <w:rsid w:val="008C277D"/>
    <w:rsid w:val="008C7A53"/>
    <w:rsid w:val="008D5CB7"/>
    <w:rsid w:val="008D7A1B"/>
    <w:rsid w:val="008E0683"/>
    <w:rsid w:val="008E3D76"/>
    <w:rsid w:val="009240D1"/>
    <w:rsid w:val="009330B8"/>
    <w:rsid w:val="009355F6"/>
    <w:rsid w:val="009615DC"/>
    <w:rsid w:val="00963F1D"/>
    <w:rsid w:val="0096574F"/>
    <w:rsid w:val="00975831"/>
    <w:rsid w:val="009A52E8"/>
    <w:rsid w:val="009C7021"/>
    <w:rsid w:val="009D26B7"/>
    <w:rsid w:val="009D4E77"/>
    <w:rsid w:val="00A155F8"/>
    <w:rsid w:val="00A229FB"/>
    <w:rsid w:val="00A47770"/>
    <w:rsid w:val="00A9505D"/>
    <w:rsid w:val="00A95375"/>
    <w:rsid w:val="00AA4587"/>
    <w:rsid w:val="00AC33A1"/>
    <w:rsid w:val="00AC7311"/>
    <w:rsid w:val="00AF4A65"/>
    <w:rsid w:val="00B135DB"/>
    <w:rsid w:val="00B51613"/>
    <w:rsid w:val="00B52F8A"/>
    <w:rsid w:val="00B52FCB"/>
    <w:rsid w:val="00B53A59"/>
    <w:rsid w:val="00B65BC0"/>
    <w:rsid w:val="00B714EE"/>
    <w:rsid w:val="00B7167A"/>
    <w:rsid w:val="00B730D2"/>
    <w:rsid w:val="00B819AF"/>
    <w:rsid w:val="00B91984"/>
    <w:rsid w:val="00BC34EE"/>
    <w:rsid w:val="00BD3909"/>
    <w:rsid w:val="00BD459A"/>
    <w:rsid w:val="00BE28DA"/>
    <w:rsid w:val="00BE61AB"/>
    <w:rsid w:val="00C25725"/>
    <w:rsid w:val="00C26F3A"/>
    <w:rsid w:val="00C51950"/>
    <w:rsid w:val="00C54C74"/>
    <w:rsid w:val="00C56E21"/>
    <w:rsid w:val="00C74D0D"/>
    <w:rsid w:val="00C7593F"/>
    <w:rsid w:val="00CB4194"/>
    <w:rsid w:val="00CD4366"/>
    <w:rsid w:val="00CF11CA"/>
    <w:rsid w:val="00D06DA7"/>
    <w:rsid w:val="00D3496C"/>
    <w:rsid w:val="00D37DD0"/>
    <w:rsid w:val="00D5077C"/>
    <w:rsid w:val="00D72115"/>
    <w:rsid w:val="00D81954"/>
    <w:rsid w:val="00D820AA"/>
    <w:rsid w:val="00D86584"/>
    <w:rsid w:val="00DC49C0"/>
    <w:rsid w:val="00DC560A"/>
    <w:rsid w:val="00DD2B52"/>
    <w:rsid w:val="00DD5EDD"/>
    <w:rsid w:val="00DE1231"/>
    <w:rsid w:val="00E10E65"/>
    <w:rsid w:val="00E15F1B"/>
    <w:rsid w:val="00E25FF0"/>
    <w:rsid w:val="00E42ED5"/>
    <w:rsid w:val="00E45C6C"/>
    <w:rsid w:val="00E52398"/>
    <w:rsid w:val="00E6232E"/>
    <w:rsid w:val="00E64BF6"/>
    <w:rsid w:val="00E7453D"/>
    <w:rsid w:val="00E95CF5"/>
    <w:rsid w:val="00EC6E38"/>
    <w:rsid w:val="00ED54DF"/>
    <w:rsid w:val="00ED7A9C"/>
    <w:rsid w:val="00EE65A8"/>
    <w:rsid w:val="00F0769C"/>
    <w:rsid w:val="00F168A3"/>
    <w:rsid w:val="00F22631"/>
    <w:rsid w:val="00F45315"/>
    <w:rsid w:val="00F93163"/>
    <w:rsid w:val="00F97653"/>
    <w:rsid w:val="00FA2458"/>
    <w:rsid w:val="00FA47C3"/>
    <w:rsid w:val="00FD1C31"/>
    <w:rsid w:val="00FD7993"/>
    <w:rsid w:val="00FF53B1"/>
    <w:rsid w:val="00FF6FD7"/>
    <w:rsid w:val="2831B687"/>
    <w:rsid w:val="598B2F67"/>
    <w:rsid w:val="674FB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487B8"/>
  <w15:chartTrackingRefBased/>
  <w15:docId w15:val="{523163A1-D026-4B5D-A9B9-F9E8BEE7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B7"/>
  </w:style>
  <w:style w:type="paragraph" w:styleId="Footer">
    <w:name w:val="footer"/>
    <w:basedOn w:val="Normal"/>
    <w:link w:val="FooterChar"/>
    <w:uiPriority w:val="99"/>
    <w:unhideWhenUsed/>
    <w:rsid w:val="009D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B7"/>
  </w:style>
  <w:style w:type="character" w:styleId="CommentReference">
    <w:name w:val="annotation reference"/>
    <w:basedOn w:val="DefaultParagraphFont"/>
    <w:uiPriority w:val="99"/>
    <w:semiHidden/>
    <w:unhideWhenUsed/>
    <w:rsid w:val="0037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B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0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dcd4d639-de5a-4bad-aded-2c25c5bf9fca">Official</Security_x0020_Classification>
    <k0cb5e08406545c18344e2142bcf0abc xmlns="dcd4d639-de5a-4bad-aded-2c25c5bf9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f29c6095-23f9-4e5c-80b1-40494eedce37</TermId>
        </TermInfo>
      </Terms>
    </k0cb5e08406545c18344e2142bcf0abc>
    <TaxKeywordTaxHTField xmlns="dcd4d639-de5a-4bad-aded-2c25c5bf9fca">
      <Terms xmlns="http://schemas.microsoft.com/office/infopath/2007/PartnerControls"/>
    </TaxKeywordTaxHTField>
    <RoutingRuleDescription xmlns="http://schemas.microsoft.com/sharepoint/v3" xsi:nil="true"/>
    <n300bd280aac47c8b25aa7458bf0f8c4 xmlns="dcd4d639-de5a-4bad-aded-2c25c5bf9fca">
      <Terms xmlns="http://schemas.microsoft.com/office/infopath/2007/PartnerControls"/>
    </n300bd280aac47c8b25aa7458bf0f8c4>
    <TaxCatchAll xmlns="dcd4d639-de5a-4bad-aded-2c25c5bf9fca">
      <Value>616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vernance Document" ma:contentTypeID="0x010100943D46E95D4A1B4FBA60C8AEF611E21902050A00ECBCD2ED6A79364D933072DCE27DD979" ma:contentTypeVersion="3" ma:contentTypeDescription="" ma:contentTypeScope="" ma:versionID="fd2b00ca6453ec76ffb1ab7a668c2306">
  <xsd:schema xmlns:xsd="http://www.w3.org/2001/XMLSchema" xmlns:xs="http://www.w3.org/2001/XMLSchema" xmlns:p="http://schemas.microsoft.com/office/2006/metadata/properties" xmlns:ns1="http://schemas.microsoft.com/sharepoint/v3" xmlns:ns2="dcd4d639-de5a-4bad-aded-2c25c5bf9fca" targetNamespace="http://schemas.microsoft.com/office/2006/metadata/properties" ma:root="true" ma:fieldsID="6deb0ea8eeefa485cf5ba3fd6f2ac44e" ns1:_="" ns2:_="">
    <xsd:import namespace="http://schemas.microsoft.com/sharepoint/v3"/>
    <xsd:import namespace="dcd4d639-de5a-4bad-aded-2c25c5bf9fc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ecurity_x0020_Classification" minOccurs="0"/>
                <xsd:element ref="ns1:_dlc_ExpireDateSaved" minOccurs="0"/>
                <xsd:element ref="ns1:_dlc_ExpireDate" minOccurs="0"/>
                <xsd:element ref="ns2:TaxKeywordTaxHTField" minOccurs="0"/>
                <xsd:element ref="ns2:TaxCatchAll" minOccurs="0"/>
                <xsd:element ref="ns2:k0cb5e08406545c18344e2142bcf0abc" minOccurs="0"/>
                <xsd:element ref="ns2:TaxCatchAllLabel" minOccurs="0"/>
                <xsd:element ref="ns2:n300bd280aac47c8b25aa7458bf0f8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639-de5a-4bad-aded-2c25c5bf9fca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6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7c85119-18d9-41e7-8c9c-94d8ffdc55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c433a5c-3124-47a8-9645-d8cdf6433fde}" ma:internalName="TaxCatchAll" ma:showField="CatchAllData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cb5e08406545c18344e2142bcf0abc" ma:index="15" nillable="true" ma:taxonomy="true" ma:internalName="k0cb5e08406545c18344e2142bcf0abc" ma:taxonomyFieldName="Function" ma:displayName="Function" ma:default="" ma:fieldId="{40cb5e08-4065-45c1-8344-e2142bcf0abc}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8c433a5c-3124-47a8-9645-d8cdf6433fde}" ma:internalName="TaxCatchAllLabel" ma:readOnly="true" ma:showField="CatchAllDataLabel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00bd280aac47c8b25aa7458bf0f8c4" ma:index="17" nillable="true" ma:taxonomy="true" ma:internalName="n300bd280aac47c8b25aa7458bf0f8c4" ma:taxonomyFieldName="Related_x0020_Functions" ma:displayName="Related Functions" ma:default="" ma:fieldId="{7300bd28-0aac-47c8-b25a-a7458bf0f8c4}" ma:taxonomyMulti="true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97c85119-18d9-41e7-8c9c-94d8ffdc55dc" ContentTypeId="0x010100943D46E95D4A1B4FBA60C8AEF611E21902050A" PreviousValue="false"/>
</file>

<file path=customXml/itemProps1.xml><?xml version="1.0" encoding="utf-8"?>
<ds:datastoreItem xmlns:ds="http://schemas.openxmlformats.org/officeDocument/2006/customXml" ds:itemID="{C87EE651-B937-4009-9704-E3EF729B77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081F72-A318-41E2-B762-5C2755FBE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3C7F508-DE7F-4C68-955C-59E335294EA7}">
  <ds:schemaRefs>
    <ds:schemaRef ds:uri="http://schemas.microsoft.com/office/2006/metadata/properties"/>
    <ds:schemaRef ds:uri="http://schemas.microsoft.com/office/infopath/2007/PartnerControls"/>
    <ds:schemaRef ds:uri="dcd4d639-de5a-4bad-aded-2c25c5bf9fc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B94BC0-B899-434B-BDD7-755DFB9A4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4d639-de5a-4bad-aded-2c25c5bf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63AE88-DBDD-4F32-BAEF-90D5F7BBD4D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BBA308-A29B-4A9B-A644-F03C6F0C744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Child</dc:creator>
  <cp:keywords/>
  <dc:description/>
  <cp:lastModifiedBy>Laura Cox</cp:lastModifiedBy>
  <cp:revision>3</cp:revision>
  <dcterms:created xsi:type="dcterms:W3CDTF">2021-09-09T11:24:00Z</dcterms:created>
  <dcterms:modified xsi:type="dcterms:W3CDTF">2021-09-17T09:01:00Z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0x010100943D46E95D4A1B4FBA60C8AEF611E21902050A00ECBCD2ED6A79364D933072DCE27DD979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Related Functions">
    <vt:lpwstr/>
  </property>
  <property fmtid="{D5CDD505-2E9C-101B-9397-08002B2CF9AE}" pid="7" name="Function">
    <vt:lpwstr>616;#Governance|f29c6095-23f9-4e5c-80b1-40494eedce37</vt:lpwstr>
  </property>
  <property fmtid="{D5CDD505-2E9C-101B-9397-08002B2CF9AE}" pid="8" name="Operator">
    <vt:lpwstr/>
  </property>
  <property fmtid="{D5CDD505-2E9C-101B-9397-08002B2CF9AE}" pid="9" name="ca506676becf4cdbb613025592e6b965">
    <vt:lpwstr/>
  </property>
  <property fmtid="{D5CDD505-2E9C-101B-9397-08002B2CF9AE}" pid="10" name="j67390757fa349cbaf93204f5bf3176a">
    <vt:lpwstr/>
  </property>
  <property fmtid="{D5CDD505-2E9C-101B-9397-08002B2CF9AE}" pid="11" name="Stakeholder">
    <vt:lpwstr/>
  </property>
</Properties>
</file>