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51EF" w:rsidR="003D381B" w:rsidP="003D381B" w:rsidRDefault="003D381B" w14:paraId="00782573" w14:textId="2AB9E699">
      <w:pPr>
        <w:jc w:val="center"/>
        <w:rPr>
          <w:b/>
          <w:bCs/>
          <w:sz w:val="24"/>
          <w:szCs w:val="24"/>
        </w:rPr>
      </w:pPr>
      <w:bookmarkStart w:name="_GoBack" w:id="0"/>
      <w:bookmarkEnd w:id="0"/>
      <w:r w:rsidRPr="001051EF">
        <w:rPr>
          <w:b/>
          <w:bCs/>
          <w:color w:val="0070C0"/>
          <w:sz w:val="24"/>
          <w:szCs w:val="24"/>
        </w:rPr>
        <w:t xml:space="preserve">Information for organisations seeking approval for funding through </w:t>
      </w:r>
      <w:r w:rsidRPr="001051EF" w:rsidR="00B813B1">
        <w:rPr>
          <w:b/>
          <w:bCs/>
          <w:color w:val="0070C0"/>
          <w:sz w:val="24"/>
          <w:szCs w:val="24"/>
        </w:rPr>
        <w:t>payments</w:t>
      </w:r>
      <w:r w:rsidRPr="001051EF">
        <w:rPr>
          <w:b/>
          <w:bCs/>
          <w:color w:val="0070C0"/>
          <w:sz w:val="24"/>
          <w:szCs w:val="24"/>
        </w:rPr>
        <w:t xml:space="preserve"> in lieu of financial penalties</w:t>
      </w:r>
      <w:r w:rsidRPr="001051EF" w:rsidR="00212407">
        <w:rPr>
          <w:b/>
          <w:bCs/>
          <w:color w:val="0070C0"/>
          <w:sz w:val="24"/>
          <w:szCs w:val="24"/>
        </w:rPr>
        <w:t>, made by licensees</w:t>
      </w:r>
    </w:p>
    <w:p w:rsidRPr="003D381B" w:rsidR="003D381B" w:rsidP="0053175C" w:rsidRDefault="003D381B" w14:paraId="7EB06B50" w14:textId="18BF11D8">
      <w:pPr>
        <w:pStyle w:val="ListParagraph"/>
        <w:numPr>
          <w:ilvl w:val="0"/>
          <w:numId w:val="1"/>
        </w:numPr>
        <w:spacing w:line="280" w:lineRule="exact"/>
        <w:contextualSpacing/>
        <w:rPr>
          <w:rFonts w:ascii="Arial" w:hAnsi="Arial" w:cs="Arial"/>
        </w:rPr>
      </w:pPr>
      <w:r w:rsidRPr="0062229F">
        <w:rPr>
          <w:rFonts w:ascii="Arial" w:hAnsi="Arial" w:cs="Arial"/>
        </w:rPr>
        <w:t xml:space="preserve">The Commission </w:t>
      </w:r>
      <w:r w:rsidRPr="0062229F" w:rsidR="003B0326">
        <w:rPr>
          <w:rFonts w:ascii="Arial" w:hAnsi="Arial" w:cs="Arial"/>
        </w:rPr>
        <w:t xml:space="preserve">reserves the power to </w:t>
      </w:r>
      <w:r w:rsidRPr="0062229F">
        <w:rPr>
          <w:rFonts w:ascii="Arial" w:hAnsi="Arial" w:cs="Arial"/>
        </w:rPr>
        <w:t xml:space="preserve">approve the destinations of </w:t>
      </w:r>
      <w:r w:rsidRPr="005815F8" w:rsidR="003B0326">
        <w:rPr>
          <w:rFonts w:ascii="Arial" w:hAnsi="Arial" w:cs="Arial"/>
          <w:b/>
          <w:bCs/>
          <w:color w:val="0070C0"/>
        </w:rPr>
        <w:t>payments in lieu of financial penalties</w:t>
      </w:r>
      <w:r w:rsidRPr="0062229F" w:rsidR="003B0326">
        <w:rPr>
          <w:rFonts w:ascii="Arial" w:hAnsi="Arial" w:cs="Arial"/>
        </w:rPr>
        <w:t xml:space="preserve">, which are agreed as part of a </w:t>
      </w:r>
      <w:r w:rsidRPr="0062229F">
        <w:rPr>
          <w:rFonts w:ascii="Arial" w:hAnsi="Arial" w:cs="Arial"/>
        </w:rPr>
        <w:t>regulatory settlement in line with the Commission’s Statement of Principles</w:t>
      </w:r>
      <w:r w:rsidRPr="003D381B">
        <w:rPr>
          <w:rFonts w:ascii="Arial" w:hAnsi="Arial" w:cs="Arial"/>
        </w:rPr>
        <w:t xml:space="preserve"> for Determining Financial Penalties</w:t>
      </w:r>
      <w:r w:rsidR="003B0326">
        <w:rPr>
          <w:rFonts w:ascii="Arial" w:hAnsi="Arial" w:cs="Arial"/>
        </w:rPr>
        <w:t xml:space="preserve">. </w:t>
      </w:r>
      <w:r w:rsidR="0062229F">
        <w:rPr>
          <w:rFonts w:ascii="Arial" w:hAnsi="Arial" w:cs="Arial"/>
        </w:rPr>
        <w:t>Note</w:t>
      </w:r>
      <w:r w:rsidRPr="003D381B">
        <w:rPr>
          <w:rFonts w:ascii="Arial" w:hAnsi="Arial" w:cs="Arial"/>
        </w:rPr>
        <w:t xml:space="preserve"> the following extract:</w:t>
      </w:r>
    </w:p>
    <w:p w:rsidR="0053175C" w:rsidP="003D381B" w:rsidRDefault="0053175C" w14:paraId="7601580F" w14:textId="77777777">
      <w:pPr>
        <w:autoSpaceDE w:val="0"/>
        <w:autoSpaceDN w:val="0"/>
        <w:ind w:firstLine="720"/>
        <w:rPr>
          <w:rFonts w:cs="Arial"/>
          <w:b/>
          <w:bCs/>
          <w:i/>
          <w:color w:val="000000"/>
        </w:rPr>
      </w:pPr>
    </w:p>
    <w:p w:rsidRPr="00FC07AA" w:rsidR="003D381B" w:rsidP="003D381B" w:rsidRDefault="003D381B" w14:paraId="3278CE44" w14:textId="52B7F365">
      <w:pPr>
        <w:autoSpaceDE w:val="0"/>
        <w:autoSpaceDN w:val="0"/>
        <w:ind w:firstLine="72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Payments in lieu of financial penalties </w:t>
      </w:r>
    </w:p>
    <w:p w:rsidRPr="00FC07AA" w:rsidR="003D381B" w:rsidP="003D381B" w:rsidRDefault="003D381B" w14:paraId="5F8DD108" w14:textId="77777777">
      <w:pPr>
        <w:ind w:left="1440" w:hanging="720"/>
        <w:rPr>
          <w:rFonts w:cs="Arial"/>
          <w:i/>
        </w:rPr>
      </w:pPr>
      <w:r w:rsidRPr="00FC07AA">
        <w:rPr>
          <w:rFonts w:cs="Arial"/>
          <w:b/>
          <w:bCs/>
          <w:i/>
          <w:color w:val="000000"/>
        </w:rPr>
        <w:t xml:space="preserve">2.14 </w:t>
      </w:r>
      <w:r w:rsidRPr="00FC07AA">
        <w:rPr>
          <w:rFonts w:cs="Arial"/>
          <w:b/>
          <w:bCs/>
          <w:i/>
          <w:color w:val="000000"/>
        </w:rPr>
        <w:tab/>
      </w:r>
      <w:r w:rsidRPr="00FC07AA">
        <w:rPr>
          <w:rFonts w:cs="Arial"/>
          <w:i/>
          <w:color w:val="000000"/>
        </w:rPr>
        <w:t xml:space="preserve">Payments made in lieu of a financial penalty as part of a regulatory settlement do not need to be paid into the Consolidated Fund as financial penalties imposed under section 121 do. As a </w:t>
      </w:r>
      <w:proofErr w:type="gramStart"/>
      <w:r w:rsidRPr="00FC07AA">
        <w:rPr>
          <w:rFonts w:cs="Arial"/>
          <w:i/>
          <w:color w:val="000000"/>
        </w:rPr>
        <w:t>result</w:t>
      </w:r>
      <w:proofErr w:type="gramEnd"/>
      <w:r w:rsidRPr="00FC07AA">
        <w:rPr>
          <w:rFonts w:cs="Arial"/>
          <w:i/>
          <w:color w:val="000000"/>
        </w:rPr>
        <w:t xml:space="preserve"> there is more flexibility about how such monies may be used. However, The Commission will apply the following principles in approaching such agreed payments:</w:t>
      </w:r>
    </w:p>
    <w:p w:rsidRPr="00FC07AA" w:rsidR="003D381B" w:rsidP="003D381B" w:rsidRDefault="003D381B" w14:paraId="2EC5D9A5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proofErr w:type="spellStart"/>
      <w:r w:rsidRPr="00FC07AA">
        <w:rPr>
          <w:rFonts w:cs="Arial"/>
          <w:b/>
          <w:bCs/>
          <w:i/>
          <w:color w:val="000000"/>
        </w:rPr>
        <w:t>i.</w:t>
      </w:r>
      <w:r w:rsidRPr="00FC07AA">
        <w:rPr>
          <w:rFonts w:cs="Arial"/>
          <w:i/>
          <w:color w:val="000000"/>
        </w:rPr>
        <w:t>The</w:t>
      </w:r>
      <w:proofErr w:type="spellEnd"/>
      <w:r w:rsidRPr="00FC07AA">
        <w:rPr>
          <w:rFonts w:cs="Arial"/>
          <w:i/>
          <w:color w:val="000000"/>
        </w:rPr>
        <w:t xml:space="preserve"> Commission reserves the power to approve the destination of monies paid as part of a regulatory settlement </w:t>
      </w:r>
    </w:p>
    <w:p w:rsidRPr="00FC07AA" w:rsidR="003D381B" w:rsidP="003D381B" w:rsidRDefault="003D381B" w14:paraId="773B5C57" w14:textId="77777777">
      <w:pPr>
        <w:autoSpaceDE w:val="0"/>
        <w:autoSpaceDN w:val="0"/>
        <w:ind w:left="1440" w:firstLine="72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ii. </w:t>
      </w:r>
      <w:r w:rsidRPr="00FC07AA">
        <w:rPr>
          <w:rFonts w:cs="Arial"/>
          <w:i/>
          <w:color w:val="000000"/>
        </w:rPr>
        <w:t xml:space="preserve">Operators must not generate positive publicity from the settlement </w:t>
      </w:r>
    </w:p>
    <w:p w:rsidRPr="00FC07AA" w:rsidR="003D381B" w:rsidP="003D381B" w:rsidRDefault="003D381B" w14:paraId="3B5267CC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iii. </w:t>
      </w:r>
      <w:r w:rsidRPr="00FC07AA">
        <w:rPr>
          <w:rFonts w:cs="Arial"/>
          <w:i/>
          <w:color w:val="000000"/>
        </w:rPr>
        <w:t xml:space="preserve">Payments need to be demonstrably over and above 'normal' RET contributions </w:t>
      </w:r>
    </w:p>
    <w:p w:rsidRPr="00FC07AA" w:rsidR="003D381B" w:rsidP="003D381B" w:rsidRDefault="003D381B" w14:paraId="6364D00E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iv. </w:t>
      </w:r>
      <w:r w:rsidRPr="00FC07AA">
        <w:rPr>
          <w:rFonts w:cs="Arial"/>
          <w:i/>
          <w:color w:val="000000"/>
        </w:rPr>
        <w:t xml:space="preserve">Where practicable, the operator should return money to any identified victims </w:t>
      </w:r>
    </w:p>
    <w:p w:rsidRPr="00FC07AA" w:rsidR="003D381B" w:rsidP="003D381B" w:rsidRDefault="003D381B" w14:paraId="2D8E85D9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v. </w:t>
      </w:r>
      <w:r w:rsidRPr="00FC07AA">
        <w:rPr>
          <w:rFonts w:cs="Arial"/>
          <w:i/>
          <w:color w:val="000000"/>
        </w:rPr>
        <w:t xml:space="preserve">If victims cannot be identified or there are no victims, the monies should be given to charity for socially responsible purposes </w:t>
      </w:r>
    </w:p>
    <w:p w:rsidRPr="00FC07AA" w:rsidR="003D381B" w:rsidP="003D381B" w:rsidRDefault="003D381B" w14:paraId="4FB1AABA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vi. </w:t>
      </w:r>
      <w:r w:rsidRPr="00FC07AA">
        <w:rPr>
          <w:rFonts w:cs="Arial"/>
          <w:i/>
          <w:color w:val="000000"/>
        </w:rPr>
        <w:t xml:space="preserve">Socially responsible purposes would include purposes which address gambling related harm or in some way promotes one or more of the licensing objectives </w:t>
      </w:r>
    </w:p>
    <w:p w:rsidRPr="00FC07AA" w:rsidR="003D381B" w:rsidP="003D381B" w:rsidRDefault="003D381B" w14:paraId="6DEF73B0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vii. </w:t>
      </w:r>
      <w:r w:rsidRPr="00FC07AA">
        <w:rPr>
          <w:rFonts w:cs="Arial"/>
          <w:i/>
          <w:color w:val="000000"/>
        </w:rPr>
        <w:t xml:space="preserve">where payments are made with the aim of addressing gambling-related harm, the presumption is that the money would be paid to GambleAware (formerly Responsible Gambling Trust) to be used for specific agreed purposes that accelerate their commissioning plans </w:t>
      </w:r>
    </w:p>
    <w:p w:rsidRPr="00FC07AA" w:rsidR="003D381B" w:rsidP="003D381B" w:rsidRDefault="003D381B" w14:paraId="16362A24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viii. </w:t>
      </w:r>
      <w:r w:rsidRPr="00FC07AA">
        <w:rPr>
          <w:rFonts w:cs="Arial"/>
          <w:i/>
          <w:color w:val="000000"/>
        </w:rPr>
        <w:t xml:space="preserve">Operators should have no interest in organisations who will receive divested funds </w:t>
      </w:r>
    </w:p>
    <w:p w:rsidRPr="00FC07AA" w:rsidR="003D381B" w:rsidP="003D381B" w:rsidRDefault="003D381B" w14:paraId="36FB5CA7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ix. </w:t>
      </w:r>
      <w:r w:rsidRPr="00FC07AA">
        <w:rPr>
          <w:rFonts w:cs="Arial"/>
          <w:i/>
          <w:color w:val="000000"/>
        </w:rPr>
        <w:t xml:space="preserve">There should be meaningful evaluation of the effectiveness of projects or research funded by a </w:t>
      </w:r>
      <w:proofErr w:type="gramStart"/>
      <w:r w:rsidRPr="00FC07AA">
        <w:rPr>
          <w:rFonts w:cs="Arial"/>
          <w:i/>
          <w:color w:val="000000"/>
        </w:rPr>
        <w:t>specific regulatory settlements</w:t>
      </w:r>
      <w:proofErr w:type="gramEnd"/>
      <w:r w:rsidRPr="00FC07AA">
        <w:rPr>
          <w:rFonts w:cs="Arial"/>
          <w:i/>
          <w:color w:val="000000"/>
        </w:rPr>
        <w:t xml:space="preserve"> </w:t>
      </w:r>
    </w:p>
    <w:p w:rsidRPr="00FC07AA" w:rsidR="003D381B" w:rsidP="003D381B" w:rsidRDefault="003D381B" w14:paraId="641E47A3" w14:textId="77777777">
      <w:pPr>
        <w:autoSpaceDE w:val="0"/>
        <w:autoSpaceDN w:val="0"/>
        <w:ind w:left="1440" w:firstLine="72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x. </w:t>
      </w:r>
      <w:r w:rsidRPr="00FC07AA">
        <w:rPr>
          <w:rFonts w:cs="Arial"/>
          <w:i/>
          <w:color w:val="000000"/>
        </w:rPr>
        <w:t xml:space="preserve">Research findings must be made public to help raise standards </w:t>
      </w:r>
    </w:p>
    <w:p w:rsidRPr="00FC07AA" w:rsidR="003D381B" w:rsidP="003D381B" w:rsidRDefault="003D381B" w14:paraId="78AF114D" w14:textId="77777777">
      <w:pPr>
        <w:autoSpaceDE w:val="0"/>
        <w:autoSpaceDN w:val="0"/>
        <w:ind w:left="2160"/>
        <w:rPr>
          <w:rFonts w:cs="Arial"/>
          <w:i/>
          <w:color w:val="000000"/>
        </w:rPr>
      </w:pPr>
      <w:r w:rsidRPr="00FC07AA">
        <w:rPr>
          <w:rFonts w:cs="Arial"/>
          <w:b/>
          <w:bCs/>
          <w:i/>
          <w:color w:val="000000"/>
        </w:rPr>
        <w:t xml:space="preserve">xi. </w:t>
      </w:r>
      <w:r w:rsidRPr="00FC07AA">
        <w:rPr>
          <w:rFonts w:cs="Arial"/>
          <w:i/>
          <w:color w:val="000000"/>
        </w:rPr>
        <w:t xml:space="preserve">Clear timeframes should be set for payment of monies and for delivery of work paid for from those monies. </w:t>
      </w:r>
    </w:p>
    <w:p w:rsidRPr="00FC07AA" w:rsidR="003D381B" w:rsidP="003D381B" w:rsidRDefault="003D381B" w14:paraId="474FECF6" w14:textId="237C06F9">
      <w:pPr>
        <w:pStyle w:val="ListParagraph"/>
        <w:numPr>
          <w:ilvl w:val="0"/>
          <w:numId w:val="1"/>
        </w:numPr>
        <w:spacing w:line="280" w:lineRule="exact"/>
        <w:contextualSpacing/>
        <w:rPr>
          <w:rFonts w:ascii="Arial" w:hAnsi="Arial" w:cs="Arial"/>
        </w:rPr>
      </w:pPr>
      <w:r w:rsidRPr="00FC07AA">
        <w:rPr>
          <w:rFonts w:ascii="Arial" w:hAnsi="Arial" w:cs="Arial"/>
        </w:rPr>
        <w:t xml:space="preserve">In applying the above principles, the </w:t>
      </w:r>
      <w:r w:rsidR="0053175C">
        <w:rPr>
          <w:rFonts w:ascii="Arial" w:hAnsi="Arial" w:cs="Arial"/>
        </w:rPr>
        <w:t>Commission</w:t>
      </w:r>
      <w:r w:rsidRPr="00FC07AA">
        <w:rPr>
          <w:rFonts w:ascii="Arial" w:hAnsi="Arial" w:cs="Arial"/>
        </w:rPr>
        <w:t xml:space="preserve"> </w:t>
      </w:r>
      <w:proofErr w:type="gramStart"/>
      <w:r w:rsidRPr="00FC07AA">
        <w:rPr>
          <w:rFonts w:ascii="Arial" w:hAnsi="Arial" w:cs="Arial"/>
        </w:rPr>
        <w:t>take</w:t>
      </w:r>
      <w:r w:rsidR="0053175C">
        <w:rPr>
          <w:rFonts w:ascii="Arial" w:hAnsi="Arial" w:cs="Arial"/>
        </w:rPr>
        <w:t>s</w:t>
      </w:r>
      <w:r w:rsidRPr="00FC07AA">
        <w:rPr>
          <w:rFonts w:ascii="Arial" w:hAnsi="Arial" w:cs="Arial"/>
        </w:rPr>
        <w:t xml:space="preserve"> into account</w:t>
      </w:r>
      <w:proofErr w:type="gramEnd"/>
      <w:r w:rsidRPr="00FC07AA">
        <w:rPr>
          <w:rFonts w:ascii="Arial" w:hAnsi="Arial" w:cs="Arial"/>
        </w:rPr>
        <w:t xml:space="preserve"> the following points, where relevant: </w:t>
      </w:r>
    </w:p>
    <w:p w:rsidRPr="00FC07AA" w:rsidR="003D381B" w:rsidP="003D381B" w:rsidRDefault="003D381B" w14:paraId="604263EB" w14:textId="77777777">
      <w:pPr>
        <w:pStyle w:val="ListParagraph"/>
        <w:numPr>
          <w:ilvl w:val="1"/>
          <w:numId w:val="1"/>
        </w:numPr>
        <w:spacing w:line="280" w:lineRule="exact"/>
        <w:contextualSpacing/>
        <w:rPr>
          <w:rFonts w:ascii="Arial" w:hAnsi="Arial" w:cs="Arial"/>
        </w:rPr>
      </w:pPr>
      <w:r w:rsidRPr="00FC07AA">
        <w:rPr>
          <w:rFonts w:ascii="Arial" w:hAnsi="Arial" w:cs="Arial"/>
        </w:rPr>
        <w:lastRenderedPageBreak/>
        <w:t>Where payments are made with the aim of addressing gambling-related harm, the funds should accelerate progress against the current National Strategy.</w:t>
      </w:r>
    </w:p>
    <w:p w:rsidRPr="00FC07AA" w:rsidR="003D381B" w:rsidP="003D381B" w:rsidRDefault="003D381B" w14:paraId="167DC0CB" w14:textId="77777777">
      <w:pPr>
        <w:pStyle w:val="ListParagraph"/>
        <w:numPr>
          <w:ilvl w:val="1"/>
          <w:numId w:val="1"/>
        </w:numPr>
        <w:spacing w:line="280" w:lineRule="exact"/>
        <w:contextualSpacing/>
        <w:rPr>
          <w:rFonts w:ascii="Arial" w:hAnsi="Arial" w:cs="Arial"/>
        </w:rPr>
      </w:pPr>
      <w:r w:rsidRPr="00FC07AA">
        <w:rPr>
          <w:rFonts w:ascii="Arial" w:hAnsi="Arial" w:cs="Arial"/>
        </w:rPr>
        <w:t>The operator must make the offer to direct funds under the current</w:t>
      </w:r>
      <w:r>
        <w:rPr>
          <w:rFonts w:ascii="Arial" w:hAnsi="Arial" w:cs="Arial"/>
        </w:rPr>
        <w:t xml:space="preserve"> </w:t>
      </w:r>
      <w:r w:rsidRPr="00FC07AA">
        <w:rPr>
          <w:rFonts w:ascii="Arial" w:hAnsi="Arial" w:cs="Arial"/>
        </w:rPr>
        <w:t>L</w:t>
      </w:r>
      <w:r>
        <w:rPr>
          <w:rFonts w:ascii="Arial" w:hAnsi="Arial" w:cs="Arial"/>
        </w:rPr>
        <w:t>icensing Compliance and Enforcement policy statement</w:t>
      </w:r>
      <w:r w:rsidRPr="00FC07AA">
        <w:rPr>
          <w:rFonts w:ascii="Arial" w:hAnsi="Arial" w:cs="Arial"/>
        </w:rPr>
        <w:t xml:space="preserve">, but may initially make a proposal which seeks Commission input on what destinations they would consider approvable, consistent with the approach set out in the current Statement of </w:t>
      </w:r>
      <w:r>
        <w:rPr>
          <w:rFonts w:ascii="Arial" w:hAnsi="Arial" w:cs="Arial"/>
        </w:rPr>
        <w:t xml:space="preserve">Principles for Determining </w:t>
      </w:r>
      <w:r w:rsidRPr="00FC07AA">
        <w:rPr>
          <w:rFonts w:ascii="Arial" w:hAnsi="Arial" w:cs="Arial"/>
        </w:rPr>
        <w:t>Financial Penalties.</w:t>
      </w:r>
    </w:p>
    <w:p w:rsidRPr="00FC07AA" w:rsidR="003D381B" w:rsidP="003D381B" w:rsidRDefault="003D381B" w14:paraId="7159FA58" w14:textId="77777777">
      <w:pPr>
        <w:pStyle w:val="ListParagraph"/>
        <w:numPr>
          <w:ilvl w:val="1"/>
          <w:numId w:val="1"/>
        </w:numPr>
        <w:spacing w:line="280" w:lineRule="exact"/>
        <w:contextualSpacing/>
        <w:rPr>
          <w:rFonts w:ascii="Arial" w:hAnsi="Arial" w:cs="Arial"/>
        </w:rPr>
      </w:pPr>
      <w:r w:rsidRPr="00FC07AA">
        <w:rPr>
          <w:rFonts w:ascii="Arial" w:hAnsi="Arial" w:cs="Arial"/>
        </w:rPr>
        <w:t>Approvals will track and take account of the potential for overlap of funding of projects or programmes of work with funding or commissioning from other organisations (where known).</w:t>
      </w:r>
    </w:p>
    <w:p w:rsidR="0053175C" w:rsidP="003D381B" w:rsidRDefault="003D381B" w14:paraId="75AFE1CB" w14:textId="77777777">
      <w:pPr>
        <w:pStyle w:val="ListParagraph"/>
        <w:numPr>
          <w:ilvl w:val="1"/>
          <w:numId w:val="1"/>
        </w:numPr>
        <w:spacing w:line="280" w:lineRule="exact"/>
        <w:contextualSpacing/>
        <w:rPr>
          <w:rFonts w:ascii="Arial" w:hAnsi="Arial" w:cs="Arial"/>
        </w:rPr>
      </w:pPr>
      <w:r w:rsidRPr="00FC07AA">
        <w:rPr>
          <w:rFonts w:ascii="Arial" w:hAnsi="Arial" w:cs="Arial"/>
        </w:rPr>
        <w:t>It will normally be more effective to use one-off payments for projects or programmes of work that will not require ongoing funding.</w:t>
      </w:r>
    </w:p>
    <w:p w:rsidRPr="0053175C" w:rsidR="0053175C" w:rsidP="003D381B" w:rsidRDefault="003D381B" w14:paraId="56CC8115" w14:textId="3E362A5F">
      <w:pPr>
        <w:pStyle w:val="ListParagraph"/>
        <w:numPr>
          <w:ilvl w:val="1"/>
          <w:numId w:val="1"/>
        </w:numPr>
        <w:spacing w:line="280" w:lineRule="exact"/>
        <w:contextualSpacing/>
        <w:rPr>
          <w:rFonts w:ascii="Arial" w:hAnsi="Arial" w:cs="Arial"/>
        </w:rPr>
      </w:pPr>
      <w:r w:rsidRPr="0053175C">
        <w:rPr>
          <w:rFonts w:ascii="Arial" w:hAnsi="Arial" w:cs="Arial"/>
        </w:rPr>
        <w:t>The body to be in receipt of the funds must be willing to accept the money with clear associated paperwork that the monies are part of a settlement in lieu of financial penalty, not a voluntary donation</w:t>
      </w:r>
      <w:r w:rsidR="00130859">
        <w:rPr>
          <w:b/>
          <w:bCs/>
        </w:rPr>
        <w:t>.</w:t>
      </w:r>
    </w:p>
    <w:p w:rsidRPr="0053175C" w:rsidR="0053175C" w:rsidP="0053175C" w:rsidRDefault="0053175C" w14:paraId="31688FD3" w14:textId="77777777">
      <w:pPr>
        <w:pStyle w:val="ListParagraph"/>
        <w:spacing w:line="280" w:lineRule="exact"/>
        <w:ind w:left="1440"/>
        <w:contextualSpacing/>
        <w:rPr>
          <w:rFonts w:ascii="Arial" w:hAnsi="Arial" w:cs="Arial"/>
        </w:rPr>
      </w:pPr>
    </w:p>
    <w:p w:rsidRPr="00BD5905" w:rsidR="00FB5F93" w:rsidP="00FB5F93" w:rsidRDefault="00BD5905" w14:paraId="518D8D7D" w14:textId="419CC1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Strict rules for operators</w:t>
      </w:r>
    </w:p>
    <w:p w:rsidR="00FB5F93" w:rsidP="00BD5905" w:rsidRDefault="00FB5F93" w14:paraId="2900F23B" w14:textId="0D940D4E">
      <w:pPr>
        <w:pStyle w:val="ListParagraph"/>
        <w:numPr>
          <w:ilvl w:val="0"/>
          <w:numId w:val="1"/>
        </w:numPr>
        <w:spacing w:line="280" w:lineRule="exact"/>
        <w:contextualSpacing/>
        <w:rPr>
          <w:rFonts w:ascii="Arial" w:hAnsi="Arial" w:cs="Arial"/>
        </w:rPr>
      </w:pPr>
      <w:r w:rsidRPr="00BD5905">
        <w:rPr>
          <w:rFonts w:ascii="Arial" w:hAnsi="Arial" w:cs="Arial"/>
        </w:rPr>
        <w:t>Under the terms of a settlement, there is to be no publicity or benefit for the operator in connection with the amount and we ask that it is recorded as a payment in relation to a regulatory settlement rather than a donation (to the extent that it is possible to clarify this in the records). We usually specify that the operator makes the payment as a restricted donation using the following wording:</w:t>
      </w:r>
    </w:p>
    <w:p w:rsidRPr="00BD5905" w:rsidR="00DC4872" w:rsidP="00DC4872" w:rsidRDefault="00DC4872" w14:paraId="03CF29A1" w14:textId="77777777">
      <w:pPr>
        <w:pStyle w:val="ListParagraph"/>
        <w:spacing w:line="280" w:lineRule="exact"/>
        <w:contextualSpacing/>
        <w:rPr>
          <w:rFonts w:ascii="Arial" w:hAnsi="Arial" w:cs="Arial"/>
        </w:rPr>
      </w:pPr>
    </w:p>
    <w:p w:rsidR="00FB5F93" w:rsidP="00DC4872" w:rsidRDefault="00FB5F93" w14:paraId="18960CEC" w14:textId="2F0FF8BA">
      <w:pPr>
        <w:ind w:left="1440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  <w:lang w:val="en-CA"/>
        </w:rPr>
        <w:t xml:space="preserve">In accordance with the regulatory settlement agreed with the Gambling Commission in lieu of a financial penalty, the monies represent a restricted donation to XXX to accelerate progress towards delivery of the National Strategy to Reduce Gambling Harms (and its successor) and to be allocated to projects </w:t>
      </w:r>
      <w:r w:rsidR="007763E5">
        <w:rPr>
          <w:rFonts w:ascii="Arial" w:hAnsi="Arial" w:cs="Arial"/>
          <w:i/>
          <w:iCs/>
          <w:sz w:val="20"/>
          <w:szCs w:val="20"/>
          <w:lang w:val="en-CA"/>
        </w:rPr>
        <w:t>approved by</w:t>
      </w:r>
      <w:r>
        <w:rPr>
          <w:rFonts w:ascii="Arial" w:hAnsi="Arial" w:cs="Arial"/>
          <w:i/>
          <w:iCs/>
          <w:sz w:val="20"/>
          <w:szCs w:val="20"/>
          <w:lang w:val="en-CA"/>
        </w:rPr>
        <w:t xml:space="preserve"> the Commission.</w:t>
      </w:r>
    </w:p>
    <w:p w:rsidRPr="00BD5905" w:rsidR="00FB5F93" w:rsidP="00BD5905" w:rsidRDefault="00495EBF" w14:paraId="26048A91" w14:textId="06692DB1">
      <w:pPr>
        <w:pStyle w:val="ListParagraph"/>
        <w:numPr>
          <w:ilvl w:val="0"/>
          <w:numId w:val="1"/>
        </w:numPr>
        <w:spacing w:line="280" w:lineRule="exact"/>
        <w:contextualSpacing/>
      </w:pPr>
      <w:r>
        <w:rPr>
          <w:rFonts w:ascii="Arial" w:hAnsi="Arial" w:cs="Arial"/>
        </w:rPr>
        <w:t>This wording is used to demonstrate that the</w:t>
      </w:r>
      <w:r w:rsidR="000143D9">
        <w:rPr>
          <w:rFonts w:ascii="Arial" w:hAnsi="Arial" w:cs="Arial"/>
        </w:rPr>
        <w:t xml:space="preserve"> </w:t>
      </w:r>
      <w:r w:rsidRPr="00212407" w:rsidR="000143D9">
        <w:rPr>
          <w:rFonts w:ascii="Arial" w:hAnsi="Arial" w:cs="Arial"/>
          <w:i/>
          <w:iCs/>
        </w:rPr>
        <w:t>delivery</w:t>
      </w:r>
      <w:r w:rsidR="000143D9">
        <w:rPr>
          <w:rFonts w:ascii="Arial" w:hAnsi="Arial" w:cs="Arial"/>
        </w:rPr>
        <w:t xml:space="preserve"> of the projects is free from inf</w:t>
      </w:r>
      <w:r w:rsidR="0036002B">
        <w:rPr>
          <w:rFonts w:ascii="Arial" w:hAnsi="Arial" w:cs="Arial"/>
        </w:rPr>
        <w:t>luence of the operators.</w:t>
      </w:r>
    </w:p>
    <w:p w:rsidR="00BD5905" w:rsidP="00BD5905" w:rsidRDefault="00BD5905" w14:paraId="24217137" w14:textId="77777777">
      <w:pPr>
        <w:pStyle w:val="ListParagraph"/>
        <w:spacing w:line="280" w:lineRule="exact"/>
        <w:contextualSpacing/>
      </w:pPr>
    </w:p>
    <w:p w:rsidRPr="00BD5905" w:rsidR="00FB5F93" w:rsidP="00BD5905" w:rsidRDefault="00FB5F93" w14:paraId="1744B146" w14:textId="0445A49B">
      <w:pPr>
        <w:pStyle w:val="ListParagraph"/>
        <w:numPr>
          <w:ilvl w:val="0"/>
          <w:numId w:val="1"/>
        </w:numPr>
        <w:spacing w:line="280" w:lineRule="exact"/>
        <w:contextualSpacing/>
      </w:pPr>
      <w:r w:rsidRPr="00BD5905">
        <w:rPr>
          <w:rFonts w:ascii="Arial" w:hAnsi="Arial" w:cs="Arial"/>
          <w:lang w:eastAsia="en-US"/>
        </w:rPr>
        <w:t xml:space="preserve">It may also be relevant to see the type of information we put out when sharing details of regulatory </w:t>
      </w:r>
      <w:r w:rsidRPr="00BD5905">
        <w:rPr>
          <w:rFonts w:ascii="Arial" w:hAnsi="Arial" w:cs="Arial"/>
        </w:rPr>
        <w:t>settlements</w:t>
      </w:r>
      <w:r w:rsidRPr="00BD5905">
        <w:rPr>
          <w:rFonts w:ascii="Arial" w:hAnsi="Arial" w:cs="Arial"/>
          <w:lang w:eastAsia="en-US"/>
        </w:rPr>
        <w:t xml:space="preserve">. </w:t>
      </w:r>
      <w:hyperlink w:history="1" r:id="rId11">
        <w:r w:rsidRPr="00BD5905">
          <w:rPr>
            <w:rStyle w:val="Hyperlink"/>
            <w:rFonts w:ascii="Arial" w:hAnsi="Arial" w:cs="Arial"/>
            <w:lang w:eastAsia="en-US"/>
          </w:rPr>
          <w:t>This example here</w:t>
        </w:r>
      </w:hyperlink>
      <w:r w:rsidRPr="00BD5905">
        <w:rPr>
          <w:rFonts w:ascii="Arial" w:hAnsi="Arial" w:cs="Arial"/>
          <w:lang w:eastAsia="en-US"/>
        </w:rPr>
        <w:t xml:space="preserve"> uses the wording ‘This settlement consists of: £4.8m payment in lieu of a financial penalty which will be directed towards delivering the National Strategy to Reduce Gambling Harms…’ which demonstrates the way in which the operator’s role is set out publicly.</w:t>
      </w:r>
    </w:p>
    <w:p w:rsidRPr="00BD5905" w:rsidR="00FB5F93" w:rsidP="00FB5F93" w:rsidRDefault="00FB5F93" w14:paraId="64EC9C43" w14:textId="259636CF">
      <w:pPr>
        <w:rPr>
          <w:rFonts w:ascii="Arial" w:hAnsi="Arial" w:cs="Arial"/>
          <w:b/>
          <w:bCs/>
          <w:sz w:val="20"/>
          <w:szCs w:val="20"/>
        </w:rPr>
      </w:pPr>
    </w:p>
    <w:p w:rsidRPr="00A762E6" w:rsidR="00105533" w:rsidP="00105533" w:rsidRDefault="00105533" w14:paraId="7A401E32" w14:textId="77777777">
      <w:pPr>
        <w:spacing w:line="280" w:lineRule="exact"/>
        <w:contextualSpacing/>
        <w:rPr>
          <w:rFonts w:ascii="Arial" w:hAnsi="Arial" w:eastAsia="Calibri" w:cs="Arial"/>
          <w:b/>
          <w:bCs/>
          <w:lang w:eastAsia="en-GB"/>
        </w:rPr>
      </w:pPr>
      <w:r w:rsidRPr="00A762E6">
        <w:rPr>
          <w:rFonts w:ascii="Arial" w:hAnsi="Arial" w:eastAsia="Calibri" w:cs="Arial"/>
          <w:b/>
          <w:bCs/>
          <w:lang w:eastAsia="en-GB"/>
        </w:rPr>
        <w:t>Overview of process</w:t>
      </w:r>
    </w:p>
    <w:p w:rsidR="00105533" w:rsidP="00105533" w:rsidRDefault="00105533" w14:paraId="08D36C76" w14:textId="77777777">
      <w:pPr>
        <w:spacing w:line="280" w:lineRule="exact"/>
        <w:contextualSpacing/>
        <w:rPr>
          <w:rFonts w:ascii="Arial" w:hAnsi="Arial" w:cs="Arial"/>
        </w:rPr>
      </w:pPr>
    </w:p>
    <w:p w:rsidRPr="00105533" w:rsidR="00105533" w:rsidP="00105533" w:rsidRDefault="00105533" w14:paraId="31F4ADEE" w14:textId="317D1C97">
      <w:pPr>
        <w:spacing w:line="280" w:lineRule="exact"/>
        <w:contextualSpacing/>
        <w:rPr>
          <w:rFonts w:ascii="Arial" w:hAnsi="Arial" w:cs="Arial"/>
        </w:rPr>
      </w:pPr>
      <w:r w:rsidRPr="00105533">
        <w:rPr>
          <w:rFonts w:ascii="Arial" w:hAnsi="Arial" w:cs="Arial"/>
        </w:rPr>
        <w:t>The diagram</w:t>
      </w:r>
      <w:r>
        <w:rPr>
          <w:rFonts w:ascii="Arial" w:hAnsi="Arial" w:cs="Arial"/>
        </w:rPr>
        <w:t xml:space="preserve"> at Annex A</w:t>
      </w:r>
      <w:r w:rsidRPr="00105533">
        <w:rPr>
          <w:rFonts w:ascii="Arial" w:hAnsi="Arial" w:cs="Arial"/>
        </w:rPr>
        <w:t xml:space="preserve"> outlines how the process has worked in practice for recent projects.</w:t>
      </w:r>
    </w:p>
    <w:p w:rsidR="00294E87" w:rsidP="00FB5F93" w:rsidRDefault="00294E87" w14:paraId="2643D3F1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0E47FF" w:rsidR="00FB5F93" w:rsidP="000E47FF" w:rsidRDefault="00FB5F93" w14:paraId="6A0ABCFB" w14:textId="4F1ACB0B">
      <w:pPr>
        <w:ind w:left="720" w:firstLine="60"/>
      </w:pPr>
    </w:p>
    <w:p w:rsidR="00FB5F93" w:rsidP="00FB5F93" w:rsidRDefault="00FB5F93" w14:paraId="6E99BF97" w14:textId="77777777">
      <w:r>
        <w:rPr>
          <w:rFonts w:ascii="Arial" w:hAnsi="Arial" w:cs="Arial"/>
          <w:sz w:val="20"/>
          <w:szCs w:val="20"/>
        </w:rPr>
        <w:t> </w:t>
      </w:r>
    </w:p>
    <w:p w:rsidR="004079AC" w:rsidP="0053175C" w:rsidRDefault="004079AC" w14:paraId="2FBF3930" w14:textId="77777777">
      <w:pPr>
        <w:pStyle w:val="ListParagraph"/>
        <w:spacing w:line="280" w:lineRule="exact"/>
        <w:ind w:left="1440"/>
        <w:contextualSpacing/>
        <w:rPr>
          <w:rFonts w:ascii="Arial" w:hAnsi="Arial" w:cs="Arial"/>
        </w:rPr>
        <w:sectPr w:rsidR="004079AC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A762E6" w:rsidR="004079AC" w:rsidP="004079AC" w:rsidRDefault="00105533" w14:paraId="5601BB41" w14:textId="2459D9FF">
      <w:pPr>
        <w:spacing w:line="280" w:lineRule="exact"/>
        <w:contextualSpacing/>
        <w:rPr>
          <w:rFonts w:ascii="Arial" w:hAnsi="Arial" w:eastAsia="Calibri" w:cs="Arial"/>
          <w:b/>
          <w:bCs/>
          <w:lang w:eastAsia="en-GB"/>
        </w:rPr>
      </w:pPr>
      <w:r>
        <w:rPr>
          <w:rFonts w:ascii="Arial" w:hAnsi="Arial" w:eastAsia="Calibri" w:cs="Arial"/>
          <w:b/>
          <w:bCs/>
          <w:lang w:eastAsia="en-GB"/>
        </w:rPr>
        <w:lastRenderedPageBreak/>
        <w:t xml:space="preserve">Annex A: </w:t>
      </w:r>
      <w:r w:rsidRPr="00A762E6" w:rsidR="004079AC">
        <w:rPr>
          <w:rFonts w:ascii="Arial" w:hAnsi="Arial" w:eastAsia="Calibri" w:cs="Arial"/>
          <w:b/>
          <w:bCs/>
          <w:lang w:eastAsia="en-GB"/>
        </w:rPr>
        <w:t>Overview of process</w:t>
      </w:r>
    </w:p>
    <w:p w:rsidRPr="00886245" w:rsidR="00105533" w:rsidP="00105533" w:rsidRDefault="00105533" w14:paraId="67257B83" w14:textId="77777777">
      <w:pPr>
        <w:spacing w:line="280" w:lineRule="exact"/>
        <w:contextualSpacing/>
        <w:rPr>
          <w:rFonts w:ascii="Arial" w:hAnsi="Arial" w:cs="Arial"/>
          <w:sz w:val="16"/>
          <w:szCs w:val="16"/>
        </w:rPr>
      </w:pPr>
    </w:p>
    <w:p w:rsidRPr="00105533" w:rsidR="004079AC" w:rsidP="00105533" w:rsidRDefault="004079AC" w14:paraId="1B799E22" w14:textId="541FE874">
      <w:pPr>
        <w:spacing w:line="280" w:lineRule="exact"/>
        <w:contextualSpacing/>
        <w:rPr>
          <w:rFonts w:ascii="Arial" w:hAnsi="Arial" w:cs="Arial"/>
        </w:rPr>
      </w:pPr>
      <w:r w:rsidRPr="00105533">
        <w:rPr>
          <w:rFonts w:ascii="Arial" w:hAnsi="Arial" w:cs="Arial"/>
        </w:rPr>
        <w:t>The diagram below outlines how the process has worked in practice for recent projects.</w:t>
      </w:r>
    </w:p>
    <w:p w:rsidRPr="00105533" w:rsidR="0053175C" w:rsidP="00105533" w:rsidRDefault="004079AC" w14:paraId="2269DD8B" w14:textId="21217E37">
      <w:pPr>
        <w:rPr>
          <w:rFonts w:ascii="Arial" w:hAnsi="Arial" w:cs="Arial"/>
          <w:noProof/>
          <w:sz w:val="20"/>
          <w:szCs w:val="20"/>
        </w:rPr>
      </w:pPr>
      <w:r w:rsidRPr="003206C2">
        <w:rPr>
          <w:noProof/>
        </w:rPr>
        <w:drawing>
          <wp:inline distT="0" distB="0" distL="0" distR="0" wp14:anchorId="24667BF1" wp14:editId="26E426C2">
            <wp:extent cx="8807450" cy="4873625"/>
            <wp:effectExtent l="0" t="0" r="0" b="2222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246518BE-0822-44B2-9ACB-596182AE49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Pr="00105533" w:rsidR="0053175C" w:rsidSect="00407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CCC7" w14:textId="77777777" w:rsidR="00702550" w:rsidRDefault="00702550" w:rsidP="00304D62">
      <w:pPr>
        <w:spacing w:after="0" w:line="240" w:lineRule="auto"/>
      </w:pPr>
      <w:r>
        <w:separator/>
      </w:r>
    </w:p>
  </w:endnote>
  <w:endnote w:type="continuationSeparator" w:id="0">
    <w:p w14:paraId="2F7FD8D6" w14:textId="77777777" w:rsidR="00702550" w:rsidRDefault="00702550" w:rsidP="00304D62">
      <w:pPr>
        <w:spacing w:after="0" w:line="240" w:lineRule="auto"/>
      </w:pPr>
      <w:r>
        <w:continuationSeparator/>
      </w:r>
    </w:p>
  </w:endnote>
  <w:endnote w:type="continuationNotice" w:id="1">
    <w:p w14:paraId="7B267D2F" w14:textId="77777777" w:rsidR="00702550" w:rsidRDefault="00702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9C05" w14:textId="29993699" w:rsidR="00304D62" w:rsidRDefault="000C65BD" w:rsidP="00304D62">
    <w:pPr>
      <w:pStyle w:val="Footer"/>
      <w:tabs>
        <w:tab w:val="clear" w:pos="4513"/>
        <w:tab w:val="clear" w:pos="9026"/>
        <w:tab w:val="left" w:pos="1897"/>
      </w:tabs>
      <w:jc w:val="right"/>
    </w:pPr>
    <w:sdt>
      <w:sdtPr>
        <w:id w:val="17697377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04D62">
              <w:t xml:space="preserve">Page </w:t>
            </w:r>
            <w:r w:rsidR="00304D62">
              <w:rPr>
                <w:b/>
                <w:bCs/>
                <w:sz w:val="24"/>
                <w:szCs w:val="24"/>
              </w:rPr>
              <w:fldChar w:fldCharType="begin"/>
            </w:r>
            <w:r w:rsidR="00304D62">
              <w:rPr>
                <w:b/>
                <w:bCs/>
              </w:rPr>
              <w:instrText xml:space="preserve"> PAGE </w:instrText>
            </w:r>
            <w:r w:rsidR="00304D62">
              <w:rPr>
                <w:b/>
                <w:bCs/>
                <w:sz w:val="24"/>
                <w:szCs w:val="24"/>
              </w:rPr>
              <w:fldChar w:fldCharType="separate"/>
            </w:r>
            <w:r w:rsidR="00304D62">
              <w:rPr>
                <w:b/>
                <w:bCs/>
                <w:noProof/>
              </w:rPr>
              <w:t>2</w:t>
            </w:r>
            <w:r w:rsidR="00304D62">
              <w:rPr>
                <w:b/>
                <w:bCs/>
                <w:sz w:val="24"/>
                <w:szCs w:val="24"/>
              </w:rPr>
              <w:fldChar w:fldCharType="end"/>
            </w:r>
            <w:r w:rsidR="00304D62">
              <w:t xml:space="preserve"> of </w:t>
            </w:r>
            <w:r w:rsidR="00304D62">
              <w:rPr>
                <w:b/>
                <w:bCs/>
                <w:sz w:val="24"/>
                <w:szCs w:val="24"/>
              </w:rPr>
              <w:fldChar w:fldCharType="begin"/>
            </w:r>
            <w:r w:rsidR="00304D62">
              <w:rPr>
                <w:b/>
                <w:bCs/>
              </w:rPr>
              <w:instrText xml:space="preserve"> NUMPAGES  </w:instrText>
            </w:r>
            <w:r w:rsidR="00304D62">
              <w:rPr>
                <w:b/>
                <w:bCs/>
                <w:sz w:val="24"/>
                <w:szCs w:val="24"/>
              </w:rPr>
              <w:fldChar w:fldCharType="separate"/>
            </w:r>
            <w:r w:rsidR="00304D62">
              <w:rPr>
                <w:b/>
                <w:bCs/>
                <w:noProof/>
              </w:rPr>
              <w:t>2</w:t>
            </w:r>
            <w:r w:rsidR="00304D6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04D62">
      <w:tab/>
    </w:r>
  </w:p>
  <w:p w14:paraId="79B09CCE" w14:textId="77777777" w:rsidR="00304D62" w:rsidRDefault="0030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A9EE" w14:textId="77777777" w:rsidR="00702550" w:rsidRDefault="00702550" w:rsidP="00304D62">
      <w:pPr>
        <w:spacing w:after="0" w:line="240" w:lineRule="auto"/>
      </w:pPr>
      <w:r>
        <w:separator/>
      </w:r>
    </w:p>
  </w:footnote>
  <w:footnote w:type="continuationSeparator" w:id="0">
    <w:p w14:paraId="04BF9B08" w14:textId="77777777" w:rsidR="00702550" w:rsidRDefault="00702550" w:rsidP="00304D62">
      <w:pPr>
        <w:spacing w:after="0" w:line="240" w:lineRule="auto"/>
      </w:pPr>
      <w:r>
        <w:continuationSeparator/>
      </w:r>
    </w:p>
  </w:footnote>
  <w:footnote w:type="continuationNotice" w:id="1">
    <w:p w14:paraId="53A1C87B" w14:textId="77777777" w:rsidR="00702550" w:rsidRDefault="007025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6E25" w14:textId="28A25D3B" w:rsidR="00304D62" w:rsidRDefault="007230D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D2F03B" wp14:editId="294A2C9D">
          <wp:simplePos x="0" y="0"/>
          <wp:positionH relativeFrom="margin">
            <wp:align>right</wp:align>
          </wp:positionH>
          <wp:positionV relativeFrom="paragraph">
            <wp:posOffset>-9896</wp:posOffset>
          </wp:positionV>
          <wp:extent cx="1918335" cy="592455"/>
          <wp:effectExtent l="0" t="0" r="571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3BFA"/>
    <w:multiLevelType w:val="hybridMultilevel"/>
    <w:tmpl w:val="9D4866B6"/>
    <w:lvl w:ilvl="0" w:tplc="5574C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C4FCF"/>
    <w:multiLevelType w:val="hybridMultilevel"/>
    <w:tmpl w:val="70920AE4"/>
    <w:lvl w:ilvl="0" w:tplc="249E46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107"/>
    <w:multiLevelType w:val="hybridMultilevel"/>
    <w:tmpl w:val="2E4C96D2"/>
    <w:lvl w:ilvl="0" w:tplc="4544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1F7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6339"/>
    <w:multiLevelType w:val="hybridMultilevel"/>
    <w:tmpl w:val="70920AE4"/>
    <w:lvl w:ilvl="0" w:tplc="249E46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1B"/>
    <w:rsid w:val="000143D9"/>
    <w:rsid w:val="00022CCF"/>
    <w:rsid w:val="000C45A7"/>
    <w:rsid w:val="000C65BD"/>
    <w:rsid w:val="000E47FF"/>
    <w:rsid w:val="001051EF"/>
    <w:rsid w:val="00105533"/>
    <w:rsid w:val="00130859"/>
    <w:rsid w:val="00170311"/>
    <w:rsid w:val="00187334"/>
    <w:rsid w:val="001959A3"/>
    <w:rsid w:val="001A555C"/>
    <w:rsid w:val="001B692A"/>
    <w:rsid w:val="001E3C09"/>
    <w:rsid w:val="00200B6D"/>
    <w:rsid w:val="00212407"/>
    <w:rsid w:val="00234BB2"/>
    <w:rsid w:val="00294E87"/>
    <w:rsid w:val="002C3A63"/>
    <w:rsid w:val="002D67A8"/>
    <w:rsid w:val="00304D62"/>
    <w:rsid w:val="003206C2"/>
    <w:rsid w:val="0036002B"/>
    <w:rsid w:val="003622B8"/>
    <w:rsid w:val="003B0326"/>
    <w:rsid w:val="003C46A1"/>
    <w:rsid w:val="003D381B"/>
    <w:rsid w:val="004079AC"/>
    <w:rsid w:val="00410FCC"/>
    <w:rsid w:val="00430F4C"/>
    <w:rsid w:val="00495EBF"/>
    <w:rsid w:val="004A3740"/>
    <w:rsid w:val="004B53F5"/>
    <w:rsid w:val="004E6E59"/>
    <w:rsid w:val="0053175C"/>
    <w:rsid w:val="0057688A"/>
    <w:rsid w:val="005815F8"/>
    <w:rsid w:val="005A1F7F"/>
    <w:rsid w:val="0062229F"/>
    <w:rsid w:val="006936C9"/>
    <w:rsid w:val="00702550"/>
    <w:rsid w:val="00720C6A"/>
    <w:rsid w:val="007230D1"/>
    <w:rsid w:val="00767EAE"/>
    <w:rsid w:val="007763E5"/>
    <w:rsid w:val="007E6E33"/>
    <w:rsid w:val="00876D42"/>
    <w:rsid w:val="00886245"/>
    <w:rsid w:val="008A50FC"/>
    <w:rsid w:val="008F71A2"/>
    <w:rsid w:val="00994595"/>
    <w:rsid w:val="009F341C"/>
    <w:rsid w:val="00A456D0"/>
    <w:rsid w:val="00A70266"/>
    <w:rsid w:val="00A762E6"/>
    <w:rsid w:val="00A77330"/>
    <w:rsid w:val="00AD7E5A"/>
    <w:rsid w:val="00B426ED"/>
    <w:rsid w:val="00B47323"/>
    <w:rsid w:val="00B813B1"/>
    <w:rsid w:val="00BC0A9D"/>
    <w:rsid w:val="00BD5905"/>
    <w:rsid w:val="00C031C3"/>
    <w:rsid w:val="00C441E9"/>
    <w:rsid w:val="00C61AC1"/>
    <w:rsid w:val="00C80B42"/>
    <w:rsid w:val="00D25A07"/>
    <w:rsid w:val="00D55B0A"/>
    <w:rsid w:val="00DC4872"/>
    <w:rsid w:val="00E144CC"/>
    <w:rsid w:val="00E4439C"/>
    <w:rsid w:val="00E517B5"/>
    <w:rsid w:val="00E6577B"/>
    <w:rsid w:val="00E665C0"/>
    <w:rsid w:val="00EA3B0E"/>
    <w:rsid w:val="00EB4DC1"/>
    <w:rsid w:val="00F74119"/>
    <w:rsid w:val="00F900EF"/>
    <w:rsid w:val="00FB5F93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719C91"/>
  <w15:chartTrackingRefBased/>
  <w15:docId w15:val="{D03C9361-7716-4C40-BF4C-37C9D76A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B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5F9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B5F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62"/>
  </w:style>
  <w:style w:type="paragraph" w:styleId="Footer">
    <w:name w:val="footer"/>
    <w:basedOn w:val="Normal"/>
    <w:link w:val="FooterChar"/>
    <w:uiPriority w:val="99"/>
    <w:unhideWhenUsed/>
    <w:rsid w:val="0030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62"/>
  </w:style>
  <w:style w:type="paragraph" w:styleId="BalloonText">
    <w:name w:val="Balloon Text"/>
    <w:basedOn w:val="Normal"/>
    <w:link w:val="BalloonTextChar"/>
    <w:uiPriority w:val="99"/>
    <w:semiHidden/>
    <w:unhideWhenUsed/>
    <w:rsid w:val="0062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mblingcommission.gov.uk/news-action-and-statistics/News/ladbrokes-coral-group-to-pay-59m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ACFA3A-E82C-4608-9056-DFF0B0F088A9}" type="doc">
      <dgm:prSet loTypeId="urn:microsoft.com/office/officeart/2005/8/layout/b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132DAAA0-13DB-463C-BCD4-1391110DA400}">
      <dgm:prSet phldrT="[Text]"/>
      <dgm:spPr/>
      <dgm:t>
        <a:bodyPr/>
        <a:lstStyle/>
        <a:p>
          <a:r>
            <a:rPr lang="en-GB" b="1" dirty="0"/>
            <a:t>1. Idea or Project initiated</a:t>
          </a:r>
        </a:p>
        <a:p>
          <a:r>
            <a:rPr lang="en-GB" dirty="0"/>
            <a:t> by organisation, or suggested by a third party such as a gambling business</a:t>
          </a:r>
        </a:p>
      </dgm:t>
    </dgm:pt>
    <dgm:pt modelId="{D8A77D78-75C0-4AC4-89CC-DCD4B02FF39D}" type="parTrans" cxnId="{C92A7337-4CE2-466B-9176-D25512931BBC}">
      <dgm:prSet/>
      <dgm:spPr/>
      <dgm:t>
        <a:bodyPr/>
        <a:lstStyle/>
        <a:p>
          <a:endParaRPr lang="en-GB"/>
        </a:p>
      </dgm:t>
    </dgm:pt>
    <dgm:pt modelId="{8DB91CB5-1E75-474B-A2F0-424D400219CA}" type="sibTrans" cxnId="{C92A7337-4CE2-466B-9176-D25512931BBC}">
      <dgm:prSet/>
      <dgm:spPr/>
      <dgm:t>
        <a:bodyPr/>
        <a:lstStyle/>
        <a:p>
          <a:endParaRPr lang="en-GB"/>
        </a:p>
      </dgm:t>
    </dgm:pt>
    <dgm:pt modelId="{2777DB95-AA93-4B56-AA8B-BCEE646B3D96}">
      <dgm:prSet phldrT="[Text]"/>
      <dgm:spPr/>
      <dgm:t>
        <a:bodyPr/>
        <a:lstStyle/>
        <a:p>
          <a:r>
            <a:rPr lang="en-GB" b="1" dirty="0"/>
            <a:t>3. Proposal received</a:t>
          </a:r>
        </a:p>
        <a:p>
          <a:r>
            <a:rPr lang="en-GB" dirty="0"/>
            <a:t>It is not a requirement to use the template but the proposal should address the themes identified in the template</a:t>
          </a:r>
        </a:p>
      </dgm:t>
    </dgm:pt>
    <dgm:pt modelId="{76C969BC-E3B9-4B30-B18A-609424D257F5}" type="parTrans" cxnId="{33DDB494-FE44-4829-9E1D-0772531AC20B}">
      <dgm:prSet/>
      <dgm:spPr/>
      <dgm:t>
        <a:bodyPr/>
        <a:lstStyle/>
        <a:p>
          <a:endParaRPr lang="en-GB"/>
        </a:p>
      </dgm:t>
    </dgm:pt>
    <dgm:pt modelId="{DBCC3D02-668C-48B9-983C-D0C608F18B63}" type="sibTrans" cxnId="{33DDB494-FE44-4829-9E1D-0772531AC20B}">
      <dgm:prSet/>
      <dgm:spPr/>
      <dgm:t>
        <a:bodyPr/>
        <a:lstStyle/>
        <a:p>
          <a:endParaRPr lang="en-GB"/>
        </a:p>
      </dgm:t>
    </dgm:pt>
    <dgm:pt modelId="{84C6E4E2-B683-40D8-81C1-1EFBDF122912}">
      <dgm:prSet phldrT="[Text]"/>
      <dgm:spPr/>
      <dgm:t>
        <a:bodyPr/>
        <a:lstStyle/>
        <a:p>
          <a:r>
            <a:rPr lang="en-GB" b="1" dirty="0"/>
            <a:t>4. Initial Assessment</a:t>
          </a:r>
        </a:p>
        <a:p>
          <a:r>
            <a:rPr lang="en-GB" dirty="0">
              <a:solidFill>
                <a:schemeClr val="bg1"/>
              </a:solidFill>
            </a:rPr>
            <a:t>Assessment against the criteria set out in the Commission's Statement of Principles, </a:t>
          </a:r>
          <a:r>
            <a:rPr lang="en-GB" strike="noStrike" dirty="0">
              <a:solidFill>
                <a:schemeClr val="bg1"/>
              </a:solidFill>
            </a:rPr>
            <a:t>to accelerate progress against National Strategy</a:t>
          </a:r>
          <a:r>
            <a:rPr lang="en-GB" strike="sngStrike" dirty="0">
              <a:solidFill>
                <a:schemeClr val="bg1"/>
              </a:solidFill>
            </a:rPr>
            <a:t>, </a:t>
          </a:r>
          <a:r>
            <a:rPr lang="en-GB" dirty="0">
              <a:solidFill>
                <a:schemeClr val="bg1"/>
              </a:solidFill>
            </a:rPr>
            <a:t>conducted by Safer Gambling Team </a:t>
          </a:r>
        </a:p>
      </dgm:t>
    </dgm:pt>
    <dgm:pt modelId="{63319975-CA74-4B22-A8A4-FFF8AF3CA60E}" type="parTrans" cxnId="{94AB0C56-4FCB-42CC-8E2D-062C3193B354}">
      <dgm:prSet/>
      <dgm:spPr/>
      <dgm:t>
        <a:bodyPr/>
        <a:lstStyle/>
        <a:p>
          <a:endParaRPr lang="en-GB"/>
        </a:p>
      </dgm:t>
    </dgm:pt>
    <dgm:pt modelId="{A01C7E56-9359-44FE-92F5-E7B9BAA4016B}" type="sibTrans" cxnId="{94AB0C56-4FCB-42CC-8E2D-062C3193B354}">
      <dgm:prSet/>
      <dgm:spPr/>
      <dgm:t>
        <a:bodyPr/>
        <a:lstStyle/>
        <a:p>
          <a:endParaRPr lang="en-GB"/>
        </a:p>
      </dgm:t>
    </dgm:pt>
    <dgm:pt modelId="{01183EAC-1793-4511-B7E5-3AC4DCB09E15}">
      <dgm:prSet phldrT="[Text]"/>
      <dgm:spPr/>
      <dgm:t>
        <a:bodyPr/>
        <a:lstStyle/>
        <a:p>
          <a:r>
            <a:rPr lang="en-GB" b="1" dirty="0"/>
            <a:t>6. Decision</a:t>
          </a:r>
          <a:endParaRPr lang="en-GB" dirty="0"/>
        </a:p>
        <a:p>
          <a:r>
            <a:rPr lang="en-GB" dirty="0"/>
            <a:t>Submitted to Gambling Commission  Approval Group for decision</a:t>
          </a:r>
        </a:p>
      </dgm:t>
    </dgm:pt>
    <dgm:pt modelId="{EE8718A3-35E9-47FD-8281-866CC518C497}" type="parTrans" cxnId="{4D20E3D3-572B-48B4-920E-66DB189A807D}">
      <dgm:prSet/>
      <dgm:spPr/>
      <dgm:t>
        <a:bodyPr/>
        <a:lstStyle/>
        <a:p>
          <a:endParaRPr lang="en-GB"/>
        </a:p>
      </dgm:t>
    </dgm:pt>
    <dgm:pt modelId="{9C3E8184-CE18-4453-96A0-B145181D283E}" type="sibTrans" cxnId="{4D20E3D3-572B-48B4-920E-66DB189A807D}">
      <dgm:prSet/>
      <dgm:spPr/>
      <dgm:t>
        <a:bodyPr/>
        <a:lstStyle/>
        <a:p>
          <a:endParaRPr lang="en-GB"/>
        </a:p>
      </dgm:t>
    </dgm:pt>
    <dgm:pt modelId="{A4BF43AF-CEEA-4399-B274-91A834404774}">
      <dgm:prSet phldrT="[Text]"/>
      <dgm:spPr/>
      <dgm:t>
        <a:bodyPr/>
        <a:lstStyle/>
        <a:p>
          <a:r>
            <a:rPr lang="en-GB" b="1" dirty="0"/>
            <a:t>10. Final Approval </a:t>
          </a:r>
        </a:p>
        <a:p>
          <a:r>
            <a:rPr lang="en-GB" dirty="0"/>
            <a:t>Approval of payment to be made by named operator to the organisation for the named project (Restricted donation wording applies)</a:t>
          </a:r>
        </a:p>
      </dgm:t>
    </dgm:pt>
    <dgm:pt modelId="{C717B548-E661-4753-BDCB-F5D2F6AFE027}" type="parTrans" cxnId="{EC49334A-A63B-4112-BE23-B80E82765E79}">
      <dgm:prSet/>
      <dgm:spPr/>
      <dgm:t>
        <a:bodyPr/>
        <a:lstStyle/>
        <a:p>
          <a:endParaRPr lang="en-GB"/>
        </a:p>
      </dgm:t>
    </dgm:pt>
    <dgm:pt modelId="{B6069624-98CB-428B-B8EE-3451B7FC6883}" type="sibTrans" cxnId="{EC49334A-A63B-4112-BE23-B80E82765E79}">
      <dgm:prSet/>
      <dgm:spPr/>
      <dgm:t>
        <a:bodyPr/>
        <a:lstStyle/>
        <a:p>
          <a:endParaRPr lang="en-GB"/>
        </a:p>
      </dgm:t>
    </dgm:pt>
    <dgm:pt modelId="{F5DD9A66-55EE-441F-8086-D7713F26F2CB}">
      <dgm:prSet phldrT="[Text]"/>
      <dgm:spPr/>
      <dgm:t>
        <a:bodyPr/>
        <a:lstStyle/>
        <a:p>
          <a:r>
            <a:rPr lang="en-GB" b="1" dirty="0"/>
            <a:t>11. Payment</a:t>
          </a:r>
        </a:p>
        <a:p>
          <a:r>
            <a:rPr lang="en-GB" dirty="0"/>
            <a:t>Payment is sent directly from the business to the organisation – strict rules are in place about the role of the business</a:t>
          </a:r>
        </a:p>
      </dgm:t>
    </dgm:pt>
    <dgm:pt modelId="{73CEE835-B2CC-47F0-A0F7-5F6B655C6D75}" type="parTrans" cxnId="{9155CFBF-765C-4CE1-AF7F-ADE8DEF2A3D4}">
      <dgm:prSet/>
      <dgm:spPr/>
      <dgm:t>
        <a:bodyPr/>
        <a:lstStyle/>
        <a:p>
          <a:endParaRPr lang="en-GB"/>
        </a:p>
      </dgm:t>
    </dgm:pt>
    <dgm:pt modelId="{993212D8-51B1-42AF-9E4F-E23F8D5A34E9}" type="sibTrans" cxnId="{9155CFBF-765C-4CE1-AF7F-ADE8DEF2A3D4}">
      <dgm:prSet/>
      <dgm:spPr/>
      <dgm:t>
        <a:bodyPr/>
        <a:lstStyle/>
        <a:p>
          <a:endParaRPr lang="en-GB"/>
        </a:p>
      </dgm:t>
    </dgm:pt>
    <dgm:pt modelId="{B20E23A7-F275-4313-A92E-5B8D6B548A24}">
      <dgm:prSet phldrT="[Text]"/>
      <dgm:spPr/>
      <dgm:t>
        <a:bodyPr/>
        <a:lstStyle/>
        <a:p>
          <a:r>
            <a:rPr lang="en-GB" b="1" dirty="0"/>
            <a:t>12. Implementation</a:t>
          </a:r>
        </a:p>
        <a:p>
          <a:r>
            <a:rPr lang="en-GB" b="0" dirty="0"/>
            <a:t>The project continues under the governance arrangements set out in the proposal</a:t>
          </a:r>
        </a:p>
      </dgm:t>
    </dgm:pt>
    <dgm:pt modelId="{9DEDC0DD-CAC3-4A05-A6B1-3D6A07945351}" type="parTrans" cxnId="{8D87430D-C1B3-4EBB-BE4C-C59CA2C99E27}">
      <dgm:prSet/>
      <dgm:spPr/>
      <dgm:t>
        <a:bodyPr/>
        <a:lstStyle/>
        <a:p>
          <a:endParaRPr lang="en-GB"/>
        </a:p>
      </dgm:t>
    </dgm:pt>
    <dgm:pt modelId="{869CE91E-0785-4A92-9B5B-40924654CABE}" type="sibTrans" cxnId="{8D87430D-C1B3-4EBB-BE4C-C59CA2C99E27}">
      <dgm:prSet/>
      <dgm:spPr/>
      <dgm:t>
        <a:bodyPr/>
        <a:lstStyle/>
        <a:p>
          <a:endParaRPr lang="en-GB"/>
        </a:p>
      </dgm:t>
    </dgm:pt>
    <dgm:pt modelId="{5384667E-30AC-4D3F-9241-BF71EBF5BC57}">
      <dgm:prSet phldrT="[Text]"/>
      <dgm:spPr/>
      <dgm:t>
        <a:bodyPr/>
        <a:lstStyle/>
        <a:p>
          <a:r>
            <a:rPr lang="en-GB" b="1" dirty="0"/>
            <a:t>5. Clarification</a:t>
          </a:r>
        </a:p>
        <a:p>
          <a:r>
            <a:rPr lang="en-GB" dirty="0"/>
            <a:t>Discussions to address any issues identified, proposal may be amended</a:t>
          </a:r>
        </a:p>
      </dgm:t>
    </dgm:pt>
    <dgm:pt modelId="{E7F0B927-BA7A-422E-9748-AF6DCA2C1D95}" type="sibTrans" cxnId="{111E489C-9CE1-4F03-9BF9-33823C4A8A58}">
      <dgm:prSet/>
      <dgm:spPr/>
      <dgm:t>
        <a:bodyPr/>
        <a:lstStyle/>
        <a:p>
          <a:endParaRPr lang="en-GB"/>
        </a:p>
      </dgm:t>
    </dgm:pt>
    <dgm:pt modelId="{52CB8390-C050-4402-B489-4A7A80ED9B2E}" type="parTrans" cxnId="{111E489C-9CE1-4F03-9BF9-33823C4A8A58}">
      <dgm:prSet/>
      <dgm:spPr/>
      <dgm:t>
        <a:bodyPr/>
        <a:lstStyle/>
        <a:p>
          <a:endParaRPr lang="en-GB"/>
        </a:p>
      </dgm:t>
    </dgm:pt>
    <dgm:pt modelId="{4CFF6C15-4D3F-4CEE-AF45-84745E998B29}">
      <dgm:prSet phldrT="[Text]"/>
      <dgm:spPr/>
      <dgm:t>
        <a:bodyPr/>
        <a:lstStyle/>
        <a:p>
          <a:r>
            <a:rPr lang="en-GB" b="1" dirty="0"/>
            <a:t>13. Transparency</a:t>
          </a:r>
        </a:p>
        <a:p>
          <a:r>
            <a:rPr lang="en-GB" b="0" dirty="0"/>
            <a:t>Ongoing evaluation, reporting and/or publication of outputs is delivered in line with the proposal</a:t>
          </a:r>
        </a:p>
      </dgm:t>
    </dgm:pt>
    <dgm:pt modelId="{E8402779-7C56-48BD-9E80-CF410B3A3ED7}" type="parTrans" cxnId="{DEFAF2AE-70C5-44FD-BEDD-68EEB7264BA4}">
      <dgm:prSet/>
      <dgm:spPr/>
      <dgm:t>
        <a:bodyPr/>
        <a:lstStyle/>
        <a:p>
          <a:endParaRPr lang="en-GB"/>
        </a:p>
      </dgm:t>
    </dgm:pt>
    <dgm:pt modelId="{8AED803D-0399-405C-9687-641CB58821EE}" type="sibTrans" cxnId="{DEFAF2AE-70C5-44FD-BEDD-68EEB7264BA4}">
      <dgm:prSet/>
      <dgm:spPr/>
      <dgm:t>
        <a:bodyPr/>
        <a:lstStyle/>
        <a:p>
          <a:endParaRPr lang="en-GB"/>
        </a:p>
      </dgm:t>
    </dgm:pt>
    <dgm:pt modelId="{6964D937-3F1A-4DC0-81A6-D09F78223108}">
      <dgm:prSet phldrT="[Text]"/>
      <dgm:spPr/>
      <dgm:t>
        <a:bodyPr/>
        <a:lstStyle/>
        <a:p>
          <a:r>
            <a:rPr lang="en-GB" b="1" dirty="0"/>
            <a:t>2. Exploratory Stage</a:t>
          </a:r>
        </a:p>
        <a:p>
          <a:r>
            <a:rPr lang="en-GB" dirty="0"/>
            <a:t>Proposal template shared and initial discussions take place with Safer Gambling Team</a:t>
          </a:r>
        </a:p>
      </dgm:t>
    </dgm:pt>
    <dgm:pt modelId="{B44683CF-0820-485C-9EF4-C4F67DADEBA9}" type="parTrans" cxnId="{E277C1F0-148C-4717-B60A-3E85CB94F5EC}">
      <dgm:prSet/>
      <dgm:spPr/>
      <dgm:t>
        <a:bodyPr/>
        <a:lstStyle/>
        <a:p>
          <a:endParaRPr lang="en-GB"/>
        </a:p>
      </dgm:t>
    </dgm:pt>
    <dgm:pt modelId="{75E794F9-C628-4B27-9A4B-516E5EFBDCAC}" type="sibTrans" cxnId="{E277C1F0-148C-4717-B60A-3E85CB94F5EC}">
      <dgm:prSet/>
      <dgm:spPr/>
      <dgm:t>
        <a:bodyPr/>
        <a:lstStyle/>
        <a:p>
          <a:endParaRPr lang="en-GB"/>
        </a:p>
      </dgm:t>
    </dgm:pt>
    <dgm:pt modelId="{56B5A8AD-3C1E-41E9-A2E6-FEE73F735A51}">
      <dgm:prSet phldrT="[Text]"/>
      <dgm:spPr/>
      <dgm:t>
        <a:bodyPr/>
        <a:lstStyle/>
        <a:p>
          <a:r>
            <a:rPr lang="en-GB" b="1" dirty="0"/>
            <a:t>7. Pre-approval in principle </a:t>
          </a:r>
        </a:p>
        <a:p>
          <a:r>
            <a:rPr lang="en-GB" dirty="0"/>
            <a:t>The project is agreed in principle but further clarification or amendment of the proposal is needed. Some projects go straight to Stage 8.</a:t>
          </a:r>
        </a:p>
      </dgm:t>
    </dgm:pt>
    <dgm:pt modelId="{2BAADEEF-D3D2-44EC-8CFF-4B068C5AF3E7}" type="parTrans" cxnId="{8FC0D397-7983-4E1F-9279-0E5255552739}">
      <dgm:prSet/>
      <dgm:spPr/>
      <dgm:t>
        <a:bodyPr/>
        <a:lstStyle/>
        <a:p>
          <a:endParaRPr lang="en-GB"/>
        </a:p>
      </dgm:t>
    </dgm:pt>
    <dgm:pt modelId="{820556DF-0D22-421C-97F0-58F29620E92E}" type="sibTrans" cxnId="{8FC0D397-7983-4E1F-9279-0E5255552739}">
      <dgm:prSet/>
      <dgm:spPr/>
      <dgm:t>
        <a:bodyPr/>
        <a:lstStyle/>
        <a:p>
          <a:endParaRPr lang="en-GB"/>
        </a:p>
      </dgm:t>
    </dgm:pt>
    <dgm:pt modelId="{51E459AB-5941-4F6B-9F6A-D5711886A419}">
      <dgm:prSet phldrT="[Text]"/>
      <dgm:spPr/>
      <dgm:t>
        <a:bodyPr/>
        <a:lstStyle/>
        <a:p>
          <a:r>
            <a:rPr lang="en-GB" b="1" dirty="0"/>
            <a:t>8. Pre-approval</a:t>
          </a:r>
        </a:p>
        <a:p>
          <a:r>
            <a:rPr lang="en-GB" b="0" dirty="0"/>
            <a:t>No further clarification or amendments needed</a:t>
          </a:r>
        </a:p>
      </dgm:t>
    </dgm:pt>
    <dgm:pt modelId="{8FD819FA-4C77-40CF-8EB3-1A4923101B21}" type="parTrans" cxnId="{1046DEC5-E5B8-4E77-BB66-254B3518AE52}">
      <dgm:prSet/>
      <dgm:spPr/>
      <dgm:t>
        <a:bodyPr/>
        <a:lstStyle/>
        <a:p>
          <a:endParaRPr lang="en-GB"/>
        </a:p>
      </dgm:t>
    </dgm:pt>
    <dgm:pt modelId="{8A72B71A-B782-43C6-B863-80EF7D262000}" type="sibTrans" cxnId="{1046DEC5-E5B8-4E77-BB66-254B3518AE52}">
      <dgm:prSet/>
      <dgm:spPr/>
      <dgm:t>
        <a:bodyPr/>
        <a:lstStyle/>
        <a:p>
          <a:endParaRPr lang="en-GB"/>
        </a:p>
      </dgm:t>
    </dgm:pt>
    <dgm:pt modelId="{853A3B30-7A6F-426C-8994-7F89D991928E}">
      <dgm:prSet phldrT="[Text]"/>
      <dgm:spPr/>
      <dgm:t>
        <a:bodyPr/>
        <a:lstStyle/>
        <a:p>
          <a:r>
            <a:rPr lang="en-GB" b="1" dirty="0"/>
            <a:t>9. Matching process</a:t>
          </a:r>
        </a:p>
        <a:p>
          <a:r>
            <a:rPr lang="en-GB" dirty="0">
              <a:solidFill>
                <a:schemeClr val="bg1"/>
              </a:solidFill>
            </a:rPr>
            <a:t>Relevant business matches project with outstanding settlement funds</a:t>
          </a:r>
          <a:endParaRPr lang="en-GB" strike="sngStrike" baseline="0" dirty="0">
            <a:solidFill>
              <a:schemeClr val="bg1"/>
            </a:solidFill>
          </a:endParaRPr>
        </a:p>
      </dgm:t>
    </dgm:pt>
    <dgm:pt modelId="{319AE2AA-2240-4703-8CC7-D335856D2825}" type="sibTrans" cxnId="{F3787A0C-2E09-487A-91C2-C63252E12B8D}">
      <dgm:prSet/>
      <dgm:spPr/>
      <dgm:t>
        <a:bodyPr/>
        <a:lstStyle/>
        <a:p>
          <a:endParaRPr lang="en-GB"/>
        </a:p>
      </dgm:t>
    </dgm:pt>
    <dgm:pt modelId="{DA952727-D178-4C8A-92DB-049E62C23225}" type="parTrans" cxnId="{F3787A0C-2E09-487A-91C2-C63252E12B8D}">
      <dgm:prSet/>
      <dgm:spPr/>
      <dgm:t>
        <a:bodyPr/>
        <a:lstStyle/>
        <a:p>
          <a:endParaRPr lang="en-GB"/>
        </a:p>
      </dgm:t>
    </dgm:pt>
    <dgm:pt modelId="{4F9A2418-439B-4396-94B7-9708EDD2D4BC}" type="pres">
      <dgm:prSet presAssocID="{C4ACFA3A-E82C-4608-9056-DFF0B0F088A9}" presName="Name0" presStyleCnt="0">
        <dgm:presLayoutVars>
          <dgm:dir/>
          <dgm:resizeHandles/>
        </dgm:presLayoutVars>
      </dgm:prSet>
      <dgm:spPr/>
    </dgm:pt>
    <dgm:pt modelId="{AC3C6BDB-6E39-40BC-94B4-275F9B2C425A}" type="pres">
      <dgm:prSet presAssocID="{132DAAA0-13DB-463C-BCD4-1391110DA400}" presName="compNode" presStyleCnt="0"/>
      <dgm:spPr/>
    </dgm:pt>
    <dgm:pt modelId="{9D5E4782-6456-4799-A8AB-6D04E6A02C94}" type="pres">
      <dgm:prSet presAssocID="{132DAAA0-13DB-463C-BCD4-1391110DA400}" presName="dummyConnPt" presStyleCnt="0"/>
      <dgm:spPr/>
    </dgm:pt>
    <dgm:pt modelId="{4B83E1E8-AF3E-4FDB-BE3C-B5631439588D}" type="pres">
      <dgm:prSet presAssocID="{132DAAA0-13DB-463C-BCD4-1391110DA400}" presName="node" presStyleLbl="node1" presStyleIdx="0" presStyleCnt="13">
        <dgm:presLayoutVars>
          <dgm:bulletEnabled val="1"/>
        </dgm:presLayoutVars>
      </dgm:prSet>
      <dgm:spPr/>
    </dgm:pt>
    <dgm:pt modelId="{01772F64-6321-4D11-AA37-B2843979E2A1}" type="pres">
      <dgm:prSet presAssocID="{8DB91CB5-1E75-474B-A2F0-424D400219CA}" presName="sibTrans" presStyleLbl="bgSibTrans2D1" presStyleIdx="0" presStyleCnt="12"/>
      <dgm:spPr/>
    </dgm:pt>
    <dgm:pt modelId="{7A913EAA-21B5-449C-8DE9-78478998B7B2}" type="pres">
      <dgm:prSet presAssocID="{6964D937-3F1A-4DC0-81A6-D09F78223108}" presName="compNode" presStyleCnt="0"/>
      <dgm:spPr/>
    </dgm:pt>
    <dgm:pt modelId="{FFDE52BB-C02D-43E1-8A04-3F04D0D52AB3}" type="pres">
      <dgm:prSet presAssocID="{6964D937-3F1A-4DC0-81A6-D09F78223108}" presName="dummyConnPt" presStyleCnt="0"/>
      <dgm:spPr/>
    </dgm:pt>
    <dgm:pt modelId="{348238EA-CC74-431B-AD80-492D67E5DBE4}" type="pres">
      <dgm:prSet presAssocID="{6964D937-3F1A-4DC0-81A6-D09F78223108}" presName="node" presStyleLbl="node1" presStyleIdx="1" presStyleCnt="13">
        <dgm:presLayoutVars>
          <dgm:bulletEnabled val="1"/>
        </dgm:presLayoutVars>
      </dgm:prSet>
      <dgm:spPr/>
    </dgm:pt>
    <dgm:pt modelId="{DE17B072-6D2F-4317-82A8-DC1F15C490A3}" type="pres">
      <dgm:prSet presAssocID="{75E794F9-C628-4B27-9A4B-516E5EFBDCAC}" presName="sibTrans" presStyleLbl="bgSibTrans2D1" presStyleIdx="1" presStyleCnt="12"/>
      <dgm:spPr/>
    </dgm:pt>
    <dgm:pt modelId="{CD4BB63F-8ED2-4025-A8DD-C2690BAEA811}" type="pres">
      <dgm:prSet presAssocID="{2777DB95-AA93-4B56-AA8B-BCEE646B3D96}" presName="compNode" presStyleCnt="0"/>
      <dgm:spPr/>
    </dgm:pt>
    <dgm:pt modelId="{4F4AC121-DCDA-4784-BE99-C29DDFFD2551}" type="pres">
      <dgm:prSet presAssocID="{2777DB95-AA93-4B56-AA8B-BCEE646B3D96}" presName="dummyConnPt" presStyleCnt="0"/>
      <dgm:spPr/>
    </dgm:pt>
    <dgm:pt modelId="{DCCB8594-7FF6-4166-BCA3-7E9F6799B578}" type="pres">
      <dgm:prSet presAssocID="{2777DB95-AA93-4B56-AA8B-BCEE646B3D96}" presName="node" presStyleLbl="node1" presStyleIdx="2" presStyleCnt="13">
        <dgm:presLayoutVars>
          <dgm:bulletEnabled val="1"/>
        </dgm:presLayoutVars>
      </dgm:prSet>
      <dgm:spPr/>
    </dgm:pt>
    <dgm:pt modelId="{E4C471A8-A2B5-4750-93B0-1D88106704D1}" type="pres">
      <dgm:prSet presAssocID="{DBCC3D02-668C-48B9-983C-D0C608F18B63}" presName="sibTrans" presStyleLbl="bgSibTrans2D1" presStyleIdx="2" presStyleCnt="12"/>
      <dgm:spPr/>
    </dgm:pt>
    <dgm:pt modelId="{70EA314A-3DB0-4628-A2D2-479BFFADA8A0}" type="pres">
      <dgm:prSet presAssocID="{84C6E4E2-B683-40D8-81C1-1EFBDF122912}" presName="compNode" presStyleCnt="0"/>
      <dgm:spPr/>
    </dgm:pt>
    <dgm:pt modelId="{AAAB1A4B-B356-4143-B6B5-9F29665B0BDA}" type="pres">
      <dgm:prSet presAssocID="{84C6E4E2-B683-40D8-81C1-1EFBDF122912}" presName="dummyConnPt" presStyleCnt="0"/>
      <dgm:spPr/>
    </dgm:pt>
    <dgm:pt modelId="{B2C8FEF7-040C-4FA4-B9CD-50E22145BB45}" type="pres">
      <dgm:prSet presAssocID="{84C6E4E2-B683-40D8-81C1-1EFBDF122912}" presName="node" presStyleLbl="node1" presStyleIdx="3" presStyleCnt="13">
        <dgm:presLayoutVars>
          <dgm:bulletEnabled val="1"/>
        </dgm:presLayoutVars>
      </dgm:prSet>
      <dgm:spPr/>
    </dgm:pt>
    <dgm:pt modelId="{845EB0A5-F208-429C-B300-149DB41CF4B4}" type="pres">
      <dgm:prSet presAssocID="{A01C7E56-9359-44FE-92F5-E7B9BAA4016B}" presName="sibTrans" presStyleLbl="bgSibTrans2D1" presStyleIdx="3" presStyleCnt="12"/>
      <dgm:spPr/>
    </dgm:pt>
    <dgm:pt modelId="{B06989FB-3F7D-4706-B170-817621139848}" type="pres">
      <dgm:prSet presAssocID="{5384667E-30AC-4D3F-9241-BF71EBF5BC57}" presName="compNode" presStyleCnt="0"/>
      <dgm:spPr/>
    </dgm:pt>
    <dgm:pt modelId="{B8BD46CD-7A80-4FC4-A2CC-A7E3BFE2D6EB}" type="pres">
      <dgm:prSet presAssocID="{5384667E-30AC-4D3F-9241-BF71EBF5BC57}" presName="dummyConnPt" presStyleCnt="0"/>
      <dgm:spPr/>
    </dgm:pt>
    <dgm:pt modelId="{BE831A0A-B201-4C04-BEEF-5FEFA9AA428F}" type="pres">
      <dgm:prSet presAssocID="{5384667E-30AC-4D3F-9241-BF71EBF5BC57}" presName="node" presStyleLbl="node1" presStyleIdx="4" presStyleCnt="13">
        <dgm:presLayoutVars>
          <dgm:bulletEnabled val="1"/>
        </dgm:presLayoutVars>
      </dgm:prSet>
      <dgm:spPr/>
    </dgm:pt>
    <dgm:pt modelId="{2DD89884-049D-4970-BF27-4E06DB10BD39}" type="pres">
      <dgm:prSet presAssocID="{E7F0B927-BA7A-422E-9748-AF6DCA2C1D95}" presName="sibTrans" presStyleLbl="bgSibTrans2D1" presStyleIdx="4" presStyleCnt="12"/>
      <dgm:spPr/>
    </dgm:pt>
    <dgm:pt modelId="{B8AE3638-6987-4AAA-B9DF-EBE571989BB5}" type="pres">
      <dgm:prSet presAssocID="{01183EAC-1793-4511-B7E5-3AC4DCB09E15}" presName="compNode" presStyleCnt="0"/>
      <dgm:spPr/>
    </dgm:pt>
    <dgm:pt modelId="{2B407DB2-CDE1-46FF-A159-6DFF135C87E4}" type="pres">
      <dgm:prSet presAssocID="{01183EAC-1793-4511-B7E5-3AC4DCB09E15}" presName="dummyConnPt" presStyleCnt="0"/>
      <dgm:spPr/>
    </dgm:pt>
    <dgm:pt modelId="{2BC36B8C-C12A-4AEE-B3DD-8E51100CA7C1}" type="pres">
      <dgm:prSet presAssocID="{01183EAC-1793-4511-B7E5-3AC4DCB09E15}" presName="node" presStyleLbl="node1" presStyleIdx="5" presStyleCnt="13">
        <dgm:presLayoutVars>
          <dgm:bulletEnabled val="1"/>
        </dgm:presLayoutVars>
      </dgm:prSet>
      <dgm:spPr/>
    </dgm:pt>
    <dgm:pt modelId="{D1BC446F-B5F1-4699-9148-838B8DFA9B64}" type="pres">
      <dgm:prSet presAssocID="{9C3E8184-CE18-4453-96A0-B145181D283E}" presName="sibTrans" presStyleLbl="bgSibTrans2D1" presStyleIdx="5" presStyleCnt="12"/>
      <dgm:spPr/>
    </dgm:pt>
    <dgm:pt modelId="{23B8D3AA-8861-4DCE-9986-6265399CB221}" type="pres">
      <dgm:prSet presAssocID="{56B5A8AD-3C1E-41E9-A2E6-FEE73F735A51}" presName="compNode" presStyleCnt="0"/>
      <dgm:spPr/>
    </dgm:pt>
    <dgm:pt modelId="{D9DEEA03-7FE4-4571-9188-A52ACDAC4AFF}" type="pres">
      <dgm:prSet presAssocID="{56B5A8AD-3C1E-41E9-A2E6-FEE73F735A51}" presName="dummyConnPt" presStyleCnt="0"/>
      <dgm:spPr/>
    </dgm:pt>
    <dgm:pt modelId="{4F80F023-A901-45E2-9444-525FDE35C693}" type="pres">
      <dgm:prSet presAssocID="{56B5A8AD-3C1E-41E9-A2E6-FEE73F735A51}" presName="node" presStyleLbl="node1" presStyleIdx="6" presStyleCnt="13">
        <dgm:presLayoutVars>
          <dgm:bulletEnabled val="1"/>
        </dgm:presLayoutVars>
      </dgm:prSet>
      <dgm:spPr/>
    </dgm:pt>
    <dgm:pt modelId="{D39FA026-B52E-451F-A4E7-2D3359C3D9C4}" type="pres">
      <dgm:prSet presAssocID="{820556DF-0D22-421C-97F0-58F29620E92E}" presName="sibTrans" presStyleLbl="bgSibTrans2D1" presStyleIdx="6" presStyleCnt="12"/>
      <dgm:spPr/>
    </dgm:pt>
    <dgm:pt modelId="{3A489F9A-A0DA-4008-BF61-B125B676EBB0}" type="pres">
      <dgm:prSet presAssocID="{51E459AB-5941-4F6B-9F6A-D5711886A419}" presName="compNode" presStyleCnt="0"/>
      <dgm:spPr/>
    </dgm:pt>
    <dgm:pt modelId="{4A12E8F3-3E2E-4545-883F-743E241A6808}" type="pres">
      <dgm:prSet presAssocID="{51E459AB-5941-4F6B-9F6A-D5711886A419}" presName="dummyConnPt" presStyleCnt="0"/>
      <dgm:spPr/>
    </dgm:pt>
    <dgm:pt modelId="{B5D5588D-630A-4E0A-9374-4A225F8800F3}" type="pres">
      <dgm:prSet presAssocID="{51E459AB-5941-4F6B-9F6A-D5711886A419}" presName="node" presStyleLbl="node1" presStyleIdx="7" presStyleCnt="13">
        <dgm:presLayoutVars>
          <dgm:bulletEnabled val="1"/>
        </dgm:presLayoutVars>
      </dgm:prSet>
      <dgm:spPr/>
    </dgm:pt>
    <dgm:pt modelId="{D274FFB2-1462-4BB6-A628-1D54CCF53E47}" type="pres">
      <dgm:prSet presAssocID="{8A72B71A-B782-43C6-B863-80EF7D262000}" presName="sibTrans" presStyleLbl="bgSibTrans2D1" presStyleIdx="7" presStyleCnt="12"/>
      <dgm:spPr/>
    </dgm:pt>
    <dgm:pt modelId="{CC28365B-7411-43CE-BBC5-465932E6405F}" type="pres">
      <dgm:prSet presAssocID="{853A3B30-7A6F-426C-8994-7F89D991928E}" presName="compNode" presStyleCnt="0"/>
      <dgm:spPr/>
    </dgm:pt>
    <dgm:pt modelId="{45AB4B06-681F-4104-AD0E-3FFD6BBC200F}" type="pres">
      <dgm:prSet presAssocID="{853A3B30-7A6F-426C-8994-7F89D991928E}" presName="dummyConnPt" presStyleCnt="0"/>
      <dgm:spPr/>
    </dgm:pt>
    <dgm:pt modelId="{252A868C-5BDE-4977-8F6B-C44F63A54015}" type="pres">
      <dgm:prSet presAssocID="{853A3B30-7A6F-426C-8994-7F89D991928E}" presName="node" presStyleLbl="node1" presStyleIdx="8" presStyleCnt="13">
        <dgm:presLayoutVars>
          <dgm:bulletEnabled val="1"/>
        </dgm:presLayoutVars>
      </dgm:prSet>
      <dgm:spPr/>
    </dgm:pt>
    <dgm:pt modelId="{87B16809-B70D-44C2-AE2D-A9F51FB84B80}" type="pres">
      <dgm:prSet presAssocID="{319AE2AA-2240-4703-8CC7-D335856D2825}" presName="sibTrans" presStyleLbl="bgSibTrans2D1" presStyleIdx="8" presStyleCnt="12"/>
      <dgm:spPr/>
    </dgm:pt>
    <dgm:pt modelId="{0D465280-7447-4A9E-A8D0-893D65A4972B}" type="pres">
      <dgm:prSet presAssocID="{A4BF43AF-CEEA-4399-B274-91A834404774}" presName="compNode" presStyleCnt="0"/>
      <dgm:spPr/>
    </dgm:pt>
    <dgm:pt modelId="{619549CA-9E6C-49A1-AF2F-D7C1529117BE}" type="pres">
      <dgm:prSet presAssocID="{A4BF43AF-CEEA-4399-B274-91A834404774}" presName="dummyConnPt" presStyleCnt="0"/>
      <dgm:spPr/>
    </dgm:pt>
    <dgm:pt modelId="{0FF39C73-512D-4304-B871-03C799B73CEE}" type="pres">
      <dgm:prSet presAssocID="{A4BF43AF-CEEA-4399-B274-91A834404774}" presName="node" presStyleLbl="node1" presStyleIdx="9" presStyleCnt="13">
        <dgm:presLayoutVars>
          <dgm:bulletEnabled val="1"/>
        </dgm:presLayoutVars>
      </dgm:prSet>
      <dgm:spPr/>
    </dgm:pt>
    <dgm:pt modelId="{D6449E4D-BDA4-420D-AFD4-0937BCA38BF7}" type="pres">
      <dgm:prSet presAssocID="{B6069624-98CB-428B-B8EE-3451B7FC6883}" presName="sibTrans" presStyleLbl="bgSibTrans2D1" presStyleIdx="9" presStyleCnt="12"/>
      <dgm:spPr/>
    </dgm:pt>
    <dgm:pt modelId="{B1E815B3-FAD2-4A1E-9818-5615EC0468F4}" type="pres">
      <dgm:prSet presAssocID="{F5DD9A66-55EE-441F-8086-D7713F26F2CB}" presName="compNode" presStyleCnt="0"/>
      <dgm:spPr/>
    </dgm:pt>
    <dgm:pt modelId="{6C838A8D-8215-4A95-A6FB-640028A5A786}" type="pres">
      <dgm:prSet presAssocID="{F5DD9A66-55EE-441F-8086-D7713F26F2CB}" presName="dummyConnPt" presStyleCnt="0"/>
      <dgm:spPr/>
    </dgm:pt>
    <dgm:pt modelId="{B415EAE9-7DD1-457C-9D09-CB59A029F1A6}" type="pres">
      <dgm:prSet presAssocID="{F5DD9A66-55EE-441F-8086-D7713F26F2CB}" presName="node" presStyleLbl="node1" presStyleIdx="10" presStyleCnt="13">
        <dgm:presLayoutVars>
          <dgm:bulletEnabled val="1"/>
        </dgm:presLayoutVars>
      </dgm:prSet>
      <dgm:spPr/>
    </dgm:pt>
    <dgm:pt modelId="{DF05F207-CEDC-42AE-A007-0E384DC63A12}" type="pres">
      <dgm:prSet presAssocID="{993212D8-51B1-42AF-9E4F-E23F8D5A34E9}" presName="sibTrans" presStyleLbl="bgSibTrans2D1" presStyleIdx="10" presStyleCnt="12"/>
      <dgm:spPr/>
    </dgm:pt>
    <dgm:pt modelId="{53B7DA1A-0764-4F1E-A3B1-EACC9060BDCF}" type="pres">
      <dgm:prSet presAssocID="{B20E23A7-F275-4313-A92E-5B8D6B548A24}" presName="compNode" presStyleCnt="0"/>
      <dgm:spPr/>
    </dgm:pt>
    <dgm:pt modelId="{D1FBF5C2-BF2B-41DB-948D-D08D581E5A64}" type="pres">
      <dgm:prSet presAssocID="{B20E23A7-F275-4313-A92E-5B8D6B548A24}" presName="dummyConnPt" presStyleCnt="0"/>
      <dgm:spPr/>
    </dgm:pt>
    <dgm:pt modelId="{2A6E0810-5335-4B41-8DD9-6E023DB327BA}" type="pres">
      <dgm:prSet presAssocID="{B20E23A7-F275-4313-A92E-5B8D6B548A24}" presName="node" presStyleLbl="node1" presStyleIdx="11" presStyleCnt="13">
        <dgm:presLayoutVars>
          <dgm:bulletEnabled val="1"/>
        </dgm:presLayoutVars>
      </dgm:prSet>
      <dgm:spPr/>
    </dgm:pt>
    <dgm:pt modelId="{9C3B256A-8A0C-4A27-AE1C-81B2C8662A13}" type="pres">
      <dgm:prSet presAssocID="{869CE91E-0785-4A92-9B5B-40924654CABE}" presName="sibTrans" presStyleLbl="bgSibTrans2D1" presStyleIdx="11" presStyleCnt="12"/>
      <dgm:spPr/>
    </dgm:pt>
    <dgm:pt modelId="{AF9677AF-91CE-473A-B017-1333357DCAE2}" type="pres">
      <dgm:prSet presAssocID="{4CFF6C15-4D3F-4CEE-AF45-84745E998B29}" presName="compNode" presStyleCnt="0"/>
      <dgm:spPr/>
    </dgm:pt>
    <dgm:pt modelId="{6C80746F-E7E8-42E1-B651-F3AF02F414E5}" type="pres">
      <dgm:prSet presAssocID="{4CFF6C15-4D3F-4CEE-AF45-84745E998B29}" presName="dummyConnPt" presStyleCnt="0"/>
      <dgm:spPr/>
    </dgm:pt>
    <dgm:pt modelId="{0F03DF8C-94AB-4DAA-8151-4C9F8FC5A883}" type="pres">
      <dgm:prSet presAssocID="{4CFF6C15-4D3F-4CEE-AF45-84745E998B29}" presName="node" presStyleLbl="node1" presStyleIdx="12" presStyleCnt="13">
        <dgm:presLayoutVars>
          <dgm:bulletEnabled val="1"/>
        </dgm:presLayoutVars>
      </dgm:prSet>
      <dgm:spPr/>
    </dgm:pt>
  </dgm:ptLst>
  <dgm:cxnLst>
    <dgm:cxn modelId="{D2BB0B01-10B6-4645-B9A4-4732A7339124}" type="presOf" srcId="{6964D937-3F1A-4DC0-81A6-D09F78223108}" destId="{348238EA-CC74-431B-AD80-492D67E5DBE4}" srcOrd="0" destOrd="0" presId="urn:microsoft.com/office/officeart/2005/8/layout/bProcess4"/>
    <dgm:cxn modelId="{50BF500C-7570-4502-AEF0-441A80226BC6}" type="presOf" srcId="{132DAAA0-13DB-463C-BCD4-1391110DA400}" destId="{4B83E1E8-AF3E-4FDB-BE3C-B5631439588D}" srcOrd="0" destOrd="0" presId="urn:microsoft.com/office/officeart/2005/8/layout/bProcess4"/>
    <dgm:cxn modelId="{F3787A0C-2E09-487A-91C2-C63252E12B8D}" srcId="{C4ACFA3A-E82C-4608-9056-DFF0B0F088A9}" destId="{853A3B30-7A6F-426C-8994-7F89D991928E}" srcOrd="8" destOrd="0" parTransId="{DA952727-D178-4C8A-92DB-049E62C23225}" sibTransId="{319AE2AA-2240-4703-8CC7-D335856D2825}"/>
    <dgm:cxn modelId="{8D87430D-C1B3-4EBB-BE4C-C59CA2C99E27}" srcId="{C4ACFA3A-E82C-4608-9056-DFF0B0F088A9}" destId="{B20E23A7-F275-4313-A92E-5B8D6B548A24}" srcOrd="11" destOrd="0" parTransId="{9DEDC0DD-CAC3-4A05-A6B1-3D6A07945351}" sibTransId="{869CE91E-0785-4A92-9B5B-40924654CABE}"/>
    <dgm:cxn modelId="{E3BDE216-FA7D-4AD1-9070-B17C6BC2D13A}" type="presOf" srcId="{8DB91CB5-1E75-474B-A2F0-424D400219CA}" destId="{01772F64-6321-4D11-AA37-B2843979E2A1}" srcOrd="0" destOrd="0" presId="urn:microsoft.com/office/officeart/2005/8/layout/bProcess4"/>
    <dgm:cxn modelId="{A514B320-B2F0-4683-8FBA-DE474CECF8AF}" type="presOf" srcId="{DBCC3D02-668C-48B9-983C-D0C608F18B63}" destId="{E4C471A8-A2B5-4750-93B0-1D88106704D1}" srcOrd="0" destOrd="0" presId="urn:microsoft.com/office/officeart/2005/8/layout/bProcess4"/>
    <dgm:cxn modelId="{273CB32A-8F23-4637-8063-B6800D3CB465}" type="presOf" srcId="{A4BF43AF-CEEA-4399-B274-91A834404774}" destId="{0FF39C73-512D-4304-B871-03C799B73CEE}" srcOrd="0" destOrd="0" presId="urn:microsoft.com/office/officeart/2005/8/layout/bProcess4"/>
    <dgm:cxn modelId="{3D481832-E53D-4D77-8593-C758FD118923}" type="presOf" srcId="{8A72B71A-B782-43C6-B863-80EF7D262000}" destId="{D274FFB2-1462-4BB6-A628-1D54CCF53E47}" srcOrd="0" destOrd="0" presId="urn:microsoft.com/office/officeart/2005/8/layout/bProcess4"/>
    <dgm:cxn modelId="{5C3A8834-AFCD-41BE-8EDC-E07ABE1BBEA6}" type="presOf" srcId="{F5DD9A66-55EE-441F-8086-D7713F26F2CB}" destId="{B415EAE9-7DD1-457C-9D09-CB59A029F1A6}" srcOrd="0" destOrd="0" presId="urn:microsoft.com/office/officeart/2005/8/layout/bProcess4"/>
    <dgm:cxn modelId="{C92A7337-4CE2-466B-9176-D25512931BBC}" srcId="{C4ACFA3A-E82C-4608-9056-DFF0B0F088A9}" destId="{132DAAA0-13DB-463C-BCD4-1391110DA400}" srcOrd="0" destOrd="0" parTransId="{D8A77D78-75C0-4AC4-89CC-DCD4B02FF39D}" sibTransId="{8DB91CB5-1E75-474B-A2F0-424D400219CA}"/>
    <dgm:cxn modelId="{5845C538-2A4C-4718-AF68-7AB7677C0B10}" type="presOf" srcId="{51E459AB-5941-4F6B-9F6A-D5711886A419}" destId="{B5D5588D-630A-4E0A-9374-4A225F8800F3}" srcOrd="0" destOrd="0" presId="urn:microsoft.com/office/officeart/2005/8/layout/bProcess4"/>
    <dgm:cxn modelId="{091D0B3E-B658-4152-AAAE-C34CF4EF7168}" type="presOf" srcId="{84C6E4E2-B683-40D8-81C1-1EFBDF122912}" destId="{B2C8FEF7-040C-4FA4-B9CD-50E22145BB45}" srcOrd="0" destOrd="0" presId="urn:microsoft.com/office/officeart/2005/8/layout/bProcess4"/>
    <dgm:cxn modelId="{748F4362-8729-4E89-9022-5F9501DA31F0}" type="presOf" srcId="{5384667E-30AC-4D3F-9241-BF71EBF5BC57}" destId="{BE831A0A-B201-4C04-BEEF-5FEFA9AA428F}" srcOrd="0" destOrd="0" presId="urn:microsoft.com/office/officeart/2005/8/layout/bProcess4"/>
    <dgm:cxn modelId="{B732BD68-6A35-43DC-AE87-E9B5DEB301D6}" type="presOf" srcId="{9C3E8184-CE18-4453-96A0-B145181D283E}" destId="{D1BC446F-B5F1-4699-9148-838B8DFA9B64}" srcOrd="0" destOrd="0" presId="urn:microsoft.com/office/officeart/2005/8/layout/bProcess4"/>
    <dgm:cxn modelId="{EC49334A-A63B-4112-BE23-B80E82765E79}" srcId="{C4ACFA3A-E82C-4608-9056-DFF0B0F088A9}" destId="{A4BF43AF-CEEA-4399-B274-91A834404774}" srcOrd="9" destOrd="0" parTransId="{C717B548-E661-4753-BDCB-F5D2F6AFE027}" sibTransId="{B6069624-98CB-428B-B8EE-3451B7FC6883}"/>
    <dgm:cxn modelId="{686E426F-6A78-4390-B452-F8CA9592A922}" type="presOf" srcId="{01183EAC-1793-4511-B7E5-3AC4DCB09E15}" destId="{2BC36B8C-C12A-4AEE-B3DD-8E51100CA7C1}" srcOrd="0" destOrd="0" presId="urn:microsoft.com/office/officeart/2005/8/layout/bProcess4"/>
    <dgm:cxn modelId="{94AB0C56-4FCB-42CC-8E2D-062C3193B354}" srcId="{C4ACFA3A-E82C-4608-9056-DFF0B0F088A9}" destId="{84C6E4E2-B683-40D8-81C1-1EFBDF122912}" srcOrd="3" destOrd="0" parTransId="{63319975-CA74-4B22-A8A4-FFF8AF3CA60E}" sibTransId="{A01C7E56-9359-44FE-92F5-E7B9BAA4016B}"/>
    <dgm:cxn modelId="{65CA7157-A383-4A90-B8A7-A5CD29F2E290}" type="presOf" srcId="{C4ACFA3A-E82C-4608-9056-DFF0B0F088A9}" destId="{4F9A2418-439B-4396-94B7-9708EDD2D4BC}" srcOrd="0" destOrd="0" presId="urn:microsoft.com/office/officeart/2005/8/layout/bProcess4"/>
    <dgm:cxn modelId="{6D9A6779-42C3-4851-977B-DD74A2353359}" type="presOf" srcId="{A01C7E56-9359-44FE-92F5-E7B9BAA4016B}" destId="{845EB0A5-F208-429C-B300-149DB41CF4B4}" srcOrd="0" destOrd="0" presId="urn:microsoft.com/office/officeart/2005/8/layout/bProcess4"/>
    <dgm:cxn modelId="{750C3687-6F7F-4447-9409-78537802EB61}" type="presOf" srcId="{853A3B30-7A6F-426C-8994-7F89D991928E}" destId="{252A868C-5BDE-4977-8F6B-C44F63A54015}" srcOrd="0" destOrd="0" presId="urn:microsoft.com/office/officeart/2005/8/layout/bProcess4"/>
    <dgm:cxn modelId="{59C37F92-3AB0-4FC3-93C1-92021AD68844}" type="presOf" srcId="{E7F0B927-BA7A-422E-9748-AF6DCA2C1D95}" destId="{2DD89884-049D-4970-BF27-4E06DB10BD39}" srcOrd="0" destOrd="0" presId="urn:microsoft.com/office/officeart/2005/8/layout/bProcess4"/>
    <dgm:cxn modelId="{33DDB494-FE44-4829-9E1D-0772531AC20B}" srcId="{C4ACFA3A-E82C-4608-9056-DFF0B0F088A9}" destId="{2777DB95-AA93-4B56-AA8B-BCEE646B3D96}" srcOrd="2" destOrd="0" parTransId="{76C969BC-E3B9-4B30-B18A-609424D257F5}" sibTransId="{DBCC3D02-668C-48B9-983C-D0C608F18B63}"/>
    <dgm:cxn modelId="{8FC0D397-7983-4E1F-9279-0E5255552739}" srcId="{C4ACFA3A-E82C-4608-9056-DFF0B0F088A9}" destId="{56B5A8AD-3C1E-41E9-A2E6-FEE73F735A51}" srcOrd="6" destOrd="0" parTransId="{2BAADEEF-D3D2-44EC-8CFF-4B068C5AF3E7}" sibTransId="{820556DF-0D22-421C-97F0-58F29620E92E}"/>
    <dgm:cxn modelId="{46590C98-BF62-4822-913B-90FDAF95408A}" type="presOf" srcId="{319AE2AA-2240-4703-8CC7-D335856D2825}" destId="{87B16809-B70D-44C2-AE2D-A9F51FB84B80}" srcOrd="0" destOrd="0" presId="urn:microsoft.com/office/officeart/2005/8/layout/bProcess4"/>
    <dgm:cxn modelId="{111E489C-9CE1-4F03-9BF9-33823C4A8A58}" srcId="{C4ACFA3A-E82C-4608-9056-DFF0B0F088A9}" destId="{5384667E-30AC-4D3F-9241-BF71EBF5BC57}" srcOrd="4" destOrd="0" parTransId="{52CB8390-C050-4402-B489-4A7A80ED9B2E}" sibTransId="{E7F0B927-BA7A-422E-9748-AF6DCA2C1D95}"/>
    <dgm:cxn modelId="{D29FAFA1-8914-4B84-8C1C-CECDBD8FAE37}" type="presOf" srcId="{B20E23A7-F275-4313-A92E-5B8D6B548A24}" destId="{2A6E0810-5335-4B41-8DD9-6E023DB327BA}" srcOrd="0" destOrd="0" presId="urn:microsoft.com/office/officeart/2005/8/layout/bProcess4"/>
    <dgm:cxn modelId="{F18165A3-6640-4133-BD98-8723BCFA6569}" type="presOf" srcId="{869CE91E-0785-4A92-9B5B-40924654CABE}" destId="{9C3B256A-8A0C-4A27-AE1C-81B2C8662A13}" srcOrd="0" destOrd="0" presId="urn:microsoft.com/office/officeart/2005/8/layout/bProcess4"/>
    <dgm:cxn modelId="{DEFAF2AE-70C5-44FD-BEDD-68EEB7264BA4}" srcId="{C4ACFA3A-E82C-4608-9056-DFF0B0F088A9}" destId="{4CFF6C15-4D3F-4CEE-AF45-84745E998B29}" srcOrd="12" destOrd="0" parTransId="{E8402779-7C56-48BD-9E80-CF410B3A3ED7}" sibTransId="{8AED803D-0399-405C-9687-641CB58821EE}"/>
    <dgm:cxn modelId="{9155CFBF-765C-4CE1-AF7F-ADE8DEF2A3D4}" srcId="{C4ACFA3A-E82C-4608-9056-DFF0B0F088A9}" destId="{F5DD9A66-55EE-441F-8086-D7713F26F2CB}" srcOrd="10" destOrd="0" parTransId="{73CEE835-B2CC-47F0-A0F7-5F6B655C6D75}" sibTransId="{993212D8-51B1-42AF-9E4F-E23F8D5A34E9}"/>
    <dgm:cxn modelId="{BB0493C1-F9CD-4380-A853-0AF746B2B6D6}" type="presOf" srcId="{56B5A8AD-3C1E-41E9-A2E6-FEE73F735A51}" destId="{4F80F023-A901-45E2-9444-525FDE35C693}" srcOrd="0" destOrd="0" presId="urn:microsoft.com/office/officeart/2005/8/layout/bProcess4"/>
    <dgm:cxn modelId="{77DDC7C2-7AA7-416A-8CEE-B3996491A19C}" type="presOf" srcId="{B6069624-98CB-428B-B8EE-3451B7FC6883}" destId="{D6449E4D-BDA4-420D-AFD4-0937BCA38BF7}" srcOrd="0" destOrd="0" presId="urn:microsoft.com/office/officeart/2005/8/layout/bProcess4"/>
    <dgm:cxn modelId="{1046DEC5-E5B8-4E77-BB66-254B3518AE52}" srcId="{C4ACFA3A-E82C-4608-9056-DFF0B0F088A9}" destId="{51E459AB-5941-4F6B-9F6A-D5711886A419}" srcOrd="7" destOrd="0" parTransId="{8FD819FA-4C77-40CF-8EB3-1A4923101B21}" sibTransId="{8A72B71A-B782-43C6-B863-80EF7D262000}"/>
    <dgm:cxn modelId="{27F63AC6-A518-4173-A47A-F541E582AEB5}" type="presOf" srcId="{993212D8-51B1-42AF-9E4F-E23F8D5A34E9}" destId="{DF05F207-CEDC-42AE-A007-0E384DC63A12}" srcOrd="0" destOrd="0" presId="urn:microsoft.com/office/officeart/2005/8/layout/bProcess4"/>
    <dgm:cxn modelId="{B3C06BD0-45B4-429E-AD5D-0AAD17FCC449}" type="presOf" srcId="{4CFF6C15-4D3F-4CEE-AF45-84745E998B29}" destId="{0F03DF8C-94AB-4DAA-8151-4C9F8FC5A883}" srcOrd="0" destOrd="0" presId="urn:microsoft.com/office/officeart/2005/8/layout/bProcess4"/>
    <dgm:cxn modelId="{B0E906D2-59C4-43E3-9400-70FFC9681030}" type="presOf" srcId="{2777DB95-AA93-4B56-AA8B-BCEE646B3D96}" destId="{DCCB8594-7FF6-4166-BCA3-7E9F6799B578}" srcOrd="0" destOrd="0" presId="urn:microsoft.com/office/officeart/2005/8/layout/bProcess4"/>
    <dgm:cxn modelId="{4D20E3D3-572B-48B4-920E-66DB189A807D}" srcId="{C4ACFA3A-E82C-4608-9056-DFF0B0F088A9}" destId="{01183EAC-1793-4511-B7E5-3AC4DCB09E15}" srcOrd="5" destOrd="0" parTransId="{EE8718A3-35E9-47FD-8281-866CC518C497}" sibTransId="{9C3E8184-CE18-4453-96A0-B145181D283E}"/>
    <dgm:cxn modelId="{5418BDDC-1EE0-47BC-9215-5DB1F87C0C2A}" type="presOf" srcId="{820556DF-0D22-421C-97F0-58F29620E92E}" destId="{D39FA026-B52E-451F-A4E7-2D3359C3D9C4}" srcOrd="0" destOrd="0" presId="urn:microsoft.com/office/officeart/2005/8/layout/bProcess4"/>
    <dgm:cxn modelId="{E277C1F0-148C-4717-B60A-3E85CB94F5EC}" srcId="{C4ACFA3A-E82C-4608-9056-DFF0B0F088A9}" destId="{6964D937-3F1A-4DC0-81A6-D09F78223108}" srcOrd="1" destOrd="0" parTransId="{B44683CF-0820-485C-9EF4-C4F67DADEBA9}" sibTransId="{75E794F9-C628-4B27-9A4B-516E5EFBDCAC}"/>
    <dgm:cxn modelId="{0F296AFD-D69F-449F-B6F6-531D57F08FD9}" type="presOf" srcId="{75E794F9-C628-4B27-9A4B-516E5EFBDCAC}" destId="{DE17B072-6D2F-4317-82A8-DC1F15C490A3}" srcOrd="0" destOrd="0" presId="urn:microsoft.com/office/officeart/2005/8/layout/bProcess4"/>
    <dgm:cxn modelId="{0005ED91-5150-4789-8BEB-D3F789A3967B}" type="presParOf" srcId="{4F9A2418-439B-4396-94B7-9708EDD2D4BC}" destId="{AC3C6BDB-6E39-40BC-94B4-275F9B2C425A}" srcOrd="0" destOrd="0" presId="urn:microsoft.com/office/officeart/2005/8/layout/bProcess4"/>
    <dgm:cxn modelId="{992D4562-0058-48A3-9D16-73074243DF35}" type="presParOf" srcId="{AC3C6BDB-6E39-40BC-94B4-275F9B2C425A}" destId="{9D5E4782-6456-4799-A8AB-6D04E6A02C94}" srcOrd="0" destOrd="0" presId="urn:microsoft.com/office/officeart/2005/8/layout/bProcess4"/>
    <dgm:cxn modelId="{A70A1F2B-C4E3-4196-914B-9B2CA5EAE8FE}" type="presParOf" srcId="{AC3C6BDB-6E39-40BC-94B4-275F9B2C425A}" destId="{4B83E1E8-AF3E-4FDB-BE3C-B5631439588D}" srcOrd="1" destOrd="0" presId="urn:microsoft.com/office/officeart/2005/8/layout/bProcess4"/>
    <dgm:cxn modelId="{BDCA17FA-87DC-453B-A4BF-28F24A097AED}" type="presParOf" srcId="{4F9A2418-439B-4396-94B7-9708EDD2D4BC}" destId="{01772F64-6321-4D11-AA37-B2843979E2A1}" srcOrd="1" destOrd="0" presId="urn:microsoft.com/office/officeart/2005/8/layout/bProcess4"/>
    <dgm:cxn modelId="{95C6CAC9-27FB-4B70-9610-3FE961704EC1}" type="presParOf" srcId="{4F9A2418-439B-4396-94B7-9708EDD2D4BC}" destId="{7A913EAA-21B5-449C-8DE9-78478998B7B2}" srcOrd="2" destOrd="0" presId="urn:microsoft.com/office/officeart/2005/8/layout/bProcess4"/>
    <dgm:cxn modelId="{578AD123-CE00-4B81-B1F1-FF9E6EA99B04}" type="presParOf" srcId="{7A913EAA-21B5-449C-8DE9-78478998B7B2}" destId="{FFDE52BB-C02D-43E1-8A04-3F04D0D52AB3}" srcOrd="0" destOrd="0" presId="urn:microsoft.com/office/officeart/2005/8/layout/bProcess4"/>
    <dgm:cxn modelId="{DBD78058-089A-4099-85D4-F98D01A5D339}" type="presParOf" srcId="{7A913EAA-21B5-449C-8DE9-78478998B7B2}" destId="{348238EA-CC74-431B-AD80-492D67E5DBE4}" srcOrd="1" destOrd="0" presId="urn:microsoft.com/office/officeart/2005/8/layout/bProcess4"/>
    <dgm:cxn modelId="{5273A82C-9631-47E8-8534-3FF889EDCB8E}" type="presParOf" srcId="{4F9A2418-439B-4396-94B7-9708EDD2D4BC}" destId="{DE17B072-6D2F-4317-82A8-DC1F15C490A3}" srcOrd="3" destOrd="0" presId="urn:microsoft.com/office/officeart/2005/8/layout/bProcess4"/>
    <dgm:cxn modelId="{D34BD54E-B10C-4B59-AD0C-0981E01E3176}" type="presParOf" srcId="{4F9A2418-439B-4396-94B7-9708EDD2D4BC}" destId="{CD4BB63F-8ED2-4025-A8DD-C2690BAEA811}" srcOrd="4" destOrd="0" presId="urn:microsoft.com/office/officeart/2005/8/layout/bProcess4"/>
    <dgm:cxn modelId="{71F1FB5F-286E-4726-81B9-2274174996FA}" type="presParOf" srcId="{CD4BB63F-8ED2-4025-A8DD-C2690BAEA811}" destId="{4F4AC121-DCDA-4784-BE99-C29DDFFD2551}" srcOrd="0" destOrd="0" presId="urn:microsoft.com/office/officeart/2005/8/layout/bProcess4"/>
    <dgm:cxn modelId="{0AB34537-9EED-48A0-8A24-A4B86C835B5A}" type="presParOf" srcId="{CD4BB63F-8ED2-4025-A8DD-C2690BAEA811}" destId="{DCCB8594-7FF6-4166-BCA3-7E9F6799B578}" srcOrd="1" destOrd="0" presId="urn:microsoft.com/office/officeart/2005/8/layout/bProcess4"/>
    <dgm:cxn modelId="{D0ED07E0-6800-489C-BFE0-067C61453017}" type="presParOf" srcId="{4F9A2418-439B-4396-94B7-9708EDD2D4BC}" destId="{E4C471A8-A2B5-4750-93B0-1D88106704D1}" srcOrd="5" destOrd="0" presId="urn:microsoft.com/office/officeart/2005/8/layout/bProcess4"/>
    <dgm:cxn modelId="{E3FFA514-024B-4852-9959-0559C95BA436}" type="presParOf" srcId="{4F9A2418-439B-4396-94B7-9708EDD2D4BC}" destId="{70EA314A-3DB0-4628-A2D2-479BFFADA8A0}" srcOrd="6" destOrd="0" presId="urn:microsoft.com/office/officeart/2005/8/layout/bProcess4"/>
    <dgm:cxn modelId="{38ECF61E-685E-4C7A-8190-482D52B51A06}" type="presParOf" srcId="{70EA314A-3DB0-4628-A2D2-479BFFADA8A0}" destId="{AAAB1A4B-B356-4143-B6B5-9F29665B0BDA}" srcOrd="0" destOrd="0" presId="urn:microsoft.com/office/officeart/2005/8/layout/bProcess4"/>
    <dgm:cxn modelId="{8EB7A1CF-89FF-4021-9888-1E3EDF9A52D8}" type="presParOf" srcId="{70EA314A-3DB0-4628-A2D2-479BFFADA8A0}" destId="{B2C8FEF7-040C-4FA4-B9CD-50E22145BB45}" srcOrd="1" destOrd="0" presId="urn:microsoft.com/office/officeart/2005/8/layout/bProcess4"/>
    <dgm:cxn modelId="{2B145556-0BE0-4578-935F-D25FB76A7C6B}" type="presParOf" srcId="{4F9A2418-439B-4396-94B7-9708EDD2D4BC}" destId="{845EB0A5-F208-429C-B300-149DB41CF4B4}" srcOrd="7" destOrd="0" presId="urn:microsoft.com/office/officeart/2005/8/layout/bProcess4"/>
    <dgm:cxn modelId="{7EC358BC-3D62-431F-BB28-51FB5D749035}" type="presParOf" srcId="{4F9A2418-439B-4396-94B7-9708EDD2D4BC}" destId="{B06989FB-3F7D-4706-B170-817621139848}" srcOrd="8" destOrd="0" presId="urn:microsoft.com/office/officeart/2005/8/layout/bProcess4"/>
    <dgm:cxn modelId="{DD4DDA6D-EA1D-49CE-8EA8-C7507C23DF35}" type="presParOf" srcId="{B06989FB-3F7D-4706-B170-817621139848}" destId="{B8BD46CD-7A80-4FC4-A2CC-A7E3BFE2D6EB}" srcOrd="0" destOrd="0" presId="urn:microsoft.com/office/officeart/2005/8/layout/bProcess4"/>
    <dgm:cxn modelId="{D6C65AD6-43AB-4C5D-81C0-C4BF25C1BBF8}" type="presParOf" srcId="{B06989FB-3F7D-4706-B170-817621139848}" destId="{BE831A0A-B201-4C04-BEEF-5FEFA9AA428F}" srcOrd="1" destOrd="0" presId="urn:microsoft.com/office/officeart/2005/8/layout/bProcess4"/>
    <dgm:cxn modelId="{119E1181-E6D8-427F-BDB2-2AD471D863C9}" type="presParOf" srcId="{4F9A2418-439B-4396-94B7-9708EDD2D4BC}" destId="{2DD89884-049D-4970-BF27-4E06DB10BD39}" srcOrd="9" destOrd="0" presId="urn:microsoft.com/office/officeart/2005/8/layout/bProcess4"/>
    <dgm:cxn modelId="{A5EFB400-E613-4392-BA3A-70775D20AE1C}" type="presParOf" srcId="{4F9A2418-439B-4396-94B7-9708EDD2D4BC}" destId="{B8AE3638-6987-4AAA-B9DF-EBE571989BB5}" srcOrd="10" destOrd="0" presId="urn:microsoft.com/office/officeart/2005/8/layout/bProcess4"/>
    <dgm:cxn modelId="{F450A379-F008-4993-97B3-D5B20872BA5B}" type="presParOf" srcId="{B8AE3638-6987-4AAA-B9DF-EBE571989BB5}" destId="{2B407DB2-CDE1-46FF-A159-6DFF135C87E4}" srcOrd="0" destOrd="0" presId="urn:microsoft.com/office/officeart/2005/8/layout/bProcess4"/>
    <dgm:cxn modelId="{D5B99DF8-CC89-4FAD-9FCA-BB6E163BE5F7}" type="presParOf" srcId="{B8AE3638-6987-4AAA-B9DF-EBE571989BB5}" destId="{2BC36B8C-C12A-4AEE-B3DD-8E51100CA7C1}" srcOrd="1" destOrd="0" presId="urn:microsoft.com/office/officeart/2005/8/layout/bProcess4"/>
    <dgm:cxn modelId="{E8D6C11A-D48B-424E-A8F0-0C618CE4ACB9}" type="presParOf" srcId="{4F9A2418-439B-4396-94B7-9708EDD2D4BC}" destId="{D1BC446F-B5F1-4699-9148-838B8DFA9B64}" srcOrd="11" destOrd="0" presId="urn:microsoft.com/office/officeart/2005/8/layout/bProcess4"/>
    <dgm:cxn modelId="{96C7C7A6-256D-4CC5-BA6F-70A15AB1BCD2}" type="presParOf" srcId="{4F9A2418-439B-4396-94B7-9708EDD2D4BC}" destId="{23B8D3AA-8861-4DCE-9986-6265399CB221}" srcOrd="12" destOrd="0" presId="urn:microsoft.com/office/officeart/2005/8/layout/bProcess4"/>
    <dgm:cxn modelId="{C863E8AA-3B1D-411C-BD18-9035E1EBC47A}" type="presParOf" srcId="{23B8D3AA-8861-4DCE-9986-6265399CB221}" destId="{D9DEEA03-7FE4-4571-9188-A52ACDAC4AFF}" srcOrd="0" destOrd="0" presId="urn:microsoft.com/office/officeart/2005/8/layout/bProcess4"/>
    <dgm:cxn modelId="{CD153C7F-05A2-4AFD-B84D-0475550A22E8}" type="presParOf" srcId="{23B8D3AA-8861-4DCE-9986-6265399CB221}" destId="{4F80F023-A901-45E2-9444-525FDE35C693}" srcOrd="1" destOrd="0" presId="urn:microsoft.com/office/officeart/2005/8/layout/bProcess4"/>
    <dgm:cxn modelId="{73A6B7DC-6AF2-40B0-8256-8558DA5023FA}" type="presParOf" srcId="{4F9A2418-439B-4396-94B7-9708EDD2D4BC}" destId="{D39FA026-B52E-451F-A4E7-2D3359C3D9C4}" srcOrd="13" destOrd="0" presId="urn:microsoft.com/office/officeart/2005/8/layout/bProcess4"/>
    <dgm:cxn modelId="{4CA4ACF2-629A-4A19-9AB9-751A32186CB7}" type="presParOf" srcId="{4F9A2418-439B-4396-94B7-9708EDD2D4BC}" destId="{3A489F9A-A0DA-4008-BF61-B125B676EBB0}" srcOrd="14" destOrd="0" presId="urn:microsoft.com/office/officeart/2005/8/layout/bProcess4"/>
    <dgm:cxn modelId="{E350400E-20D9-4BB5-89CC-66864BDEBD93}" type="presParOf" srcId="{3A489F9A-A0DA-4008-BF61-B125B676EBB0}" destId="{4A12E8F3-3E2E-4545-883F-743E241A6808}" srcOrd="0" destOrd="0" presId="urn:microsoft.com/office/officeart/2005/8/layout/bProcess4"/>
    <dgm:cxn modelId="{06D79C7D-A88D-4D39-B02D-7FA7D49FA2B4}" type="presParOf" srcId="{3A489F9A-A0DA-4008-BF61-B125B676EBB0}" destId="{B5D5588D-630A-4E0A-9374-4A225F8800F3}" srcOrd="1" destOrd="0" presId="urn:microsoft.com/office/officeart/2005/8/layout/bProcess4"/>
    <dgm:cxn modelId="{05469142-1157-4674-AB86-174763B8B9A5}" type="presParOf" srcId="{4F9A2418-439B-4396-94B7-9708EDD2D4BC}" destId="{D274FFB2-1462-4BB6-A628-1D54CCF53E47}" srcOrd="15" destOrd="0" presId="urn:microsoft.com/office/officeart/2005/8/layout/bProcess4"/>
    <dgm:cxn modelId="{EA614D73-109F-40E7-9EA7-D3EDC2737D35}" type="presParOf" srcId="{4F9A2418-439B-4396-94B7-9708EDD2D4BC}" destId="{CC28365B-7411-43CE-BBC5-465932E6405F}" srcOrd="16" destOrd="0" presId="urn:microsoft.com/office/officeart/2005/8/layout/bProcess4"/>
    <dgm:cxn modelId="{D61F6B2B-BC2A-4B54-B9EF-78E12166D996}" type="presParOf" srcId="{CC28365B-7411-43CE-BBC5-465932E6405F}" destId="{45AB4B06-681F-4104-AD0E-3FFD6BBC200F}" srcOrd="0" destOrd="0" presId="urn:microsoft.com/office/officeart/2005/8/layout/bProcess4"/>
    <dgm:cxn modelId="{7C9B2ABE-F738-470A-8039-5A49483196A4}" type="presParOf" srcId="{CC28365B-7411-43CE-BBC5-465932E6405F}" destId="{252A868C-5BDE-4977-8F6B-C44F63A54015}" srcOrd="1" destOrd="0" presId="urn:microsoft.com/office/officeart/2005/8/layout/bProcess4"/>
    <dgm:cxn modelId="{94C5ED0A-B705-465C-A393-44B766FB6FBA}" type="presParOf" srcId="{4F9A2418-439B-4396-94B7-9708EDD2D4BC}" destId="{87B16809-B70D-44C2-AE2D-A9F51FB84B80}" srcOrd="17" destOrd="0" presId="urn:microsoft.com/office/officeart/2005/8/layout/bProcess4"/>
    <dgm:cxn modelId="{1E58A62B-619D-4AF9-996C-4637326D9A62}" type="presParOf" srcId="{4F9A2418-439B-4396-94B7-9708EDD2D4BC}" destId="{0D465280-7447-4A9E-A8D0-893D65A4972B}" srcOrd="18" destOrd="0" presId="urn:microsoft.com/office/officeart/2005/8/layout/bProcess4"/>
    <dgm:cxn modelId="{18D05307-CA31-4662-B519-907373810802}" type="presParOf" srcId="{0D465280-7447-4A9E-A8D0-893D65A4972B}" destId="{619549CA-9E6C-49A1-AF2F-D7C1529117BE}" srcOrd="0" destOrd="0" presId="urn:microsoft.com/office/officeart/2005/8/layout/bProcess4"/>
    <dgm:cxn modelId="{A891852D-01AB-4208-8CCA-7E55B3B551F5}" type="presParOf" srcId="{0D465280-7447-4A9E-A8D0-893D65A4972B}" destId="{0FF39C73-512D-4304-B871-03C799B73CEE}" srcOrd="1" destOrd="0" presId="urn:microsoft.com/office/officeart/2005/8/layout/bProcess4"/>
    <dgm:cxn modelId="{CC87379C-85F0-4B1D-B1F4-504505431B63}" type="presParOf" srcId="{4F9A2418-439B-4396-94B7-9708EDD2D4BC}" destId="{D6449E4D-BDA4-420D-AFD4-0937BCA38BF7}" srcOrd="19" destOrd="0" presId="urn:microsoft.com/office/officeart/2005/8/layout/bProcess4"/>
    <dgm:cxn modelId="{998CA6AF-C3C9-4CFE-A9C3-9723E795A860}" type="presParOf" srcId="{4F9A2418-439B-4396-94B7-9708EDD2D4BC}" destId="{B1E815B3-FAD2-4A1E-9818-5615EC0468F4}" srcOrd="20" destOrd="0" presId="urn:microsoft.com/office/officeart/2005/8/layout/bProcess4"/>
    <dgm:cxn modelId="{9E25C0F5-10F3-4C33-9C2B-CC7925A5D52C}" type="presParOf" srcId="{B1E815B3-FAD2-4A1E-9818-5615EC0468F4}" destId="{6C838A8D-8215-4A95-A6FB-640028A5A786}" srcOrd="0" destOrd="0" presId="urn:microsoft.com/office/officeart/2005/8/layout/bProcess4"/>
    <dgm:cxn modelId="{995EE738-8E9C-48FC-A6A2-0E461B860451}" type="presParOf" srcId="{B1E815B3-FAD2-4A1E-9818-5615EC0468F4}" destId="{B415EAE9-7DD1-457C-9D09-CB59A029F1A6}" srcOrd="1" destOrd="0" presId="urn:microsoft.com/office/officeart/2005/8/layout/bProcess4"/>
    <dgm:cxn modelId="{15345613-5C80-4673-A3F1-2981BD3476C1}" type="presParOf" srcId="{4F9A2418-439B-4396-94B7-9708EDD2D4BC}" destId="{DF05F207-CEDC-42AE-A007-0E384DC63A12}" srcOrd="21" destOrd="0" presId="urn:microsoft.com/office/officeart/2005/8/layout/bProcess4"/>
    <dgm:cxn modelId="{9478C058-3B53-4656-9425-4CE22B2202FD}" type="presParOf" srcId="{4F9A2418-439B-4396-94B7-9708EDD2D4BC}" destId="{53B7DA1A-0764-4F1E-A3B1-EACC9060BDCF}" srcOrd="22" destOrd="0" presId="urn:microsoft.com/office/officeart/2005/8/layout/bProcess4"/>
    <dgm:cxn modelId="{0E76FD0F-9C07-4537-A7F2-6275DF98098C}" type="presParOf" srcId="{53B7DA1A-0764-4F1E-A3B1-EACC9060BDCF}" destId="{D1FBF5C2-BF2B-41DB-948D-D08D581E5A64}" srcOrd="0" destOrd="0" presId="urn:microsoft.com/office/officeart/2005/8/layout/bProcess4"/>
    <dgm:cxn modelId="{44D90577-7D68-429A-A047-78F63F842105}" type="presParOf" srcId="{53B7DA1A-0764-4F1E-A3B1-EACC9060BDCF}" destId="{2A6E0810-5335-4B41-8DD9-6E023DB327BA}" srcOrd="1" destOrd="0" presId="urn:microsoft.com/office/officeart/2005/8/layout/bProcess4"/>
    <dgm:cxn modelId="{F0ADB532-6AEB-436A-9DCB-B1AEED462713}" type="presParOf" srcId="{4F9A2418-439B-4396-94B7-9708EDD2D4BC}" destId="{9C3B256A-8A0C-4A27-AE1C-81B2C8662A13}" srcOrd="23" destOrd="0" presId="urn:microsoft.com/office/officeart/2005/8/layout/bProcess4"/>
    <dgm:cxn modelId="{6DF43C10-6A87-4613-A5A8-7EC9E103B6AC}" type="presParOf" srcId="{4F9A2418-439B-4396-94B7-9708EDD2D4BC}" destId="{AF9677AF-91CE-473A-B017-1333357DCAE2}" srcOrd="24" destOrd="0" presId="urn:microsoft.com/office/officeart/2005/8/layout/bProcess4"/>
    <dgm:cxn modelId="{5C24A04D-FE43-4221-B7D8-2A0ABFB129B3}" type="presParOf" srcId="{AF9677AF-91CE-473A-B017-1333357DCAE2}" destId="{6C80746F-E7E8-42E1-B651-F3AF02F414E5}" srcOrd="0" destOrd="0" presId="urn:microsoft.com/office/officeart/2005/8/layout/bProcess4"/>
    <dgm:cxn modelId="{43A4DF4E-E9BF-4FBB-8C18-D19E9457E21D}" type="presParOf" srcId="{AF9677AF-91CE-473A-B017-1333357DCAE2}" destId="{0F03DF8C-94AB-4DAA-8151-4C9F8FC5A883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72F64-6321-4D11-AA37-B2843979E2A1}">
      <dsp:nvSpPr>
        <dsp:cNvPr id="0" name=""/>
        <dsp:cNvSpPr/>
      </dsp:nvSpPr>
      <dsp:spPr>
        <a:xfrm rot="5400000">
          <a:off x="-153529" y="816325"/>
          <a:ext cx="1275103" cy="15385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83E1E8-AF3E-4FDB-BE3C-B5631439588D}">
      <dsp:nvSpPr>
        <dsp:cNvPr id="0" name=""/>
        <dsp:cNvSpPr/>
      </dsp:nvSpPr>
      <dsp:spPr>
        <a:xfrm>
          <a:off x="138637" y="840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1. Idea or Project initiated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 by organisation, or suggested by a third party such as a gambling business</a:t>
          </a:r>
        </a:p>
      </dsp:txBody>
      <dsp:txXfrm>
        <a:off x="168678" y="30881"/>
        <a:ext cx="1649371" cy="965590"/>
      </dsp:txXfrm>
    </dsp:sp>
    <dsp:sp modelId="{DE17B072-6D2F-4317-82A8-DC1F15C490A3}">
      <dsp:nvSpPr>
        <dsp:cNvPr id="0" name=""/>
        <dsp:cNvSpPr/>
      </dsp:nvSpPr>
      <dsp:spPr>
        <a:xfrm rot="5400000">
          <a:off x="-153529" y="2098415"/>
          <a:ext cx="1275103" cy="153850"/>
        </a:xfrm>
        <a:prstGeom prst="rect">
          <a:avLst/>
        </a:prstGeom>
        <a:solidFill>
          <a:schemeClr val="accent5">
            <a:hueOff val="-614413"/>
            <a:satOff val="-1584"/>
            <a:lumOff val="-107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8238EA-CC74-431B-AD80-492D67E5DBE4}">
      <dsp:nvSpPr>
        <dsp:cNvPr id="0" name=""/>
        <dsp:cNvSpPr/>
      </dsp:nvSpPr>
      <dsp:spPr>
        <a:xfrm>
          <a:off x="138637" y="128293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563212"/>
            <a:satOff val="-1452"/>
            <a:lumOff val="-98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2. Exploratory Stage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Proposal template shared and initial discussions take place with Safer Gambling Team</a:t>
          </a:r>
        </a:p>
      </dsp:txBody>
      <dsp:txXfrm>
        <a:off x="168678" y="1312972"/>
        <a:ext cx="1649371" cy="965590"/>
      </dsp:txXfrm>
    </dsp:sp>
    <dsp:sp modelId="{E4C471A8-A2B5-4750-93B0-1D88106704D1}">
      <dsp:nvSpPr>
        <dsp:cNvPr id="0" name=""/>
        <dsp:cNvSpPr/>
      </dsp:nvSpPr>
      <dsp:spPr>
        <a:xfrm rot="5400000">
          <a:off x="-153529" y="3380505"/>
          <a:ext cx="1275103" cy="153850"/>
        </a:xfrm>
        <a:prstGeom prst="rect">
          <a:avLst/>
        </a:prstGeom>
        <a:solidFill>
          <a:schemeClr val="accent5">
            <a:hueOff val="-1228826"/>
            <a:satOff val="-3167"/>
            <a:lumOff val="-21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CB8594-7FF6-4166-BCA3-7E9F6799B578}">
      <dsp:nvSpPr>
        <dsp:cNvPr id="0" name=""/>
        <dsp:cNvSpPr/>
      </dsp:nvSpPr>
      <dsp:spPr>
        <a:xfrm>
          <a:off x="138637" y="256502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1126424"/>
            <a:satOff val="-2903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3. Proposal received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It is not a requirement to use the template but the proposal should address the themes identified in the template</a:t>
          </a:r>
        </a:p>
      </dsp:txBody>
      <dsp:txXfrm>
        <a:off x="168678" y="2595062"/>
        <a:ext cx="1649371" cy="965590"/>
      </dsp:txXfrm>
    </dsp:sp>
    <dsp:sp modelId="{845EB0A5-F208-429C-B300-149DB41CF4B4}">
      <dsp:nvSpPr>
        <dsp:cNvPr id="0" name=""/>
        <dsp:cNvSpPr/>
      </dsp:nvSpPr>
      <dsp:spPr>
        <a:xfrm>
          <a:off x="487515" y="4021550"/>
          <a:ext cx="2266586" cy="153850"/>
        </a:xfrm>
        <a:prstGeom prst="rect">
          <a:avLst/>
        </a:prstGeom>
        <a:solidFill>
          <a:schemeClr val="accent5">
            <a:hueOff val="-1843239"/>
            <a:satOff val="-4751"/>
            <a:lumOff val="-320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8FEF7-040C-4FA4-B9CD-50E22145BB45}">
      <dsp:nvSpPr>
        <dsp:cNvPr id="0" name=""/>
        <dsp:cNvSpPr/>
      </dsp:nvSpPr>
      <dsp:spPr>
        <a:xfrm>
          <a:off x="138637" y="384711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4. Initial Assessment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bg1"/>
              </a:solidFill>
            </a:rPr>
            <a:t>Assessment against the criteria set out in the Commission's Statement of Principles, </a:t>
          </a:r>
          <a:r>
            <a:rPr lang="en-GB" sz="800" strike="noStrike" kern="1200" dirty="0">
              <a:solidFill>
                <a:schemeClr val="bg1"/>
              </a:solidFill>
            </a:rPr>
            <a:t>to accelerate progress against National Strategy</a:t>
          </a:r>
          <a:r>
            <a:rPr lang="en-GB" sz="800" strike="sngStrike" kern="1200" dirty="0">
              <a:solidFill>
                <a:schemeClr val="bg1"/>
              </a:solidFill>
            </a:rPr>
            <a:t>, </a:t>
          </a:r>
          <a:r>
            <a:rPr lang="en-GB" sz="800" kern="1200" dirty="0">
              <a:solidFill>
                <a:schemeClr val="bg1"/>
              </a:solidFill>
            </a:rPr>
            <a:t>conducted by Safer Gambling Team </a:t>
          </a:r>
        </a:p>
      </dsp:txBody>
      <dsp:txXfrm>
        <a:off x="168678" y="3877152"/>
        <a:ext cx="1649371" cy="965590"/>
      </dsp:txXfrm>
    </dsp:sp>
    <dsp:sp modelId="{2DD89884-049D-4970-BF27-4E06DB10BD39}">
      <dsp:nvSpPr>
        <dsp:cNvPr id="0" name=""/>
        <dsp:cNvSpPr/>
      </dsp:nvSpPr>
      <dsp:spPr>
        <a:xfrm rot="16200000">
          <a:off x="2120044" y="3380505"/>
          <a:ext cx="1275103" cy="153850"/>
        </a:xfrm>
        <a:prstGeom prst="rect">
          <a:avLst/>
        </a:prstGeom>
        <a:solidFill>
          <a:schemeClr val="accent5">
            <a:hueOff val="-2457652"/>
            <a:satOff val="-6334"/>
            <a:lumOff val="-42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831A0A-B201-4C04-BEEF-5FEFA9AA428F}">
      <dsp:nvSpPr>
        <dsp:cNvPr id="0" name=""/>
        <dsp:cNvSpPr/>
      </dsp:nvSpPr>
      <dsp:spPr>
        <a:xfrm>
          <a:off x="2412211" y="384711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5. Clarification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Discussions to address any issues identified, proposal may be amended</a:t>
          </a:r>
        </a:p>
      </dsp:txBody>
      <dsp:txXfrm>
        <a:off x="2442252" y="3877152"/>
        <a:ext cx="1649371" cy="965590"/>
      </dsp:txXfrm>
    </dsp:sp>
    <dsp:sp modelId="{D1BC446F-B5F1-4699-9148-838B8DFA9B64}">
      <dsp:nvSpPr>
        <dsp:cNvPr id="0" name=""/>
        <dsp:cNvSpPr/>
      </dsp:nvSpPr>
      <dsp:spPr>
        <a:xfrm rot="16200000">
          <a:off x="2120044" y="2098415"/>
          <a:ext cx="1275103" cy="153850"/>
        </a:xfrm>
        <a:prstGeom prst="rect">
          <a:avLst/>
        </a:prstGeom>
        <a:solidFill>
          <a:schemeClr val="accent5">
            <a:hueOff val="-3072065"/>
            <a:satOff val="-7918"/>
            <a:lumOff val="-53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36B8C-C12A-4AEE-B3DD-8E51100CA7C1}">
      <dsp:nvSpPr>
        <dsp:cNvPr id="0" name=""/>
        <dsp:cNvSpPr/>
      </dsp:nvSpPr>
      <dsp:spPr>
        <a:xfrm>
          <a:off x="2412211" y="256502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2816059"/>
            <a:satOff val="-7258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6. Decision</a:t>
          </a:r>
          <a:endParaRPr lang="en-GB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Submitted to Gambling Commission  Approval Group for decision</a:t>
          </a:r>
        </a:p>
      </dsp:txBody>
      <dsp:txXfrm>
        <a:off x="2442252" y="2595062"/>
        <a:ext cx="1649371" cy="965590"/>
      </dsp:txXfrm>
    </dsp:sp>
    <dsp:sp modelId="{D39FA026-B52E-451F-A4E7-2D3359C3D9C4}">
      <dsp:nvSpPr>
        <dsp:cNvPr id="0" name=""/>
        <dsp:cNvSpPr/>
      </dsp:nvSpPr>
      <dsp:spPr>
        <a:xfrm rot="16200000">
          <a:off x="2120044" y="816325"/>
          <a:ext cx="1275103" cy="153850"/>
        </a:xfrm>
        <a:prstGeom prst="rect">
          <a:avLst/>
        </a:prstGeom>
        <a:solidFill>
          <a:schemeClr val="accent5">
            <a:hueOff val="-3686478"/>
            <a:satOff val="-9501"/>
            <a:lumOff val="-64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80F023-A901-45E2-9444-525FDE35C693}">
      <dsp:nvSpPr>
        <dsp:cNvPr id="0" name=""/>
        <dsp:cNvSpPr/>
      </dsp:nvSpPr>
      <dsp:spPr>
        <a:xfrm>
          <a:off x="2412211" y="128293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7. Pre-approval in principle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The project is agreed in principle but further clarification or amendment of the proposal is needed. Some projects go straight to Stage 8.</a:t>
          </a:r>
        </a:p>
      </dsp:txBody>
      <dsp:txXfrm>
        <a:off x="2442252" y="1312972"/>
        <a:ext cx="1649371" cy="965590"/>
      </dsp:txXfrm>
    </dsp:sp>
    <dsp:sp modelId="{D274FFB2-1462-4BB6-A628-1D54CCF53E47}">
      <dsp:nvSpPr>
        <dsp:cNvPr id="0" name=""/>
        <dsp:cNvSpPr/>
      </dsp:nvSpPr>
      <dsp:spPr>
        <a:xfrm>
          <a:off x="2761089" y="175279"/>
          <a:ext cx="2266586" cy="153850"/>
        </a:xfrm>
        <a:prstGeom prst="rect">
          <a:avLst/>
        </a:prstGeom>
        <a:solidFill>
          <a:schemeClr val="accent5">
            <a:hueOff val="-4300891"/>
            <a:satOff val="-11085"/>
            <a:lumOff val="-748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5588D-630A-4E0A-9374-4A225F8800F3}">
      <dsp:nvSpPr>
        <dsp:cNvPr id="0" name=""/>
        <dsp:cNvSpPr/>
      </dsp:nvSpPr>
      <dsp:spPr>
        <a:xfrm>
          <a:off x="2412211" y="840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3942483"/>
            <a:satOff val="-10161"/>
            <a:lumOff val="-68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8. Pre-approval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/>
            <a:t>No further clarification or amendments needed</a:t>
          </a:r>
        </a:p>
      </dsp:txBody>
      <dsp:txXfrm>
        <a:off x="2442252" y="30881"/>
        <a:ext cx="1649371" cy="965590"/>
      </dsp:txXfrm>
    </dsp:sp>
    <dsp:sp modelId="{87B16809-B70D-44C2-AE2D-A9F51FB84B80}">
      <dsp:nvSpPr>
        <dsp:cNvPr id="0" name=""/>
        <dsp:cNvSpPr/>
      </dsp:nvSpPr>
      <dsp:spPr>
        <a:xfrm rot="5400000">
          <a:off x="4393617" y="816325"/>
          <a:ext cx="1275103" cy="153850"/>
        </a:xfrm>
        <a:prstGeom prst="rect">
          <a:avLst/>
        </a:prstGeom>
        <a:solidFill>
          <a:schemeClr val="accent5">
            <a:hueOff val="-4915304"/>
            <a:satOff val="-12668"/>
            <a:lumOff val="-85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2A868C-5BDE-4977-8F6B-C44F63A54015}">
      <dsp:nvSpPr>
        <dsp:cNvPr id="0" name=""/>
        <dsp:cNvSpPr/>
      </dsp:nvSpPr>
      <dsp:spPr>
        <a:xfrm>
          <a:off x="4685784" y="840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9. Matching process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bg1"/>
              </a:solidFill>
            </a:rPr>
            <a:t>Relevant business matches project with outstanding settlement funds</a:t>
          </a:r>
          <a:endParaRPr lang="en-GB" sz="800" strike="sngStrike" kern="1200" baseline="0" dirty="0">
            <a:solidFill>
              <a:schemeClr val="bg1"/>
            </a:solidFill>
          </a:endParaRPr>
        </a:p>
      </dsp:txBody>
      <dsp:txXfrm>
        <a:off x="4715825" y="30881"/>
        <a:ext cx="1649371" cy="965590"/>
      </dsp:txXfrm>
    </dsp:sp>
    <dsp:sp modelId="{D6449E4D-BDA4-420D-AFD4-0937BCA38BF7}">
      <dsp:nvSpPr>
        <dsp:cNvPr id="0" name=""/>
        <dsp:cNvSpPr/>
      </dsp:nvSpPr>
      <dsp:spPr>
        <a:xfrm rot="5400000">
          <a:off x="4393617" y="2098415"/>
          <a:ext cx="1275103" cy="153850"/>
        </a:xfrm>
        <a:prstGeom prst="rect">
          <a:avLst/>
        </a:prstGeom>
        <a:solidFill>
          <a:schemeClr val="accent5">
            <a:hueOff val="-5529717"/>
            <a:satOff val="-14252"/>
            <a:lumOff val="-96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39C73-512D-4304-B871-03C799B73CEE}">
      <dsp:nvSpPr>
        <dsp:cNvPr id="0" name=""/>
        <dsp:cNvSpPr/>
      </dsp:nvSpPr>
      <dsp:spPr>
        <a:xfrm>
          <a:off x="4685784" y="128293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10. Final Approval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Approval of payment to be made by named operator to the organisation for the named project (Restricted donation wording applies)</a:t>
          </a:r>
        </a:p>
      </dsp:txBody>
      <dsp:txXfrm>
        <a:off x="4715825" y="1312972"/>
        <a:ext cx="1649371" cy="965590"/>
      </dsp:txXfrm>
    </dsp:sp>
    <dsp:sp modelId="{DF05F207-CEDC-42AE-A007-0E384DC63A12}">
      <dsp:nvSpPr>
        <dsp:cNvPr id="0" name=""/>
        <dsp:cNvSpPr/>
      </dsp:nvSpPr>
      <dsp:spPr>
        <a:xfrm rot="5400000">
          <a:off x="4393617" y="3380505"/>
          <a:ext cx="1275103" cy="153850"/>
        </a:xfrm>
        <a:prstGeom prst="rect">
          <a:avLst/>
        </a:prstGeom>
        <a:solidFill>
          <a:schemeClr val="accent5">
            <a:hueOff val="-6144130"/>
            <a:satOff val="-15835"/>
            <a:lumOff val="-106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15EAE9-7DD1-457C-9D09-CB59A029F1A6}">
      <dsp:nvSpPr>
        <dsp:cNvPr id="0" name=""/>
        <dsp:cNvSpPr/>
      </dsp:nvSpPr>
      <dsp:spPr>
        <a:xfrm>
          <a:off x="4685784" y="256502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5632119"/>
            <a:satOff val="-14516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11. Payment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Payment is sent directly from the business to the organisation – strict rules are in place about the role of the business</a:t>
          </a:r>
        </a:p>
      </dsp:txBody>
      <dsp:txXfrm>
        <a:off x="4715825" y="2595062"/>
        <a:ext cx="1649371" cy="965590"/>
      </dsp:txXfrm>
    </dsp:sp>
    <dsp:sp modelId="{9C3B256A-8A0C-4A27-AE1C-81B2C8662A13}">
      <dsp:nvSpPr>
        <dsp:cNvPr id="0" name=""/>
        <dsp:cNvSpPr/>
      </dsp:nvSpPr>
      <dsp:spPr>
        <a:xfrm>
          <a:off x="5034662" y="4021550"/>
          <a:ext cx="2266586" cy="153850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6E0810-5335-4B41-8DD9-6E023DB327BA}">
      <dsp:nvSpPr>
        <dsp:cNvPr id="0" name=""/>
        <dsp:cNvSpPr/>
      </dsp:nvSpPr>
      <dsp:spPr>
        <a:xfrm>
          <a:off x="4685784" y="384711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6195331"/>
            <a:satOff val="-15967"/>
            <a:lumOff val="-10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12. Implementation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/>
            <a:t>The project continues under the governance arrangements set out in the proposal</a:t>
          </a:r>
        </a:p>
      </dsp:txBody>
      <dsp:txXfrm>
        <a:off x="4715825" y="3877152"/>
        <a:ext cx="1649371" cy="965590"/>
      </dsp:txXfrm>
    </dsp:sp>
    <dsp:sp modelId="{0F03DF8C-94AB-4DAA-8151-4C9F8FC5A883}">
      <dsp:nvSpPr>
        <dsp:cNvPr id="0" name=""/>
        <dsp:cNvSpPr/>
      </dsp:nvSpPr>
      <dsp:spPr>
        <a:xfrm>
          <a:off x="6959358" y="3847111"/>
          <a:ext cx="1709453" cy="1025672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13. Transparency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 dirty="0"/>
            <a:t>Ongoing evaluation, reporting and/or publication of outputs is delivered in line with the proposal</a:t>
          </a:r>
        </a:p>
      </dsp:txBody>
      <dsp:txXfrm>
        <a:off x="6989399" y="3877152"/>
        <a:ext cx="1649371" cy="965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2C97676383249BAA7A0453032BFBC" ma:contentTypeVersion="13" ma:contentTypeDescription="Create a new document." ma:contentTypeScope="" ma:versionID="6d832aa6d85be1a93b64d02f35b9bd5b">
  <xsd:schema xmlns:xsd="http://www.w3.org/2001/XMLSchema" xmlns:xs="http://www.w3.org/2001/XMLSchema" xmlns:p="http://schemas.microsoft.com/office/2006/metadata/properties" xmlns:ns3="393a7bd7-2854-4e60-a45c-316518920b82" xmlns:ns4="09737b21-f536-445c-831f-6b30b04b0483" targetNamespace="http://schemas.microsoft.com/office/2006/metadata/properties" ma:root="true" ma:fieldsID="6b83ad00dcab2962d7c5a4f47475f4ec" ns3:_="" ns4:_="">
    <xsd:import namespace="393a7bd7-2854-4e60-a45c-316518920b82"/>
    <xsd:import namespace="09737b21-f536-445c-831f-6b30b04b0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7bd7-2854-4e60-a45c-316518920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7b21-f536-445c-831f-6b30b04b0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3246-C07C-4656-98D3-EC82B045A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01D55-D8E7-4F48-91AA-264D40C7E2DA}">
  <ds:schemaRefs>
    <ds:schemaRef ds:uri="393a7bd7-2854-4e60-a45c-316518920b8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737b21-f536-445c-831f-6b30b04b048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BBEAC1-23CB-485E-B2C6-71CC19BEB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a7bd7-2854-4e60-a45c-316518920b82"/>
    <ds:schemaRef ds:uri="09737b21-f536-445c-831f-6b30b04b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58C15-E5F4-4CF2-8473-86341BA8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organisations</dc:title>
  <dc:subject>
  </dc:subject>
  <dc:creator>Helen Rhodes</dc:creator>
  <cp:keywords>
  </cp:keywords>
  <dc:description>
  </dc:description>
  <cp:lastModifiedBy>Tara Sullivan</cp:lastModifiedBy>
  <cp:revision>3</cp:revision>
  <cp:lastPrinted>2019-10-04T12:25:00Z</cp:lastPrinted>
  <dcterms:created xsi:type="dcterms:W3CDTF">2020-01-28T14:16:00Z</dcterms:created>
  <dcterms:modified xsi:type="dcterms:W3CDTF">2020-01-28T14:18:28Z</dcterms:modified>
  <cp:category>
  </cp:category>
  <cp:contentStatus>
 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0x0101008062C97676383249BAA7A0453032BFBC</vt:lpwstr>
  </property>
  <property fmtid="{D5CDD505-2E9C-101B-9397-08002B2CF9AE}" pid="3" name="TaxKeyword">
    <vt:lpwstr/>
  </property>
  <property fmtid="{D5CDD505-2E9C-101B-9397-08002B2CF9AE}" pid="4" name="Related Functions">
    <vt:lpwstr/>
  </property>
  <property fmtid="{D5CDD505-2E9C-101B-9397-08002B2CF9AE}" pid="5" name="Function">
    <vt:lpwstr>3;#Responsible Gambling Strategy Board|36f47e5e-261f-42e0-8230-1a1e8b4f4677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