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7334" w:rsidRDefault="00DA23AA">
      <w:pPr>
        <w:pStyle w:val="BodyText"/>
        <w:spacing w:before="72"/>
        <w:ind w:left="1307"/>
      </w:pPr>
      <w:r>
        <w:t>[insert logo of relevant licensing authority and its reference number, optional]</w:t>
      </w:r>
    </w:p>
    <w:p w:rsidR="00987334" w:rsidRDefault="00987334">
      <w:pPr>
        <w:pStyle w:val="BodyText"/>
        <w:spacing w:before="5"/>
        <w:rPr>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87334">
        <w:trPr>
          <w:trHeight w:val="2144"/>
        </w:trPr>
        <w:tc>
          <w:tcPr>
            <w:tcW w:w="9854" w:type="dxa"/>
            <w:tcBorders>
              <w:bottom w:val="nil"/>
            </w:tcBorders>
          </w:tcPr>
          <w:p w:rsidR="00987334" w:rsidRDefault="00DA23AA">
            <w:pPr>
              <w:pStyle w:val="TableParagraph"/>
              <w:spacing w:before="56" w:line="242" w:lineRule="auto"/>
              <w:ind w:left="724" w:right="714"/>
              <w:jc w:val="center"/>
              <w:rPr>
                <w:b/>
                <w:sz w:val="28"/>
              </w:rPr>
            </w:pPr>
            <w:r>
              <w:rPr>
                <w:b/>
                <w:sz w:val="28"/>
              </w:rPr>
              <w:t>SUMMARY OF THE TERMS AND CONDITIONS OF A PREMISES LICENCE</w:t>
            </w:r>
          </w:p>
          <w:p w:rsidR="00987334" w:rsidRDefault="00987334">
            <w:pPr>
              <w:pStyle w:val="TableParagraph"/>
              <w:spacing w:before="9"/>
              <w:ind w:left="0"/>
              <w:rPr>
                <w:sz w:val="31"/>
              </w:rPr>
            </w:pPr>
          </w:p>
          <w:p w:rsidR="00987334" w:rsidRDefault="00DA23AA">
            <w:pPr>
              <w:pStyle w:val="TableParagraph"/>
              <w:ind w:left="724" w:right="712"/>
              <w:jc w:val="center"/>
              <w:rPr>
                <w:b/>
              </w:rPr>
            </w:pPr>
            <w:r>
              <w:rPr>
                <w:b/>
              </w:rPr>
              <w:t>This summary is issued under section 164 of the Gambling Act 2005 by</w:t>
            </w:r>
          </w:p>
          <w:p w:rsidR="00987334" w:rsidRDefault="00987334">
            <w:pPr>
              <w:pStyle w:val="TableParagraph"/>
              <w:spacing w:before="8"/>
              <w:ind w:left="0"/>
              <w:rPr>
                <w:sz w:val="32"/>
              </w:rPr>
            </w:pPr>
          </w:p>
          <w:p w:rsidR="00987334" w:rsidRDefault="00DA23AA">
            <w:pPr>
              <w:pStyle w:val="TableParagraph"/>
              <w:ind w:left="722" w:right="714"/>
              <w:jc w:val="center"/>
            </w:pPr>
            <w:r>
              <w:t>[Insert the name of the issuing licencing authority]</w:t>
            </w:r>
          </w:p>
        </w:tc>
      </w:tr>
      <w:tr w:rsidR="00987334">
        <w:trPr>
          <w:trHeight w:val="1251"/>
        </w:trPr>
        <w:tc>
          <w:tcPr>
            <w:tcW w:w="9854" w:type="dxa"/>
            <w:tcBorders>
              <w:top w:val="nil"/>
              <w:bottom w:val="nil"/>
            </w:tcBorders>
          </w:tcPr>
          <w:p w:rsidR="00987334" w:rsidRDefault="00DA23AA">
            <w:pPr>
              <w:pStyle w:val="TableParagraph"/>
              <w:spacing w:before="183"/>
            </w:pPr>
            <w:r>
              <w:t>This summary is issued to:</w:t>
            </w:r>
          </w:p>
          <w:p w:rsidR="00987334" w:rsidRDefault="00987334">
            <w:pPr>
              <w:pStyle w:val="TableParagraph"/>
              <w:spacing w:before="5"/>
              <w:ind w:left="0"/>
              <w:rPr>
                <w:sz w:val="32"/>
              </w:rPr>
            </w:pPr>
          </w:p>
          <w:p w:rsidR="00987334" w:rsidRDefault="00DA23AA">
            <w:pPr>
              <w:pStyle w:val="TableParagraph"/>
              <w:spacing w:before="1"/>
              <w:rPr>
                <w:i/>
              </w:rPr>
            </w:pPr>
            <w:r>
              <w:rPr>
                <w:i/>
              </w:rPr>
              <w:t>[Insert full name of person(s) or organisation(s) to whom the summary is issued. See Note 1]</w:t>
            </w:r>
          </w:p>
        </w:tc>
      </w:tr>
      <w:tr w:rsidR="00987334">
        <w:trPr>
          <w:trHeight w:val="1162"/>
        </w:trPr>
        <w:tc>
          <w:tcPr>
            <w:tcW w:w="9854" w:type="dxa"/>
            <w:tcBorders>
              <w:top w:val="nil"/>
              <w:bottom w:val="nil"/>
            </w:tcBorders>
          </w:tcPr>
          <w:p w:rsidR="00987334" w:rsidRDefault="00DA23AA">
            <w:pPr>
              <w:pStyle w:val="TableParagraph"/>
              <w:spacing w:before="182"/>
            </w:pPr>
            <w:r>
              <w:t>of the following address:</w:t>
            </w:r>
          </w:p>
        </w:tc>
      </w:tr>
      <w:tr w:rsidR="00987334">
        <w:trPr>
          <w:trHeight w:val="1164"/>
        </w:trPr>
        <w:tc>
          <w:tcPr>
            <w:tcW w:w="9854" w:type="dxa"/>
            <w:tcBorders>
              <w:top w:val="nil"/>
              <w:bottom w:val="nil"/>
            </w:tcBorders>
          </w:tcPr>
          <w:p w:rsidR="00987334" w:rsidRDefault="00987334">
            <w:pPr>
              <w:pStyle w:val="TableParagraph"/>
              <w:ind w:left="0"/>
              <w:rPr>
                <w:sz w:val="24"/>
              </w:rPr>
            </w:pPr>
          </w:p>
          <w:p w:rsidR="00987334" w:rsidRDefault="00987334">
            <w:pPr>
              <w:pStyle w:val="TableParagraph"/>
              <w:ind w:left="0"/>
              <w:rPr>
                <w:sz w:val="24"/>
              </w:rPr>
            </w:pPr>
          </w:p>
          <w:p w:rsidR="00987334" w:rsidRDefault="00DA23AA">
            <w:pPr>
              <w:pStyle w:val="TableParagraph"/>
              <w:spacing w:before="169"/>
              <w:rPr>
                <w:i/>
              </w:rPr>
            </w:pPr>
            <w:r>
              <w:rPr>
                <w:i/>
              </w:rPr>
              <w:t>[Insert address of person(s) or organisation(s) to whom summary is issued. See Note 2]</w:t>
            </w:r>
          </w:p>
        </w:tc>
      </w:tr>
      <w:tr w:rsidR="00987334">
        <w:trPr>
          <w:trHeight w:val="1252"/>
        </w:trPr>
        <w:tc>
          <w:tcPr>
            <w:tcW w:w="9854" w:type="dxa"/>
            <w:tcBorders>
              <w:top w:val="nil"/>
              <w:bottom w:val="nil"/>
            </w:tcBorders>
          </w:tcPr>
          <w:p w:rsidR="00987334" w:rsidRDefault="00DA23AA">
            <w:pPr>
              <w:pStyle w:val="TableParagraph"/>
              <w:spacing w:before="183"/>
            </w:pPr>
            <w:r>
              <w:t>A premises licence of the following type:</w:t>
            </w:r>
          </w:p>
          <w:p w:rsidR="00987334" w:rsidRDefault="00987334">
            <w:pPr>
              <w:pStyle w:val="TableParagraph"/>
              <w:spacing w:before="5"/>
              <w:ind w:left="0"/>
              <w:rPr>
                <w:sz w:val="32"/>
              </w:rPr>
            </w:pPr>
          </w:p>
          <w:p w:rsidR="00987334" w:rsidRDefault="00DA23AA">
            <w:pPr>
              <w:pStyle w:val="TableParagraph"/>
              <w:spacing w:before="1"/>
              <w:rPr>
                <w:i/>
              </w:rPr>
            </w:pPr>
            <w:r>
              <w:rPr>
                <w:i/>
              </w:rPr>
              <w:t>[Please specify type of premises licence]</w:t>
            </w:r>
          </w:p>
        </w:tc>
      </w:tr>
      <w:tr w:rsidR="00987334">
        <w:trPr>
          <w:trHeight w:val="1564"/>
        </w:trPr>
        <w:tc>
          <w:tcPr>
            <w:tcW w:w="9854" w:type="dxa"/>
            <w:tcBorders>
              <w:top w:val="nil"/>
              <w:bottom w:val="nil"/>
            </w:tcBorders>
          </w:tcPr>
          <w:p w:rsidR="00987334" w:rsidRDefault="00DA23AA">
            <w:pPr>
              <w:pStyle w:val="TableParagraph"/>
              <w:spacing w:before="183"/>
            </w:pPr>
            <w:r>
              <w:t>has been issued in respect of the following premises:</w:t>
            </w:r>
          </w:p>
          <w:p w:rsidR="00987334" w:rsidRDefault="00987334">
            <w:pPr>
              <w:pStyle w:val="TableParagraph"/>
              <w:ind w:left="0"/>
              <w:rPr>
                <w:sz w:val="24"/>
              </w:rPr>
            </w:pPr>
          </w:p>
          <w:p w:rsidR="00987334" w:rsidRDefault="00987334">
            <w:pPr>
              <w:pStyle w:val="TableParagraph"/>
              <w:spacing w:before="7"/>
              <w:ind w:left="0"/>
              <w:rPr>
                <w:sz w:val="35"/>
              </w:rPr>
            </w:pPr>
          </w:p>
          <w:p w:rsidR="00987334" w:rsidRDefault="00DA23AA">
            <w:pPr>
              <w:pStyle w:val="TableParagraph"/>
              <w:rPr>
                <w:i/>
              </w:rPr>
            </w:pPr>
            <w:r>
              <w:rPr>
                <w:i/>
              </w:rPr>
              <w:t>[Give a description of the premises. See Note 3]</w:t>
            </w:r>
          </w:p>
        </w:tc>
      </w:tr>
      <w:tr w:rsidR="00987334">
        <w:trPr>
          <w:trHeight w:val="1630"/>
        </w:trPr>
        <w:tc>
          <w:tcPr>
            <w:tcW w:w="9854" w:type="dxa"/>
            <w:tcBorders>
              <w:top w:val="nil"/>
            </w:tcBorders>
          </w:tcPr>
          <w:p w:rsidR="00987334" w:rsidRDefault="00DA23AA">
            <w:pPr>
              <w:pStyle w:val="TableParagraph"/>
              <w:spacing w:before="183"/>
              <w:ind w:right="728"/>
            </w:pPr>
            <w:r>
              <w:t xml:space="preserve">The place </w:t>
            </w:r>
            <w:proofErr w:type="gramStart"/>
            <w:r>
              <w:t>in the area of</w:t>
            </w:r>
            <w:proofErr w:type="gramEnd"/>
            <w:r>
              <w:t xml:space="preserve"> the licensing authority in which the vessel is wholly or partly situated (within the meaning of section 211(3) of the Gambling Act 2005) is:</w:t>
            </w:r>
          </w:p>
          <w:p w:rsidR="00987334" w:rsidRDefault="00987334">
            <w:pPr>
              <w:pStyle w:val="TableParagraph"/>
              <w:spacing w:before="4"/>
              <w:ind w:left="0"/>
              <w:rPr>
                <w:sz w:val="32"/>
              </w:rPr>
            </w:pPr>
          </w:p>
          <w:p w:rsidR="00987334" w:rsidRDefault="00DA23AA">
            <w:pPr>
              <w:pStyle w:val="TableParagraph"/>
              <w:spacing w:before="1"/>
              <w:rPr>
                <w:i/>
              </w:rPr>
            </w:pPr>
            <w:r>
              <w:rPr>
                <w:i/>
              </w:rPr>
              <w:t>[This entry is only to be included where the licensed premises are a vessel. See Note 4]</w:t>
            </w:r>
          </w:p>
        </w:tc>
      </w:tr>
    </w:tbl>
    <w:p w:rsidR="00987334" w:rsidRDefault="00987334">
      <w:pPr>
        <w:pStyle w:val="BodyText"/>
        <w:rPr>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87334">
        <w:trPr>
          <w:trHeight w:val="324"/>
        </w:trPr>
        <w:tc>
          <w:tcPr>
            <w:tcW w:w="9854" w:type="dxa"/>
            <w:tcBorders>
              <w:top w:val="nil"/>
              <w:bottom w:val="nil"/>
            </w:tcBorders>
            <w:shd w:val="clear" w:color="auto" w:fill="040404"/>
          </w:tcPr>
          <w:p w:rsidR="00987334" w:rsidRDefault="00DA23AA">
            <w:pPr>
              <w:pStyle w:val="TableParagraph"/>
              <w:spacing w:before="65" w:line="239" w:lineRule="exact"/>
              <w:rPr>
                <w:b/>
              </w:rPr>
            </w:pPr>
            <w:r>
              <w:rPr>
                <w:b/>
                <w:color w:val="FFFFFF"/>
              </w:rPr>
              <w:t>Summary of the Terms and Conditions of the Premises Licence</w:t>
            </w:r>
          </w:p>
        </w:tc>
      </w:tr>
      <w:tr w:rsidR="00987334">
        <w:trPr>
          <w:trHeight w:val="2063"/>
        </w:trPr>
        <w:tc>
          <w:tcPr>
            <w:tcW w:w="9854" w:type="dxa"/>
            <w:tcBorders>
              <w:top w:val="nil"/>
              <w:bottom w:val="nil"/>
            </w:tcBorders>
          </w:tcPr>
          <w:p w:rsidR="00987334" w:rsidRDefault="00DA23AA">
            <w:pPr>
              <w:pStyle w:val="TableParagraph"/>
              <w:numPr>
                <w:ilvl w:val="0"/>
                <w:numId w:val="2"/>
              </w:numPr>
              <w:tabs>
                <w:tab w:val="left" w:pos="353"/>
              </w:tabs>
              <w:spacing w:before="57"/>
            </w:pPr>
            <w:r>
              <w:t>The premises licence will run in perpetuity</w:t>
            </w:r>
            <w:r>
              <w:rPr>
                <w:spacing w:val="-6"/>
              </w:rPr>
              <w:t xml:space="preserve"> </w:t>
            </w:r>
            <w:r>
              <w:t>unless:</w:t>
            </w:r>
          </w:p>
          <w:p w:rsidR="00987334" w:rsidRDefault="00DA23AA">
            <w:pPr>
              <w:pStyle w:val="TableParagraph"/>
              <w:numPr>
                <w:ilvl w:val="1"/>
                <w:numId w:val="2"/>
              </w:numPr>
              <w:tabs>
                <w:tab w:val="left" w:pos="821"/>
              </w:tabs>
              <w:spacing w:before="59"/>
              <w:ind w:right="310" w:hanging="355"/>
            </w:pPr>
            <w:r>
              <w:t>the Secretary of State prescribes a period after which the licence will expire under section 191 of the Gambling Act</w:t>
            </w:r>
            <w:r>
              <w:rPr>
                <w:spacing w:val="-4"/>
              </w:rPr>
              <w:t xml:space="preserve"> </w:t>
            </w:r>
            <w:proofErr w:type="gramStart"/>
            <w:r>
              <w:t>2005;</w:t>
            </w:r>
            <w:proofErr w:type="gramEnd"/>
          </w:p>
          <w:p w:rsidR="00987334" w:rsidRDefault="00DA23AA">
            <w:pPr>
              <w:pStyle w:val="TableParagraph"/>
              <w:numPr>
                <w:ilvl w:val="1"/>
                <w:numId w:val="2"/>
              </w:numPr>
              <w:tabs>
                <w:tab w:val="left" w:pos="821"/>
              </w:tabs>
              <w:spacing w:before="58"/>
              <w:ind w:hanging="355"/>
            </w:pPr>
            <w:r>
              <w:t>the licence holder surrenders the licence under section 192 of the Gambling Act</w:t>
            </w:r>
            <w:r>
              <w:rPr>
                <w:spacing w:val="-24"/>
              </w:rPr>
              <w:t xml:space="preserve"> </w:t>
            </w:r>
            <w:r>
              <w:t>2005</w:t>
            </w:r>
          </w:p>
          <w:p w:rsidR="00987334" w:rsidRDefault="00DA23AA">
            <w:pPr>
              <w:pStyle w:val="TableParagraph"/>
              <w:numPr>
                <w:ilvl w:val="1"/>
                <w:numId w:val="2"/>
              </w:numPr>
              <w:tabs>
                <w:tab w:val="left" w:pos="822"/>
              </w:tabs>
              <w:spacing w:before="59"/>
              <w:ind w:left="821"/>
            </w:pPr>
            <w:r>
              <w:t>the licence lapses under section 194 of the Gambling Act</w:t>
            </w:r>
            <w:r>
              <w:rPr>
                <w:spacing w:val="-7"/>
              </w:rPr>
              <w:t xml:space="preserve"> </w:t>
            </w:r>
            <w:proofErr w:type="gramStart"/>
            <w:r>
              <w:t>2005;</w:t>
            </w:r>
            <w:proofErr w:type="gramEnd"/>
          </w:p>
          <w:p w:rsidR="00987334" w:rsidRDefault="00DA23AA">
            <w:pPr>
              <w:pStyle w:val="TableParagraph"/>
              <w:numPr>
                <w:ilvl w:val="1"/>
                <w:numId w:val="2"/>
              </w:numPr>
              <w:tabs>
                <w:tab w:val="left" w:pos="821"/>
              </w:tabs>
              <w:spacing w:before="57"/>
              <w:ind w:hanging="355"/>
            </w:pPr>
            <w:r>
              <w:t>the licence is revoked under section 193 or 202(1) of the Gambling Act</w:t>
            </w:r>
            <w:r>
              <w:rPr>
                <w:spacing w:val="-12"/>
              </w:rPr>
              <w:t xml:space="preserve"> </w:t>
            </w:r>
            <w:r>
              <w:t>2005.</w:t>
            </w:r>
          </w:p>
        </w:tc>
      </w:tr>
      <w:tr w:rsidR="00987334">
        <w:trPr>
          <w:trHeight w:val="945"/>
        </w:trPr>
        <w:tc>
          <w:tcPr>
            <w:tcW w:w="9854" w:type="dxa"/>
            <w:tcBorders>
              <w:top w:val="nil"/>
            </w:tcBorders>
          </w:tcPr>
          <w:p w:rsidR="00987334" w:rsidRDefault="00DA23AA">
            <w:pPr>
              <w:pStyle w:val="TableParagraph"/>
              <w:spacing w:before="182"/>
            </w:pPr>
            <w:r>
              <w:t>2. The premises licence applies only in relation to the premises specified in Part 2 of the licence</w:t>
            </w:r>
          </w:p>
          <w:p w:rsidR="00987334" w:rsidRDefault="00DA23AA">
            <w:pPr>
              <w:pStyle w:val="TableParagraph"/>
              <w:spacing w:before="6" w:line="252" w:lineRule="exact"/>
              <w:ind w:right="349"/>
            </w:pPr>
            <w:r>
              <w:t>and may not be varied so that it applies to any other premises (except in the case of a converted casino premises licence).</w:t>
            </w:r>
          </w:p>
        </w:tc>
      </w:tr>
    </w:tbl>
    <w:p w:rsidR="00987334" w:rsidRDefault="00987334">
      <w:pPr>
        <w:spacing w:line="252" w:lineRule="exact"/>
        <w:sectPr w:rsidR="00987334">
          <w:type w:val="continuous"/>
          <w:pgSz w:w="11910" w:h="16840"/>
          <w:pgMar w:top="110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87334">
        <w:trPr>
          <w:trHeight w:val="1066"/>
        </w:trPr>
        <w:tc>
          <w:tcPr>
            <w:tcW w:w="9854" w:type="dxa"/>
            <w:tcBorders>
              <w:bottom w:val="nil"/>
            </w:tcBorders>
          </w:tcPr>
          <w:p w:rsidR="00987334" w:rsidRDefault="00987334">
            <w:pPr>
              <w:pStyle w:val="TableParagraph"/>
              <w:spacing w:before="9"/>
              <w:ind w:left="0"/>
              <w:rPr>
                <w:sz w:val="31"/>
              </w:rPr>
            </w:pPr>
          </w:p>
          <w:p w:rsidR="00987334" w:rsidRDefault="00DA23AA">
            <w:pPr>
              <w:pStyle w:val="TableParagraph"/>
              <w:ind w:right="93"/>
            </w:pPr>
            <w:r>
              <w:t xml:space="preserve">3. The premises licence authorises the premises to be used for </w:t>
            </w:r>
            <w:r>
              <w:rPr>
                <w:i/>
              </w:rPr>
              <w:t>[Insert a description of the activities for which the premises are authorised to be used]</w:t>
            </w:r>
            <w:r>
              <w:t>.</w:t>
            </w:r>
          </w:p>
        </w:tc>
      </w:tr>
      <w:tr w:rsidR="00987334">
        <w:trPr>
          <w:trHeight w:val="2622"/>
        </w:trPr>
        <w:tc>
          <w:tcPr>
            <w:tcW w:w="9854" w:type="dxa"/>
            <w:tcBorders>
              <w:top w:val="nil"/>
              <w:bottom w:val="nil"/>
            </w:tcBorders>
          </w:tcPr>
          <w:p w:rsidR="00987334" w:rsidRDefault="00DA23AA">
            <w:pPr>
              <w:pStyle w:val="TableParagraph"/>
              <w:numPr>
                <w:ilvl w:val="0"/>
                <w:numId w:val="1"/>
              </w:numPr>
              <w:tabs>
                <w:tab w:val="left" w:pos="353"/>
              </w:tabs>
              <w:spacing w:before="177"/>
            </w:pPr>
            <w:r>
              <w:t>The premises licence is subject</w:t>
            </w:r>
            <w:r>
              <w:rPr>
                <w:spacing w:val="-1"/>
              </w:rPr>
              <w:t xml:space="preserve"> </w:t>
            </w:r>
            <w:r>
              <w:t>to:</w:t>
            </w:r>
          </w:p>
          <w:p w:rsidR="00987334" w:rsidRDefault="00DA23AA">
            <w:pPr>
              <w:pStyle w:val="TableParagraph"/>
              <w:numPr>
                <w:ilvl w:val="1"/>
                <w:numId w:val="1"/>
              </w:numPr>
              <w:tabs>
                <w:tab w:val="left" w:pos="821"/>
              </w:tabs>
              <w:spacing w:before="64" w:line="237" w:lineRule="auto"/>
              <w:ind w:right="997" w:hanging="355"/>
            </w:pPr>
            <w:r>
              <w:t>any conditions specified on the face of the licence as being attached under section 169(1)(a) of the Gambling Act</w:t>
            </w:r>
            <w:r>
              <w:rPr>
                <w:spacing w:val="-3"/>
              </w:rPr>
              <w:t xml:space="preserve"> </w:t>
            </w:r>
            <w:proofErr w:type="gramStart"/>
            <w:r>
              <w:t>2005;</w:t>
            </w:r>
            <w:proofErr w:type="gramEnd"/>
          </w:p>
          <w:p w:rsidR="00987334" w:rsidRDefault="00DA23AA">
            <w:pPr>
              <w:pStyle w:val="TableParagraph"/>
              <w:numPr>
                <w:ilvl w:val="1"/>
                <w:numId w:val="1"/>
              </w:numPr>
              <w:tabs>
                <w:tab w:val="left" w:pos="821"/>
              </w:tabs>
              <w:spacing w:before="61"/>
              <w:ind w:right="226" w:hanging="355"/>
            </w:pPr>
            <w:r>
              <w:t>any other conditions attached to the licence by virtue of regulations made under sections 167 and 168 of the Gambling Act 2005 (other than any conditions under section 168 which have been excluded by the licensing authority); and</w:t>
            </w:r>
          </w:p>
          <w:p w:rsidR="00987334" w:rsidRDefault="00DA23AA">
            <w:pPr>
              <w:pStyle w:val="TableParagraph"/>
              <w:numPr>
                <w:ilvl w:val="1"/>
                <w:numId w:val="1"/>
              </w:numPr>
              <w:tabs>
                <w:tab w:val="left" w:pos="821"/>
              </w:tabs>
              <w:spacing w:before="57"/>
              <w:ind w:right="374" w:hanging="355"/>
            </w:pPr>
            <w:r>
              <w:t>any conditions attached to the licence by virtue of specific provisions of the Gambling Act 2005.</w:t>
            </w:r>
          </w:p>
        </w:tc>
      </w:tr>
      <w:tr w:rsidR="00987334">
        <w:trPr>
          <w:trHeight w:val="1197"/>
        </w:trPr>
        <w:tc>
          <w:tcPr>
            <w:tcW w:w="9854" w:type="dxa"/>
            <w:tcBorders>
              <w:top w:val="nil"/>
            </w:tcBorders>
          </w:tcPr>
          <w:p w:rsidR="00987334" w:rsidRDefault="00DA23AA">
            <w:pPr>
              <w:pStyle w:val="TableParagraph"/>
              <w:spacing w:before="176"/>
              <w:ind w:right="80"/>
            </w:pPr>
            <w:r>
              <w:t>5. In particular, it is a condition of the premises licence under section 185 of the Gambling Act 2005 that the holder keeps the licence on the premises and arranges for it to be made available on request to a constable, enforcement officer or local authority officer. The holder of the licence</w:t>
            </w:r>
          </w:p>
          <w:p w:rsidR="00987334" w:rsidRDefault="00DA23AA">
            <w:pPr>
              <w:pStyle w:val="TableParagraph"/>
              <w:spacing w:before="2" w:line="240" w:lineRule="exact"/>
            </w:pPr>
            <w:r>
              <w:t>commits an offence if he fails to comply with this condition.</w:t>
            </w:r>
          </w:p>
        </w:tc>
      </w:tr>
    </w:tbl>
    <w:p w:rsidR="00987334" w:rsidRDefault="00987334">
      <w:pPr>
        <w:pStyle w:val="BodyText"/>
        <w:spacing w:before="9" w:after="1"/>
        <w:rPr>
          <w:sz w:val="2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87334">
        <w:trPr>
          <w:trHeight w:val="321"/>
        </w:trPr>
        <w:tc>
          <w:tcPr>
            <w:tcW w:w="9854" w:type="dxa"/>
            <w:tcBorders>
              <w:top w:val="nil"/>
              <w:bottom w:val="nil"/>
            </w:tcBorders>
            <w:shd w:val="clear" w:color="auto" w:fill="040404"/>
          </w:tcPr>
          <w:p w:rsidR="00987334" w:rsidRDefault="00DA23AA">
            <w:pPr>
              <w:pStyle w:val="TableParagraph"/>
              <w:spacing w:before="65" w:line="237" w:lineRule="exact"/>
              <w:rPr>
                <w:b/>
              </w:rPr>
            </w:pPr>
            <w:r>
              <w:rPr>
                <w:b/>
                <w:color w:val="FFFFFF"/>
              </w:rPr>
              <w:t>Guidance Notes</w:t>
            </w:r>
          </w:p>
        </w:tc>
      </w:tr>
      <w:tr w:rsidR="00987334">
        <w:trPr>
          <w:trHeight w:val="500"/>
        </w:trPr>
        <w:tc>
          <w:tcPr>
            <w:tcW w:w="9854" w:type="dxa"/>
            <w:tcBorders>
              <w:top w:val="nil"/>
              <w:bottom w:val="nil"/>
            </w:tcBorders>
          </w:tcPr>
          <w:p w:rsidR="00987334" w:rsidRDefault="00DA23AA">
            <w:pPr>
              <w:pStyle w:val="TableParagraph"/>
              <w:spacing w:before="57"/>
            </w:pPr>
            <w:r>
              <w:t>1. The name or names should be those given in Part 1 of the premises licence.</w:t>
            </w:r>
          </w:p>
        </w:tc>
      </w:tr>
      <w:tr w:rsidR="00987334">
        <w:trPr>
          <w:trHeight w:val="878"/>
        </w:trPr>
        <w:tc>
          <w:tcPr>
            <w:tcW w:w="9854" w:type="dxa"/>
            <w:tcBorders>
              <w:top w:val="nil"/>
              <w:bottom w:val="nil"/>
            </w:tcBorders>
          </w:tcPr>
          <w:p w:rsidR="00987334" w:rsidRDefault="00DA23AA">
            <w:pPr>
              <w:pStyle w:val="TableParagraph"/>
              <w:spacing w:before="183"/>
              <w:ind w:right="129"/>
            </w:pPr>
            <w:r>
              <w:t>2. The address of the person or organisation should be the address given in Part 1 of the premises licence.</w:t>
            </w:r>
          </w:p>
        </w:tc>
      </w:tr>
      <w:tr w:rsidR="00987334">
        <w:trPr>
          <w:trHeight w:val="1385"/>
        </w:trPr>
        <w:tc>
          <w:tcPr>
            <w:tcW w:w="9854" w:type="dxa"/>
            <w:tcBorders>
              <w:top w:val="nil"/>
              <w:bottom w:val="nil"/>
            </w:tcBorders>
          </w:tcPr>
          <w:p w:rsidR="00987334" w:rsidRDefault="00DA23AA">
            <w:pPr>
              <w:pStyle w:val="TableParagraph"/>
              <w:spacing w:before="183"/>
              <w:ind w:right="214"/>
            </w:pPr>
            <w:r>
              <w:t>3. The details entered here should be the details given in Part 2 of the premises licence. Note that these details will normally be the address of the premises, but they may be a description of the nature and location of the premises if no address is available. In the case of a vessel, the name and country of registration of the vessel should also be included.</w:t>
            </w:r>
          </w:p>
        </w:tc>
      </w:tr>
      <w:tr w:rsidR="00987334">
        <w:trPr>
          <w:trHeight w:val="1197"/>
        </w:trPr>
        <w:tc>
          <w:tcPr>
            <w:tcW w:w="9854" w:type="dxa"/>
            <w:tcBorders>
              <w:top w:val="nil"/>
            </w:tcBorders>
          </w:tcPr>
          <w:p w:rsidR="00987334" w:rsidRDefault="00DA23AA">
            <w:pPr>
              <w:pStyle w:val="TableParagraph"/>
              <w:spacing w:before="182"/>
              <w:ind w:right="141"/>
            </w:pPr>
            <w:r>
              <w:t>4. If the licence is in respect of a vessel, the place where the vessel is situated or moored for the purposes of the premises licence should be entered here. This place will be the place given in Part 2 of the relevant premises licence. If the premises licence is not in respect of a vessel, this entry in</w:t>
            </w:r>
          </w:p>
          <w:p w:rsidR="00987334" w:rsidRDefault="00DA23AA">
            <w:pPr>
              <w:pStyle w:val="TableParagraph"/>
              <w:spacing w:before="2" w:line="234" w:lineRule="exact"/>
            </w:pPr>
            <w:r>
              <w:t>the summary should be left out.</w:t>
            </w:r>
          </w:p>
        </w:tc>
      </w:tr>
    </w:tbl>
    <w:p w:rsidR="00DA23AA" w:rsidRDefault="00DA23AA"/>
    <w:sectPr w:rsidR="00DA23AA">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1300" w:rsidRDefault="00BD1300" w:rsidP="00DA23AA">
      <w:r>
        <w:separator/>
      </w:r>
    </w:p>
  </w:endnote>
  <w:endnote w:type="continuationSeparator" w:id="0">
    <w:p w:rsidR="00BD1300" w:rsidRDefault="00BD1300" w:rsidP="00DA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1300" w:rsidRDefault="00BD1300" w:rsidP="00DA23AA">
      <w:r>
        <w:separator/>
      </w:r>
    </w:p>
  </w:footnote>
  <w:footnote w:type="continuationSeparator" w:id="0">
    <w:p w:rsidR="00BD1300" w:rsidRDefault="00BD1300" w:rsidP="00DA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576DB"/>
    <w:multiLevelType w:val="hybridMultilevel"/>
    <w:tmpl w:val="2710FDAA"/>
    <w:lvl w:ilvl="0" w:tplc="EF400B50">
      <w:start w:val="4"/>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47585A18">
      <w:numFmt w:val="bullet"/>
      <w:lvlText w:val=""/>
      <w:lvlJc w:val="left"/>
      <w:pPr>
        <w:ind w:left="820" w:hanging="356"/>
      </w:pPr>
      <w:rPr>
        <w:rFonts w:ascii="Symbol" w:eastAsia="Symbol" w:hAnsi="Symbol" w:cs="Symbol" w:hint="default"/>
        <w:w w:val="100"/>
        <w:sz w:val="22"/>
        <w:szCs w:val="22"/>
        <w:lang w:val="en-GB" w:eastAsia="en-GB" w:bidi="en-GB"/>
      </w:rPr>
    </w:lvl>
    <w:lvl w:ilvl="2" w:tplc="CECE73A6">
      <w:numFmt w:val="bullet"/>
      <w:lvlText w:val="•"/>
      <w:lvlJc w:val="left"/>
      <w:pPr>
        <w:ind w:left="1822" w:hanging="356"/>
      </w:pPr>
      <w:rPr>
        <w:rFonts w:hint="default"/>
        <w:lang w:val="en-GB" w:eastAsia="en-GB" w:bidi="en-GB"/>
      </w:rPr>
    </w:lvl>
    <w:lvl w:ilvl="3" w:tplc="229E762E">
      <w:numFmt w:val="bullet"/>
      <w:lvlText w:val="•"/>
      <w:lvlJc w:val="left"/>
      <w:pPr>
        <w:ind w:left="2825" w:hanging="356"/>
      </w:pPr>
      <w:rPr>
        <w:rFonts w:hint="default"/>
        <w:lang w:val="en-GB" w:eastAsia="en-GB" w:bidi="en-GB"/>
      </w:rPr>
    </w:lvl>
    <w:lvl w:ilvl="4" w:tplc="31FC084C">
      <w:numFmt w:val="bullet"/>
      <w:lvlText w:val="•"/>
      <w:lvlJc w:val="left"/>
      <w:pPr>
        <w:ind w:left="3828" w:hanging="356"/>
      </w:pPr>
      <w:rPr>
        <w:rFonts w:hint="default"/>
        <w:lang w:val="en-GB" w:eastAsia="en-GB" w:bidi="en-GB"/>
      </w:rPr>
    </w:lvl>
    <w:lvl w:ilvl="5" w:tplc="85B88232">
      <w:numFmt w:val="bullet"/>
      <w:lvlText w:val="•"/>
      <w:lvlJc w:val="left"/>
      <w:pPr>
        <w:ind w:left="4830" w:hanging="356"/>
      </w:pPr>
      <w:rPr>
        <w:rFonts w:hint="default"/>
        <w:lang w:val="en-GB" w:eastAsia="en-GB" w:bidi="en-GB"/>
      </w:rPr>
    </w:lvl>
    <w:lvl w:ilvl="6" w:tplc="5474565C">
      <w:numFmt w:val="bullet"/>
      <w:lvlText w:val="•"/>
      <w:lvlJc w:val="left"/>
      <w:pPr>
        <w:ind w:left="5833" w:hanging="356"/>
      </w:pPr>
      <w:rPr>
        <w:rFonts w:hint="default"/>
        <w:lang w:val="en-GB" w:eastAsia="en-GB" w:bidi="en-GB"/>
      </w:rPr>
    </w:lvl>
    <w:lvl w:ilvl="7" w:tplc="66B23476">
      <w:numFmt w:val="bullet"/>
      <w:lvlText w:val="•"/>
      <w:lvlJc w:val="left"/>
      <w:pPr>
        <w:ind w:left="6836" w:hanging="356"/>
      </w:pPr>
      <w:rPr>
        <w:rFonts w:hint="default"/>
        <w:lang w:val="en-GB" w:eastAsia="en-GB" w:bidi="en-GB"/>
      </w:rPr>
    </w:lvl>
    <w:lvl w:ilvl="8" w:tplc="1CF2D3FC">
      <w:numFmt w:val="bullet"/>
      <w:lvlText w:val="•"/>
      <w:lvlJc w:val="left"/>
      <w:pPr>
        <w:ind w:left="7838" w:hanging="356"/>
      </w:pPr>
      <w:rPr>
        <w:rFonts w:hint="default"/>
        <w:lang w:val="en-GB" w:eastAsia="en-GB" w:bidi="en-GB"/>
      </w:rPr>
    </w:lvl>
  </w:abstractNum>
  <w:abstractNum w:abstractNumId="1" w15:restartNumberingAfterBreak="0">
    <w:nsid w:val="3B817978"/>
    <w:multiLevelType w:val="hybridMultilevel"/>
    <w:tmpl w:val="A3A69B36"/>
    <w:lvl w:ilvl="0" w:tplc="CD20BAE6">
      <w:start w:val="1"/>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8E76B59E">
      <w:numFmt w:val="bullet"/>
      <w:lvlText w:val=""/>
      <w:lvlJc w:val="left"/>
      <w:pPr>
        <w:ind w:left="820" w:hanging="356"/>
      </w:pPr>
      <w:rPr>
        <w:rFonts w:ascii="Symbol" w:eastAsia="Symbol" w:hAnsi="Symbol" w:cs="Symbol" w:hint="default"/>
        <w:w w:val="100"/>
        <w:sz w:val="22"/>
        <w:szCs w:val="22"/>
        <w:lang w:val="en-GB" w:eastAsia="en-GB" w:bidi="en-GB"/>
      </w:rPr>
    </w:lvl>
    <w:lvl w:ilvl="2" w:tplc="F55453B0">
      <w:numFmt w:val="bullet"/>
      <w:lvlText w:val="•"/>
      <w:lvlJc w:val="left"/>
      <w:pPr>
        <w:ind w:left="1822" w:hanging="356"/>
      </w:pPr>
      <w:rPr>
        <w:rFonts w:hint="default"/>
        <w:lang w:val="en-GB" w:eastAsia="en-GB" w:bidi="en-GB"/>
      </w:rPr>
    </w:lvl>
    <w:lvl w:ilvl="3" w:tplc="0F744136">
      <w:numFmt w:val="bullet"/>
      <w:lvlText w:val="•"/>
      <w:lvlJc w:val="left"/>
      <w:pPr>
        <w:ind w:left="2825" w:hanging="356"/>
      </w:pPr>
      <w:rPr>
        <w:rFonts w:hint="default"/>
        <w:lang w:val="en-GB" w:eastAsia="en-GB" w:bidi="en-GB"/>
      </w:rPr>
    </w:lvl>
    <w:lvl w:ilvl="4" w:tplc="40F67004">
      <w:numFmt w:val="bullet"/>
      <w:lvlText w:val="•"/>
      <w:lvlJc w:val="left"/>
      <w:pPr>
        <w:ind w:left="3828" w:hanging="356"/>
      </w:pPr>
      <w:rPr>
        <w:rFonts w:hint="default"/>
        <w:lang w:val="en-GB" w:eastAsia="en-GB" w:bidi="en-GB"/>
      </w:rPr>
    </w:lvl>
    <w:lvl w:ilvl="5" w:tplc="B5E4802E">
      <w:numFmt w:val="bullet"/>
      <w:lvlText w:val="•"/>
      <w:lvlJc w:val="left"/>
      <w:pPr>
        <w:ind w:left="4830" w:hanging="356"/>
      </w:pPr>
      <w:rPr>
        <w:rFonts w:hint="default"/>
        <w:lang w:val="en-GB" w:eastAsia="en-GB" w:bidi="en-GB"/>
      </w:rPr>
    </w:lvl>
    <w:lvl w:ilvl="6" w:tplc="E3523FB6">
      <w:numFmt w:val="bullet"/>
      <w:lvlText w:val="•"/>
      <w:lvlJc w:val="left"/>
      <w:pPr>
        <w:ind w:left="5833" w:hanging="356"/>
      </w:pPr>
      <w:rPr>
        <w:rFonts w:hint="default"/>
        <w:lang w:val="en-GB" w:eastAsia="en-GB" w:bidi="en-GB"/>
      </w:rPr>
    </w:lvl>
    <w:lvl w:ilvl="7" w:tplc="8682A0B4">
      <w:numFmt w:val="bullet"/>
      <w:lvlText w:val="•"/>
      <w:lvlJc w:val="left"/>
      <w:pPr>
        <w:ind w:left="6836" w:hanging="356"/>
      </w:pPr>
      <w:rPr>
        <w:rFonts w:hint="default"/>
        <w:lang w:val="en-GB" w:eastAsia="en-GB" w:bidi="en-GB"/>
      </w:rPr>
    </w:lvl>
    <w:lvl w:ilvl="8" w:tplc="A4C6D15C">
      <w:numFmt w:val="bullet"/>
      <w:lvlText w:val="•"/>
      <w:lvlJc w:val="left"/>
      <w:pPr>
        <w:ind w:left="7838" w:hanging="356"/>
      </w:pPr>
      <w:rPr>
        <w:rFonts w:hint="default"/>
        <w:lang w:val="en-GB" w:eastAsia="en-GB" w:bidi="en-GB"/>
      </w:rPr>
    </w:lvl>
  </w:abstractNum>
  <w:num w:numId="1" w16cid:durableId="31811888">
    <w:abstractNumId w:val="0"/>
  </w:num>
  <w:num w:numId="2" w16cid:durableId="171365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87334"/>
    <w:rsid w:val="002301F0"/>
    <w:rsid w:val="00523E9D"/>
    <w:rsid w:val="00987334"/>
    <w:rsid w:val="00A01A76"/>
    <w:rsid w:val="00BD1300"/>
    <w:rsid w:val="00DA23AA"/>
    <w:rsid w:val="00E911E4"/>
    <w:rsid w:val="00EC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A23AA"/>
    <w:pPr>
      <w:tabs>
        <w:tab w:val="center" w:pos="4513"/>
        <w:tab w:val="right" w:pos="9026"/>
      </w:tabs>
    </w:pPr>
  </w:style>
  <w:style w:type="character" w:customStyle="1" w:styleId="HeaderChar">
    <w:name w:val="Header Char"/>
    <w:basedOn w:val="DefaultParagraphFont"/>
    <w:link w:val="Header"/>
    <w:uiPriority w:val="99"/>
    <w:rsid w:val="00DA23AA"/>
    <w:rPr>
      <w:rFonts w:ascii="Arial" w:eastAsia="Arial" w:hAnsi="Arial" w:cs="Arial"/>
      <w:lang w:val="en-GB" w:eastAsia="en-GB" w:bidi="en-GB"/>
    </w:rPr>
  </w:style>
  <w:style w:type="paragraph" w:styleId="Footer">
    <w:name w:val="footer"/>
    <w:basedOn w:val="Normal"/>
    <w:link w:val="FooterChar"/>
    <w:uiPriority w:val="99"/>
    <w:unhideWhenUsed/>
    <w:rsid w:val="00DA23AA"/>
    <w:pPr>
      <w:tabs>
        <w:tab w:val="center" w:pos="4513"/>
        <w:tab w:val="right" w:pos="9026"/>
      </w:tabs>
    </w:pPr>
  </w:style>
  <w:style w:type="character" w:customStyle="1" w:styleId="FooterChar">
    <w:name w:val="Footer Char"/>
    <w:basedOn w:val="DefaultParagraphFont"/>
    <w:link w:val="Footer"/>
    <w:uiPriority w:val="99"/>
    <w:rsid w:val="00DA23A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2024-08-20T13:31:00Z</dcterms:created>
  <dcterms:modified xsi:type="dcterms:W3CDTF">2024-08-20T13:31:00Z</dcterms:modified>
</cp:coreProperties>
</file>