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D9C" w14:textId="77777777" w:rsidR="00D32ED7" w:rsidRPr="005279C3" w:rsidRDefault="00D32ED7" w:rsidP="00FE74CE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4C8C039" w14:textId="77777777" w:rsidR="001C38B2" w:rsidRPr="005279C3" w:rsidRDefault="001C38B2" w:rsidP="009254E4">
      <w:pPr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14:paraId="7483072C" w14:textId="6459AB44" w:rsidR="001C38B2" w:rsidRPr="005279C3" w:rsidRDefault="00BB0A5A" w:rsidP="009254E4">
      <w:pPr>
        <w:ind w:left="0" w:firstLine="0"/>
        <w:rPr>
          <w:rFonts w:ascii="Arial" w:eastAsia="Arial" w:hAnsi="Arial"/>
          <w:b/>
          <w:sz w:val="24"/>
          <w:szCs w:val="24"/>
        </w:rPr>
      </w:pPr>
      <w:r w:rsidRPr="005279C3">
        <w:rPr>
          <w:rFonts w:ascii="Arial" w:eastAsia="Arial" w:hAnsi="Arial"/>
          <w:b/>
          <w:sz w:val="24"/>
          <w:szCs w:val="24"/>
        </w:rPr>
        <w:t xml:space="preserve">Profile for </w:t>
      </w:r>
      <w:r w:rsidR="003228E3" w:rsidRPr="005279C3">
        <w:rPr>
          <w:rFonts w:ascii="Arial" w:eastAsia="Arial" w:hAnsi="Arial"/>
          <w:b/>
          <w:sz w:val="24"/>
          <w:szCs w:val="24"/>
        </w:rPr>
        <w:t>L</w:t>
      </w:r>
      <w:r w:rsidRPr="005279C3">
        <w:rPr>
          <w:rFonts w:ascii="Arial" w:eastAsia="Arial" w:hAnsi="Arial"/>
          <w:b/>
          <w:sz w:val="24"/>
          <w:szCs w:val="24"/>
        </w:rPr>
        <w:t>isting as an NZX Foreign Exempt Issuer</w:t>
      </w:r>
      <w:r w:rsidR="00591D07" w:rsidRPr="005279C3">
        <w:rPr>
          <w:rFonts w:ascii="Arial" w:eastAsia="Arial" w:hAnsi="Arial"/>
          <w:b/>
          <w:sz w:val="24"/>
          <w:szCs w:val="24"/>
        </w:rPr>
        <w:t xml:space="preserve"> </w:t>
      </w:r>
    </w:p>
    <w:p w14:paraId="5F0C4EDB" w14:textId="763A0AC3" w:rsidR="00591D07" w:rsidRPr="005279C3" w:rsidRDefault="00591D07" w:rsidP="009254E4">
      <w:pPr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14:paraId="2BBBC790" w14:textId="3868DB82" w:rsidR="00591D07" w:rsidRPr="005279C3" w:rsidRDefault="00591D07" w:rsidP="009254E4">
      <w:pPr>
        <w:ind w:left="0" w:firstLine="0"/>
        <w:rPr>
          <w:rFonts w:ascii="Arial" w:eastAsia="Arial" w:hAnsi="Arial"/>
          <w:i/>
          <w:sz w:val="24"/>
          <w:szCs w:val="24"/>
        </w:rPr>
      </w:pPr>
      <w:r w:rsidRPr="005279C3">
        <w:rPr>
          <w:rFonts w:ascii="Arial" w:eastAsia="Arial" w:hAnsi="Arial"/>
          <w:i/>
          <w:sz w:val="24"/>
          <w:szCs w:val="24"/>
        </w:rPr>
        <w:t>[Issuer to amend header and replace logo as appropriate]</w:t>
      </w:r>
    </w:p>
    <w:p w14:paraId="61B7133A" w14:textId="77777777" w:rsidR="009254E4" w:rsidRPr="005279C3" w:rsidRDefault="009254E4" w:rsidP="009254E4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728"/>
      </w:tblGrid>
      <w:tr w:rsidR="00FE74CE" w:rsidRPr="005279C3" w14:paraId="33D94298" w14:textId="77777777" w:rsidTr="00FE74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76975CE" w14:textId="2015D5F2" w:rsidR="00FE74CE" w:rsidRPr="005279C3" w:rsidRDefault="001364FC" w:rsidP="000A09B7">
            <w:pPr>
              <w:spacing w:before="60" w:after="60"/>
              <w:ind w:left="0" w:firstLine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279C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Section 1: </w:t>
            </w:r>
            <w:r w:rsidR="005726D5" w:rsidRPr="005279C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5279C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ssuer </w:t>
            </w:r>
            <w:r w:rsidR="00823BB3" w:rsidRPr="005279C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and financial product </w:t>
            </w:r>
            <w:r w:rsidRPr="005279C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</w:tr>
      <w:tr w:rsidR="00FE74CE" w:rsidRPr="005279C3" w14:paraId="3C8ACC1C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C8422" w14:textId="77777777" w:rsidR="00FE74CE" w:rsidRPr="005279C3" w:rsidRDefault="00FE74CE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Name of issuer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5C7B3" w14:textId="77777777" w:rsidR="00FE74CE" w:rsidRPr="005279C3" w:rsidRDefault="00FE74C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74CE" w:rsidRPr="005279C3" w14:paraId="446C8C85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51CD9" w14:textId="77777777" w:rsidR="00FE74CE" w:rsidRPr="005279C3" w:rsidRDefault="001364FC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Financial product name/description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08008" w14:textId="77777777" w:rsidR="00FE74CE" w:rsidRPr="005279C3" w:rsidRDefault="00FE74C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74CE" w:rsidRPr="005279C3" w14:paraId="65C942B8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7AD73" w14:textId="77777777" w:rsidR="00FE74CE" w:rsidRPr="005279C3" w:rsidRDefault="001364FC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NZX ticker code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5D42B" w14:textId="77777777" w:rsidR="00FE74CE" w:rsidRPr="005279C3" w:rsidRDefault="00FE74CE" w:rsidP="001364FC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7AC9" w:rsidRPr="005279C3" w14:paraId="6EC4B682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18986" w14:textId="77777777" w:rsidR="00C37AC9" w:rsidRPr="005279C3" w:rsidRDefault="00C37AC9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ISIN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5BD1C" w14:textId="77777777" w:rsidR="00C37AC9" w:rsidRPr="005279C3" w:rsidRDefault="00C37AC9" w:rsidP="001364FC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373B" w:rsidRPr="005279C3" w14:paraId="01A76ACC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8BC6D" w14:textId="4E9293BB" w:rsidR="00E2373B" w:rsidRPr="005279C3" w:rsidRDefault="00E2373B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Australian registration number</w:t>
            </w:r>
          </w:p>
          <w:p w14:paraId="6472D8D8" w14:textId="22923203" w:rsidR="00E2373B" w:rsidRPr="005279C3" w:rsidRDefault="00E2373B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(ABN, ACN, ARBN, ARSN)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5B82D" w14:textId="77777777" w:rsidR="00E2373B" w:rsidRPr="005279C3" w:rsidRDefault="00E2373B" w:rsidP="001364FC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4FA6" w:rsidRPr="005279C3" w14:paraId="44E42075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A832E" w14:textId="77777777" w:rsidR="00C14FA6" w:rsidRPr="005279C3" w:rsidRDefault="00C14FA6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Main business activity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72931" w14:textId="77777777" w:rsidR="00C14FA6" w:rsidRPr="005279C3" w:rsidRDefault="00C14FA6" w:rsidP="001364FC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E7943" w:rsidRPr="005279C3" w14:paraId="36D6558B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D87D0" w14:textId="1CD840EE" w:rsidR="00EE7943" w:rsidRPr="005279C3" w:rsidRDefault="00EE7943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Brief details of issuer’s operating activities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0205D" w14:textId="743C9F3F" w:rsidR="00EE7943" w:rsidRPr="005279C3" w:rsidRDefault="00EE7943" w:rsidP="005279C3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[Can provide cross reference to a description contained in other application material, for example, annual report]</w:t>
            </w:r>
          </w:p>
        </w:tc>
      </w:tr>
      <w:tr w:rsidR="00C14FA6" w:rsidRPr="005279C3" w14:paraId="698AD75D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DF24E" w14:textId="77777777" w:rsidR="00C14FA6" w:rsidRPr="005279C3" w:rsidRDefault="00C14FA6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Brief history of issuer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59751" w14:textId="3F601CD8" w:rsidR="00C14FA6" w:rsidRPr="005279C3" w:rsidRDefault="00EE7943" w:rsidP="005279C3">
            <w:pPr>
              <w:spacing w:before="60" w:after="60"/>
              <w:ind w:left="0" w:firstLine="0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[Can provide cross reference to a description contained in other application material, for example, annual report]</w:t>
            </w:r>
          </w:p>
        </w:tc>
      </w:tr>
      <w:tr w:rsidR="00823BB3" w:rsidRPr="005279C3" w14:paraId="4511FC3B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052F7" w14:textId="1F379088" w:rsidR="00823BB3" w:rsidRPr="005279C3" w:rsidRDefault="00823BB3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Key features/terms of the financial products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B95E3" w14:textId="5122016D" w:rsidR="00823BB3" w:rsidRPr="005279C3" w:rsidRDefault="00823BB3" w:rsidP="006A57DD">
            <w:pPr>
              <w:pStyle w:val="FootnoteText"/>
              <w:ind w:left="-22" w:firstLine="22"/>
              <w:rPr>
                <w:rFonts w:ascii="Arial" w:eastAsia="Arial" w:hAnsi="Arial"/>
                <w:i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[Can provide cross reference to a description contained in other application material</w:t>
            </w:r>
            <w:r w:rsidR="00726845">
              <w:rPr>
                <w:rFonts w:ascii="Arial" w:eastAsia="Arial" w:hAnsi="Arial"/>
                <w:i/>
                <w:sz w:val="24"/>
                <w:szCs w:val="24"/>
              </w:rPr>
              <w:t xml:space="preserve">.  </w:t>
            </w:r>
            <w:r w:rsidR="00800F29">
              <w:rPr>
                <w:rFonts w:ascii="Arial" w:eastAsia="Arial" w:hAnsi="Arial"/>
                <w:i/>
                <w:sz w:val="24"/>
                <w:szCs w:val="24"/>
              </w:rPr>
              <w:t xml:space="preserve">The description must be sufficient to make it clear why the feature is of significance to investors.  </w:t>
            </w:r>
            <w:r w:rsidR="00726845">
              <w:rPr>
                <w:rFonts w:ascii="Arial" w:eastAsia="Arial" w:hAnsi="Arial"/>
                <w:i/>
                <w:sz w:val="24"/>
                <w:szCs w:val="24"/>
              </w:rPr>
              <w:t>The key features/terms need not be disclosed to the extent they are features that apply to ordinary shares in an Australian company generally</w:t>
            </w:r>
            <w:r w:rsidR="00A02272">
              <w:rPr>
                <w:rFonts w:ascii="Arial" w:eastAsia="Arial" w:hAnsi="Arial"/>
                <w:i/>
                <w:sz w:val="24"/>
                <w:szCs w:val="24"/>
              </w:rPr>
              <w:t xml:space="preserve"> or managed investment products of funds </w:t>
            </w:r>
            <w:r w:rsidR="00A02272" w:rsidRPr="00A02272">
              <w:rPr>
                <w:rFonts w:ascii="Arial" w:eastAsia="Arial" w:hAnsi="Arial"/>
                <w:i/>
                <w:sz w:val="24"/>
                <w:szCs w:val="24"/>
              </w:rPr>
              <w:t>governed by Part 5C of the Corporations Act 2001</w:t>
            </w:r>
            <w:r w:rsidR="00A02272">
              <w:rPr>
                <w:rFonts w:ascii="Arial" w:eastAsia="Arial" w:hAnsi="Arial"/>
                <w:i/>
                <w:sz w:val="24"/>
                <w:szCs w:val="24"/>
              </w:rPr>
              <w:t xml:space="preserve"> generally</w:t>
            </w: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]</w:t>
            </w:r>
          </w:p>
        </w:tc>
      </w:tr>
      <w:tr w:rsidR="00412357" w:rsidRPr="005279C3" w14:paraId="3BCCC3EF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3E514" w14:textId="6FD76C3C" w:rsidR="00412357" w:rsidRPr="005279C3" w:rsidRDefault="00412357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Details of tax consequences applicable to the financial products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81A11" w14:textId="10F7AB30" w:rsidR="00412357" w:rsidRPr="005279C3" w:rsidRDefault="00412357" w:rsidP="00800F29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sz w:val="24"/>
                <w:szCs w:val="24"/>
              </w:rPr>
              <w:t>[</w:t>
            </w: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Can provide cross reference to a description contained in other application material</w:t>
            </w:r>
            <w:r>
              <w:rPr>
                <w:rFonts w:ascii="Arial" w:eastAsia="Arial" w:hAnsi="Arial"/>
                <w:i/>
                <w:sz w:val="24"/>
                <w:szCs w:val="24"/>
              </w:rPr>
              <w:t>.  Tax consequences should only be disclosed if the information relates to the particular financial product on offer (rather than to equity securities/fund securities, or classes of the same, generally)]</w:t>
            </w:r>
          </w:p>
        </w:tc>
      </w:tr>
      <w:tr w:rsidR="00823BB3" w:rsidRPr="005279C3" w14:paraId="066CF361" w14:textId="77777777" w:rsidTr="006151DF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2AF67" w14:textId="6F6E9CE0" w:rsidR="00823BB3" w:rsidRPr="005279C3" w:rsidRDefault="00823BB3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Details of fees applicable to the financial products (for example, annual fees or performance fees)</w:t>
            </w:r>
          </w:p>
          <w:p w14:paraId="663F19FC" w14:textId="79C71006" w:rsidR="00823BB3" w:rsidRPr="005279C3" w:rsidRDefault="00823BB3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i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lastRenderedPageBreak/>
              <w:t xml:space="preserve">Applies to fund securities only 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4C3EC" w14:textId="60EAD216" w:rsidR="00823BB3" w:rsidRPr="005279C3" w:rsidRDefault="00726845" w:rsidP="00726845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sz w:val="24"/>
                <w:szCs w:val="24"/>
              </w:rPr>
              <w:lastRenderedPageBreak/>
              <w:t>[Issuers should have reference to the guidance from ASIC in RG 97 as to the disclosure of fees for managed investment products]</w:t>
            </w:r>
          </w:p>
        </w:tc>
      </w:tr>
      <w:tr w:rsidR="0058256F" w:rsidRPr="005279C3" w14:paraId="28E87816" w14:textId="77777777" w:rsidTr="006151DF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47B4" w14:textId="4E8F9563" w:rsidR="0058256F" w:rsidRPr="005279C3" w:rsidRDefault="0058256F" w:rsidP="00823BB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Details of the directors’ intentions as to [Issuer’s] future dividend policy</w:t>
            </w:r>
          </w:p>
          <w:p w14:paraId="09839851" w14:textId="26C5386E" w:rsidR="0058256F" w:rsidRPr="005279C3" w:rsidRDefault="0058256F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Applies to equity securities only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70431" w14:textId="77777777" w:rsidR="0058256F" w:rsidRPr="005279C3" w:rsidRDefault="0058256F" w:rsidP="00EE7943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</w:tr>
      <w:tr w:rsidR="0058256F" w:rsidRPr="005279C3" w14:paraId="1C7D331E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6A4E0" w14:textId="209D98BA" w:rsidR="0058256F" w:rsidRPr="005279C3" w:rsidRDefault="0058256F" w:rsidP="00726845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Details of any waivers </w:t>
            </w:r>
            <w:r w:rsidR="00726845">
              <w:rPr>
                <w:rFonts w:ascii="Arial" w:eastAsia="Arial" w:hAnsi="Arial"/>
                <w:sz w:val="24"/>
                <w:szCs w:val="24"/>
              </w:rPr>
              <w:t>from</w:t>
            </w:r>
            <w:r w:rsidR="00726845" w:rsidRPr="005279C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279C3">
              <w:rPr>
                <w:rFonts w:ascii="Arial" w:eastAsia="Arial" w:hAnsi="Arial"/>
                <w:sz w:val="24"/>
                <w:szCs w:val="24"/>
              </w:rPr>
              <w:t>the ASX listing rules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FEC69" w14:textId="5EE256E1" w:rsidR="0058256F" w:rsidRPr="005279C3" w:rsidRDefault="00800F29" w:rsidP="006A57DD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sz w:val="24"/>
                <w:szCs w:val="24"/>
              </w:rPr>
              <w:t>[</w:t>
            </w: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Can provide cross reference to a description contained in other application material, for example, annual report</w:t>
            </w:r>
            <w:r>
              <w:rPr>
                <w:rFonts w:ascii="Arial" w:eastAsia="Arial" w:hAnsi="Arial"/>
                <w:i/>
                <w:sz w:val="24"/>
                <w:szCs w:val="24"/>
              </w:rPr>
              <w:t>.</w:t>
            </w:r>
            <w:r w:rsidRPr="00800F29">
              <w:rPr>
                <w:rFonts w:ascii="Arial" w:eastAsia="Arial" w:hAnsi="Arial"/>
                <w:i/>
                <w:sz w:val="24"/>
                <w:szCs w:val="24"/>
              </w:rPr>
              <w:t xml:space="preserve"> Please summarise any waivers from all or part of the ASX listing rules which are </w:t>
            </w:r>
            <w:r w:rsidR="006A57DD">
              <w:rPr>
                <w:rFonts w:ascii="Arial" w:eastAsia="Arial" w:hAnsi="Arial"/>
                <w:i/>
                <w:sz w:val="24"/>
                <w:szCs w:val="24"/>
              </w:rPr>
              <w:t>currently</w:t>
            </w:r>
            <w:r w:rsidRPr="00800F29">
              <w:rPr>
                <w:rFonts w:ascii="Arial" w:eastAsia="Arial" w:hAnsi="Arial"/>
                <w:i/>
                <w:sz w:val="24"/>
                <w:szCs w:val="24"/>
              </w:rPr>
              <w:t xml:space="preserve"> being relied upon, or upon which the </w:t>
            </w:r>
            <w:r w:rsidR="00957173">
              <w:rPr>
                <w:rFonts w:ascii="Arial" w:eastAsia="Arial" w:hAnsi="Arial"/>
                <w:i/>
                <w:sz w:val="24"/>
                <w:szCs w:val="24"/>
              </w:rPr>
              <w:t>i</w:t>
            </w:r>
            <w:r w:rsidRPr="00800F29">
              <w:rPr>
                <w:rFonts w:ascii="Arial" w:eastAsia="Arial" w:hAnsi="Arial"/>
                <w:i/>
                <w:sz w:val="24"/>
                <w:szCs w:val="24"/>
              </w:rPr>
              <w:t>ssuer has relied within the 12 months prior to this application</w:t>
            </w:r>
            <w:r>
              <w:rPr>
                <w:rFonts w:ascii="Arial" w:eastAsia="Arial" w:hAnsi="Arial"/>
                <w:i/>
                <w:sz w:val="24"/>
                <w:szCs w:val="24"/>
              </w:rPr>
              <w:t>]</w:t>
            </w:r>
            <w:r w:rsidRPr="00800F29">
              <w:rPr>
                <w:rFonts w:ascii="Arial" w:eastAsia="Arial" w:hAnsi="Arial"/>
                <w:i/>
                <w:sz w:val="24"/>
                <w:szCs w:val="24"/>
              </w:rPr>
              <w:t xml:space="preserve"> </w:t>
            </w:r>
          </w:p>
        </w:tc>
      </w:tr>
      <w:tr w:rsidR="003C76A2" w:rsidRPr="005279C3" w14:paraId="3481B1F9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7B1FD" w14:textId="1EEEAEA0" w:rsidR="003C76A2" w:rsidRPr="005279C3" w:rsidRDefault="003C76A2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Website URL to access previous announcements by the issuer under the ASX listing rules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3F81A" w14:textId="7571365D" w:rsidR="003C76A2" w:rsidRPr="005279C3" w:rsidRDefault="003C76A2" w:rsidP="00EE7943">
            <w:pPr>
              <w:spacing w:before="60" w:after="60"/>
              <w:ind w:left="0" w:firstLine="0"/>
              <w:rPr>
                <w:rFonts w:ascii="Arial" w:eastAsia="Arial" w:hAnsi="Arial"/>
                <w:i/>
                <w:sz w:val="24"/>
                <w:szCs w:val="24"/>
              </w:rPr>
            </w:pPr>
            <w:r w:rsidRPr="005279C3">
              <w:rPr>
                <w:rFonts w:ascii="Arial" w:eastAsia="Arial" w:hAnsi="Arial"/>
                <w:i/>
                <w:sz w:val="24"/>
                <w:szCs w:val="24"/>
              </w:rPr>
              <w:t>[Insert link to ASX website]</w:t>
            </w:r>
          </w:p>
        </w:tc>
      </w:tr>
      <w:tr w:rsidR="001364FC" w:rsidRPr="005279C3" w14:paraId="38F19794" w14:textId="77777777" w:rsidTr="00BC2A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E74FBEE" w14:textId="77777777" w:rsidR="001364FC" w:rsidRPr="005279C3" w:rsidRDefault="001364FC" w:rsidP="009254E4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Section 2: </w:t>
            </w:r>
            <w:r w:rsidR="005726D5"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>Contact details</w:t>
            </w:r>
          </w:p>
        </w:tc>
      </w:tr>
      <w:tr w:rsidR="009254E4" w:rsidRPr="005279C3" w14:paraId="6724F914" w14:textId="77777777" w:rsidTr="005B7DEE">
        <w:trPr>
          <w:trHeight w:val="125"/>
        </w:trPr>
        <w:tc>
          <w:tcPr>
            <w:tcW w:w="387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2750D27F" w14:textId="77777777" w:rsidR="009254E4" w:rsidRPr="005279C3" w:rsidRDefault="005726D5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Address of registered office in place of incorporation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821C9" w14:textId="77777777" w:rsidR="009254E4" w:rsidRPr="005279C3" w:rsidRDefault="009254E4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370" w:rsidRPr="005279C3" w14:paraId="7DFA115E" w14:textId="77777777" w:rsidTr="005B7DEE">
        <w:trPr>
          <w:trHeight w:val="125"/>
        </w:trPr>
        <w:tc>
          <w:tcPr>
            <w:tcW w:w="387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1AF0B82D" w14:textId="0C7A7E5A" w:rsidR="00574370" w:rsidRPr="005279C3" w:rsidRDefault="005726D5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Contact </w:t>
            </w:r>
            <w:r w:rsidR="00E2373B" w:rsidRPr="005279C3">
              <w:rPr>
                <w:rFonts w:ascii="Arial" w:eastAsia="Arial" w:hAnsi="Arial"/>
                <w:sz w:val="24"/>
                <w:szCs w:val="24"/>
              </w:rPr>
              <w:t xml:space="preserve">telephone </w:t>
            </w:r>
            <w:r w:rsidRPr="005279C3">
              <w:rPr>
                <w:rFonts w:ascii="Arial" w:eastAsia="Arial" w:hAnsi="Arial"/>
                <w:sz w:val="24"/>
                <w:szCs w:val="24"/>
              </w:rPr>
              <w:t>number for investor enquiries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65EA8" w14:textId="07FC155A" w:rsidR="00574370" w:rsidRPr="005279C3" w:rsidRDefault="00A71F24" w:rsidP="00A71F24">
            <w:pPr>
              <w:spacing w:before="60" w:after="60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57DD">
              <w:rPr>
                <w:rFonts w:ascii="Arial" w:eastAsia="Arial" w:hAnsi="Arial"/>
                <w:i/>
                <w:sz w:val="24"/>
                <w:szCs w:val="24"/>
              </w:rPr>
              <w:t>[This need not be a New Zealand number]</w:t>
            </w:r>
          </w:p>
        </w:tc>
      </w:tr>
      <w:tr w:rsidR="0012738A" w:rsidRPr="005279C3" w14:paraId="7487397C" w14:textId="77777777" w:rsidTr="005B7DEE">
        <w:trPr>
          <w:trHeight w:val="125"/>
        </w:trPr>
        <w:tc>
          <w:tcPr>
            <w:tcW w:w="387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D794825" w14:textId="77777777" w:rsidR="00E6746C" w:rsidRPr="005279C3" w:rsidRDefault="005726D5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E-mail address for investor enquiries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19D2B" w14:textId="77777777" w:rsidR="0012738A" w:rsidRPr="005279C3" w:rsidRDefault="0012738A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5CB" w:rsidRPr="005279C3" w14:paraId="0719442D" w14:textId="77777777" w:rsidTr="005B7DEE">
        <w:trPr>
          <w:trHeight w:val="125"/>
        </w:trPr>
        <w:tc>
          <w:tcPr>
            <w:tcW w:w="387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43963466" w14:textId="77777777" w:rsidR="009E35CB" w:rsidRPr="005279C3" w:rsidRDefault="009E35CB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Website URL</w:t>
            </w:r>
          </w:p>
          <w:p w14:paraId="44D642BC" w14:textId="17D51AA3" w:rsidR="00341A66" w:rsidRPr="005279C3" w:rsidRDefault="00341A66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(for investor information)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AF4AB" w14:textId="77777777" w:rsidR="009E35CB" w:rsidRPr="005279C3" w:rsidRDefault="009E35C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D23" w:rsidRPr="005279C3" w14:paraId="7C761308" w14:textId="77777777" w:rsidTr="00FE74CE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2B5331A" w14:textId="77777777" w:rsidR="00B05D23" w:rsidRPr="005279C3" w:rsidRDefault="00B05D23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Section 3: </w:t>
            </w:r>
            <w:r w:rsidR="005D1FDF"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>Other details</w:t>
            </w:r>
          </w:p>
        </w:tc>
      </w:tr>
      <w:tr w:rsidR="00B05D23" w:rsidRPr="005279C3" w14:paraId="391FB081" w14:textId="77777777" w:rsidTr="005B7DEE">
        <w:trPr>
          <w:trHeight w:val="130"/>
        </w:trPr>
        <w:tc>
          <w:tcPr>
            <w:tcW w:w="387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58C508A7" w14:textId="77777777" w:rsidR="00B05D23" w:rsidRPr="005279C3" w:rsidRDefault="00BB0A5A" w:rsidP="0058256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Place and date of incorporation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9CB0F" w14:textId="77777777" w:rsidR="00B05D23" w:rsidRPr="005279C3" w:rsidRDefault="00B05D23" w:rsidP="00B05D23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05D23" w:rsidRPr="005279C3" w14:paraId="3A79E961" w14:textId="77777777" w:rsidTr="005B7DEE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3053B" w14:textId="77777777" w:rsidR="00B05D23" w:rsidRPr="005279C3" w:rsidRDefault="00BB0A5A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Legislation under which incorporated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C5D08" w14:textId="77777777" w:rsidR="00B05D23" w:rsidRPr="005279C3" w:rsidRDefault="00B05D23" w:rsidP="00B05D23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B0A5A" w:rsidRPr="005279C3" w14:paraId="2A12B588" w14:textId="77777777" w:rsidTr="005B7DEE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AF02C" w14:textId="77777777" w:rsidR="00BB0A5A" w:rsidRPr="005279C3" w:rsidRDefault="00BB0A5A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Annual balance date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CC231" w14:textId="77777777" w:rsidR="00BB0A5A" w:rsidRPr="005279C3" w:rsidRDefault="00BB0A5A" w:rsidP="00B05D23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05D23" w:rsidRPr="005279C3" w14:paraId="1A281092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AF32E" w14:textId="77777777" w:rsidR="00B05D23" w:rsidRPr="005279C3" w:rsidRDefault="00BB0A5A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Home Exchange 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FFE35" w14:textId="77777777" w:rsidR="00B05D23" w:rsidRPr="005279C3" w:rsidRDefault="00BB0A5A" w:rsidP="00B05D23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Australian Securities Exchange - ASX</w:t>
            </w:r>
          </w:p>
        </w:tc>
      </w:tr>
      <w:tr w:rsidR="00A17103" w:rsidRPr="005279C3" w14:paraId="46021FA6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0784D" w14:textId="77777777" w:rsidR="00A17103" w:rsidRPr="005279C3" w:rsidRDefault="00A17103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Listing category on Home Exchange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3CB7C" w14:textId="71FB4F66" w:rsidR="00A17103" w:rsidRPr="005279C3" w:rsidRDefault="006A57DD" w:rsidP="005279C3">
            <w:pPr>
              <w:spacing w:before="60" w:after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[</w:t>
            </w:r>
            <w:r w:rsidR="00A17103" w:rsidRPr="005279C3">
              <w:rPr>
                <w:rFonts w:ascii="Arial" w:eastAsia="Arial" w:hAnsi="Arial"/>
                <w:sz w:val="24"/>
                <w:szCs w:val="24"/>
              </w:rPr>
              <w:t>Equity/Funds</w:t>
            </w:r>
            <w:r>
              <w:rPr>
                <w:rFonts w:ascii="Arial" w:eastAsia="Arial" w:hAnsi="Arial"/>
                <w:sz w:val="24"/>
                <w:szCs w:val="24"/>
              </w:rPr>
              <w:t>] (delete one)</w:t>
            </w:r>
          </w:p>
        </w:tc>
      </w:tr>
      <w:tr w:rsidR="00B05D23" w:rsidRPr="005279C3" w14:paraId="6B86F281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507B5" w14:textId="465E45AC" w:rsidR="00B05D23" w:rsidRPr="005279C3" w:rsidRDefault="00BB0A5A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Any other exchanges on which the issuer is listed</w:t>
            </w:r>
            <w:r w:rsidR="00EE7943" w:rsidRPr="005279C3">
              <w:rPr>
                <w:rFonts w:ascii="Arial" w:eastAsia="Arial" w:hAnsi="Arial"/>
                <w:sz w:val="24"/>
                <w:szCs w:val="24"/>
              </w:rPr>
              <w:t xml:space="preserve"> or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 xml:space="preserve">financial products </w:t>
            </w:r>
            <w:r w:rsidR="00EE7943" w:rsidRPr="005279C3">
              <w:rPr>
                <w:rFonts w:ascii="Arial" w:eastAsia="Arial" w:hAnsi="Arial"/>
                <w:sz w:val="24"/>
                <w:szCs w:val="24"/>
              </w:rPr>
              <w:t>quoted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593E1" w14:textId="77777777" w:rsidR="00B05D23" w:rsidRPr="005279C3" w:rsidRDefault="00B05D23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A5A" w:rsidRPr="005279C3" w14:paraId="28DD35F0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241EA" w14:textId="6CCBD883" w:rsidR="00BB0A5A" w:rsidRPr="005279C3" w:rsidRDefault="00BB0A5A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Name of audit</w:t>
            </w:r>
            <w:r w:rsidR="00A71F24">
              <w:rPr>
                <w:rFonts w:ascii="Arial" w:eastAsia="Arial" w:hAnsi="Arial"/>
                <w:sz w:val="24"/>
                <w:szCs w:val="24"/>
              </w:rPr>
              <w:t xml:space="preserve"> firm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77C02" w14:textId="77777777" w:rsidR="00BB0A5A" w:rsidRPr="005279C3" w:rsidRDefault="00BB0A5A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A5A" w:rsidRPr="005279C3" w14:paraId="7FED998E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B1087" w14:textId="77777777" w:rsidR="00BB0A5A" w:rsidRPr="005279C3" w:rsidRDefault="00BB0A5A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Currency of reporting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5EACE" w14:textId="77777777" w:rsidR="00BB0A5A" w:rsidRPr="005279C3" w:rsidRDefault="00BB0A5A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3B" w:rsidRPr="005279C3" w14:paraId="288C0205" w14:textId="77777777" w:rsidTr="006151DF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F7419" w14:textId="6BBC2FAB" w:rsidR="00E2373B" w:rsidRPr="005279C3" w:rsidRDefault="00E2373B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Name of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 xml:space="preserve">financial product </w:t>
            </w:r>
            <w:r w:rsidRPr="005279C3">
              <w:rPr>
                <w:rFonts w:ascii="Arial" w:eastAsia="Arial" w:hAnsi="Arial"/>
                <w:sz w:val="24"/>
                <w:szCs w:val="24"/>
              </w:rPr>
              <w:t>registry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9D70C" w14:textId="77777777" w:rsidR="00A71F24" w:rsidRPr="00A71F24" w:rsidRDefault="00A71F24" w:rsidP="00A71F2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F24">
              <w:rPr>
                <w:rFonts w:ascii="Arial" w:hAnsi="Arial" w:cs="Arial"/>
                <w:sz w:val="24"/>
                <w:szCs w:val="24"/>
              </w:rPr>
              <w:t>[Computershare Limited (AUS)/Computershare Investor Services Limited (NZ)/Link Market Services Limited]</w:t>
            </w:r>
          </w:p>
          <w:p w14:paraId="14EBCB9E" w14:textId="77777777" w:rsidR="00A71F24" w:rsidRPr="00A71F24" w:rsidRDefault="00A71F24" w:rsidP="00A71F2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D859403" w14:textId="633E09FB" w:rsidR="00E2373B" w:rsidRPr="005279C3" w:rsidRDefault="00A71F24" w:rsidP="00A71F2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1F24">
              <w:rPr>
                <w:rFonts w:ascii="Arial" w:hAnsi="Arial" w:cs="Arial"/>
                <w:i/>
                <w:sz w:val="24"/>
                <w:szCs w:val="24"/>
              </w:rPr>
              <w:t xml:space="preserve">Please discuss with NZX if the </w:t>
            </w:r>
            <w:r w:rsidR="0095717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A71F24">
              <w:rPr>
                <w:rFonts w:ascii="Arial" w:hAnsi="Arial" w:cs="Arial"/>
                <w:i/>
                <w:sz w:val="24"/>
                <w:szCs w:val="24"/>
              </w:rPr>
              <w:t>ssuer uses a different registry to one of the above.</w:t>
            </w:r>
          </w:p>
        </w:tc>
      </w:tr>
      <w:tr w:rsidR="00E2373B" w:rsidRPr="005279C3" w14:paraId="6BBC66F5" w14:textId="77777777" w:rsidTr="006151DF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B27E7" w14:textId="676C14FD" w:rsidR="00E2373B" w:rsidRPr="005279C3" w:rsidRDefault="00E2373B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Address of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 xml:space="preserve">financial product </w:t>
            </w:r>
            <w:r w:rsidRPr="005279C3">
              <w:rPr>
                <w:rFonts w:ascii="Arial" w:eastAsia="Arial" w:hAnsi="Arial"/>
                <w:sz w:val="24"/>
                <w:szCs w:val="24"/>
              </w:rPr>
              <w:t>registry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67892" w14:textId="77777777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3B" w:rsidRPr="005279C3" w14:paraId="0BF28D9D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BF611" w14:textId="489A6468" w:rsidR="00E2373B" w:rsidRPr="005279C3" w:rsidRDefault="00E2373B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Telephone number of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>financial product</w:t>
            </w:r>
            <w:r w:rsidR="00A81F90">
              <w:rPr>
                <w:rFonts w:ascii="Arial" w:eastAsia="Arial" w:hAnsi="Arial"/>
                <w:sz w:val="24"/>
                <w:szCs w:val="24"/>
              </w:rPr>
              <w:t xml:space="preserve"> registry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BCE35" w14:textId="77777777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3B" w:rsidRPr="005279C3" w14:paraId="180339F2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BAC6D" w14:textId="5FD82942" w:rsidR="00E2373B" w:rsidRPr="005279C3" w:rsidRDefault="00E2373B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Fax number of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>financial product registry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29F3A" w14:textId="77777777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3B" w:rsidRPr="005279C3" w14:paraId="22DFE10E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05CA0" w14:textId="51FE51AF" w:rsidR="00E2373B" w:rsidRPr="005279C3" w:rsidRDefault="00E2373B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Email address of </w:t>
            </w:r>
            <w:r w:rsidR="00823BB3" w:rsidRPr="005279C3">
              <w:rPr>
                <w:rFonts w:ascii="Arial" w:eastAsia="Arial" w:hAnsi="Arial"/>
                <w:sz w:val="24"/>
                <w:szCs w:val="24"/>
              </w:rPr>
              <w:t xml:space="preserve">financial product registry 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E729D" w14:textId="77777777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5CB" w:rsidRPr="005279C3" w14:paraId="0F242A58" w14:textId="77777777" w:rsidTr="005279C3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0A4036C" w14:textId="3237B1BE" w:rsidR="009E35CB" w:rsidRPr="005279C3" w:rsidRDefault="009E35CB" w:rsidP="00341A6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>Section 4: Governance</w:t>
            </w:r>
            <w:r w:rsidR="00E2373B" w:rsidRPr="005279C3">
              <w:rPr>
                <w:rStyle w:val="FootnoteReference"/>
                <w:rFonts w:ascii="Arial" w:hAnsi="Arial" w:cs="Arial"/>
                <w:b/>
                <w:color w:val="FFFFFF"/>
                <w:sz w:val="24"/>
                <w:szCs w:val="24"/>
              </w:rPr>
              <w:footnoteReference w:id="1"/>
            </w:r>
          </w:p>
        </w:tc>
      </w:tr>
      <w:tr w:rsidR="009E35CB" w:rsidRPr="005279C3" w14:paraId="248C3CB6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09FE6" w14:textId="7A8ACE25" w:rsidR="009E35CB" w:rsidRPr="005279C3" w:rsidRDefault="009E35CB" w:rsidP="00B05D2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 xml:space="preserve">Full name of all </w:t>
            </w:r>
            <w:r w:rsidR="00341A66" w:rsidRPr="005279C3">
              <w:rPr>
                <w:rFonts w:ascii="Arial" w:eastAsia="Arial" w:hAnsi="Arial"/>
                <w:sz w:val="24"/>
                <w:szCs w:val="24"/>
              </w:rPr>
              <w:t xml:space="preserve">current </w:t>
            </w:r>
            <w:r w:rsidRPr="005279C3">
              <w:rPr>
                <w:rFonts w:ascii="Arial" w:eastAsia="Arial" w:hAnsi="Arial"/>
                <w:sz w:val="24"/>
                <w:szCs w:val="24"/>
              </w:rPr>
              <w:t>directors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32480" w14:textId="77777777" w:rsidR="009E35CB" w:rsidRPr="005279C3" w:rsidRDefault="009E35C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5CB" w:rsidRPr="005279C3" w14:paraId="1E94FD22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18E6" w14:textId="5D120A1F" w:rsidR="009E35CB" w:rsidRPr="005279C3" w:rsidRDefault="009E35CB" w:rsidP="00B05D2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Full name and title of CEO/managing director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9E221" w14:textId="11B09AA8" w:rsidR="009E35CB" w:rsidRPr="005279C3" w:rsidRDefault="007D66BA" w:rsidP="007D66BA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7D66BA">
              <w:rPr>
                <w:rFonts w:ascii="Arial" w:hAnsi="Arial" w:cs="Arial"/>
                <w:i/>
                <w:sz w:val="24"/>
                <w:szCs w:val="24"/>
              </w:rPr>
              <w:t xml:space="preserve">If there is no chief </w:t>
            </w:r>
            <w:r>
              <w:rPr>
                <w:rFonts w:ascii="Arial" w:hAnsi="Arial" w:cs="Arial"/>
                <w:i/>
                <w:sz w:val="24"/>
                <w:szCs w:val="24"/>
              </w:rPr>
              <w:t>executive</w:t>
            </w:r>
            <w:r w:rsidRPr="007D66BA">
              <w:rPr>
                <w:rFonts w:ascii="Arial" w:hAnsi="Arial" w:cs="Arial"/>
                <w:i/>
                <w:sz w:val="24"/>
                <w:szCs w:val="24"/>
              </w:rPr>
              <w:t xml:space="preserve"> officer, the person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or persons </w:t>
            </w:r>
            <w:r w:rsidRPr="007D66BA">
              <w:rPr>
                <w:rFonts w:ascii="Arial" w:hAnsi="Arial" w:cs="Arial"/>
                <w:i/>
                <w:sz w:val="24"/>
                <w:szCs w:val="24"/>
              </w:rPr>
              <w:t>fulfilling that role should be included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2373B" w:rsidRPr="005279C3" w14:paraId="1D15E0B3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254E1" w14:textId="6494C159" w:rsidR="00E2373B" w:rsidRPr="005279C3" w:rsidRDefault="00E2373B" w:rsidP="007D66BA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Full name and title of CFO</w:t>
            </w:r>
            <w:r w:rsidR="007D66BA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F156E" w14:textId="5AE50EF3" w:rsidR="00E2373B" w:rsidRPr="005279C3" w:rsidRDefault="007D66BA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7D66BA">
              <w:rPr>
                <w:rFonts w:ascii="Arial" w:hAnsi="Arial" w:cs="Arial"/>
                <w:i/>
                <w:sz w:val="24"/>
                <w:szCs w:val="24"/>
              </w:rPr>
              <w:t xml:space="preserve">If there is no chief financial officer, the person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or persons </w:t>
            </w:r>
            <w:r w:rsidRPr="007D66BA">
              <w:rPr>
                <w:rFonts w:ascii="Arial" w:hAnsi="Arial" w:cs="Arial"/>
                <w:i/>
                <w:sz w:val="24"/>
                <w:szCs w:val="24"/>
              </w:rPr>
              <w:t>fulfilling that role should be included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2373B" w:rsidRPr="005279C3" w14:paraId="26FE970B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1C9F0" w14:textId="50E469D9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Full name and title of Company Secretary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D907" w14:textId="77777777" w:rsidR="00E2373B" w:rsidRPr="005279C3" w:rsidRDefault="00E2373B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97" w:rsidRPr="005279C3" w14:paraId="0CCE0409" w14:textId="77777777" w:rsidTr="00C72897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928C9AE" w14:textId="4B122B23" w:rsidR="00C72897" w:rsidRPr="005279C3" w:rsidRDefault="00C72897" w:rsidP="00341A6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Section </w:t>
            </w:r>
            <w:r w:rsidR="00341A66"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>5</w:t>
            </w:r>
            <w:r w:rsidRPr="005279C3">
              <w:rPr>
                <w:rFonts w:ascii="Arial" w:hAnsi="Arial" w:cs="Arial"/>
                <w:b/>
                <w:color w:val="FFFFFF"/>
                <w:sz w:val="24"/>
                <w:szCs w:val="24"/>
              </w:rPr>
              <w:t>: Confirmation</w:t>
            </w:r>
          </w:p>
        </w:tc>
      </w:tr>
      <w:tr w:rsidR="00C72897" w:rsidRPr="005279C3" w14:paraId="2F8F4E85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D8F5B" w14:textId="130DC4F8" w:rsidR="00C72897" w:rsidRPr="005279C3" w:rsidRDefault="00B407E1" w:rsidP="005279C3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Confirmation this Profile document is complete and accurate</w:t>
            </w:r>
            <w:r w:rsidR="00A90994" w:rsidRPr="005279C3">
              <w:rPr>
                <w:rFonts w:ascii="Arial" w:eastAsia="Arial" w:hAnsi="Arial"/>
                <w:sz w:val="24"/>
                <w:szCs w:val="24"/>
              </w:rPr>
              <w:t>, and that the issuer holds no information that has not been disclosed to ASX that should have been disclosed under the ASX listing rules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177D7" w14:textId="77777777" w:rsidR="00C72897" w:rsidRPr="005279C3" w:rsidRDefault="00B407E1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79C3">
              <w:rPr>
                <w:rFonts w:ascii="Arial" w:hAnsi="Arial" w:cs="Arial"/>
                <w:sz w:val="24"/>
                <w:szCs w:val="24"/>
              </w:rPr>
              <w:t>[Confirmed]</w:t>
            </w:r>
          </w:p>
        </w:tc>
      </w:tr>
      <w:tr w:rsidR="00B407E1" w:rsidRPr="005279C3" w14:paraId="40CF6096" w14:textId="77777777" w:rsidTr="005B7DEE"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40EDF" w14:textId="77777777" w:rsidR="00B407E1" w:rsidRPr="005279C3" w:rsidRDefault="00B407E1" w:rsidP="0058256F">
            <w:pPr>
              <w:spacing w:before="60" w:after="60"/>
              <w:ind w:left="0" w:firstLine="0"/>
              <w:jc w:val="left"/>
              <w:rPr>
                <w:rFonts w:ascii="Arial" w:eastAsia="Arial" w:hAnsi="Arial"/>
                <w:sz w:val="24"/>
                <w:szCs w:val="24"/>
              </w:rPr>
            </w:pPr>
            <w:r w:rsidRPr="005279C3">
              <w:rPr>
                <w:rFonts w:ascii="Arial" w:eastAsia="Arial" w:hAnsi="Arial"/>
                <w:sz w:val="24"/>
                <w:szCs w:val="24"/>
              </w:rPr>
              <w:t>Confirmation the issuer complies with the listing rules of ASX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5096" w14:textId="77777777" w:rsidR="00B407E1" w:rsidRPr="005279C3" w:rsidRDefault="00B407E1" w:rsidP="00B05D2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79C3">
              <w:rPr>
                <w:rFonts w:ascii="Arial" w:hAnsi="Arial" w:cs="Arial"/>
                <w:sz w:val="24"/>
                <w:szCs w:val="24"/>
              </w:rPr>
              <w:t>[Confirmed]</w:t>
            </w:r>
          </w:p>
        </w:tc>
      </w:tr>
      <w:tr w:rsidR="00B05D23" w:rsidRPr="005279C3" w14:paraId="50676614" w14:textId="77777777" w:rsidTr="00BC2A98"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EB92904" w14:textId="404B8BCC" w:rsidR="00B05D23" w:rsidRPr="005279C3" w:rsidRDefault="00B05D23" w:rsidP="005279C3">
            <w:pPr>
              <w:pStyle w:val="TableHeader"/>
              <w:keepNext/>
              <w:jc w:val="left"/>
              <w:rPr>
                <w:sz w:val="24"/>
                <w:szCs w:val="24"/>
              </w:rPr>
            </w:pPr>
            <w:r w:rsidRPr="005279C3">
              <w:rPr>
                <w:sz w:val="24"/>
                <w:szCs w:val="24"/>
              </w:rPr>
              <w:t xml:space="preserve">Section </w:t>
            </w:r>
            <w:r w:rsidR="00DC2602" w:rsidRPr="005279C3">
              <w:rPr>
                <w:sz w:val="24"/>
                <w:szCs w:val="24"/>
              </w:rPr>
              <w:t>6</w:t>
            </w:r>
            <w:r w:rsidRPr="005279C3">
              <w:rPr>
                <w:sz w:val="24"/>
                <w:szCs w:val="24"/>
              </w:rPr>
              <w:t>: A</w:t>
            </w:r>
            <w:r w:rsidRPr="005279C3">
              <w:rPr>
                <w:sz w:val="24"/>
                <w:szCs w:val="24"/>
                <w:shd w:val="clear" w:color="auto" w:fill="0070C0"/>
              </w:rPr>
              <w:t xml:space="preserve">uthority for this </w:t>
            </w:r>
            <w:r w:rsidR="00A90994" w:rsidRPr="005279C3">
              <w:rPr>
                <w:sz w:val="24"/>
                <w:szCs w:val="24"/>
                <w:shd w:val="clear" w:color="auto" w:fill="0070C0"/>
              </w:rPr>
              <w:t>Profile</w:t>
            </w:r>
          </w:p>
        </w:tc>
      </w:tr>
      <w:tr w:rsidR="00B05D23" w:rsidRPr="005279C3" w14:paraId="3C1D9C44" w14:textId="77777777" w:rsidTr="005B7DEE">
        <w:trPr>
          <w:trHeight w:val="42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3EF33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  <w:r w:rsidRPr="005279C3">
              <w:rPr>
                <w:sz w:val="24"/>
                <w:szCs w:val="24"/>
              </w:rPr>
              <w:t>Name of person</w:t>
            </w:r>
            <w:r w:rsidRPr="005279C3">
              <w:rPr>
                <w:b/>
                <w:sz w:val="24"/>
                <w:szCs w:val="24"/>
              </w:rPr>
              <w:t xml:space="preserve"> </w:t>
            </w:r>
            <w:r w:rsidRPr="005279C3">
              <w:rPr>
                <w:sz w:val="24"/>
                <w:szCs w:val="24"/>
              </w:rPr>
              <w:t xml:space="preserve">authorised to </w:t>
            </w:r>
            <w:r w:rsidR="00D43D95" w:rsidRPr="005279C3">
              <w:rPr>
                <w:sz w:val="24"/>
                <w:szCs w:val="24"/>
              </w:rPr>
              <w:t>release this Profile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C3A83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</w:p>
        </w:tc>
      </w:tr>
      <w:tr w:rsidR="00B05D23" w:rsidRPr="005279C3" w14:paraId="5FEEF6E5" w14:textId="77777777" w:rsidTr="005B7DEE">
        <w:trPr>
          <w:trHeight w:val="42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0AD06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  <w:r w:rsidRPr="005279C3">
              <w:rPr>
                <w:sz w:val="24"/>
                <w:szCs w:val="24"/>
              </w:rPr>
              <w:t>Contact person for this announcement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B497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</w:p>
        </w:tc>
      </w:tr>
      <w:tr w:rsidR="00B05D23" w:rsidRPr="005279C3" w14:paraId="61D1D692" w14:textId="77777777" w:rsidTr="005B7DEE">
        <w:trPr>
          <w:trHeight w:val="42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29A90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  <w:r w:rsidRPr="005279C3">
              <w:rPr>
                <w:sz w:val="24"/>
                <w:szCs w:val="24"/>
              </w:rPr>
              <w:t>Contact phone number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06B51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</w:p>
        </w:tc>
      </w:tr>
      <w:tr w:rsidR="00B05D23" w:rsidRPr="005279C3" w14:paraId="74BFD984" w14:textId="77777777" w:rsidTr="005B7DEE">
        <w:trPr>
          <w:trHeight w:val="42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17834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  <w:r w:rsidRPr="005279C3">
              <w:rPr>
                <w:sz w:val="24"/>
                <w:szCs w:val="24"/>
              </w:rPr>
              <w:t>Contact email address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D4294" w14:textId="77777777" w:rsidR="00B05D23" w:rsidRPr="005279C3" w:rsidRDefault="00B05D23" w:rsidP="00B05D23">
            <w:pPr>
              <w:pStyle w:val="TableBody"/>
              <w:rPr>
                <w:sz w:val="24"/>
                <w:szCs w:val="24"/>
              </w:rPr>
            </w:pPr>
          </w:p>
        </w:tc>
      </w:tr>
    </w:tbl>
    <w:p w14:paraId="4D781C21" w14:textId="77777777" w:rsidR="00E9516B" w:rsidRPr="005279C3" w:rsidRDefault="00E9516B" w:rsidP="005279C3">
      <w:pPr>
        <w:ind w:left="0" w:firstLine="0"/>
        <w:rPr>
          <w:sz w:val="24"/>
          <w:szCs w:val="24"/>
        </w:rPr>
      </w:pPr>
    </w:p>
    <w:sectPr w:rsidR="00E9516B" w:rsidRPr="005279C3" w:rsidSect="00EF5E27">
      <w:headerReference w:type="default" r:id="rId8"/>
      <w:headerReference w:type="first" r:id="rId9"/>
      <w:pgSz w:w="11906" w:h="16838" w:code="9"/>
      <w:pgMar w:top="1276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574C" w14:textId="77777777" w:rsidR="00DE3F08" w:rsidRDefault="00DE3F08" w:rsidP="00717646">
      <w:r>
        <w:separator/>
      </w:r>
    </w:p>
  </w:endnote>
  <w:endnote w:type="continuationSeparator" w:id="0">
    <w:p w14:paraId="05F69E57" w14:textId="77777777" w:rsidR="00DE3F08" w:rsidRDefault="00DE3F08" w:rsidP="0071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C57" w14:textId="77777777" w:rsidR="00DE3F08" w:rsidRDefault="00DE3F08" w:rsidP="00717646">
      <w:r>
        <w:separator/>
      </w:r>
    </w:p>
  </w:footnote>
  <w:footnote w:type="continuationSeparator" w:id="0">
    <w:p w14:paraId="2A9F480A" w14:textId="77777777" w:rsidR="00DE3F08" w:rsidRDefault="00DE3F08" w:rsidP="00717646">
      <w:r>
        <w:continuationSeparator/>
      </w:r>
    </w:p>
  </w:footnote>
  <w:footnote w:id="1">
    <w:p w14:paraId="1DAAA51C" w14:textId="5D7FC0B7" w:rsidR="00E2373B" w:rsidRPr="005279C3" w:rsidRDefault="00E2373B" w:rsidP="005279C3">
      <w:pPr>
        <w:pStyle w:val="FootnoteText"/>
        <w:ind w:left="142" w:hanging="142"/>
        <w:rPr>
          <w:rFonts w:ascii="Arial" w:hAnsi="Arial" w:cs="Arial"/>
          <w:lang w:val="en-US"/>
        </w:rPr>
      </w:pPr>
      <w:r w:rsidRPr="005279C3">
        <w:rPr>
          <w:rStyle w:val="FootnoteReference"/>
          <w:rFonts w:ascii="Arial" w:hAnsi="Arial" w:cs="Arial"/>
        </w:rPr>
        <w:footnoteRef/>
      </w:r>
      <w:r w:rsidRPr="005279C3">
        <w:rPr>
          <w:rFonts w:ascii="Arial" w:hAnsi="Arial" w:cs="Arial"/>
        </w:rPr>
        <w:t xml:space="preserve"> </w:t>
      </w:r>
      <w:r w:rsidRPr="005279C3">
        <w:rPr>
          <w:rFonts w:ascii="Arial" w:hAnsi="Arial" w:cs="Arial"/>
          <w:lang w:val="en-US"/>
        </w:rPr>
        <w:t>If the applicant is a fund or managed investment scheme, provide details for the manager/responsible entity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45BC" w14:textId="294D31E0" w:rsidR="00D36D12" w:rsidRPr="00FE74CE" w:rsidRDefault="00D36D12" w:rsidP="00FE74CE">
    <w:pPr>
      <w:ind w:right="565"/>
      <w:jc w:val="right"/>
      <w:rPr>
        <w:rFonts w:ascii="Arial" w:hAnsi="Arial" w:cs="Arial"/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9D9" w14:textId="0680F269" w:rsidR="00EF5E27" w:rsidRDefault="005748A5" w:rsidP="00EF5E27">
    <w:pPr>
      <w:pStyle w:val="Title"/>
      <w:spacing w:before="0"/>
      <w:ind w:right="567"/>
      <w:jc w:val="right"/>
      <w:rPr>
        <w:rFonts w:ascii="Arial Bold" w:hAnsi="Arial Bold"/>
        <w:color w:val="0060A1"/>
        <w:sz w:val="36"/>
        <w:szCs w:val="36"/>
      </w:rPr>
    </w:pPr>
    <w:r>
      <w:rPr>
        <w:rFonts w:ascii="Arial Bold" w:hAnsi="Arial Bold"/>
        <w:noProof/>
        <w:color w:val="0060A1"/>
        <w:sz w:val="36"/>
        <w:szCs w:val="36"/>
      </w:rPr>
      <w:drawing>
        <wp:anchor distT="0" distB="0" distL="114300" distR="114300" simplePos="0" relativeHeight="251660288" behindDoc="0" locked="0" layoutInCell="1" allowOverlap="1" wp14:anchorId="1BE04A56" wp14:editId="5C27B79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81686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5E27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C8FB" wp14:editId="3EEBEF0C">
              <wp:simplePos x="0" y="0"/>
              <wp:positionH relativeFrom="page">
                <wp:posOffset>6835140</wp:posOffset>
              </wp:positionH>
              <wp:positionV relativeFrom="page">
                <wp:posOffset>405765</wp:posOffset>
              </wp:positionV>
              <wp:extent cx="238760" cy="238760"/>
              <wp:effectExtent l="0" t="0" r="8890" b="889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rgbClr val="0060A1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9566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38.2pt;margin-top:31.95pt;width:18.8pt;height:1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" fillcolor="#0060a1" stroked="f">
              <w10:wrap anchorx="page" anchory="page"/>
            </v:shape>
          </w:pict>
        </mc:Fallback>
      </mc:AlternateContent>
    </w:r>
    <w:r w:rsidR="00EF5E27" w:rsidRPr="00B81F56">
      <w:rPr>
        <w:rFonts w:ascii="Arial Bold" w:hAnsi="Arial Bold"/>
        <w:color w:val="0060A1"/>
        <w:sz w:val="36"/>
        <w:szCs w:val="36"/>
      </w:rPr>
      <w:t>Template</w:t>
    </w:r>
    <w:r w:rsidR="00EF5E27">
      <w:rPr>
        <w:rFonts w:ascii="Arial Bold" w:hAnsi="Arial Bold"/>
        <w:color w:val="0060A1"/>
        <w:sz w:val="36"/>
        <w:szCs w:val="36"/>
      </w:rPr>
      <w:t xml:space="preserve"> Profile</w:t>
    </w:r>
  </w:p>
  <w:p w14:paraId="58DAECDB" w14:textId="332E504D" w:rsidR="00EF5E27" w:rsidRPr="005748A5" w:rsidRDefault="00EF5E27" w:rsidP="005748A5">
    <w:pPr>
      <w:pStyle w:val="Title"/>
      <w:spacing w:before="0"/>
      <w:ind w:right="567"/>
      <w:jc w:val="right"/>
      <w:rPr>
        <w:rFonts w:ascii="Arial Bold" w:hAnsi="Arial Bold"/>
        <w:color w:val="0060A1"/>
        <w:sz w:val="36"/>
        <w:szCs w:val="36"/>
      </w:rPr>
    </w:pPr>
    <w:r>
      <w:rPr>
        <w:rFonts w:ascii="Arial Bold" w:hAnsi="Arial Bold"/>
        <w:color w:val="0060A1"/>
        <w:sz w:val="36"/>
        <w:szCs w:val="36"/>
      </w:rPr>
      <w:t>NZX Foreign Exempt Issuer applications – Direct listing by Issuers</w:t>
    </w:r>
    <w:r>
      <w:rPr>
        <w:rFonts w:ascii="Arial Bold" w:hAnsi="Arial Bold"/>
        <w:color w:val="0060A1"/>
        <w:sz w:val="36"/>
        <w:szCs w:val="36"/>
      </w:rPr>
      <w:br/>
      <w:t xml:space="preserve"> with an existing ASX listing</w:t>
    </w:r>
  </w:p>
  <w:p w14:paraId="56772984" w14:textId="02D4690A" w:rsidR="00EF5E27" w:rsidRDefault="00EF5E27" w:rsidP="00EF5E27">
    <w:pPr>
      <w:pStyle w:val="Header"/>
      <w:tabs>
        <w:tab w:val="clear" w:pos="9026"/>
        <w:tab w:val="right" w:pos="8789"/>
      </w:tabs>
    </w:pP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="00B3073B">
      <w:rPr>
        <w:rFonts w:ascii="Arial" w:hAnsi="Arial" w:cs="Arial"/>
        <w:sz w:val="18"/>
        <w:lang w:val="en-GB"/>
      </w:rPr>
      <w:t xml:space="preserve">Last updated </w:t>
    </w:r>
    <w:r w:rsidR="00642F5F">
      <w:rPr>
        <w:rFonts w:ascii="Arial" w:hAnsi="Arial" w:cs="Arial"/>
        <w:sz w:val="18"/>
        <w:lang w:val="en-GB"/>
      </w:rPr>
      <w:t>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89E"/>
    <w:multiLevelType w:val="hybridMultilevel"/>
    <w:tmpl w:val="12DE37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8C6"/>
    <w:multiLevelType w:val="multilevel"/>
    <w:tmpl w:val="6354114E"/>
    <w:lvl w:ilvl="0">
      <w:start w:val="1"/>
      <w:numFmt w:val="decimal"/>
      <w:lvlText w:val="%1"/>
      <w:lvlJc w:val="left"/>
      <w:pPr>
        <w:ind w:left="709" w:hanging="709"/>
      </w:pPr>
      <w:rPr>
        <w:rFonts w:ascii="Calibri Light" w:hAnsi="Calibri Light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istParagraph"/>
      <w:lvlText w:val="%1.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2126" w:hanging="7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4BB93F32"/>
    <w:multiLevelType w:val="hybridMultilevel"/>
    <w:tmpl w:val="EDD0D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56FF"/>
    <w:multiLevelType w:val="multilevel"/>
    <w:tmpl w:val="F410B6A0"/>
    <w:lvl w:ilvl="0">
      <w:start w:val="1"/>
      <w:numFmt w:val="decimal"/>
      <w:lvlText w:val="%1"/>
      <w:lvlJc w:val="left"/>
      <w:pPr>
        <w:ind w:left="2517" w:hanging="2415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237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3089" w:hanging="53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4514" w:hanging="54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980" w:hanging="541"/>
      </w:pPr>
    </w:lvl>
    <w:lvl w:ilvl="5">
      <w:numFmt w:val="bullet"/>
      <w:lvlText w:val="•"/>
      <w:lvlJc w:val="left"/>
      <w:pPr>
        <w:ind w:left="4500" w:hanging="541"/>
      </w:pPr>
    </w:lvl>
    <w:lvl w:ilvl="6">
      <w:numFmt w:val="bullet"/>
      <w:lvlText w:val="•"/>
      <w:lvlJc w:val="left"/>
      <w:pPr>
        <w:ind w:left="4520" w:hanging="541"/>
      </w:pPr>
    </w:lvl>
    <w:lvl w:ilvl="7">
      <w:numFmt w:val="bullet"/>
      <w:lvlText w:val="•"/>
      <w:lvlJc w:val="left"/>
      <w:pPr>
        <w:ind w:left="5930" w:hanging="541"/>
      </w:pPr>
    </w:lvl>
    <w:lvl w:ilvl="8">
      <w:numFmt w:val="bullet"/>
      <w:lvlText w:val="•"/>
      <w:lvlJc w:val="left"/>
      <w:pPr>
        <w:ind w:left="7340" w:hanging="541"/>
      </w:pPr>
    </w:lvl>
  </w:abstractNum>
  <w:num w:numId="1" w16cid:durableId="910895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742488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379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4546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0276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0634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83815">
    <w:abstractNumId w:val="1"/>
  </w:num>
  <w:num w:numId="9" w16cid:durableId="750733553">
    <w:abstractNumId w:val="3"/>
  </w:num>
  <w:num w:numId="10" w16cid:durableId="1318847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9692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589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2240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0060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0492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053931">
    <w:abstractNumId w:val="0"/>
  </w:num>
  <w:num w:numId="17" w16cid:durableId="3342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8"/>
    <w:rsid w:val="00011C53"/>
    <w:rsid w:val="00061349"/>
    <w:rsid w:val="00077019"/>
    <w:rsid w:val="000A09B7"/>
    <w:rsid w:val="000A3235"/>
    <w:rsid w:val="000C32DC"/>
    <w:rsid w:val="000E67D4"/>
    <w:rsid w:val="000F30E8"/>
    <w:rsid w:val="001057C7"/>
    <w:rsid w:val="00110777"/>
    <w:rsid w:val="00111C33"/>
    <w:rsid w:val="00112C1B"/>
    <w:rsid w:val="0012738A"/>
    <w:rsid w:val="001364FC"/>
    <w:rsid w:val="00152242"/>
    <w:rsid w:val="00163FD4"/>
    <w:rsid w:val="001B449E"/>
    <w:rsid w:val="001C38B2"/>
    <w:rsid w:val="001F260A"/>
    <w:rsid w:val="00243996"/>
    <w:rsid w:val="00274871"/>
    <w:rsid w:val="002763B1"/>
    <w:rsid w:val="002A1786"/>
    <w:rsid w:val="002B59C2"/>
    <w:rsid w:val="002B6CE6"/>
    <w:rsid w:val="002C7E56"/>
    <w:rsid w:val="003228E3"/>
    <w:rsid w:val="00324A96"/>
    <w:rsid w:val="00341A66"/>
    <w:rsid w:val="00356903"/>
    <w:rsid w:val="003C76A2"/>
    <w:rsid w:val="003D2A8F"/>
    <w:rsid w:val="003E34D9"/>
    <w:rsid w:val="00412357"/>
    <w:rsid w:val="00416AC2"/>
    <w:rsid w:val="00417943"/>
    <w:rsid w:val="00423CB2"/>
    <w:rsid w:val="00427F2C"/>
    <w:rsid w:val="00433E48"/>
    <w:rsid w:val="00436BCC"/>
    <w:rsid w:val="00457C9D"/>
    <w:rsid w:val="004A4B0D"/>
    <w:rsid w:val="004A574B"/>
    <w:rsid w:val="004B7AB8"/>
    <w:rsid w:val="005208D7"/>
    <w:rsid w:val="005279C3"/>
    <w:rsid w:val="00541539"/>
    <w:rsid w:val="00552CD1"/>
    <w:rsid w:val="005649E3"/>
    <w:rsid w:val="00567513"/>
    <w:rsid w:val="005726D5"/>
    <w:rsid w:val="00574370"/>
    <w:rsid w:val="005748A5"/>
    <w:rsid w:val="0058256F"/>
    <w:rsid w:val="00591D07"/>
    <w:rsid w:val="005A5343"/>
    <w:rsid w:val="005B7DEE"/>
    <w:rsid w:val="005D1FDF"/>
    <w:rsid w:val="005D67B2"/>
    <w:rsid w:val="0060167E"/>
    <w:rsid w:val="00611399"/>
    <w:rsid w:val="006151DF"/>
    <w:rsid w:val="00642F5F"/>
    <w:rsid w:val="00672230"/>
    <w:rsid w:val="00673C6C"/>
    <w:rsid w:val="0068135E"/>
    <w:rsid w:val="006875EB"/>
    <w:rsid w:val="0068774A"/>
    <w:rsid w:val="006944F0"/>
    <w:rsid w:val="006A57DD"/>
    <w:rsid w:val="006B1D0E"/>
    <w:rsid w:val="006E3CB9"/>
    <w:rsid w:val="006E426B"/>
    <w:rsid w:val="006E44EB"/>
    <w:rsid w:val="006F7FF9"/>
    <w:rsid w:val="007146C2"/>
    <w:rsid w:val="00717646"/>
    <w:rsid w:val="00726845"/>
    <w:rsid w:val="00734CD5"/>
    <w:rsid w:val="0074351D"/>
    <w:rsid w:val="007458E8"/>
    <w:rsid w:val="00767FBA"/>
    <w:rsid w:val="007C1017"/>
    <w:rsid w:val="007D66BA"/>
    <w:rsid w:val="00800F29"/>
    <w:rsid w:val="00823BB3"/>
    <w:rsid w:val="00826819"/>
    <w:rsid w:val="00826CAC"/>
    <w:rsid w:val="008923B1"/>
    <w:rsid w:val="008A2553"/>
    <w:rsid w:val="008B7F92"/>
    <w:rsid w:val="009254E4"/>
    <w:rsid w:val="00957173"/>
    <w:rsid w:val="00966432"/>
    <w:rsid w:val="00970852"/>
    <w:rsid w:val="009724F3"/>
    <w:rsid w:val="009B7EB8"/>
    <w:rsid w:val="009C40DD"/>
    <w:rsid w:val="009E35CB"/>
    <w:rsid w:val="00A02272"/>
    <w:rsid w:val="00A07411"/>
    <w:rsid w:val="00A17103"/>
    <w:rsid w:val="00A55469"/>
    <w:rsid w:val="00A71F24"/>
    <w:rsid w:val="00A807DA"/>
    <w:rsid w:val="00A81F90"/>
    <w:rsid w:val="00A90994"/>
    <w:rsid w:val="00A9261B"/>
    <w:rsid w:val="00A96C07"/>
    <w:rsid w:val="00AB10EF"/>
    <w:rsid w:val="00AE1BA8"/>
    <w:rsid w:val="00AE6F29"/>
    <w:rsid w:val="00B05D23"/>
    <w:rsid w:val="00B30192"/>
    <w:rsid w:val="00B3073B"/>
    <w:rsid w:val="00B31867"/>
    <w:rsid w:val="00B33D87"/>
    <w:rsid w:val="00B407E1"/>
    <w:rsid w:val="00B46C66"/>
    <w:rsid w:val="00B47DF4"/>
    <w:rsid w:val="00B9322F"/>
    <w:rsid w:val="00BB0A5A"/>
    <w:rsid w:val="00BB4417"/>
    <w:rsid w:val="00BC2A98"/>
    <w:rsid w:val="00BE4E5E"/>
    <w:rsid w:val="00BF10D9"/>
    <w:rsid w:val="00C10CDD"/>
    <w:rsid w:val="00C1153E"/>
    <w:rsid w:val="00C14FA6"/>
    <w:rsid w:val="00C23824"/>
    <w:rsid w:val="00C37AC9"/>
    <w:rsid w:val="00C45BDB"/>
    <w:rsid w:val="00C72897"/>
    <w:rsid w:val="00C808FA"/>
    <w:rsid w:val="00C81B5A"/>
    <w:rsid w:val="00CA00B8"/>
    <w:rsid w:val="00CD2580"/>
    <w:rsid w:val="00CF1B1A"/>
    <w:rsid w:val="00D142F8"/>
    <w:rsid w:val="00D32ED7"/>
    <w:rsid w:val="00D36D12"/>
    <w:rsid w:val="00D43D95"/>
    <w:rsid w:val="00D710A7"/>
    <w:rsid w:val="00D71D1B"/>
    <w:rsid w:val="00D82B2E"/>
    <w:rsid w:val="00D8560F"/>
    <w:rsid w:val="00DC2602"/>
    <w:rsid w:val="00DE3F08"/>
    <w:rsid w:val="00E2373B"/>
    <w:rsid w:val="00E33FD1"/>
    <w:rsid w:val="00E40A14"/>
    <w:rsid w:val="00E6746C"/>
    <w:rsid w:val="00E77348"/>
    <w:rsid w:val="00E82D41"/>
    <w:rsid w:val="00E93458"/>
    <w:rsid w:val="00E9516B"/>
    <w:rsid w:val="00EC7E9F"/>
    <w:rsid w:val="00EE7943"/>
    <w:rsid w:val="00EF5E27"/>
    <w:rsid w:val="00F209F5"/>
    <w:rsid w:val="00F26F81"/>
    <w:rsid w:val="00F6558B"/>
    <w:rsid w:val="00F73A6D"/>
    <w:rsid w:val="00F817D7"/>
    <w:rsid w:val="00FC569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DE41FA8"/>
  <w15:chartTrackingRefBased/>
  <w15:docId w15:val="{F4960718-50B3-47FC-876F-3448E99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458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ClassGarmnd BT" w:hAnsi="ClassGarmnd BT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458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ZX">
    <w:name w:val="NZX"/>
    <w:basedOn w:val="TableNormal"/>
    <w:uiPriority w:val="99"/>
    <w:qFormat/>
    <w:rsid w:val="00E9516B"/>
    <w:rPr>
      <w:rFonts w:ascii="Arial" w:eastAsia="Arial" w:hAnsi="Arial"/>
      <w:szCs w:val="22"/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FF8450"/>
          <w:left w:val="single" w:sz="4" w:space="0" w:color="FF8450"/>
          <w:bottom w:val="single" w:sz="4" w:space="0" w:color="FF8450"/>
          <w:right w:val="single" w:sz="4" w:space="0" w:color="FF8450"/>
          <w:insideH w:val="single" w:sz="4" w:space="0" w:color="FF8450"/>
          <w:insideV w:val="single" w:sz="4" w:space="0" w:color="FF8450"/>
          <w:tl2br w:val="nil"/>
          <w:tr2bl w:val="nil"/>
        </w:tcBorders>
        <w:shd w:val="clear" w:color="auto" w:fill="FF8450"/>
      </w:tcPr>
    </w:tblStylePr>
  </w:style>
  <w:style w:type="paragraph" w:customStyle="1" w:styleId="TableHeader">
    <w:name w:val="Table Header"/>
    <w:basedOn w:val="Normal"/>
    <w:uiPriority w:val="99"/>
    <w:qFormat/>
    <w:rsid w:val="00E9516B"/>
    <w:pPr>
      <w:overflowPunct/>
      <w:ind w:left="0" w:firstLine="0"/>
      <w:jc w:val="center"/>
      <w:textAlignment w:val="center"/>
    </w:pPr>
    <w:rPr>
      <w:rFonts w:ascii="Arial" w:eastAsia="Arial" w:hAnsi="Arial" w:cs="Arial"/>
      <w:b/>
      <w:bCs/>
      <w:color w:val="FFFFFF"/>
      <w:sz w:val="20"/>
      <w:lang w:val="en-GB"/>
    </w:rPr>
  </w:style>
  <w:style w:type="paragraph" w:customStyle="1" w:styleId="TableBody">
    <w:name w:val="Table Body"/>
    <w:basedOn w:val="Normal"/>
    <w:uiPriority w:val="99"/>
    <w:qFormat/>
    <w:rsid w:val="00E9516B"/>
    <w:pPr>
      <w:overflowPunct/>
      <w:ind w:left="0" w:firstLine="0"/>
      <w:jc w:val="left"/>
      <w:textAlignment w:val="center"/>
    </w:pPr>
    <w:rPr>
      <w:rFonts w:ascii="Arial" w:eastAsia="Arial" w:hAnsi="Arial" w:cs="Arial"/>
      <w:color w:val="000000"/>
      <w:sz w:val="20"/>
      <w:lang w:val="en-GB"/>
    </w:rPr>
  </w:style>
  <w:style w:type="paragraph" w:customStyle="1" w:styleId="Body">
    <w:name w:val="Body"/>
    <w:rsid w:val="00E9516B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rsid w:val="007176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7646"/>
    <w:rPr>
      <w:rFonts w:ascii="ClassGarmnd BT" w:hAnsi="ClassGarmnd BT"/>
      <w:sz w:val="22"/>
      <w:lang w:eastAsia="en-US"/>
    </w:rPr>
  </w:style>
  <w:style w:type="paragraph" w:styleId="Footer">
    <w:name w:val="footer"/>
    <w:basedOn w:val="Normal"/>
    <w:link w:val="FooterChar"/>
    <w:rsid w:val="007176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7646"/>
    <w:rPr>
      <w:rFonts w:ascii="ClassGarmnd BT" w:hAnsi="ClassGarmnd BT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17646"/>
    <w:pPr>
      <w:overflowPunct/>
      <w:spacing w:before="200" w:line="288" w:lineRule="auto"/>
      <w:ind w:left="0" w:firstLine="0"/>
      <w:jc w:val="left"/>
      <w:textAlignment w:val="center"/>
    </w:pPr>
    <w:rPr>
      <w:rFonts w:ascii="Arial" w:eastAsia="Arial" w:hAnsi="Arial" w:cs="Arial"/>
      <w:b/>
      <w:bCs/>
      <w:color w:val="000000"/>
      <w:sz w:val="60"/>
      <w:szCs w:val="60"/>
      <w:lang w:val="en-GB"/>
    </w:rPr>
  </w:style>
  <w:style w:type="character" w:customStyle="1" w:styleId="TitleChar">
    <w:name w:val="Title Char"/>
    <w:link w:val="Title"/>
    <w:rsid w:val="00717646"/>
    <w:rPr>
      <w:rFonts w:ascii="Arial" w:eastAsia="Arial" w:hAnsi="Arial" w:cs="Arial"/>
      <w:b/>
      <w:bCs/>
      <w:color w:val="000000"/>
      <w:sz w:val="60"/>
      <w:szCs w:val="60"/>
      <w:lang w:val="en-GB" w:eastAsia="en-US"/>
    </w:rPr>
  </w:style>
  <w:style w:type="paragraph" w:styleId="ListParagraph">
    <w:name w:val="List Paragraph"/>
    <w:basedOn w:val="Normal"/>
    <w:uiPriority w:val="1"/>
    <w:qFormat/>
    <w:rsid w:val="00324A96"/>
    <w:pPr>
      <w:numPr>
        <w:ilvl w:val="2"/>
        <w:numId w:val="1"/>
      </w:numPr>
      <w:overflowPunct/>
      <w:autoSpaceDE/>
      <w:autoSpaceDN/>
      <w:adjustRightInd/>
      <w:spacing w:after="240" w:line="240" w:lineRule="atLeast"/>
      <w:jc w:val="left"/>
      <w:textAlignment w:val="auto"/>
    </w:pPr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rsid w:val="00B3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D87"/>
    <w:rPr>
      <w:rFonts w:ascii="Segoe UI" w:hAnsi="Segoe UI" w:cs="Segoe UI"/>
      <w:sz w:val="18"/>
      <w:szCs w:val="18"/>
      <w:lang w:eastAsia="en-US"/>
    </w:rPr>
  </w:style>
  <w:style w:type="table" w:styleId="Table3Deffects3">
    <w:name w:val="Table 3D effects 3"/>
    <w:basedOn w:val="TableNormal"/>
    <w:rsid w:val="00552CD1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1364FC"/>
    <w:rPr>
      <w:sz w:val="20"/>
    </w:rPr>
  </w:style>
  <w:style w:type="character" w:customStyle="1" w:styleId="FootnoteTextChar">
    <w:name w:val="Footnote Text Char"/>
    <w:link w:val="FootnoteText"/>
    <w:uiPriority w:val="99"/>
    <w:rsid w:val="001364FC"/>
    <w:rPr>
      <w:rFonts w:ascii="ClassGarmnd BT" w:hAnsi="ClassGarmnd BT"/>
      <w:lang w:eastAsia="en-US"/>
    </w:rPr>
  </w:style>
  <w:style w:type="character" w:styleId="FootnoteReference">
    <w:name w:val="footnote reference"/>
    <w:uiPriority w:val="99"/>
    <w:rsid w:val="001364FC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C4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40DD"/>
    <w:rPr>
      <w:rFonts w:ascii="ClassGarmnd BT" w:hAnsi="ClassGarmnd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0DD"/>
    <w:rPr>
      <w:rFonts w:ascii="ClassGarmnd BT" w:hAnsi="Class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9894-5D7F-482F-B8D0-DFBB0F4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Amelsfort</dc:creator>
  <cp:keywords/>
  <cp:revision>4</cp:revision>
  <cp:lastPrinted>2020-03-11T03:16:00Z</cp:lastPrinted>
  <dcterms:created xsi:type="dcterms:W3CDTF">2020-12-08T21:01:00Z</dcterms:created>
  <dcterms:modified xsi:type="dcterms:W3CDTF">2023-09-12T23:05:00Z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DocumentNumber">
    <vt:lpwstr>7631218</vt:lpwstr>
  </property>
  <property fmtid="{D5CDD505-2E9C-101B-9397-08002B2CF9AE}" pid="3" name="CTDocumentMatter">
    <vt:lpwstr>100409328</vt:lpwstr>
  </property>
  <property fmtid="{D5CDD505-2E9C-101B-9397-08002B2CF9AE}" pid="4" name="CTDocumentVersion">
    <vt:lpwstr>1</vt:lpwstr>
  </property>
</Properties>
</file>