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10718" w14:textId="77777777" w:rsidR="00F933DF" w:rsidRDefault="00FA57F9">
      <w:r>
        <w:t xml:space="preserve"> </w:t>
      </w:r>
    </w:p>
    <w:p w14:paraId="6109CE47" w14:textId="77777777" w:rsidR="00541A8C" w:rsidRDefault="00541A8C" w:rsidP="00541A8C">
      <w:pPr>
        <w:pStyle w:val="NZXTitle"/>
      </w:pPr>
    </w:p>
    <w:p w14:paraId="503B5A3A" w14:textId="77777777" w:rsidR="00541A8C" w:rsidRDefault="00541A8C" w:rsidP="00541A8C">
      <w:pPr>
        <w:pStyle w:val="NZXTitle"/>
      </w:pPr>
    </w:p>
    <w:p w14:paraId="10013425" w14:textId="77777777" w:rsidR="00DB6C09" w:rsidRPr="0087018E" w:rsidRDefault="00DB6C09" w:rsidP="00DB6C09">
      <w:pPr>
        <w:pStyle w:val="Title"/>
      </w:pPr>
      <w:r>
        <w:t>Listing Agreement</w:t>
      </w:r>
    </w:p>
    <w:p w14:paraId="193A3773" w14:textId="77777777" w:rsidR="00DB6C09" w:rsidRPr="0087018E" w:rsidRDefault="00DB6C09" w:rsidP="00DB6C09">
      <w:pPr>
        <w:pStyle w:val="Subtitle"/>
      </w:pPr>
      <w:r>
        <w:t>NZX M</w:t>
      </w:r>
      <w:r w:rsidR="00BF4B49">
        <w:t>ain Board</w:t>
      </w:r>
      <w:r w:rsidR="00966D12">
        <w:t xml:space="preserve"> and </w:t>
      </w:r>
      <w:r w:rsidR="00AD1568">
        <w:t xml:space="preserve">NZX </w:t>
      </w:r>
      <w:r w:rsidR="00966D12">
        <w:t>Debt Market</w:t>
      </w:r>
    </w:p>
    <w:p w14:paraId="696DFF9B" w14:textId="77777777" w:rsidR="00DB6C09" w:rsidRDefault="00DB6C09" w:rsidP="00DB6C09">
      <w:pPr>
        <w:pStyle w:val="BasicParagraph"/>
        <w:rPr>
          <w:rFonts w:cs="Arial"/>
          <w:sz w:val="28"/>
          <w:szCs w:val="28"/>
        </w:rPr>
      </w:pPr>
    </w:p>
    <w:p w14:paraId="3BF3CC6E" w14:textId="77777777" w:rsidR="00DB6C09" w:rsidRDefault="00DB6C09" w:rsidP="00DB6C09">
      <w:pPr>
        <w:pStyle w:val="CoverDate"/>
        <w:rPr>
          <w:b/>
        </w:rPr>
      </w:pPr>
    </w:p>
    <w:p w14:paraId="12F659C0" w14:textId="77777777" w:rsidR="00DB6C09" w:rsidRDefault="00DB6C09" w:rsidP="00DB6C09">
      <w:pPr>
        <w:pStyle w:val="CoverDate"/>
        <w:rPr>
          <w:b/>
        </w:rPr>
      </w:pPr>
    </w:p>
    <w:p w14:paraId="0FDDE0A9" w14:textId="77777777" w:rsidR="00DB6C09" w:rsidRDefault="00DB6C09" w:rsidP="00DB6C09">
      <w:pPr>
        <w:pStyle w:val="CoverDate"/>
        <w:rPr>
          <w:b/>
        </w:rPr>
      </w:pPr>
    </w:p>
    <w:p w14:paraId="4E0078ED" w14:textId="77777777" w:rsidR="00DB6C09" w:rsidRDefault="00DB6C09" w:rsidP="00DB6C09">
      <w:pPr>
        <w:pStyle w:val="CoverDate"/>
        <w:rPr>
          <w:b/>
        </w:rPr>
      </w:pPr>
      <w:r>
        <w:rPr>
          <w:b/>
        </w:rPr>
        <w:t>Parties</w:t>
      </w:r>
    </w:p>
    <w:p w14:paraId="032C0B85" w14:textId="77777777" w:rsidR="00DB6C09" w:rsidRDefault="00DB6C09" w:rsidP="00DB6C09">
      <w:pPr>
        <w:pStyle w:val="CoverDate"/>
        <w:rPr>
          <w:b/>
        </w:rPr>
      </w:pPr>
    </w:p>
    <w:p w14:paraId="4BC2A49D" w14:textId="77777777" w:rsidR="00DB6C09" w:rsidRDefault="00B34EF1" w:rsidP="00DB6C09">
      <w:pPr>
        <w:pStyle w:val="CoverDate"/>
        <w:rPr>
          <w:b/>
          <w:i/>
        </w:rPr>
      </w:pPr>
      <w:r>
        <w:rPr>
          <w:b/>
          <w:i/>
        </w:rPr>
        <w:t>[Name of Issuer]</w:t>
      </w:r>
    </w:p>
    <w:p w14:paraId="0531F6D4" w14:textId="77777777" w:rsidR="00DB6C09" w:rsidRDefault="00DB6C09" w:rsidP="00DB6C09">
      <w:pPr>
        <w:pStyle w:val="CoverDate"/>
        <w:rPr>
          <w:i/>
        </w:rPr>
      </w:pPr>
      <w:r>
        <w:rPr>
          <w:i/>
        </w:rPr>
        <w:t>(</w:t>
      </w:r>
      <w:r w:rsidR="00BF4B49">
        <w:rPr>
          <w:i/>
        </w:rPr>
        <w:t>Issuer</w:t>
      </w:r>
      <w:r>
        <w:rPr>
          <w:i/>
        </w:rPr>
        <w:t>)</w:t>
      </w:r>
    </w:p>
    <w:p w14:paraId="68D6DAAF" w14:textId="77777777" w:rsidR="00DB6C09" w:rsidRDefault="00DB6C09" w:rsidP="00DB6C09">
      <w:pPr>
        <w:pStyle w:val="CoverDate"/>
        <w:rPr>
          <w:i/>
        </w:rPr>
      </w:pPr>
    </w:p>
    <w:p w14:paraId="15906A35" w14:textId="77777777" w:rsidR="00DB6C09" w:rsidRDefault="00DB6C09" w:rsidP="00DB6C09">
      <w:pPr>
        <w:pStyle w:val="CoverDate"/>
        <w:rPr>
          <w:b/>
          <w:i/>
        </w:rPr>
      </w:pPr>
      <w:r>
        <w:rPr>
          <w:b/>
          <w:i/>
        </w:rPr>
        <w:t>NZX Limited</w:t>
      </w:r>
    </w:p>
    <w:p w14:paraId="604725AE" w14:textId="77777777" w:rsidR="007E0E53" w:rsidRPr="00DB6C09" w:rsidRDefault="00DB6C09" w:rsidP="00DB6C09">
      <w:pPr>
        <w:pStyle w:val="CoverDate"/>
        <w:rPr>
          <w:i/>
        </w:rPr>
      </w:pPr>
      <w:r>
        <w:rPr>
          <w:i/>
        </w:rPr>
        <w:t>(NZX)</w:t>
      </w:r>
      <w:r w:rsidR="00541A8C">
        <w:br w:type="page"/>
      </w:r>
      <w:r w:rsidR="004208C6" w:rsidRPr="00340ACA">
        <w:rPr>
          <w:lang w:val="en-AU"/>
        </w:rPr>
        <w:lastRenderedPageBreak/>
        <w:t xml:space="preserve"> </w:t>
      </w:r>
    </w:p>
    <w:p w14:paraId="247D676B" w14:textId="77777777" w:rsidR="00DB6C09" w:rsidRPr="0097124F" w:rsidRDefault="00DB6C09" w:rsidP="00DB6C09">
      <w:pPr>
        <w:tabs>
          <w:tab w:val="left" w:pos="5387"/>
          <w:tab w:val="left" w:pos="8505"/>
        </w:tabs>
        <w:rPr>
          <w:lang w:val="en-GB"/>
        </w:rPr>
      </w:pPr>
      <w:r w:rsidRPr="0097124F">
        <w:rPr>
          <w:b/>
          <w:lang w:val="en-GB"/>
        </w:rPr>
        <w:t>AGREEMENT</w:t>
      </w:r>
      <w:r w:rsidRPr="0097124F">
        <w:rPr>
          <w:lang w:val="en-GB"/>
        </w:rPr>
        <w:t xml:space="preserve"> dated the</w:t>
      </w:r>
      <w:r w:rsidRPr="0097124F">
        <w:rPr>
          <w:lang w:val="en-GB"/>
        </w:rPr>
        <w:tab/>
        <w:t xml:space="preserve">day of </w:t>
      </w:r>
      <w:r>
        <w:rPr>
          <w:lang w:val="en-GB"/>
        </w:rPr>
        <w:t xml:space="preserve">                                 </w:t>
      </w:r>
      <w:r w:rsidR="00CD40EF">
        <w:rPr>
          <w:lang w:val="en-GB"/>
        </w:rPr>
        <w:tab/>
      </w:r>
    </w:p>
    <w:p w14:paraId="79F53A3A" w14:textId="77777777" w:rsidR="00DB6C09" w:rsidRPr="0097124F" w:rsidRDefault="00DB6C09" w:rsidP="00DB6C09">
      <w:pPr>
        <w:jc w:val="both"/>
        <w:rPr>
          <w:b/>
          <w:lang w:val="en-GB"/>
        </w:rPr>
      </w:pPr>
      <w:r w:rsidRPr="0097124F">
        <w:rPr>
          <w:b/>
          <w:lang w:val="en-GB"/>
        </w:rPr>
        <w:t>PARTIES</w:t>
      </w:r>
    </w:p>
    <w:p w14:paraId="4FC7B26A" w14:textId="0574AD84" w:rsidR="00DB6C09" w:rsidRDefault="00B34EF1" w:rsidP="00DB6C09">
      <w:pPr>
        <w:tabs>
          <w:tab w:val="left" w:pos="5670"/>
        </w:tabs>
        <w:jc w:val="both"/>
        <w:rPr>
          <w:b/>
          <w:lang w:val="en-GB"/>
        </w:rPr>
      </w:pPr>
      <w:r>
        <w:rPr>
          <w:b/>
          <w:lang w:val="en-GB"/>
        </w:rPr>
        <w:t>[Name of Issuer]</w:t>
      </w:r>
      <w:r w:rsidR="00DB6C09">
        <w:rPr>
          <w:b/>
          <w:lang w:val="en-GB"/>
        </w:rPr>
        <w:tab/>
      </w:r>
      <w:r w:rsidR="00DB6C09" w:rsidRPr="0097124F">
        <w:rPr>
          <w:b/>
          <w:lang w:val="en-GB"/>
        </w:rPr>
        <w:t>(</w:t>
      </w:r>
      <w:r w:rsidR="00580F9B">
        <w:rPr>
          <w:b/>
          <w:lang w:val="en-GB"/>
        </w:rPr>
        <w:t>“</w:t>
      </w:r>
      <w:r w:rsidR="001906C3">
        <w:rPr>
          <w:b/>
          <w:lang w:val="en-GB"/>
        </w:rPr>
        <w:t>Issuer</w:t>
      </w:r>
      <w:r w:rsidR="00580F9B">
        <w:rPr>
          <w:b/>
          <w:lang w:val="en-GB"/>
        </w:rPr>
        <w:t>”</w:t>
      </w:r>
      <w:r w:rsidR="00DB6C09" w:rsidRPr="0097124F">
        <w:rPr>
          <w:b/>
          <w:lang w:val="en-GB"/>
        </w:rPr>
        <w:t>)</w:t>
      </w:r>
    </w:p>
    <w:p w14:paraId="3B14635A" w14:textId="77777777" w:rsidR="001906C3" w:rsidRPr="0097124F" w:rsidRDefault="001906C3" w:rsidP="00DB6C09">
      <w:pPr>
        <w:tabs>
          <w:tab w:val="left" w:pos="5670"/>
        </w:tabs>
        <w:jc w:val="both"/>
        <w:rPr>
          <w:b/>
          <w:lang w:val="en-GB"/>
        </w:rPr>
      </w:pPr>
      <w:r>
        <w:rPr>
          <w:b/>
          <w:lang w:val="en-GB"/>
        </w:rPr>
        <w:t xml:space="preserve">NZX Limited </w:t>
      </w:r>
      <w:r>
        <w:rPr>
          <w:b/>
          <w:lang w:val="en-GB"/>
        </w:rPr>
        <w:tab/>
        <w:t>(</w:t>
      </w:r>
      <w:r w:rsidR="00580F9B">
        <w:rPr>
          <w:b/>
          <w:lang w:val="en-GB"/>
        </w:rPr>
        <w:t>“</w:t>
      </w:r>
      <w:r>
        <w:rPr>
          <w:b/>
          <w:lang w:val="en-GB"/>
        </w:rPr>
        <w:t>NZX</w:t>
      </w:r>
      <w:r w:rsidR="00580F9B">
        <w:rPr>
          <w:b/>
          <w:lang w:val="en-GB"/>
        </w:rPr>
        <w:t>”</w:t>
      </w:r>
      <w:r>
        <w:rPr>
          <w:b/>
          <w:lang w:val="en-GB"/>
        </w:rPr>
        <w:t>)</w:t>
      </w:r>
    </w:p>
    <w:p w14:paraId="18343B2E" w14:textId="77777777" w:rsidR="00DB6C09" w:rsidRPr="00DB6C09" w:rsidRDefault="00DB6C09" w:rsidP="00DB6C09">
      <w:pPr>
        <w:pStyle w:val="Heading2"/>
        <w:numPr>
          <w:ilvl w:val="0"/>
          <w:numId w:val="36"/>
        </w:numPr>
        <w:ind w:left="426" w:hanging="426"/>
        <w:rPr>
          <w:lang w:val="en-GB"/>
        </w:rPr>
      </w:pPr>
      <w:r w:rsidRPr="00DB6C09">
        <w:rPr>
          <w:lang w:val="en-GB"/>
        </w:rPr>
        <w:t>INTERPRETATION</w:t>
      </w:r>
    </w:p>
    <w:p w14:paraId="26CF1221" w14:textId="77777777" w:rsidR="00DB6C09" w:rsidRPr="0097124F" w:rsidRDefault="00DB6C09" w:rsidP="00DB6C09">
      <w:pPr>
        <w:pStyle w:val="BodyCopy"/>
        <w:ind w:left="426"/>
      </w:pPr>
      <w:r w:rsidRPr="0097124F">
        <w:t>In this Agreement:</w:t>
      </w:r>
    </w:p>
    <w:p w14:paraId="70F73B3A" w14:textId="3F4F026A" w:rsidR="009B43BC" w:rsidRPr="00BC1000" w:rsidRDefault="009B43BC" w:rsidP="009B43BC">
      <w:pPr>
        <w:pStyle w:val="BodyCopy"/>
        <w:ind w:left="426"/>
      </w:pPr>
      <w:r w:rsidRPr="000F4429">
        <w:rPr>
          <w:b/>
        </w:rPr>
        <w:t>Listing Rules</w:t>
      </w:r>
      <w:r w:rsidRPr="00BC1000">
        <w:t xml:space="preserve"> means the </w:t>
      </w:r>
      <w:r>
        <w:t xml:space="preserve">NZX Listing Rules </w:t>
      </w:r>
      <w:r w:rsidRPr="00BC1000">
        <w:t xml:space="preserve">as relevant and as in force from time to time; and </w:t>
      </w:r>
      <w:r>
        <w:t>terms</w:t>
      </w:r>
      <w:r w:rsidRPr="00BC1000">
        <w:t xml:space="preserve"> defined in the Listing Rules have the same meaning.</w:t>
      </w:r>
    </w:p>
    <w:p w14:paraId="57A80599" w14:textId="77777777" w:rsidR="00DB6C09" w:rsidRPr="00DB6C09" w:rsidRDefault="00DB6C09" w:rsidP="00DB6C09">
      <w:pPr>
        <w:pStyle w:val="Heading2"/>
        <w:numPr>
          <w:ilvl w:val="0"/>
          <w:numId w:val="36"/>
        </w:numPr>
        <w:ind w:left="426" w:hanging="426"/>
        <w:rPr>
          <w:lang w:val="en-GB"/>
        </w:rPr>
      </w:pPr>
      <w:r w:rsidRPr="00DB6C09">
        <w:rPr>
          <w:lang w:val="en-GB"/>
        </w:rPr>
        <w:t>COMPLIANCE WITH THIS AGREEMENT</w:t>
      </w:r>
    </w:p>
    <w:p w14:paraId="63EB9D37" w14:textId="77777777" w:rsidR="00126352" w:rsidRDefault="001906C3" w:rsidP="001906C3">
      <w:pPr>
        <w:pStyle w:val="BodyCopy"/>
        <w:ind w:left="426"/>
      </w:pPr>
      <w:r w:rsidRPr="00E825F3">
        <w:t xml:space="preserve">In consideration of the Issuer, upon Listing, paying to NZX such fees as prescribed by NZX from time to time, NZX agrees to List the Issuer on the NZX </w:t>
      </w:r>
      <w:r>
        <w:t>Main Board</w:t>
      </w:r>
      <w:r w:rsidR="00966D12">
        <w:t xml:space="preserve"> and</w:t>
      </w:r>
      <w:r w:rsidR="00B32297">
        <w:t xml:space="preserve"> / or</w:t>
      </w:r>
      <w:r w:rsidR="00966D12">
        <w:t xml:space="preserve"> NZX Debt Market, as appropriate,</w:t>
      </w:r>
      <w:r w:rsidRPr="00E825F3">
        <w:t xml:space="preserve"> and the parties agree to be bound by the terms and conditions of this Agreement.</w:t>
      </w:r>
    </w:p>
    <w:p w14:paraId="60FB30A1" w14:textId="77777777" w:rsidR="00DB6C09" w:rsidRPr="00DB6C09" w:rsidRDefault="001906C3" w:rsidP="00DB6C09">
      <w:pPr>
        <w:pStyle w:val="Heading2"/>
        <w:numPr>
          <w:ilvl w:val="0"/>
          <w:numId w:val="36"/>
        </w:numPr>
        <w:ind w:left="426" w:hanging="426"/>
        <w:rPr>
          <w:lang w:val="en-GB"/>
        </w:rPr>
      </w:pPr>
      <w:r>
        <w:rPr>
          <w:lang w:val="en-GB"/>
        </w:rPr>
        <w:t xml:space="preserve">COMPLIANCE WITH </w:t>
      </w:r>
      <w:r w:rsidR="00DB6C09" w:rsidRPr="00DB6C09">
        <w:rPr>
          <w:lang w:val="en-GB"/>
        </w:rPr>
        <w:t>LISTING RULES</w:t>
      </w:r>
    </w:p>
    <w:p w14:paraId="1F856EAD" w14:textId="407A843E" w:rsidR="001906C3" w:rsidRPr="00E825F3" w:rsidRDefault="001906C3" w:rsidP="001906C3">
      <w:pPr>
        <w:pStyle w:val="BodyCopy"/>
        <w:ind w:left="426"/>
      </w:pPr>
      <w:r w:rsidRPr="00E825F3">
        <w:t xml:space="preserve">The Issuer will at all times while it is </w:t>
      </w:r>
      <w:r w:rsidR="00895A0C">
        <w:t>L</w:t>
      </w:r>
      <w:r w:rsidRPr="00E825F3">
        <w:t xml:space="preserve">isted by NZX (whether or not any of its </w:t>
      </w:r>
      <w:r w:rsidR="00757C44">
        <w:t>Financial Products</w:t>
      </w:r>
      <w:r w:rsidR="00757C44" w:rsidRPr="00E825F3">
        <w:t xml:space="preserve"> </w:t>
      </w:r>
      <w:r w:rsidRPr="00E825F3">
        <w:t xml:space="preserve">are Quoted) comply with all of the obligations imposed on the Issuer under </w:t>
      </w:r>
      <w:r>
        <w:t xml:space="preserve">the </w:t>
      </w:r>
      <w:r w:rsidRPr="00E825F3">
        <w:t>Listing Rules.</w:t>
      </w:r>
    </w:p>
    <w:p w14:paraId="5CF3A2AF" w14:textId="77777777" w:rsidR="00DB6C09" w:rsidRPr="00DB6C09" w:rsidRDefault="00DB6C09" w:rsidP="00DB6C09">
      <w:pPr>
        <w:pStyle w:val="Heading2"/>
        <w:numPr>
          <w:ilvl w:val="0"/>
          <w:numId w:val="36"/>
        </w:numPr>
        <w:ind w:left="426" w:hanging="426"/>
        <w:rPr>
          <w:lang w:val="en-GB"/>
        </w:rPr>
      </w:pPr>
      <w:r>
        <w:rPr>
          <w:lang w:val="en-GB"/>
        </w:rPr>
        <w:t>A</w:t>
      </w:r>
      <w:r w:rsidRPr="00DB6C09">
        <w:rPr>
          <w:lang w:val="en-GB"/>
        </w:rPr>
        <w:t>CKNOWLEDGEMENTS</w:t>
      </w:r>
    </w:p>
    <w:p w14:paraId="09B50A7D" w14:textId="77777777" w:rsidR="001906C3" w:rsidRPr="00E825F3" w:rsidRDefault="001906C3" w:rsidP="001906C3">
      <w:pPr>
        <w:pStyle w:val="BodyCopy"/>
        <w:ind w:left="426"/>
      </w:pPr>
      <w:r w:rsidRPr="00E825F3">
        <w:t>Without limiting clause 3 or any provision of the Listing Rules, the Issuer acknowledges that:</w:t>
      </w:r>
    </w:p>
    <w:p w14:paraId="01601B01" w14:textId="77777777" w:rsidR="001906C3" w:rsidRPr="00E825F3" w:rsidRDefault="001906C3" w:rsidP="001906C3">
      <w:pPr>
        <w:pStyle w:val="BodyCopy"/>
        <w:numPr>
          <w:ilvl w:val="0"/>
          <w:numId w:val="44"/>
        </w:numPr>
        <w:ind w:left="851" w:hanging="425"/>
      </w:pPr>
      <w:r w:rsidRPr="00E825F3">
        <w:t>NZX may amend the Listing Rules from time to time, and all such amendments shall be binding upon the Issuer;</w:t>
      </w:r>
    </w:p>
    <w:p w14:paraId="5EF8B4AD" w14:textId="77777777" w:rsidR="001906C3" w:rsidRPr="00E825F3" w:rsidRDefault="001906C3" w:rsidP="001906C3">
      <w:pPr>
        <w:pStyle w:val="BodyCopy"/>
        <w:numPr>
          <w:ilvl w:val="0"/>
          <w:numId w:val="44"/>
        </w:numPr>
        <w:ind w:left="851" w:hanging="425"/>
      </w:pPr>
      <w:r w:rsidRPr="00E825F3">
        <w:t xml:space="preserve">NZX Regulation </w:t>
      </w:r>
      <w:r w:rsidR="006C5DA1">
        <w:t>P</w:t>
      </w:r>
      <w:r w:rsidRPr="00E825F3">
        <w:t>ersonnel are empowered by the Listing Rules to inspect the records of the Issuer and all Subsidiaries of the Issuer at the expense of the Issuer and, in certain circumstances, to disclose any information obtained;</w:t>
      </w:r>
    </w:p>
    <w:p w14:paraId="06383D59" w14:textId="3F4ED6B4" w:rsidR="001906C3" w:rsidRPr="00E825F3" w:rsidRDefault="001906C3" w:rsidP="001906C3">
      <w:pPr>
        <w:pStyle w:val="BodyCopy"/>
        <w:numPr>
          <w:ilvl w:val="0"/>
          <w:numId w:val="44"/>
        </w:numPr>
        <w:ind w:left="851" w:hanging="425"/>
      </w:pPr>
      <w:r>
        <w:t xml:space="preserve">the </w:t>
      </w:r>
      <w:r w:rsidRPr="00E825F3">
        <w:t xml:space="preserve">Listing Rules are for the benefit of, and enforceable by, not only NZX, but every </w:t>
      </w:r>
      <w:r w:rsidR="00A97FB1">
        <w:t xml:space="preserve">Financial Product holder </w:t>
      </w:r>
      <w:r w:rsidRPr="00E825F3">
        <w:t xml:space="preserve">and former </w:t>
      </w:r>
      <w:r w:rsidR="00A97FB1">
        <w:t>Financial Prod</w:t>
      </w:r>
      <w:r w:rsidR="00757C44">
        <w:t>u</w:t>
      </w:r>
      <w:r w:rsidR="00A97FB1">
        <w:t xml:space="preserve">ct holder </w:t>
      </w:r>
      <w:r w:rsidRPr="00E825F3">
        <w:t>of the Issuer, and</w:t>
      </w:r>
      <w:r w:rsidR="009B43BC">
        <w:t xml:space="preserve"> </w:t>
      </w:r>
      <w:r w:rsidRPr="00E825F3">
        <w:t>the Contract</w:t>
      </w:r>
      <w:r w:rsidR="00EE3DBF">
        <w:t xml:space="preserve"> and Commercial Law</w:t>
      </w:r>
      <w:r w:rsidRPr="00E825F3">
        <w:t xml:space="preserve"> Act </w:t>
      </w:r>
      <w:r w:rsidR="00EE3DBF">
        <w:t>2017</w:t>
      </w:r>
      <w:r w:rsidRPr="00E825F3">
        <w:t xml:space="preserve"> shall apply accordingly;</w:t>
      </w:r>
    </w:p>
    <w:p w14:paraId="36963EDF" w14:textId="769AC0E5" w:rsidR="001906C3" w:rsidRPr="00E825F3" w:rsidRDefault="001906C3" w:rsidP="001906C3">
      <w:pPr>
        <w:pStyle w:val="BodyCopy"/>
        <w:numPr>
          <w:ilvl w:val="0"/>
          <w:numId w:val="44"/>
        </w:numPr>
        <w:ind w:left="851" w:hanging="425"/>
      </w:pPr>
      <w:r w:rsidRPr="00E825F3">
        <w:t xml:space="preserve">under the Listing Rules, NZX may at its absolute discretion and at any time suspend or cancel the </w:t>
      </w:r>
      <w:r w:rsidR="006C5DA1">
        <w:t>L</w:t>
      </w:r>
      <w:r w:rsidRPr="00E825F3">
        <w:t xml:space="preserve">isting of the Issuer or the Quotation of any of its </w:t>
      </w:r>
      <w:r w:rsidR="00A97FB1">
        <w:t>Financial Products</w:t>
      </w:r>
      <w:r w:rsidRPr="00E825F3">
        <w:t>; and</w:t>
      </w:r>
    </w:p>
    <w:p w14:paraId="3CF6CC0D" w14:textId="12E57541" w:rsidR="001906C3" w:rsidRPr="00E825F3" w:rsidRDefault="001906C3" w:rsidP="001906C3">
      <w:pPr>
        <w:pStyle w:val="BodyCopy"/>
        <w:numPr>
          <w:ilvl w:val="0"/>
          <w:numId w:val="44"/>
        </w:numPr>
        <w:ind w:left="851" w:hanging="425"/>
      </w:pPr>
      <w:r w:rsidRPr="00E825F3">
        <w:t xml:space="preserve">the Issuer will not be Listed and its </w:t>
      </w:r>
      <w:r w:rsidR="00A97FB1">
        <w:t xml:space="preserve">Financial Products </w:t>
      </w:r>
      <w:r w:rsidRPr="00E825F3">
        <w:t>will</w:t>
      </w:r>
      <w:r>
        <w:t xml:space="preserve"> not be quoted on the NZX Main Board</w:t>
      </w:r>
      <w:r w:rsidRPr="00E825F3">
        <w:t xml:space="preserve"> </w:t>
      </w:r>
      <w:r w:rsidR="00B32297">
        <w:t xml:space="preserve">or NZX Debt Market </w:t>
      </w:r>
      <w:r w:rsidRPr="00E825F3">
        <w:t xml:space="preserve">until such time as NZX publishes a Listing </w:t>
      </w:r>
      <w:r w:rsidR="006C5DA1">
        <w:t>n</w:t>
      </w:r>
      <w:r w:rsidRPr="00E825F3">
        <w:t xml:space="preserve">otice that the Issuer is Listed on </w:t>
      </w:r>
      <w:r>
        <w:t>the NZ</w:t>
      </w:r>
      <w:r w:rsidRPr="00E825F3">
        <w:t xml:space="preserve">X </w:t>
      </w:r>
      <w:r>
        <w:t>Main Board</w:t>
      </w:r>
      <w:r w:rsidR="00B32297">
        <w:t xml:space="preserve"> or NZX Debt Market</w:t>
      </w:r>
      <w:r w:rsidRPr="00E825F3">
        <w:t xml:space="preserve"> effective on the date set out in that Listing </w:t>
      </w:r>
      <w:r w:rsidR="006C5DA1">
        <w:t>n</w:t>
      </w:r>
      <w:r w:rsidRPr="00E825F3">
        <w:t>otice.</w:t>
      </w:r>
    </w:p>
    <w:p w14:paraId="62FEDCCC" w14:textId="77777777" w:rsidR="001906C3" w:rsidRPr="001906C3" w:rsidRDefault="001906C3" w:rsidP="001906C3">
      <w:pPr>
        <w:pStyle w:val="Heading2"/>
        <w:numPr>
          <w:ilvl w:val="0"/>
          <w:numId w:val="36"/>
        </w:numPr>
        <w:ind w:left="426" w:hanging="426"/>
        <w:rPr>
          <w:lang w:val="en-GB"/>
        </w:rPr>
      </w:pPr>
      <w:r w:rsidRPr="001906C3">
        <w:rPr>
          <w:lang w:val="en-GB"/>
        </w:rPr>
        <w:t>WAIVER</w:t>
      </w:r>
    </w:p>
    <w:p w14:paraId="66696249" w14:textId="77777777" w:rsidR="001906C3" w:rsidRPr="00E825F3" w:rsidRDefault="001906C3" w:rsidP="001906C3">
      <w:pPr>
        <w:pStyle w:val="BodyCopy"/>
        <w:ind w:left="426"/>
      </w:pPr>
      <w:r w:rsidRPr="00E825F3">
        <w:t>The Issuer</w:t>
      </w:r>
      <w:r w:rsidR="00966D12">
        <w:t xml:space="preserve"> agrees to the following</w:t>
      </w:r>
      <w:r w:rsidRPr="00E825F3">
        <w:t>:</w:t>
      </w:r>
    </w:p>
    <w:p w14:paraId="73EC8519" w14:textId="46B3EB01" w:rsidR="00966D12" w:rsidRPr="00096E94" w:rsidRDefault="00AD1568" w:rsidP="00966D12">
      <w:pPr>
        <w:pStyle w:val="Default"/>
        <w:numPr>
          <w:ilvl w:val="0"/>
          <w:numId w:val="46"/>
        </w:numPr>
        <w:rPr>
          <w:sz w:val="22"/>
          <w:szCs w:val="22"/>
        </w:rPr>
      </w:pPr>
      <w:r>
        <w:rPr>
          <w:sz w:val="22"/>
          <w:szCs w:val="22"/>
        </w:rPr>
        <w:lastRenderedPageBreak/>
        <w:t>n</w:t>
      </w:r>
      <w:r w:rsidR="00966D12">
        <w:rPr>
          <w:sz w:val="22"/>
          <w:szCs w:val="22"/>
        </w:rPr>
        <w:t xml:space="preserve">one of </w:t>
      </w:r>
      <w:r w:rsidR="00966D12" w:rsidRPr="007B7C46">
        <w:rPr>
          <w:bCs/>
          <w:sz w:val="22"/>
          <w:szCs w:val="22"/>
        </w:rPr>
        <w:t>NZX</w:t>
      </w:r>
      <w:r w:rsidR="00966D12">
        <w:rPr>
          <w:sz w:val="22"/>
          <w:szCs w:val="22"/>
        </w:rPr>
        <w:t xml:space="preserve">, any </w:t>
      </w:r>
      <w:r w:rsidR="00966D12" w:rsidRPr="007B7C46">
        <w:rPr>
          <w:bCs/>
          <w:sz w:val="22"/>
          <w:szCs w:val="22"/>
        </w:rPr>
        <w:t xml:space="preserve">director </w:t>
      </w:r>
      <w:r w:rsidR="00966D12">
        <w:rPr>
          <w:sz w:val="22"/>
          <w:szCs w:val="22"/>
        </w:rPr>
        <w:t xml:space="preserve">or employee of </w:t>
      </w:r>
      <w:r w:rsidR="00966D12" w:rsidRPr="007B7C46">
        <w:rPr>
          <w:bCs/>
          <w:sz w:val="22"/>
          <w:szCs w:val="22"/>
        </w:rPr>
        <w:t>NZX</w:t>
      </w:r>
      <w:r w:rsidR="00966D12">
        <w:rPr>
          <w:sz w:val="22"/>
          <w:szCs w:val="22"/>
        </w:rPr>
        <w:t xml:space="preserve">, </w:t>
      </w:r>
      <w:r w:rsidR="00966D12" w:rsidRPr="007B7C46">
        <w:rPr>
          <w:bCs/>
          <w:sz w:val="22"/>
          <w:szCs w:val="22"/>
        </w:rPr>
        <w:t xml:space="preserve">NZX Regulation </w:t>
      </w:r>
      <w:r w:rsidR="006C5DA1">
        <w:rPr>
          <w:sz w:val="22"/>
          <w:szCs w:val="22"/>
        </w:rPr>
        <w:t>P</w:t>
      </w:r>
      <w:r w:rsidR="00966D12">
        <w:rPr>
          <w:sz w:val="22"/>
          <w:szCs w:val="22"/>
        </w:rPr>
        <w:t xml:space="preserve">ersonnel, </w:t>
      </w:r>
      <w:r w:rsidR="00A97FB1">
        <w:rPr>
          <w:bCs/>
          <w:sz w:val="22"/>
          <w:szCs w:val="22"/>
        </w:rPr>
        <w:t xml:space="preserve">the Tribunal </w:t>
      </w:r>
      <w:r w:rsidR="00966D12">
        <w:rPr>
          <w:sz w:val="22"/>
          <w:szCs w:val="22"/>
        </w:rPr>
        <w:t xml:space="preserve">nor any delegate of </w:t>
      </w:r>
      <w:r w:rsidR="00966D12" w:rsidRPr="007B7C46">
        <w:rPr>
          <w:bCs/>
          <w:sz w:val="22"/>
          <w:szCs w:val="22"/>
        </w:rPr>
        <w:t xml:space="preserve">NZX </w:t>
      </w:r>
      <w:r w:rsidR="00966D12">
        <w:rPr>
          <w:sz w:val="22"/>
          <w:szCs w:val="22"/>
        </w:rPr>
        <w:t xml:space="preserve">or </w:t>
      </w:r>
      <w:r w:rsidR="00A97FB1">
        <w:rPr>
          <w:bCs/>
          <w:sz w:val="22"/>
          <w:szCs w:val="22"/>
        </w:rPr>
        <w:t xml:space="preserve">the Tribunal </w:t>
      </w:r>
      <w:r w:rsidR="00966D12">
        <w:rPr>
          <w:sz w:val="22"/>
          <w:szCs w:val="22"/>
        </w:rPr>
        <w:t>shall be liable for anything it may do or omit to do in the course of the exercise or purported exercise in good faith of its powers or discretions under the Listing R</w:t>
      </w:r>
      <w:r w:rsidR="00966D12" w:rsidRPr="007B7C46">
        <w:rPr>
          <w:bCs/>
          <w:sz w:val="22"/>
          <w:szCs w:val="22"/>
        </w:rPr>
        <w:t>ules</w:t>
      </w:r>
      <w:r w:rsidR="00966D12">
        <w:rPr>
          <w:sz w:val="22"/>
          <w:szCs w:val="22"/>
        </w:rPr>
        <w:t>; and</w:t>
      </w:r>
    </w:p>
    <w:p w14:paraId="53BB1694" w14:textId="77777777" w:rsidR="00966D12" w:rsidRPr="00096E94" w:rsidRDefault="00966D12" w:rsidP="00966D12">
      <w:pPr>
        <w:pStyle w:val="Default"/>
        <w:ind w:left="720"/>
      </w:pPr>
    </w:p>
    <w:p w14:paraId="4B5E0767" w14:textId="2C5D8F0B" w:rsidR="00D52771" w:rsidRDefault="00AD1568" w:rsidP="001906C3">
      <w:pPr>
        <w:pStyle w:val="BodyCopy"/>
        <w:numPr>
          <w:ilvl w:val="0"/>
          <w:numId w:val="46"/>
        </w:numPr>
        <w:ind w:left="851" w:hanging="425"/>
      </w:pPr>
      <w:r>
        <w:t>t</w:t>
      </w:r>
      <w:r w:rsidR="00966D12">
        <w:t xml:space="preserve">he </w:t>
      </w:r>
      <w:r w:rsidR="00D52771">
        <w:rPr>
          <w:bCs/>
        </w:rPr>
        <w:t>Issuer</w:t>
      </w:r>
      <w:r w:rsidR="00966D12" w:rsidRPr="007B7C46">
        <w:rPr>
          <w:bCs/>
        </w:rPr>
        <w:t xml:space="preserve"> </w:t>
      </w:r>
      <w:r w:rsidR="00966D12">
        <w:t xml:space="preserve">shall indemnify </w:t>
      </w:r>
      <w:r w:rsidR="00966D12" w:rsidRPr="007B7C46">
        <w:rPr>
          <w:bCs/>
        </w:rPr>
        <w:t>NZX</w:t>
      </w:r>
      <w:r w:rsidR="00966D12">
        <w:t xml:space="preserve">, each </w:t>
      </w:r>
      <w:r w:rsidR="00966D12" w:rsidRPr="007B7C46">
        <w:rPr>
          <w:bCs/>
        </w:rPr>
        <w:t xml:space="preserve">director </w:t>
      </w:r>
      <w:r w:rsidR="00966D12">
        <w:t xml:space="preserve">and employee of </w:t>
      </w:r>
      <w:r w:rsidR="00966D12" w:rsidRPr="007B7C46">
        <w:rPr>
          <w:bCs/>
        </w:rPr>
        <w:t>NZX</w:t>
      </w:r>
      <w:r w:rsidR="00966D12">
        <w:t xml:space="preserve">, all </w:t>
      </w:r>
      <w:r w:rsidR="00966D12" w:rsidRPr="007B7C46">
        <w:rPr>
          <w:bCs/>
        </w:rPr>
        <w:t xml:space="preserve">NZX Regulation </w:t>
      </w:r>
      <w:r w:rsidR="006C5DA1">
        <w:t>P</w:t>
      </w:r>
      <w:r w:rsidR="00966D12">
        <w:t xml:space="preserve">ersonnel, </w:t>
      </w:r>
      <w:r w:rsidR="00A97FB1">
        <w:rPr>
          <w:bCs/>
        </w:rPr>
        <w:t xml:space="preserve">the Tribunal </w:t>
      </w:r>
      <w:r w:rsidR="00966D12">
        <w:t xml:space="preserve">and each delegate of </w:t>
      </w:r>
      <w:r w:rsidR="00966D12" w:rsidRPr="007B7C46">
        <w:rPr>
          <w:bCs/>
        </w:rPr>
        <w:t xml:space="preserve">NZX </w:t>
      </w:r>
      <w:r w:rsidR="00966D12">
        <w:t xml:space="preserve">and </w:t>
      </w:r>
      <w:r w:rsidR="00A97FB1">
        <w:rPr>
          <w:bCs/>
        </w:rPr>
        <w:t xml:space="preserve">the Tribunal </w:t>
      </w:r>
      <w:r w:rsidR="00966D12">
        <w:t xml:space="preserve">against all liabilities and claims which may arise in relation to anything done or omitted to be done by any such person in connection with the </w:t>
      </w:r>
      <w:r w:rsidR="00D52771">
        <w:rPr>
          <w:bCs/>
        </w:rPr>
        <w:t>Issuer</w:t>
      </w:r>
      <w:r w:rsidR="00966D12">
        <w:t xml:space="preserve">, which </w:t>
      </w:r>
      <w:r w:rsidR="00966D12" w:rsidRPr="007B7C46">
        <w:rPr>
          <w:bCs/>
        </w:rPr>
        <w:t xml:space="preserve">NZX </w:t>
      </w:r>
      <w:r w:rsidR="00966D12">
        <w:t xml:space="preserve">determines to have been done or not done in good faith and in response to circumstances for which the </w:t>
      </w:r>
      <w:r w:rsidR="00D52771">
        <w:rPr>
          <w:bCs/>
        </w:rPr>
        <w:t>Issuer</w:t>
      </w:r>
      <w:r w:rsidR="00966D12" w:rsidRPr="007B7C46">
        <w:rPr>
          <w:bCs/>
        </w:rPr>
        <w:t xml:space="preserve"> </w:t>
      </w:r>
      <w:r w:rsidR="00966D12">
        <w:t xml:space="preserve">should bear responsibility in whole or in part. The indemnity shall be for all or such part of the liabilities and claims as </w:t>
      </w:r>
      <w:r w:rsidR="00966D12" w:rsidRPr="007B7C46">
        <w:rPr>
          <w:bCs/>
        </w:rPr>
        <w:t xml:space="preserve">NZX </w:t>
      </w:r>
      <w:r w:rsidR="00966D12">
        <w:t xml:space="preserve">determines in the </w:t>
      </w:r>
      <w:r w:rsidR="00D52771">
        <w:t>circumstances.</w:t>
      </w:r>
    </w:p>
    <w:p w14:paraId="714ED9E0" w14:textId="77777777" w:rsidR="00DB6C09" w:rsidRPr="0097124F" w:rsidRDefault="00DB6C09" w:rsidP="00E96542">
      <w:pPr>
        <w:pStyle w:val="Heading2"/>
      </w:pPr>
      <w:r w:rsidRPr="0097124F">
        <w:t>SIGNED AS AN AGREEMENT</w:t>
      </w:r>
    </w:p>
    <w:p w14:paraId="79094FF2" w14:textId="77777777" w:rsidR="00DB6C09" w:rsidRPr="0097124F" w:rsidRDefault="00DB6C09" w:rsidP="00DB6C09">
      <w:pPr>
        <w:jc w:val="both"/>
        <w:rPr>
          <w:lang w:val="en-GB"/>
        </w:rPr>
      </w:pPr>
      <w:r w:rsidRPr="0097124F">
        <w:rPr>
          <w:lang w:val="en-GB"/>
        </w:rPr>
        <w:t>SIGNED for and behalf of</w:t>
      </w:r>
    </w:p>
    <w:p w14:paraId="754CF491" w14:textId="77777777" w:rsidR="00DB6C09" w:rsidRPr="0097124F" w:rsidRDefault="00B34EF1" w:rsidP="00DB6C09">
      <w:pPr>
        <w:jc w:val="both"/>
        <w:rPr>
          <w:lang w:val="en-GB"/>
        </w:rPr>
      </w:pPr>
      <w:r>
        <w:rPr>
          <w:b/>
          <w:lang w:val="en-GB"/>
        </w:rPr>
        <w:t>[</w:t>
      </w:r>
      <w:r>
        <w:rPr>
          <w:b/>
          <w:lang w:val="en-GB"/>
        </w:rPr>
        <w:tab/>
      </w:r>
      <w:r>
        <w:rPr>
          <w:b/>
          <w:lang w:val="en-GB"/>
        </w:rPr>
        <w:tab/>
      </w:r>
      <w:r>
        <w:rPr>
          <w:b/>
          <w:lang w:val="en-GB"/>
        </w:rPr>
        <w:tab/>
      </w:r>
      <w:r>
        <w:rPr>
          <w:b/>
          <w:lang w:val="en-GB"/>
        </w:rPr>
        <w:tab/>
        <w:t>]</w:t>
      </w:r>
    </w:p>
    <w:p w14:paraId="244F500B" w14:textId="77777777" w:rsidR="00DB6C09" w:rsidRDefault="00DB6C09" w:rsidP="00E96542">
      <w:pPr>
        <w:tabs>
          <w:tab w:val="left" w:leader="underscore" w:pos="3969"/>
          <w:tab w:val="left" w:pos="5103"/>
          <w:tab w:val="left" w:leader="underscore" w:pos="9072"/>
        </w:tabs>
        <w:jc w:val="both"/>
        <w:rPr>
          <w:lang w:val="en-GB"/>
        </w:rPr>
      </w:pPr>
    </w:p>
    <w:p w14:paraId="11BE8918" w14:textId="77777777" w:rsidR="00B34EF1" w:rsidRDefault="00B34EF1" w:rsidP="00B34EF1">
      <w:pPr>
        <w:tabs>
          <w:tab w:val="left" w:leader="underscore" w:pos="3969"/>
          <w:tab w:val="left" w:pos="5103"/>
          <w:tab w:val="left" w:leader="underscore" w:pos="9072"/>
        </w:tabs>
        <w:jc w:val="both"/>
        <w:rPr>
          <w:lang w:val="en-GB"/>
        </w:rPr>
      </w:pPr>
      <w:r>
        <w:rPr>
          <w:lang w:val="en-GB"/>
        </w:rPr>
        <w:tab/>
      </w:r>
      <w:r>
        <w:rPr>
          <w:lang w:val="en-GB"/>
        </w:rPr>
        <w:tab/>
      </w:r>
      <w:r>
        <w:rPr>
          <w:lang w:val="en-GB"/>
        </w:rPr>
        <w:tab/>
      </w:r>
    </w:p>
    <w:p w14:paraId="559E220D" w14:textId="77777777" w:rsidR="00B34EF1" w:rsidRDefault="00B34EF1" w:rsidP="00B34EF1">
      <w:pPr>
        <w:tabs>
          <w:tab w:val="left" w:pos="5103"/>
          <w:tab w:val="left" w:leader="underscore" w:pos="9072"/>
        </w:tabs>
        <w:jc w:val="both"/>
        <w:rPr>
          <w:b/>
          <w:lang w:val="en-GB"/>
        </w:rPr>
      </w:pPr>
      <w:r>
        <w:rPr>
          <w:lang w:val="en-GB"/>
        </w:rPr>
        <w:t>Director</w:t>
      </w:r>
      <w:r>
        <w:rPr>
          <w:lang w:val="en-GB"/>
        </w:rPr>
        <w:tab/>
      </w:r>
      <w:proofErr w:type="spellStart"/>
      <w:r>
        <w:rPr>
          <w:lang w:val="en-GB"/>
        </w:rPr>
        <w:t>Director</w:t>
      </w:r>
      <w:proofErr w:type="spellEnd"/>
    </w:p>
    <w:p w14:paraId="2E8D3FBD" w14:textId="77777777" w:rsidR="00B34EF1" w:rsidRDefault="00B34EF1" w:rsidP="00B34EF1">
      <w:pPr>
        <w:tabs>
          <w:tab w:val="left" w:leader="underscore" w:pos="3969"/>
          <w:tab w:val="left" w:pos="5103"/>
          <w:tab w:val="left" w:leader="underscore" w:pos="9072"/>
        </w:tabs>
        <w:jc w:val="both"/>
        <w:rPr>
          <w:lang w:val="en-GB"/>
        </w:rPr>
      </w:pPr>
    </w:p>
    <w:p w14:paraId="7BD30887" w14:textId="77777777" w:rsidR="00B34EF1" w:rsidRDefault="00B34EF1" w:rsidP="00B34EF1">
      <w:pPr>
        <w:tabs>
          <w:tab w:val="left" w:leader="underscore" w:pos="3969"/>
          <w:tab w:val="left" w:pos="5103"/>
          <w:tab w:val="left" w:leader="underscore" w:pos="9072"/>
        </w:tabs>
        <w:jc w:val="both"/>
        <w:rPr>
          <w:lang w:val="en-GB"/>
        </w:rPr>
      </w:pPr>
      <w:r>
        <w:rPr>
          <w:lang w:val="en-GB"/>
        </w:rPr>
        <w:tab/>
      </w:r>
      <w:r>
        <w:rPr>
          <w:lang w:val="en-GB"/>
        </w:rPr>
        <w:tab/>
      </w:r>
      <w:r>
        <w:rPr>
          <w:lang w:val="en-GB"/>
        </w:rPr>
        <w:tab/>
        <w:t xml:space="preserve"> </w:t>
      </w:r>
    </w:p>
    <w:p w14:paraId="69FB1F32" w14:textId="77777777" w:rsidR="00B34EF1" w:rsidRDefault="00B34EF1" w:rsidP="00B34EF1">
      <w:pPr>
        <w:tabs>
          <w:tab w:val="left" w:pos="5103"/>
          <w:tab w:val="left" w:leader="underscore" w:pos="9072"/>
        </w:tabs>
        <w:jc w:val="both"/>
        <w:rPr>
          <w:b/>
          <w:lang w:val="en-GB"/>
        </w:rPr>
      </w:pPr>
      <w:r>
        <w:rPr>
          <w:lang w:val="en-GB"/>
        </w:rPr>
        <w:t>Name of Director</w:t>
      </w:r>
      <w:r>
        <w:rPr>
          <w:lang w:val="en-GB"/>
        </w:rPr>
        <w:tab/>
        <w:t>Name of Director</w:t>
      </w:r>
    </w:p>
    <w:p w14:paraId="61E8C09E" w14:textId="77777777" w:rsidR="00DB6C09" w:rsidRPr="0097124F" w:rsidRDefault="00DB6C09" w:rsidP="00E96542">
      <w:pPr>
        <w:tabs>
          <w:tab w:val="left" w:leader="underscore" w:pos="3969"/>
          <w:tab w:val="left" w:pos="5103"/>
          <w:tab w:val="left" w:leader="underscore" w:pos="9072"/>
        </w:tabs>
        <w:jc w:val="both"/>
        <w:rPr>
          <w:lang w:val="en-GB"/>
        </w:rPr>
      </w:pPr>
    </w:p>
    <w:p w14:paraId="3932461D" w14:textId="77777777" w:rsidR="00DB6C09" w:rsidRPr="0097124F" w:rsidRDefault="00DB6C09" w:rsidP="00E96542">
      <w:pPr>
        <w:tabs>
          <w:tab w:val="left" w:pos="5103"/>
          <w:tab w:val="left" w:leader="underscore" w:pos="9072"/>
        </w:tabs>
        <w:jc w:val="both"/>
        <w:rPr>
          <w:lang w:val="en-GB"/>
        </w:rPr>
      </w:pPr>
      <w:r w:rsidRPr="0097124F">
        <w:rPr>
          <w:lang w:val="en-GB"/>
        </w:rPr>
        <w:t>SIGNED for and behalf of</w:t>
      </w:r>
      <w:r w:rsidR="00E96542">
        <w:rPr>
          <w:lang w:val="en-GB"/>
        </w:rPr>
        <w:tab/>
      </w:r>
      <w:r w:rsidR="00E96542">
        <w:rPr>
          <w:lang w:val="en-GB"/>
        </w:rPr>
        <w:br/>
      </w:r>
      <w:r w:rsidRPr="0097124F">
        <w:rPr>
          <w:b/>
          <w:lang w:val="en-GB"/>
        </w:rPr>
        <w:t>NZX LIMITED</w:t>
      </w:r>
    </w:p>
    <w:p w14:paraId="58B8A2C5" w14:textId="77777777" w:rsidR="00DB6C09" w:rsidRPr="0097124F" w:rsidRDefault="00DB6C09" w:rsidP="00E96542">
      <w:pPr>
        <w:tabs>
          <w:tab w:val="left" w:leader="underscore" w:pos="3969"/>
          <w:tab w:val="left" w:pos="5103"/>
          <w:tab w:val="left" w:leader="underscore" w:pos="9072"/>
        </w:tabs>
        <w:jc w:val="both"/>
        <w:rPr>
          <w:lang w:val="en-GB"/>
        </w:rPr>
      </w:pPr>
    </w:p>
    <w:p w14:paraId="3E495069" w14:textId="77777777" w:rsidR="00E96542" w:rsidRPr="00E96542" w:rsidRDefault="00E96542" w:rsidP="00E96542">
      <w:pPr>
        <w:tabs>
          <w:tab w:val="left" w:leader="underscore" w:pos="3969"/>
          <w:tab w:val="left" w:pos="5103"/>
          <w:tab w:val="left" w:leader="underscore" w:pos="9072"/>
        </w:tabs>
        <w:jc w:val="both"/>
        <w:rPr>
          <w:lang w:val="en-GB"/>
        </w:rPr>
      </w:pPr>
      <w:r>
        <w:rPr>
          <w:lang w:val="en-GB"/>
        </w:rPr>
        <w:tab/>
      </w:r>
      <w:r>
        <w:rPr>
          <w:lang w:val="en-GB"/>
        </w:rPr>
        <w:tab/>
      </w:r>
    </w:p>
    <w:p w14:paraId="1D9E94C1" w14:textId="77777777" w:rsidR="00DB6C09" w:rsidRPr="00E96542" w:rsidRDefault="00DB6C09" w:rsidP="00DB6C09">
      <w:pPr>
        <w:tabs>
          <w:tab w:val="left" w:pos="993"/>
          <w:tab w:val="left" w:pos="5103"/>
        </w:tabs>
        <w:jc w:val="both"/>
        <w:rPr>
          <w:lang w:val="en-GB"/>
        </w:rPr>
      </w:pPr>
      <w:r w:rsidRPr="00E96542">
        <w:rPr>
          <w:lang w:val="en-GB"/>
        </w:rPr>
        <w:t>Authorised Signatory</w:t>
      </w:r>
    </w:p>
    <w:p w14:paraId="67BD63F6" w14:textId="77777777" w:rsidR="009A2DA2" w:rsidRPr="007366DA" w:rsidRDefault="009A2DA2" w:rsidP="00DB6C09">
      <w:pPr>
        <w:tabs>
          <w:tab w:val="left" w:pos="993"/>
          <w:tab w:val="left" w:pos="5103"/>
        </w:tabs>
        <w:jc w:val="both"/>
        <w:rPr>
          <w:u w:val="single"/>
          <w:lang w:val="en-GB"/>
        </w:rPr>
      </w:pPr>
    </w:p>
    <w:p w14:paraId="67B0C8E1" w14:textId="77777777" w:rsidR="009A2DA2" w:rsidRPr="009A2DA2" w:rsidRDefault="009A2DA2" w:rsidP="009A2DA2">
      <w:pPr>
        <w:tabs>
          <w:tab w:val="left" w:pos="993"/>
          <w:tab w:val="left" w:pos="3828"/>
        </w:tabs>
        <w:jc w:val="both"/>
        <w:rPr>
          <w:u w:val="single"/>
          <w:lang w:val="en-GB"/>
        </w:rPr>
      </w:pPr>
      <w:r w:rsidRPr="009A2DA2">
        <w:rPr>
          <w:u w:val="single"/>
          <w:lang w:val="en-GB"/>
        </w:rPr>
        <w:tab/>
      </w:r>
      <w:r w:rsidRPr="009A2DA2">
        <w:rPr>
          <w:u w:val="single"/>
          <w:lang w:val="en-GB"/>
        </w:rPr>
        <w:tab/>
      </w:r>
    </w:p>
    <w:p w14:paraId="04174AE4" w14:textId="77777777" w:rsidR="009A2DA2" w:rsidRPr="0097124F" w:rsidRDefault="009A2DA2" w:rsidP="00DB6C09">
      <w:pPr>
        <w:tabs>
          <w:tab w:val="left" w:pos="993"/>
          <w:tab w:val="left" w:pos="5103"/>
        </w:tabs>
        <w:jc w:val="both"/>
        <w:rPr>
          <w:lang w:val="en-GB"/>
        </w:rPr>
      </w:pPr>
      <w:r>
        <w:rPr>
          <w:lang w:val="en-GB"/>
        </w:rPr>
        <w:t>Name of Authorised Signatory</w:t>
      </w:r>
    </w:p>
    <w:p w14:paraId="0CA0B691" w14:textId="77777777" w:rsidR="00541A8C" w:rsidRPr="00E96542" w:rsidRDefault="00541A8C" w:rsidP="00E96542">
      <w:pPr>
        <w:tabs>
          <w:tab w:val="left" w:pos="993"/>
          <w:tab w:val="left" w:pos="5103"/>
        </w:tabs>
        <w:jc w:val="both"/>
        <w:rPr>
          <w:u w:val="single"/>
          <w:lang w:val="en-GB"/>
        </w:rPr>
      </w:pPr>
    </w:p>
    <w:sectPr w:rsidR="00541A8C" w:rsidRPr="00E96542" w:rsidSect="00C91B94">
      <w:headerReference w:type="even" r:id="rId8"/>
      <w:headerReference w:type="default" r:id="rId9"/>
      <w:footerReference w:type="even" r:id="rId10"/>
      <w:footerReference w:type="default" r:id="rId11"/>
      <w:headerReference w:type="first" r:id="rId12"/>
      <w:footerReference w:type="first" r:id="rId13"/>
      <w:pgSz w:w="11906" w:h="16838"/>
      <w:pgMar w:top="1701" w:right="1276" w:bottom="1440" w:left="1276"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8A6D8" w14:textId="77777777" w:rsidR="00A62ABB" w:rsidRDefault="00A62ABB" w:rsidP="00541A8C">
      <w:pPr>
        <w:spacing w:after="0" w:line="240" w:lineRule="auto"/>
      </w:pPr>
      <w:r>
        <w:separator/>
      </w:r>
    </w:p>
    <w:p w14:paraId="32056CA5" w14:textId="77777777" w:rsidR="00A62ABB" w:rsidRDefault="00A62ABB"/>
  </w:endnote>
  <w:endnote w:type="continuationSeparator" w:id="0">
    <w:p w14:paraId="670FA859" w14:textId="77777777" w:rsidR="00A62ABB" w:rsidRDefault="00A62ABB" w:rsidP="00541A8C">
      <w:pPr>
        <w:spacing w:after="0" w:line="240" w:lineRule="auto"/>
      </w:pPr>
      <w:r>
        <w:continuationSeparator/>
      </w:r>
    </w:p>
    <w:p w14:paraId="5EBA45B2" w14:textId="77777777" w:rsidR="00A62ABB" w:rsidRDefault="00A62ABB"/>
  </w:endnote>
  <w:endnote w:type="continuationNotice" w:id="1">
    <w:p w14:paraId="36FB5CC0" w14:textId="77777777" w:rsidR="00A62ABB" w:rsidRDefault="00A62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ITC Officina Sans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6F90" w14:textId="77777777" w:rsidR="00CD40EF" w:rsidRDefault="00CD4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14:paraId="7C98827F" w14:textId="5482F3A7" w:rsidR="001906C3" w:rsidRPr="00A84B39" w:rsidRDefault="00055207" w:rsidP="002A552C">
    <w:pPr>
      <w:pStyle w:val="FooterText"/>
    </w:pPr>
    <w:r>
      <w:rPr>
        <w:caps/>
        <w:noProof/>
        <w:lang w:val="en-NZ" w:eastAsia="en-NZ"/>
      </w:rPr>
      <mc:AlternateContent>
        <mc:Choice Requires="wps">
          <w:drawing>
            <wp:anchor distT="0" distB="0" distL="114300" distR="114300" simplePos="0" relativeHeight="251666432" behindDoc="0" locked="0" layoutInCell="1" allowOverlap="1" wp14:anchorId="3D95C627" wp14:editId="35DF8A94">
              <wp:simplePos x="0" y="0"/>
              <wp:positionH relativeFrom="column">
                <wp:posOffset>6471920</wp:posOffset>
              </wp:positionH>
              <wp:positionV relativeFrom="paragraph">
                <wp:posOffset>27940</wp:posOffset>
              </wp:positionV>
              <wp:extent cx="195580" cy="19558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5580" cy="195580"/>
                      </a:xfrm>
                      <a:prstGeom prst="rtTriangle">
                        <a:avLst/>
                      </a:prstGeom>
                      <a:solidFill>
                        <a:schemeClr val="accent2">
                          <a:lumMod val="100000"/>
                          <a:lumOff val="0"/>
                        </a:scheme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5F372"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509.6pt;margin-top:2.2pt;width:15.4pt;height:15.4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" fillcolor="#3397d3 [3205]" stroked="f"/>
          </w:pict>
        </mc:Fallback>
      </mc:AlternateContent>
    </w:r>
    <w:r w:rsidR="001906C3">
      <w:rPr>
        <w:caps/>
        <w:noProof/>
        <w:lang w:val="en-US"/>
      </w:rPr>
      <w:t>Listing Agreement – NZX Ma</w:t>
    </w:r>
    <w:r w:rsidR="00917A89">
      <w:rPr>
        <w:caps/>
        <w:noProof/>
        <w:lang w:val="en-US"/>
      </w:rPr>
      <w:t>in Board</w:t>
    </w:r>
    <w:r w:rsidR="00D52771">
      <w:rPr>
        <w:caps/>
        <w:noProof/>
        <w:lang w:val="en-US"/>
      </w:rPr>
      <w:t xml:space="preserve"> and NZX Debt Market</w:t>
    </w:r>
    <w:r w:rsidR="001906C3">
      <w:tab/>
    </w:r>
    <w:r w:rsidR="0099680D" w:rsidRPr="00A84B39">
      <w:rPr>
        <w:color w:val="3397D3" w:themeColor="accent2"/>
      </w:rPr>
      <w:fldChar w:fldCharType="begin"/>
    </w:r>
    <w:r w:rsidR="001906C3" w:rsidRPr="00A84B39">
      <w:rPr>
        <w:color w:val="3397D3" w:themeColor="accent2"/>
      </w:rPr>
      <w:instrText xml:space="preserve"> PAGE   \* MERGEFORMAT </w:instrText>
    </w:r>
    <w:r w:rsidR="0099680D" w:rsidRPr="00A84B39">
      <w:rPr>
        <w:color w:val="3397D3" w:themeColor="accent2"/>
      </w:rPr>
      <w:fldChar w:fldCharType="separate"/>
    </w:r>
    <w:r w:rsidR="00757C44">
      <w:rPr>
        <w:noProof/>
        <w:color w:val="3397D3" w:themeColor="accent2"/>
      </w:rPr>
      <w:t>3</w:t>
    </w:r>
    <w:r w:rsidR="0099680D" w:rsidRPr="00A84B39">
      <w:rPr>
        <w:color w:val="3397D3" w:themeColor="accent2"/>
      </w:rPr>
      <w:fldChar w:fldCharType="end"/>
    </w:r>
    <w:r w:rsidR="001906C3">
      <w:rPr>
        <w:color w:val="3397D3" w:themeColor="accent2"/>
      </w:rPr>
      <w:t xml:space="preserve"> </w:t>
    </w:r>
    <w:r w:rsidR="001906C3" w:rsidRPr="00A84B39">
      <w:t xml:space="preserve">of </w:t>
    </w:r>
    <w:r w:rsidR="00062FEC">
      <w:fldChar w:fldCharType="begin"/>
    </w:r>
    <w:r w:rsidR="00062FEC">
      <w:instrText xml:space="preserve"> NUMPAGES  \# "0"  \* MERGEFORMAT </w:instrText>
    </w:r>
    <w:r w:rsidR="00062FEC">
      <w:fldChar w:fldCharType="separate"/>
    </w:r>
    <w:r w:rsidR="00757C44">
      <w:rPr>
        <w:noProof/>
      </w:rPr>
      <w:t>3</w:t>
    </w:r>
    <w:r w:rsidR="00062FE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C59B" w14:textId="77777777" w:rsidR="00CD40EF" w:rsidRDefault="00CD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0228F" w14:textId="77777777" w:rsidR="00A62ABB" w:rsidRDefault="00A62ABB"/>
  </w:footnote>
  <w:footnote w:type="continuationSeparator" w:id="0">
    <w:p w14:paraId="0AD89D50" w14:textId="77777777" w:rsidR="00A62ABB" w:rsidRDefault="00A62ABB" w:rsidP="00541A8C">
      <w:pPr>
        <w:spacing w:after="0" w:line="240" w:lineRule="auto"/>
      </w:pPr>
      <w:r>
        <w:continuationSeparator/>
      </w:r>
    </w:p>
    <w:p w14:paraId="3317CEDB" w14:textId="77777777" w:rsidR="00A62ABB" w:rsidRDefault="00A62ABB"/>
  </w:footnote>
  <w:footnote w:type="continuationNotice" w:id="1">
    <w:p w14:paraId="24A6CA1F" w14:textId="77777777" w:rsidR="00A62ABB" w:rsidRDefault="00A62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92D3" w14:textId="77777777" w:rsidR="00CD40EF" w:rsidRDefault="00CD4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32C4" w14:textId="77777777" w:rsidR="001906C3" w:rsidRDefault="001906C3">
    <w:pPr>
      <w:pStyle w:val="Header"/>
    </w:pPr>
  </w:p>
  <w:p w14:paraId="4003528F" w14:textId="77777777" w:rsidR="001906C3" w:rsidRDefault="001906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827E" w14:textId="77777777" w:rsidR="001906C3" w:rsidRDefault="001906C3">
    <w:pPr>
      <w:pStyle w:val="Header"/>
    </w:pPr>
    <w:r>
      <w:rPr>
        <w:noProof/>
        <w:lang w:eastAsia="en-NZ"/>
      </w:rPr>
      <w:drawing>
        <wp:anchor distT="0" distB="0" distL="114300" distR="114300" simplePos="0" relativeHeight="251664384" behindDoc="1" locked="0" layoutInCell="1" allowOverlap="1" wp14:anchorId="5BD42362" wp14:editId="745E5BB6">
          <wp:simplePos x="0" y="0"/>
          <wp:positionH relativeFrom="page">
            <wp:posOffset>2043430</wp:posOffset>
          </wp:positionH>
          <wp:positionV relativeFrom="page">
            <wp:posOffset>5189855</wp:posOffset>
          </wp:positionV>
          <wp:extent cx="5518150" cy="5512435"/>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18150" cy="5512435"/>
                  </a:xfrm>
                  <a:prstGeom prst="rect">
                    <a:avLst/>
                  </a:prstGeom>
                </pic:spPr>
              </pic:pic>
            </a:graphicData>
          </a:graphic>
        </wp:anchor>
      </w:drawing>
    </w:r>
    <w:r>
      <w:rPr>
        <w:noProof/>
        <w:lang w:eastAsia="en-NZ"/>
      </w:rPr>
      <w:drawing>
        <wp:anchor distT="0" distB="0" distL="114300" distR="114300" simplePos="0" relativeHeight="251665408" behindDoc="1" locked="0" layoutInCell="1" allowOverlap="1" wp14:anchorId="62F151A5" wp14:editId="5ED622F2">
          <wp:simplePos x="0" y="0"/>
          <wp:positionH relativeFrom="page">
            <wp:posOffset>810260</wp:posOffset>
          </wp:positionH>
          <wp:positionV relativeFrom="page">
            <wp:posOffset>635330</wp:posOffset>
          </wp:positionV>
          <wp:extent cx="1720685" cy="475013"/>
          <wp:effectExtent l="0" t="0" r="6985" b="762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20685" cy="4750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89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912E4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0A29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A3A78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7C48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E4A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CE94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EEC1C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7402E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CAFD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0A5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380EFD"/>
    <w:multiLevelType w:val="hybridMultilevel"/>
    <w:tmpl w:val="BACC9252"/>
    <w:lvl w:ilvl="0" w:tplc="428E90C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B3759"/>
    <w:multiLevelType w:val="multilevel"/>
    <w:tmpl w:val="02CA6A4A"/>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isLgl/>
      <w:lvlText w:val="%2.%3.%1"/>
      <w:lvlJc w:val="left"/>
      <w:pPr>
        <w:tabs>
          <w:tab w:val="num" w:pos="510"/>
        </w:tabs>
        <w:ind w:left="510" w:hanging="51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F392618"/>
    <w:multiLevelType w:val="hybridMultilevel"/>
    <w:tmpl w:val="1B12CDD4"/>
    <w:lvl w:ilvl="0" w:tplc="E952B69C">
      <w:numFmt w:val="bullet"/>
      <w:pStyle w:val="Bullet"/>
      <w:lvlText w:val="•"/>
      <w:lvlJc w:val="left"/>
      <w:pPr>
        <w:ind w:left="720" w:hanging="360"/>
      </w:pPr>
      <w:rPr>
        <w:rFonts w:ascii="Arial" w:eastAsiaTheme="minorHAnsi" w:hAnsi="Arial" w:cs="Arial" w:hint="default"/>
      </w:rPr>
    </w:lvl>
    <w:lvl w:ilvl="1" w:tplc="790C1F82">
      <w:start w:val="1"/>
      <w:numFmt w:val="bullet"/>
      <w:pStyle w:val="Sub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53B217F"/>
    <w:multiLevelType w:val="hybridMultilevel"/>
    <w:tmpl w:val="17B4A996"/>
    <w:lvl w:ilvl="0" w:tplc="A4F60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C6F0C"/>
    <w:multiLevelType w:val="hybridMultilevel"/>
    <w:tmpl w:val="F4E48DF4"/>
    <w:lvl w:ilvl="0" w:tplc="C524AFE2">
      <w:start w:val="1"/>
      <w:numFmt w:val="decimal"/>
      <w:lvlText w:val="%1."/>
      <w:lvlJc w:val="left"/>
      <w:pPr>
        <w:ind w:left="960"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33C0E"/>
    <w:multiLevelType w:val="hybridMultilevel"/>
    <w:tmpl w:val="6E7AC874"/>
    <w:lvl w:ilvl="0" w:tplc="C524AFE2">
      <w:start w:val="1"/>
      <w:numFmt w:val="decimal"/>
      <w:lvlText w:val="%1."/>
      <w:lvlJc w:val="left"/>
      <w:pPr>
        <w:ind w:left="960"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564AA"/>
    <w:multiLevelType w:val="hybridMultilevel"/>
    <w:tmpl w:val="17B4A996"/>
    <w:lvl w:ilvl="0" w:tplc="A4F60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06760"/>
    <w:multiLevelType w:val="hybridMultilevel"/>
    <w:tmpl w:val="43D6FF2E"/>
    <w:lvl w:ilvl="0" w:tplc="6DCE1072">
      <w:start w:val="1"/>
      <w:numFmt w:val="lowerRoman"/>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9071A"/>
    <w:multiLevelType w:val="hybridMultilevel"/>
    <w:tmpl w:val="691029F2"/>
    <w:lvl w:ilvl="0" w:tplc="9E0CA8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E7A68"/>
    <w:multiLevelType w:val="hybridMultilevel"/>
    <w:tmpl w:val="4FC6F8D6"/>
    <w:lvl w:ilvl="0" w:tplc="A4F60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33153"/>
    <w:multiLevelType w:val="hybridMultilevel"/>
    <w:tmpl w:val="29BC60FA"/>
    <w:lvl w:ilvl="0" w:tplc="877E6B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20214"/>
    <w:multiLevelType w:val="hybridMultilevel"/>
    <w:tmpl w:val="CFC8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F40CC"/>
    <w:multiLevelType w:val="hybridMultilevel"/>
    <w:tmpl w:val="1A0C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15A3A"/>
    <w:multiLevelType w:val="hybridMultilevel"/>
    <w:tmpl w:val="A876487C"/>
    <w:lvl w:ilvl="0" w:tplc="AF32B25A">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entury Gothic"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entury Gothic"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9877BF2"/>
    <w:multiLevelType w:val="multilevel"/>
    <w:tmpl w:val="E2F8ED44"/>
    <w:lvl w:ilvl="0">
      <w:start w:val="1"/>
      <w:numFmt w:val="decimal"/>
      <w:lvlText w:val="%1."/>
      <w:lvlJc w:val="left"/>
      <w:pPr>
        <w:ind w:left="360" w:hanging="360"/>
      </w:pPr>
      <w:rPr>
        <w:rFonts w:ascii="Arial" w:hAnsi="Arial" w:hint="default"/>
        <w:b w:val="0"/>
        <w:bCs w:val="0"/>
        <w:i w:val="0"/>
        <w:iCs w:val="0"/>
        <w:caps w:val="0"/>
        <w:smallCaps w:val="0"/>
        <w:strike w:val="0"/>
        <w:dstrike w:val="0"/>
        <w:noProof w:val="0"/>
        <w:vanish w:val="0"/>
        <w:color w:val="009EC7"/>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D41CA0"/>
    <w:multiLevelType w:val="hybridMultilevel"/>
    <w:tmpl w:val="4FC6F8D6"/>
    <w:lvl w:ilvl="0" w:tplc="A4F60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93271"/>
    <w:multiLevelType w:val="hybridMultilevel"/>
    <w:tmpl w:val="F140CF68"/>
    <w:lvl w:ilvl="0" w:tplc="A4F60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05860"/>
    <w:multiLevelType w:val="hybridMultilevel"/>
    <w:tmpl w:val="9172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66F26"/>
    <w:multiLevelType w:val="hybridMultilevel"/>
    <w:tmpl w:val="8D92B556"/>
    <w:lvl w:ilvl="0" w:tplc="1194D694">
      <w:start w:val="1"/>
      <w:numFmt w:val="lowerLetter"/>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entury Gothic"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entury Gothic"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BDA7B0E"/>
    <w:multiLevelType w:val="hybridMultilevel"/>
    <w:tmpl w:val="37FC4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2F7605C"/>
    <w:multiLevelType w:val="hybridMultilevel"/>
    <w:tmpl w:val="C1B26710"/>
    <w:lvl w:ilvl="0" w:tplc="5BA2E01A">
      <w:start w:val="1"/>
      <w:numFmt w:val="decimal"/>
      <w:pStyle w:val="ListNumber"/>
      <w:lvlText w:val="%1."/>
      <w:lvlJc w:val="left"/>
      <w:pPr>
        <w:ind w:left="360" w:hanging="360"/>
      </w:pPr>
    </w:lvl>
    <w:lvl w:ilvl="1" w:tplc="7F6A7D8E">
      <w:start w:val="1"/>
      <w:numFmt w:val="lowerLetter"/>
      <w:pStyle w:val="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6011D9"/>
    <w:multiLevelType w:val="hybridMultilevel"/>
    <w:tmpl w:val="FC04C45C"/>
    <w:lvl w:ilvl="0" w:tplc="43625916">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46E10"/>
    <w:multiLevelType w:val="hybridMultilevel"/>
    <w:tmpl w:val="68424CE8"/>
    <w:lvl w:ilvl="0" w:tplc="AFA61F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E7D87"/>
    <w:multiLevelType w:val="hybridMultilevel"/>
    <w:tmpl w:val="F140CF68"/>
    <w:lvl w:ilvl="0" w:tplc="A4F60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18"/>
  </w:num>
  <w:num w:numId="4">
    <w:abstractNumId w:val="24"/>
  </w:num>
  <w:num w:numId="5">
    <w:abstractNumId w:val="25"/>
  </w:num>
  <w:num w:numId="6">
    <w:abstractNumId w:val="25"/>
  </w:num>
  <w:num w:numId="7">
    <w:abstractNumId w:val="25"/>
  </w:num>
  <w:num w:numId="8">
    <w:abstractNumId w:val="32"/>
  </w:num>
  <w:num w:numId="9">
    <w:abstractNumId w:val="29"/>
  </w:num>
  <w:num w:numId="10">
    <w:abstractNumId w:val="18"/>
  </w:num>
  <w:num w:numId="11">
    <w:abstractNumId w:val="24"/>
  </w:num>
  <w:num w:numId="12">
    <w:abstractNumId w:val="25"/>
  </w:num>
  <w:num w:numId="13">
    <w:abstractNumId w:val="25"/>
  </w:num>
  <w:num w:numId="14">
    <w:abstractNumId w:val="25"/>
  </w:num>
  <w:num w:numId="15">
    <w:abstractNumId w:val="12"/>
  </w:num>
  <w:num w:numId="16">
    <w:abstractNumId w:val="30"/>
  </w:num>
  <w:num w:numId="17">
    <w:abstractNumId w:val="13"/>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 w:numId="29">
    <w:abstractNumId w:val="31"/>
  </w:num>
  <w:num w:numId="30">
    <w:abstractNumId w:val="31"/>
    <w:lvlOverride w:ilvl="0">
      <w:startOverride w:val="1"/>
    </w:lvlOverride>
  </w:num>
  <w:num w:numId="31">
    <w:abstractNumId w:val="31"/>
    <w:lvlOverride w:ilvl="0">
      <w:startOverride w:val="1"/>
    </w:lvlOverride>
  </w:num>
  <w:num w:numId="32">
    <w:abstractNumId w:val="22"/>
  </w:num>
  <w:num w:numId="33">
    <w:abstractNumId w:val="28"/>
  </w:num>
  <w:num w:numId="34">
    <w:abstractNumId w:val="23"/>
  </w:num>
  <w:num w:numId="35">
    <w:abstractNumId w:val="15"/>
  </w:num>
  <w:num w:numId="36">
    <w:abstractNumId w:val="16"/>
  </w:num>
  <w:num w:numId="37">
    <w:abstractNumId w:val="34"/>
  </w:num>
  <w:num w:numId="38">
    <w:abstractNumId w:val="19"/>
  </w:num>
  <w:num w:numId="39">
    <w:abstractNumId w:val="27"/>
  </w:num>
  <w:num w:numId="40">
    <w:abstractNumId w:val="20"/>
  </w:num>
  <w:num w:numId="41">
    <w:abstractNumId w:val="33"/>
  </w:num>
  <w:num w:numId="42">
    <w:abstractNumId w:val="26"/>
  </w:num>
  <w:num w:numId="43">
    <w:abstractNumId w:val="11"/>
  </w:num>
  <w:num w:numId="44">
    <w:abstractNumId w:val="17"/>
  </w:num>
  <w:num w:numId="45">
    <w:abstractNumId w:val="2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SortMethod w:val="00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7D"/>
    <w:rsid w:val="00031317"/>
    <w:rsid w:val="00043EB2"/>
    <w:rsid w:val="00051F52"/>
    <w:rsid w:val="00055207"/>
    <w:rsid w:val="00062FEC"/>
    <w:rsid w:val="00064FCD"/>
    <w:rsid w:val="00066018"/>
    <w:rsid w:val="00075AD6"/>
    <w:rsid w:val="00077AC7"/>
    <w:rsid w:val="00094427"/>
    <w:rsid w:val="00116BBE"/>
    <w:rsid w:val="001236AA"/>
    <w:rsid w:val="00124246"/>
    <w:rsid w:val="00126352"/>
    <w:rsid w:val="00135BE8"/>
    <w:rsid w:val="001426F7"/>
    <w:rsid w:val="00152FEB"/>
    <w:rsid w:val="001570D2"/>
    <w:rsid w:val="0017671B"/>
    <w:rsid w:val="00185445"/>
    <w:rsid w:val="001906C3"/>
    <w:rsid w:val="001A77E2"/>
    <w:rsid w:val="0020062A"/>
    <w:rsid w:val="002122FD"/>
    <w:rsid w:val="00236D67"/>
    <w:rsid w:val="00245439"/>
    <w:rsid w:val="00265916"/>
    <w:rsid w:val="00271749"/>
    <w:rsid w:val="002766E3"/>
    <w:rsid w:val="002919AE"/>
    <w:rsid w:val="002A552C"/>
    <w:rsid w:val="002D5D43"/>
    <w:rsid w:val="002F041A"/>
    <w:rsid w:val="00302361"/>
    <w:rsid w:val="0035425A"/>
    <w:rsid w:val="003562E2"/>
    <w:rsid w:val="00360EED"/>
    <w:rsid w:val="003930DD"/>
    <w:rsid w:val="003B2EEC"/>
    <w:rsid w:val="003C73D0"/>
    <w:rsid w:val="00407DE8"/>
    <w:rsid w:val="004208C6"/>
    <w:rsid w:val="004405F9"/>
    <w:rsid w:val="00480D70"/>
    <w:rsid w:val="00487511"/>
    <w:rsid w:val="00490C4B"/>
    <w:rsid w:val="004B2A54"/>
    <w:rsid w:val="004C3EF8"/>
    <w:rsid w:val="004F7C76"/>
    <w:rsid w:val="0051291D"/>
    <w:rsid w:val="005404E7"/>
    <w:rsid w:val="00540E5A"/>
    <w:rsid w:val="00541A8C"/>
    <w:rsid w:val="00556D1F"/>
    <w:rsid w:val="005612D1"/>
    <w:rsid w:val="00580F9B"/>
    <w:rsid w:val="005952BD"/>
    <w:rsid w:val="005C398D"/>
    <w:rsid w:val="005F28D3"/>
    <w:rsid w:val="0061150C"/>
    <w:rsid w:val="00651F3F"/>
    <w:rsid w:val="00653D1F"/>
    <w:rsid w:val="00690BB7"/>
    <w:rsid w:val="006C32F3"/>
    <w:rsid w:val="006C5791"/>
    <w:rsid w:val="006C5DA1"/>
    <w:rsid w:val="006D4815"/>
    <w:rsid w:val="006F285D"/>
    <w:rsid w:val="007056EE"/>
    <w:rsid w:val="007255E9"/>
    <w:rsid w:val="007366DA"/>
    <w:rsid w:val="0073679A"/>
    <w:rsid w:val="00743690"/>
    <w:rsid w:val="00747EDF"/>
    <w:rsid w:val="00757C44"/>
    <w:rsid w:val="00760254"/>
    <w:rsid w:val="00780454"/>
    <w:rsid w:val="007976C6"/>
    <w:rsid w:val="007A1FB4"/>
    <w:rsid w:val="007B4BD0"/>
    <w:rsid w:val="007C2153"/>
    <w:rsid w:val="007C33F5"/>
    <w:rsid w:val="007D65F4"/>
    <w:rsid w:val="007E0E53"/>
    <w:rsid w:val="007E190C"/>
    <w:rsid w:val="007E58E5"/>
    <w:rsid w:val="007F0FDF"/>
    <w:rsid w:val="007F46EA"/>
    <w:rsid w:val="008271D9"/>
    <w:rsid w:val="00852CE4"/>
    <w:rsid w:val="008676BD"/>
    <w:rsid w:val="008700D1"/>
    <w:rsid w:val="0087018E"/>
    <w:rsid w:val="008828A9"/>
    <w:rsid w:val="00890ECC"/>
    <w:rsid w:val="00892A23"/>
    <w:rsid w:val="008953C8"/>
    <w:rsid w:val="00895A0C"/>
    <w:rsid w:val="008A0D2B"/>
    <w:rsid w:val="008B7BB7"/>
    <w:rsid w:val="008D1896"/>
    <w:rsid w:val="008E7F86"/>
    <w:rsid w:val="008F00E5"/>
    <w:rsid w:val="008F7216"/>
    <w:rsid w:val="00917A89"/>
    <w:rsid w:val="009320D0"/>
    <w:rsid w:val="009605E7"/>
    <w:rsid w:val="00965288"/>
    <w:rsid w:val="00966D12"/>
    <w:rsid w:val="0099680D"/>
    <w:rsid w:val="009A2DA2"/>
    <w:rsid w:val="009B43BC"/>
    <w:rsid w:val="009E3C78"/>
    <w:rsid w:val="009F23FC"/>
    <w:rsid w:val="00A35B2E"/>
    <w:rsid w:val="00A62ABB"/>
    <w:rsid w:val="00A63C1A"/>
    <w:rsid w:val="00A65525"/>
    <w:rsid w:val="00A71DD7"/>
    <w:rsid w:val="00A84B39"/>
    <w:rsid w:val="00A97FB1"/>
    <w:rsid w:val="00AD10CA"/>
    <w:rsid w:val="00AD1568"/>
    <w:rsid w:val="00AE0A84"/>
    <w:rsid w:val="00AF5826"/>
    <w:rsid w:val="00B07782"/>
    <w:rsid w:val="00B24814"/>
    <w:rsid w:val="00B32297"/>
    <w:rsid w:val="00B34EF1"/>
    <w:rsid w:val="00BA4FA7"/>
    <w:rsid w:val="00BA762F"/>
    <w:rsid w:val="00BC655E"/>
    <w:rsid w:val="00BF4B49"/>
    <w:rsid w:val="00BF7A45"/>
    <w:rsid w:val="00C00162"/>
    <w:rsid w:val="00C20824"/>
    <w:rsid w:val="00C27879"/>
    <w:rsid w:val="00C62A5C"/>
    <w:rsid w:val="00C64A23"/>
    <w:rsid w:val="00C839C7"/>
    <w:rsid w:val="00C91B94"/>
    <w:rsid w:val="00CD40EF"/>
    <w:rsid w:val="00CF5D37"/>
    <w:rsid w:val="00CF7EDF"/>
    <w:rsid w:val="00D3617D"/>
    <w:rsid w:val="00D36256"/>
    <w:rsid w:val="00D377C9"/>
    <w:rsid w:val="00D50B65"/>
    <w:rsid w:val="00D52771"/>
    <w:rsid w:val="00D6311C"/>
    <w:rsid w:val="00D95D9F"/>
    <w:rsid w:val="00D979B7"/>
    <w:rsid w:val="00DB6C09"/>
    <w:rsid w:val="00DE6C3A"/>
    <w:rsid w:val="00DF4EFA"/>
    <w:rsid w:val="00DF58CB"/>
    <w:rsid w:val="00E349B9"/>
    <w:rsid w:val="00E34B59"/>
    <w:rsid w:val="00E44D1D"/>
    <w:rsid w:val="00E4592A"/>
    <w:rsid w:val="00E86FFC"/>
    <w:rsid w:val="00E91C68"/>
    <w:rsid w:val="00E94EE5"/>
    <w:rsid w:val="00E96542"/>
    <w:rsid w:val="00EA73C9"/>
    <w:rsid w:val="00EC6074"/>
    <w:rsid w:val="00EE3DBF"/>
    <w:rsid w:val="00EF2BCE"/>
    <w:rsid w:val="00EF62D6"/>
    <w:rsid w:val="00F12E1D"/>
    <w:rsid w:val="00F22E06"/>
    <w:rsid w:val="00F62034"/>
    <w:rsid w:val="00F73853"/>
    <w:rsid w:val="00F73AFD"/>
    <w:rsid w:val="00F87F0C"/>
    <w:rsid w:val="00F916E3"/>
    <w:rsid w:val="00F933DF"/>
    <w:rsid w:val="00FA57F9"/>
    <w:rsid w:val="00FD57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8A554"/>
  <w15:docId w15:val="{ABFBA2B8-BD68-4199-8E2C-7DC16023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3"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qFormat/>
    <w:rsid w:val="00556D1F"/>
    <w:rPr>
      <w:rFonts w:ascii="Arial" w:hAnsi="Arial"/>
    </w:rPr>
  </w:style>
  <w:style w:type="paragraph" w:styleId="Heading1">
    <w:name w:val="heading 1"/>
    <w:basedOn w:val="BasicParagraph"/>
    <w:next w:val="Normal"/>
    <w:link w:val="Heading1Char"/>
    <w:uiPriority w:val="3"/>
    <w:qFormat/>
    <w:rsid w:val="00FA57F9"/>
    <w:pPr>
      <w:outlineLvl w:val="0"/>
    </w:pPr>
    <w:rPr>
      <w:rFonts w:ascii="Arial Bold" w:hAnsi="Arial Bold" w:cs="Arial"/>
      <w:b/>
      <w:bCs/>
      <w:color w:val="0061A2" w:themeColor="accent1"/>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asciiTheme="majorHAnsi" w:eastAsiaTheme="majorEastAsia" w:hAnsiTheme="majorHAnsi" w:cstheme="majorBidi"/>
      <w:b/>
      <w:bCs/>
      <w:color w:val="000000" w:themeColor="text1"/>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qFormat/>
    <w:rsid w:val="00BC655E"/>
    <w:pPr>
      <w:keepNext/>
      <w:keepLines/>
      <w:spacing w:before="200" w:after="0"/>
      <w:outlineLvl w:val="3"/>
    </w:pPr>
    <w:rPr>
      <w:rFonts w:asciiTheme="majorHAnsi" w:eastAsiaTheme="majorEastAsia" w:hAnsiTheme="majorHAnsi" w:cstheme="majorBidi"/>
      <w:bCs/>
      <w:iCs/>
      <w:color w:val="0061A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52C"/>
  </w:style>
  <w:style w:type="table" w:customStyle="1" w:styleId="LightShading1">
    <w:name w:val="Light Shading1"/>
    <w:aliases w:val="Lotteries 2"/>
    <w:basedOn w:val="TableNormal"/>
    <w:uiPriority w:val="60"/>
    <w:rsid w:val="003B2EEC"/>
    <w:pPr>
      <w:spacing w:after="0" w:line="240" w:lineRule="auto"/>
    </w:pPr>
    <w:rPr>
      <w:rFonts w:ascii="Arial Narrow" w:hAnsi="Arial Narrow"/>
      <w:b/>
      <w:color w:val="000000" w:themeColor="text1" w:themeShade="BF"/>
      <w:sz w:val="18"/>
    </w:rPr>
    <w:tblPr>
      <w:tblStyleRowBandSize w:val="1"/>
      <w:tblStyleColBandSize w:val="1"/>
    </w:tblPr>
    <w:tcPr>
      <w:shd w:val="clear" w:color="auto" w:fill="auto"/>
      <w:vAlign w:val="center"/>
    </w:tcPr>
    <w:tblStylePr w:type="firstRow">
      <w:pPr>
        <w:spacing w:before="0" w:after="0" w:line="240" w:lineRule="auto"/>
      </w:pPr>
      <w:rPr>
        <w:rFonts w:ascii="Arial Narrow" w:hAnsi="Arial Narrow"/>
        <w:b/>
        <w:bCs/>
        <w:color w:val="FFFFFF" w:themeColor="background1"/>
        <w:sz w:val="18"/>
      </w:rPr>
      <w:tblPr/>
      <w:tcPr>
        <w:shd w:val="clear" w:color="auto" w:fill="0061A2" w:themeFill="accent1"/>
      </w:tcPr>
    </w:tblStylePr>
    <w:tblStylePr w:type="lastRow">
      <w:pPr>
        <w:spacing w:before="0" w:after="0" w:line="240" w:lineRule="auto"/>
      </w:pPr>
      <w:rPr>
        <w:rFonts w:ascii="Arial Narrow" w:hAnsi="Arial Narrow"/>
        <w:b w:val="0"/>
        <w:bCs/>
        <w:sz w:val="18"/>
      </w:rPr>
    </w:tblStylePr>
    <w:tblStylePr w:type="firstCol">
      <w:rPr>
        <w:rFonts w:ascii="Arial" w:hAnsi="Arial"/>
        <w:b w:val="0"/>
        <w:bCs/>
        <w:sz w:val="18"/>
      </w:rPr>
    </w:tblStylePr>
    <w:tblStylePr w:type="lastCol">
      <w:rPr>
        <w:rFonts w:ascii="Arial" w:hAnsi="Arial"/>
        <w:b w:val="0"/>
        <w:bCs/>
        <w:sz w:val="18"/>
      </w:rPr>
    </w:tblStylePr>
    <w:tblStylePr w:type="band1Horz">
      <w:rPr>
        <w:rFonts w:ascii="Arial Narrow" w:hAnsi="Arial Narrow"/>
        <w:sz w:val="18"/>
      </w:rPr>
    </w:tblStylePr>
    <w:tblStylePr w:type="band2Horz">
      <w:rPr>
        <w:rFonts w:ascii="Arial Narrow" w:hAnsi="Arial Narrow"/>
        <w:sz w:val="18"/>
      </w:rPr>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style>
  <w:style w:type="character" w:customStyle="1" w:styleId="TitleChar">
    <w:name w:val="Title Char"/>
    <w:basedOn w:val="DefaultParagraphFont"/>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sz w:val="36"/>
    </w:rPr>
  </w:style>
  <w:style w:type="character" w:customStyle="1" w:styleId="SubtitleChar">
    <w:name w:val="Subtitle Char"/>
    <w:basedOn w:val="DefaultParagraphFont"/>
    <w:link w:val="Subtitle"/>
    <w:uiPriority w:val="1"/>
    <w:rsid w:val="0087018E"/>
    <w:rPr>
      <w:rFonts w:ascii="Arial" w:hAnsi="Arial" w:cs="Arial"/>
      <w:color w:val="3397D3"/>
      <w:sz w:val="36"/>
      <w:szCs w:val="40"/>
      <w:lang w:val="en-GB"/>
    </w:rPr>
  </w:style>
  <w:style w:type="character" w:customStyle="1" w:styleId="Heading1Char">
    <w:name w:val="Heading 1 Char"/>
    <w:basedOn w:val="DefaultParagraphFont"/>
    <w:link w:val="Heading1"/>
    <w:uiPriority w:val="3"/>
    <w:rsid w:val="00FA57F9"/>
    <w:rPr>
      <w:rFonts w:ascii="Arial Bold" w:hAnsi="Arial Bold" w:cs="Arial"/>
      <w:b/>
      <w:bCs/>
      <w:color w:val="0061A2" w:themeColor="accent1"/>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themeColor="accent3"/>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7"/>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ind w:left="850" w:hanging="425"/>
    </w:pPr>
  </w:style>
  <w:style w:type="paragraph" w:customStyle="1" w:styleId="Footnote">
    <w:name w:val="Footnote"/>
    <w:basedOn w:val="BasicParagraph"/>
    <w:uiPriority w:val="99"/>
    <w:qFormat/>
    <w:rsid w:val="00A84B39"/>
    <w:pPr>
      <w:pBdr>
        <w:top w:val="single" w:sz="4" w:space="10" w:color="808080" w:themeColor="accent3"/>
      </w:pBdr>
      <w:suppressAutoHyphens/>
      <w:spacing w:after="113"/>
      <w:ind w:right="2126"/>
    </w:pPr>
    <w:rPr>
      <w:rFonts w:cs="Arial"/>
      <w:color w:val="808080" w:themeColor="accent3"/>
      <w:sz w:val="14"/>
      <w:szCs w:val="14"/>
    </w:rPr>
  </w:style>
  <w:style w:type="table" w:styleId="TableGrid">
    <w:name w:val="Table Grid"/>
    <w:basedOn w:val="TableNormal"/>
    <w:uiPriority w:val="59"/>
    <w:rsid w:val="00C0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NZX">
    <w:name w:val="NZX"/>
    <w:basedOn w:val="TableNormal"/>
    <w:uiPriority w:val="99"/>
    <w:qFormat/>
    <w:rsid w:val="00C00162"/>
    <w:pPr>
      <w:spacing w:after="0" w:line="240" w:lineRule="auto"/>
    </w:pPr>
    <w:rPr>
      <w:rFonts w:ascii="Arial" w:hAnsi="Arial"/>
      <w:sz w:val="20"/>
    </w:rPr>
    <w:tblPr>
      <w:tblBorders>
        <w:top w:val="single" w:sz="4" w:space="0" w:color="808080" w:themeColor="accent3"/>
        <w:left w:val="single" w:sz="4" w:space="0" w:color="808080" w:themeColor="accent3"/>
        <w:bottom w:val="single" w:sz="4" w:space="0" w:color="808080" w:themeColor="accent3"/>
        <w:right w:val="single" w:sz="4" w:space="0" w:color="808080" w:themeColor="accent3"/>
        <w:insideH w:val="single" w:sz="4" w:space="0" w:color="808080" w:themeColor="accent3"/>
        <w:insideV w:val="single" w:sz="4" w:space="0" w:color="808080" w:themeColor="accent3"/>
      </w:tblBorders>
      <w:tblCellMar>
        <w:top w:w="57" w:type="dxa"/>
        <w:left w:w="79" w:type="dxa"/>
        <w:bottom w:w="113" w:type="dxa"/>
        <w:right w:w="79" w:type="dxa"/>
      </w:tblCellMar>
    </w:tblPr>
    <w:tcPr>
      <w:vAlign w:val="center"/>
    </w:tcPr>
    <w:tblStylePr w:type="firstRow">
      <w:rPr>
        <w:rFonts w:ascii="Arial" w:hAnsi="Arial"/>
        <w:b/>
        <w:color w:val="FFFFFF" w:themeColor="background1"/>
        <w:sz w:val="20"/>
      </w:rPr>
      <w:tblPr/>
      <w:tcPr>
        <w:tcBorders>
          <w:top w:val="single" w:sz="4" w:space="0" w:color="0061A2" w:themeColor="accent1"/>
          <w:left w:val="single" w:sz="4" w:space="0" w:color="0061A2" w:themeColor="accent1"/>
          <w:bottom w:val="single" w:sz="4" w:space="0" w:color="0061A2" w:themeColor="accent1"/>
          <w:right w:val="single" w:sz="4" w:space="0" w:color="0061A2" w:themeColor="accent1"/>
          <w:insideH w:val="single" w:sz="4" w:space="0" w:color="0061A2" w:themeColor="accent1"/>
          <w:insideV w:val="single" w:sz="4" w:space="0" w:color="0061A2" w:themeColor="accent1"/>
          <w:tl2br w:val="nil"/>
          <w:tr2bl w:val="nil"/>
        </w:tcBorders>
        <w:shd w:val="clear" w:color="auto" w:fill="0061A2" w:themeFill="accent1"/>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themeColor="accent3"/>
      <w:sz w:val="18"/>
      <w:szCs w:val="18"/>
    </w:rPr>
  </w:style>
  <w:style w:type="paragraph" w:styleId="FootnoteText">
    <w:name w:val="footnote text"/>
    <w:basedOn w:val="Footnote"/>
    <w:link w:val="FootnoteTextChar"/>
    <w:uiPriority w:val="99"/>
    <w:rsid w:val="009E3C78"/>
    <w:pPr>
      <w:ind w:right="0"/>
    </w:pPr>
  </w:style>
  <w:style w:type="character" w:customStyle="1" w:styleId="FootnoteTextChar">
    <w:name w:val="Footnote Text Char"/>
    <w:basedOn w:val="DefaultParagraphFont"/>
    <w:link w:val="FootnoteText"/>
    <w:uiPriority w:val="99"/>
    <w:rsid w:val="009E3C78"/>
    <w:rPr>
      <w:rFonts w:ascii="Arial" w:hAnsi="Arial" w:cs="Arial"/>
      <w:color w:val="808080" w:themeColor="accent3"/>
      <w:sz w:val="14"/>
      <w:szCs w:val="14"/>
      <w:lang w:val="en-GB"/>
    </w:rPr>
  </w:style>
  <w:style w:type="character" w:styleId="FootnoteReference">
    <w:name w:val="footnote reference"/>
    <w:basedOn w:val="DefaultParagraphFont"/>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basedOn w:val="DefaultParagraphFont"/>
    <w:link w:val="Heading2"/>
    <w:uiPriority w:val="99"/>
    <w:rsid w:val="00556D1F"/>
    <w:rPr>
      <w:rFonts w:asciiTheme="majorHAnsi" w:eastAsiaTheme="majorEastAsia" w:hAnsiTheme="majorHAnsi" w:cstheme="majorBidi"/>
      <w:b/>
      <w:bCs/>
      <w:color w:val="000000" w:themeColor="text1"/>
      <w:sz w:val="24"/>
      <w:szCs w:val="24"/>
    </w:rPr>
  </w:style>
  <w:style w:type="character" w:customStyle="1" w:styleId="Heading3Char">
    <w:name w:val="Heading 3 Char"/>
    <w:basedOn w:val="DefaultParagraphFont"/>
    <w:link w:val="Heading3"/>
    <w:uiPriority w:val="99"/>
    <w:rsid w:val="00556D1F"/>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556D1F"/>
    <w:rPr>
      <w:rFonts w:asciiTheme="majorHAnsi" w:eastAsiaTheme="majorEastAsia" w:hAnsiTheme="majorHAnsi" w:cstheme="majorBidi"/>
      <w:bCs/>
      <w:iCs/>
      <w:color w:val="0061A2" w:themeColor="text2"/>
    </w:rPr>
  </w:style>
  <w:style w:type="paragraph" w:styleId="ListNumber">
    <w:name w:val="List Number"/>
    <w:basedOn w:val="BodyCopy"/>
    <w:uiPriority w:val="99"/>
    <w:unhideWhenUsed/>
    <w:rsid w:val="0073679A"/>
    <w:pPr>
      <w:numPr>
        <w:numId w:val="29"/>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ListParagraph">
    <w:name w:val="List Paragraph"/>
    <w:basedOn w:val="Normal"/>
    <w:autoRedefine/>
    <w:uiPriority w:val="34"/>
    <w:qFormat/>
    <w:rsid w:val="007E0E53"/>
    <w:pPr>
      <w:spacing w:after="100" w:afterAutospacing="1" w:line="360" w:lineRule="auto"/>
      <w:contextualSpacing/>
    </w:pPr>
    <w:rPr>
      <w:rFonts w:ascii="Lucida Grande" w:eastAsiaTheme="minorEastAsia" w:hAnsi="Lucida Grande" w:cs="Lucida Grande"/>
      <w:sz w:val="20"/>
      <w:szCs w:val="20"/>
      <w:lang w:val="en-US"/>
    </w:rPr>
  </w:style>
  <w:style w:type="paragraph" w:styleId="BodyTextIndent">
    <w:name w:val="Body Text Indent"/>
    <w:basedOn w:val="Normal"/>
    <w:link w:val="BodyTextIndentChar"/>
    <w:rsid w:val="00DB6C09"/>
    <w:pPr>
      <w:widowControl w:val="0"/>
      <w:tabs>
        <w:tab w:val="left" w:pos="-1440"/>
      </w:tabs>
      <w:spacing w:after="0" w:line="240" w:lineRule="auto"/>
      <w:ind w:left="1440" w:hanging="720"/>
      <w:jc w:val="both"/>
    </w:pPr>
    <w:rPr>
      <w:rFonts w:ascii="ITC Officina Sans Book" w:eastAsia="Times New Roman" w:hAnsi="ITC Officina Sans Book" w:cs="Times New Roman"/>
      <w:snapToGrid w:val="0"/>
      <w:sz w:val="24"/>
      <w:szCs w:val="20"/>
      <w:lang w:val="en-GB"/>
    </w:rPr>
  </w:style>
  <w:style w:type="character" w:customStyle="1" w:styleId="BodyTextIndentChar">
    <w:name w:val="Body Text Indent Char"/>
    <w:basedOn w:val="DefaultParagraphFont"/>
    <w:link w:val="BodyTextIndent"/>
    <w:rsid w:val="00DB6C09"/>
    <w:rPr>
      <w:rFonts w:ascii="ITC Officina Sans Book" w:eastAsia="Times New Roman" w:hAnsi="ITC Officina Sans Book" w:cs="Times New Roman"/>
      <w:snapToGrid w:val="0"/>
      <w:sz w:val="24"/>
      <w:szCs w:val="20"/>
      <w:lang w:val="en-GB"/>
    </w:rPr>
  </w:style>
  <w:style w:type="paragraph" w:customStyle="1" w:styleId="Default">
    <w:name w:val="Default"/>
    <w:rsid w:val="00966D1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32297"/>
    <w:rPr>
      <w:sz w:val="16"/>
      <w:szCs w:val="16"/>
    </w:rPr>
  </w:style>
  <w:style w:type="paragraph" w:styleId="CommentText">
    <w:name w:val="annotation text"/>
    <w:basedOn w:val="Normal"/>
    <w:link w:val="CommentTextChar"/>
    <w:uiPriority w:val="99"/>
    <w:semiHidden/>
    <w:unhideWhenUsed/>
    <w:rsid w:val="00B32297"/>
    <w:pPr>
      <w:spacing w:line="240" w:lineRule="auto"/>
    </w:pPr>
    <w:rPr>
      <w:sz w:val="20"/>
      <w:szCs w:val="20"/>
    </w:rPr>
  </w:style>
  <w:style w:type="character" w:customStyle="1" w:styleId="CommentTextChar">
    <w:name w:val="Comment Text Char"/>
    <w:basedOn w:val="DefaultParagraphFont"/>
    <w:link w:val="CommentText"/>
    <w:uiPriority w:val="99"/>
    <w:semiHidden/>
    <w:rsid w:val="00B322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2297"/>
    <w:rPr>
      <w:b/>
      <w:bCs/>
    </w:rPr>
  </w:style>
  <w:style w:type="character" w:customStyle="1" w:styleId="CommentSubjectChar">
    <w:name w:val="Comment Subject Char"/>
    <w:basedOn w:val="CommentTextChar"/>
    <w:link w:val="CommentSubject"/>
    <w:uiPriority w:val="99"/>
    <w:semiHidden/>
    <w:rsid w:val="00B32297"/>
    <w:rPr>
      <w:rFonts w:ascii="Arial" w:hAnsi="Arial"/>
      <w:b/>
      <w:bCs/>
      <w:sz w:val="20"/>
      <w:szCs w:val="20"/>
    </w:rPr>
  </w:style>
  <w:style w:type="paragraph" w:styleId="Revision">
    <w:name w:val="Revision"/>
    <w:hidden/>
    <w:uiPriority w:val="99"/>
    <w:semiHidden/>
    <w:rsid w:val="007A1FB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6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ZX">
      <a:dk1>
        <a:sysClr val="windowText" lastClr="000000"/>
      </a:dk1>
      <a:lt1>
        <a:sysClr val="window" lastClr="FFFFFF"/>
      </a:lt1>
      <a:dk2>
        <a:srgbClr val="0061A2"/>
      </a:dk2>
      <a:lt2>
        <a:srgbClr val="F2F2F2"/>
      </a:lt2>
      <a:accent1>
        <a:srgbClr val="0061A2"/>
      </a:accent1>
      <a:accent2>
        <a:srgbClr val="3397D3"/>
      </a:accent2>
      <a:accent3>
        <a:srgbClr val="808080"/>
      </a:accent3>
      <a:accent4>
        <a:srgbClr val="D9D9D9"/>
      </a:accent4>
      <a:accent5>
        <a:srgbClr val="49A942"/>
      </a:accent5>
      <a:accent6>
        <a:srgbClr val="FFD400"/>
      </a:accent6>
      <a:hlink>
        <a:srgbClr val="808080"/>
      </a:hlink>
      <a:folHlink>
        <a:srgbClr val="3397D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978FF-518F-4E05-B0FB-49170BE3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Johnston</dc:creator>
  <cp:lastModifiedBy>Liam Sweeney</cp:lastModifiedBy>
  <cp:revision>2</cp:revision>
  <cp:lastPrinted>2019-07-16T02:56:00Z</cp:lastPrinted>
  <dcterms:created xsi:type="dcterms:W3CDTF">2019-08-01T00:37:00Z</dcterms:created>
  <dcterms:modified xsi:type="dcterms:W3CDTF">2019-08-01T00:37:00Z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AuthorInitials">
    <vt:lpwstr>JIL</vt:lpwstr>
  </property>
  <property fmtid="{D5CDD505-2E9C-101B-9397-08002B2CF9AE}" pid="3" name="bgOperatorInitials">
    <vt:lpwstr>JIL</vt:lpwstr>
  </property>
  <property fmtid="{D5CDD505-2E9C-101B-9397-08002B2CF9AE}" pid="4" name="imClass">
    <vt:lpwstr>GENERAL</vt:lpwstr>
  </property>
  <property fmtid="{D5CDD505-2E9C-101B-9397-08002B2CF9AE}" pid="5" name="imType">
    <vt:lpwstr>WORDX</vt:lpwstr>
  </property>
  <property fmtid="{D5CDD505-2E9C-101B-9397-08002B2CF9AE}" pid="6" name="imDocumentNumber">
    <vt:i4>24165143</vt:i4>
  </property>
  <property fmtid="{D5CDD505-2E9C-101B-9397-08002B2CF9AE}" pid="7" name="imVersionNumber">
    <vt:i4>1</vt:i4>
  </property>
  <property fmtid="{D5CDD505-2E9C-101B-9397-08002B2CF9AE}" pid="8" name="bgTitle">
    <vt:lpwstr>Main Board and Debt Market Listing Agreement - (4 April 2019)</vt:lpwstr>
  </property>
  <property fmtid="{D5CDD505-2E9C-101B-9397-08002B2CF9AE}" pid="9" name="bgClientNumber">
    <vt:lpwstr>303252</vt:lpwstr>
  </property>
  <property fmtid="{D5CDD505-2E9C-101B-9397-08002B2CF9AE}" pid="10" name="bgClient">
    <vt:lpwstr>Hawke's Bay Regional Investment Company Limited</vt:lpwstr>
  </property>
  <property fmtid="{D5CDD505-2E9C-101B-9397-08002B2CF9AE}" pid="11" name="bgMatterNumber">
    <vt:lpwstr>403-2754</vt:lpwstr>
  </property>
  <property fmtid="{D5CDD505-2E9C-101B-9397-08002B2CF9AE}" pid="12" name="bgMatterDescription">
    <vt:lpwstr>PDS and Offer Documentation</vt:lpwstr>
  </property>
  <property fmtid="{D5CDD505-2E9C-101B-9397-08002B2CF9AE}" pid="13" name="bgPartnerInitials">
    <vt:lpwstr>AKN</vt:lpwstr>
  </property>
  <property fmtid="{D5CDD505-2E9C-101B-9397-08002B2CF9AE}" pid="14" name="bgSecondAuthorInitials">
    <vt:lpwstr/>
  </property>
  <property fmtid="{D5CDD505-2E9C-101B-9397-08002B2CF9AE}" pid="15" name="bgDocumentName">
    <vt:lpwstr>24165143</vt:lpwstr>
  </property>
</Properties>
</file>