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879E6" w14:textId="4B111DC1" w:rsidR="00665116" w:rsidRDefault="00DD7AF0">
      <w:pPr>
        <w:pStyle w:val="Heading1"/>
      </w:pPr>
      <w:bookmarkStart w:id="0" w:name="_Toc394654549"/>
      <w:bookmarkStart w:id="1" w:name="_Toc399501223"/>
      <w:r>
        <w:t xml:space="preserve">Appendix Five – </w:t>
      </w:r>
      <w:r w:rsidR="005F5BB7">
        <w:t>Part A</w:t>
      </w:r>
      <w:r>
        <w:t xml:space="preserve"> </w:t>
      </w:r>
      <w:r w:rsidR="00D26CDE">
        <w:t xml:space="preserve">Quarterly </w:t>
      </w:r>
      <w:r>
        <w:t>Internal Control Checklist</w:t>
      </w:r>
    </w:p>
    <w:p w14:paraId="2BF949FE" w14:textId="77777777" w:rsidR="00CC5692" w:rsidRDefault="00CC5692" w:rsidP="00CC5692">
      <w:pPr>
        <w:rPr>
          <w:lang w:val="en-GB"/>
        </w:rPr>
      </w:pPr>
    </w:p>
    <w:p w14:paraId="28BB4C46" w14:textId="77777777" w:rsidR="00DD7AF0" w:rsidRPr="00B7215C" w:rsidRDefault="00DD7AF0" w:rsidP="00DD7AF0">
      <w:pPr>
        <w:rPr>
          <w:rFonts w:cs="Arial"/>
          <w:b/>
          <w:color w:val="3397D3"/>
          <w:sz w:val="36"/>
          <w:szCs w:val="40"/>
          <w:lang w:val="en-GB"/>
        </w:rPr>
      </w:pPr>
      <w:r w:rsidRPr="00B7215C">
        <w:rPr>
          <w:rFonts w:cs="Arial"/>
          <w:color w:val="3397D3"/>
          <w:sz w:val="36"/>
          <w:szCs w:val="40"/>
          <w:lang w:val="en-GB"/>
        </w:rPr>
        <w:t xml:space="preserve">Completing this </w:t>
      </w:r>
      <w:r>
        <w:rPr>
          <w:rFonts w:cs="Arial"/>
          <w:color w:val="3397D3"/>
          <w:sz w:val="36"/>
          <w:szCs w:val="40"/>
          <w:lang w:val="en-GB"/>
        </w:rPr>
        <w:t>checklist</w:t>
      </w:r>
    </w:p>
    <w:p w14:paraId="1296D0A6" w14:textId="77777777" w:rsidR="005F5BB7" w:rsidRPr="00265792" w:rsidRDefault="005F5BB7" w:rsidP="005F5BB7">
      <w:pPr>
        <w:jc w:val="both"/>
        <w:rPr>
          <w:b/>
        </w:rPr>
      </w:pPr>
      <w:r w:rsidRPr="00265792">
        <w:t>If you need assistance with your checklist, please contact NZX Regulation Limited (</w:t>
      </w:r>
      <w:r w:rsidRPr="00265792">
        <w:rPr>
          <w:b/>
        </w:rPr>
        <w:t>NZ RegCo</w:t>
      </w:r>
      <w:r w:rsidRPr="00265792">
        <w:t xml:space="preserve">) Participant Compliance on </w:t>
      </w:r>
      <w:hyperlink r:id="rId8" w:tgtFrame="_blank" w:history="1">
        <w:r w:rsidRPr="00265792">
          <w:rPr>
            <w:rFonts w:cs="Times New Roman"/>
            <w:color w:val="0000FF"/>
            <w:u w:val="single"/>
          </w:rPr>
          <w:t>participant@nzregco.com</w:t>
        </w:r>
      </w:hyperlink>
      <w:r w:rsidRPr="00265792">
        <w:rPr>
          <w:rFonts w:cs="Times New Roman"/>
        </w:rPr>
        <w:t xml:space="preserve"> or +64 4 498 2279.</w:t>
      </w:r>
    </w:p>
    <w:p w14:paraId="3ECF346A" w14:textId="77777777" w:rsidR="005F5BB7" w:rsidRPr="00265792" w:rsidRDefault="005F5BB7" w:rsidP="005F5BB7">
      <w:pPr>
        <w:jc w:val="both"/>
        <w:rPr>
          <w:b/>
        </w:rPr>
      </w:pPr>
      <w:r w:rsidRPr="00265792">
        <w:t>All information provided to NZX in relation to this checklist will be kept confidential, except to the extent that disclosure of any or all of the information provided is necessary for the exercise of NZX’s regulatory functions, or as required by law.</w:t>
      </w:r>
    </w:p>
    <w:p w14:paraId="2E1AA49F" w14:textId="77777777" w:rsidR="005F5BB7" w:rsidRPr="00265792" w:rsidRDefault="005F5BB7" w:rsidP="005F5BB7">
      <w:pPr>
        <w:jc w:val="both"/>
      </w:pPr>
      <w:r w:rsidRPr="00265792">
        <w:t xml:space="preserve">Completed checklists (together with any supporting information) should be emailed to </w:t>
      </w:r>
      <w:hyperlink r:id="rId9" w:tgtFrame="_blank" w:history="1">
        <w:r w:rsidRPr="00265792">
          <w:rPr>
            <w:rFonts w:cs="Times New Roman"/>
            <w:color w:val="0000FF"/>
            <w:u w:val="single"/>
          </w:rPr>
          <w:t>participant@nzregco.com</w:t>
        </w:r>
      </w:hyperlink>
      <w:r w:rsidRPr="00654F19">
        <w:t xml:space="preserve"> or uploaded to the NZX Participant reporting platform </w:t>
      </w:r>
      <w:r w:rsidRPr="00265792">
        <w:rPr>
          <w:rFonts w:cs="Times New Roman"/>
        </w:rPr>
        <w:t xml:space="preserve">within 10 Business days </w:t>
      </w:r>
      <w:r>
        <w:rPr>
          <w:rFonts w:cs="Times New Roman"/>
        </w:rPr>
        <w:t xml:space="preserve">after </w:t>
      </w:r>
      <w:r w:rsidRPr="00265792">
        <w:rPr>
          <w:rFonts w:cs="Times New Roman"/>
        </w:rPr>
        <w:t xml:space="preserve">the </w:t>
      </w:r>
      <w:r>
        <w:rPr>
          <w:rFonts w:cs="Times New Roman"/>
        </w:rPr>
        <w:t xml:space="preserve">last day </w:t>
      </w:r>
      <w:r w:rsidRPr="00265792">
        <w:rPr>
          <w:rFonts w:cs="Times New Roman"/>
        </w:rPr>
        <w:t xml:space="preserve">of each calendar </w:t>
      </w:r>
      <w:r>
        <w:rPr>
          <w:rFonts w:cs="Times New Roman"/>
        </w:rPr>
        <w:t>quarter</w:t>
      </w:r>
      <w:r w:rsidRPr="00265792">
        <w:t>.</w:t>
      </w:r>
    </w:p>
    <w:p w14:paraId="4F2A20A2" w14:textId="77777777" w:rsidR="005F5BB7" w:rsidRDefault="005F5BB7" w:rsidP="005F5BB7">
      <w:pPr>
        <w:suppressAutoHyphens/>
        <w:adjustRightInd w:val="0"/>
        <w:spacing w:after="227"/>
        <w:textAlignment w:val="center"/>
        <w:rPr>
          <w:color w:val="000000"/>
          <w:lang w:val="en-GB"/>
        </w:rPr>
      </w:pPr>
      <w:r w:rsidRPr="00265792">
        <w:rPr>
          <w:color w:val="000000"/>
          <w:lang w:val="en-GB"/>
        </w:rPr>
        <w:t xml:space="preserve">Part A of this checklist is required to be completed by all </w:t>
      </w:r>
      <w:r>
        <w:rPr>
          <w:color w:val="000000"/>
          <w:lang w:val="en-GB"/>
        </w:rPr>
        <w:t>Participants Requiring Capital in accordance with NZX Derivatives Market Rule 13.2 and NZX Derivatives Procedure 13.2.2.</w:t>
      </w:r>
    </w:p>
    <w:p w14:paraId="22B9FF86" w14:textId="6083C729" w:rsidR="00CC5692" w:rsidRPr="00B7215C" w:rsidRDefault="005F5BB7" w:rsidP="005F5BB7">
      <w:pPr>
        <w:tabs>
          <w:tab w:val="left" w:pos="426"/>
        </w:tabs>
        <w:autoSpaceDE w:val="0"/>
        <w:autoSpaceDN w:val="0"/>
        <w:adjustRightInd w:val="0"/>
        <w:jc w:val="both"/>
        <w:textAlignment w:val="center"/>
        <w:outlineLvl w:val="0"/>
        <w:rPr>
          <w:rFonts w:cs="Arial"/>
        </w:rPr>
      </w:pPr>
      <w:r w:rsidRPr="00265792">
        <w:rPr>
          <w:color w:val="000000"/>
          <w:lang w:val="en-GB"/>
        </w:rPr>
        <w:t>Please respond Yes, No or Not Applicable and include details where relevant. For questions relating to notifications to NZX, please respond “N/A” if notifications were unnecessary</w:t>
      </w:r>
      <w:r>
        <w:rPr>
          <w:color w:val="000000"/>
          <w:lang w:val="en-GB"/>
        </w:rPr>
        <w:t>.</w:t>
      </w:r>
    </w:p>
    <w:p w14:paraId="548C8B00" w14:textId="77777777" w:rsidR="00CC5692" w:rsidRDefault="00CC5692" w:rsidP="00CC5692">
      <w:pPr>
        <w:spacing w:after="0" w:line="240" w:lineRule="auto"/>
        <w:rPr>
          <w:lang w:val="en-GB"/>
        </w:rPr>
      </w:pPr>
      <w:r w:rsidRPr="00B7215C">
        <w:rPr>
          <w:lang w:val="en-GB"/>
        </w:rPr>
        <w:br w:type="page"/>
      </w:r>
    </w:p>
    <w:p w14:paraId="2EBD583E" w14:textId="77777777" w:rsidR="00CC5692" w:rsidRPr="00CC5692" w:rsidRDefault="00CC5692" w:rsidP="00CC5692">
      <w:pPr>
        <w:rPr>
          <w:lang w:val="en-GB"/>
        </w:rPr>
      </w:pPr>
    </w:p>
    <w:p w14:paraId="30EF02D0" w14:textId="77777777" w:rsidR="00665116" w:rsidRDefault="00665116">
      <w:pPr>
        <w:pStyle w:val="Heading3"/>
        <w:spacing w:before="0"/>
      </w:pPr>
    </w:p>
    <w:p w14:paraId="5C4BB98E" w14:textId="0856C8EE" w:rsidR="00665116" w:rsidRDefault="0028092A">
      <w:pPr>
        <w:pStyle w:val="Heading3"/>
        <w:spacing w:before="0"/>
        <w:rPr>
          <w:sz w:val="24"/>
          <w:szCs w:val="24"/>
        </w:rPr>
      </w:pPr>
      <w:bookmarkStart w:id="2" w:name="_Toc394654550"/>
      <w:bookmarkStart w:id="3" w:name="_Toc399501224"/>
      <w:bookmarkEnd w:id="0"/>
      <w:bookmarkEnd w:id="1"/>
      <w:r w:rsidRPr="0028092A">
        <w:rPr>
          <w:sz w:val="24"/>
          <w:szCs w:val="24"/>
        </w:rPr>
        <w:t>Name of Participant:</w:t>
      </w:r>
      <w:bookmarkEnd w:id="2"/>
      <w:bookmarkEnd w:id="3"/>
      <w:r w:rsidR="00B14585">
        <w:rPr>
          <w:sz w:val="24"/>
          <w:szCs w:val="24"/>
        </w:rPr>
        <w:t xml:space="preserve"> ___________________________________________________________________</w:t>
      </w:r>
    </w:p>
    <w:p w14:paraId="601A6E2D" w14:textId="77777777" w:rsidR="0076025E" w:rsidRDefault="0076025E" w:rsidP="003A36FB">
      <w:pPr>
        <w:pStyle w:val="Heading3"/>
        <w:rPr>
          <w:sz w:val="24"/>
          <w:szCs w:val="24"/>
        </w:rPr>
      </w:pPr>
      <w:bookmarkStart w:id="4" w:name="_Toc394654551"/>
      <w:bookmarkStart w:id="5" w:name="_Toc399501225"/>
    </w:p>
    <w:p w14:paraId="1B79B10A" w14:textId="0AAD9BA4" w:rsidR="001D7E53" w:rsidRPr="005F5BB7" w:rsidRDefault="00533096" w:rsidP="005F5BB7">
      <w:pPr>
        <w:pStyle w:val="Heading3"/>
        <w:rPr>
          <w:sz w:val="24"/>
          <w:szCs w:val="24"/>
        </w:rPr>
      </w:pPr>
      <w:r>
        <w:rPr>
          <w:sz w:val="24"/>
          <w:szCs w:val="24"/>
        </w:rPr>
        <w:t>Quarter</w:t>
      </w:r>
      <w:r w:rsidR="0028092A" w:rsidRPr="0028092A">
        <w:rPr>
          <w:sz w:val="24"/>
          <w:szCs w:val="24"/>
        </w:rPr>
        <w:t xml:space="preserve"> ended:</w:t>
      </w:r>
      <w:bookmarkEnd w:id="4"/>
      <w:bookmarkEnd w:id="5"/>
      <w:r w:rsidR="00B14585">
        <w:rPr>
          <w:sz w:val="24"/>
          <w:szCs w:val="24"/>
        </w:rPr>
        <w:t xml:space="preserve"> ___________________________________</w:t>
      </w:r>
    </w:p>
    <w:p w14:paraId="26899A43" w14:textId="77777777" w:rsidR="00665116" w:rsidRDefault="00665116">
      <w:pPr>
        <w:pStyle w:val="Heading4"/>
        <w:spacing w:before="0"/>
        <w:rPr>
          <w:b/>
          <w:sz w:val="20"/>
          <w:szCs w:val="20"/>
        </w:rPr>
      </w:pPr>
    </w:p>
    <w:p w14:paraId="07EFB6B6" w14:textId="28B2E028" w:rsidR="00665116" w:rsidRDefault="00483D5A" w:rsidP="00665116">
      <w:pPr>
        <w:pStyle w:val="BodyCopy"/>
        <w:spacing w:after="360"/>
      </w:pPr>
      <w:r w:rsidRPr="0028092A">
        <w:t>The Participant confirms that:</w:t>
      </w:r>
    </w:p>
    <w:tbl>
      <w:tblPr>
        <w:tblStyle w:val="NZX"/>
        <w:tblW w:w="13971" w:type="dxa"/>
        <w:tblLook w:val="01E0" w:firstRow="1" w:lastRow="1" w:firstColumn="1" w:lastColumn="1" w:noHBand="0" w:noVBand="0"/>
      </w:tblPr>
      <w:tblGrid>
        <w:gridCol w:w="1237"/>
        <w:gridCol w:w="8348"/>
        <w:gridCol w:w="1120"/>
        <w:gridCol w:w="3266"/>
      </w:tblGrid>
      <w:tr w:rsidR="00EA7C98" w:rsidRPr="009F1A7B" w14:paraId="512D40E2" w14:textId="77777777" w:rsidTr="003D66F9">
        <w:trPr>
          <w:cnfStyle w:val="100000000000" w:firstRow="1" w:lastRow="0" w:firstColumn="0" w:lastColumn="0" w:oddVBand="0" w:evenVBand="0" w:oddHBand="0" w:evenHBand="0" w:firstRowFirstColumn="0" w:firstRowLastColumn="0" w:lastRowFirstColumn="0" w:lastRowLastColumn="0"/>
          <w:trHeight w:val="386"/>
        </w:trPr>
        <w:tc>
          <w:tcPr>
            <w:tcW w:w="1237" w:type="dxa"/>
            <w:vAlign w:val="top"/>
          </w:tcPr>
          <w:p w14:paraId="12412AB4" w14:textId="77777777" w:rsidR="004D643E" w:rsidRDefault="00B70580" w:rsidP="00D63B89">
            <w:pPr>
              <w:pStyle w:val="TableHeader"/>
              <w:rPr>
                <w:rFonts w:asciiTheme="minorHAnsi" w:hAnsiTheme="minorHAnsi"/>
              </w:rPr>
            </w:pPr>
            <w:r w:rsidRPr="009F1A7B">
              <w:t>Rule</w:t>
            </w:r>
          </w:p>
        </w:tc>
        <w:tc>
          <w:tcPr>
            <w:tcW w:w="8348" w:type="dxa"/>
            <w:vAlign w:val="top"/>
          </w:tcPr>
          <w:p w14:paraId="690FF2E9" w14:textId="77777777" w:rsidR="00665116" w:rsidRDefault="00B70580" w:rsidP="00B14585">
            <w:pPr>
              <w:pStyle w:val="TableHeader"/>
              <w:rPr>
                <w:rFonts w:asciiTheme="minorHAnsi" w:hAnsiTheme="minorHAnsi"/>
              </w:rPr>
            </w:pPr>
            <w:r w:rsidRPr="009F1A7B">
              <w:t>Internal Control Questions</w:t>
            </w:r>
          </w:p>
        </w:tc>
        <w:tc>
          <w:tcPr>
            <w:tcW w:w="1120" w:type="dxa"/>
            <w:vAlign w:val="top"/>
          </w:tcPr>
          <w:p w14:paraId="23E6C557" w14:textId="77777777" w:rsidR="004D643E" w:rsidRDefault="00B70580" w:rsidP="00B14585">
            <w:pPr>
              <w:pStyle w:val="TableHeader"/>
              <w:rPr>
                <w:rFonts w:asciiTheme="minorHAnsi" w:hAnsiTheme="minorHAnsi"/>
              </w:rPr>
            </w:pPr>
            <w:r w:rsidRPr="009F1A7B">
              <w:t>Y, N, N</w:t>
            </w:r>
            <w:r w:rsidR="00836DC0">
              <w:t>/</w:t>
            </w:r>
            <w:r w:rsidRPr="009F1A7B">
              <w:t>A</w:t>
            </w:r>
          </w:p>
        </w:tc>
        <w:tc>
          <w:tcPr>
            <w:tcW w:w="3266" w:type="dxa"/>
            <w:vAlign w:val="top"/>
          </w:tcPr>
          <w:p w14:paraId="672D5546" w14:textId="77777777" w:rsidR="00665116" w:rsidRDefault="00B70580" w:rsidP="00B14585">
            <w:pPr>
              <w:pStyle w:val="TableHeader"/>
              <w:rPr>
                <w:rFonts w:asciiTheme="minorHAnsi" w:hAnsiTheme="minorHAnsi"/>
              </w:rPr>
            </w:pPr>
            <w:r w:rsidRPr="009F1A7B">
              <w:t>Comment</w:t>
            </w:r>
          </w:p>
        </w:tc>
      </w:tr>
      <w:tr w:rsidR="00B70580" w:rsidRPr="009F1A7B" w14:paraId="0361C721" w14:textId="77777777" w:rsidTr="003D66F9">
        <w:tc>
          <w:tcPr>
            <w:tcW w:w="1237" w:type="dxa"/>
            <w:shd w:val="clear" w:color="auto" w:fill="D6EAF6" w:themeFill="accent2" w:themeFillTint="33"/>
            <w:vAlign w:val="top"/>
          </w:tcPr>
          <w:p w14:paraId="501F11DD" w14:textId="77777777" w:rsidR="00665116" w:rsidRDefault="00AA59CE" w:rsidP="00D63B89">
            <w:pPr>
              <w:pStyle w:val="TableSubhead"/>
              <w:jc w:val="center"/>
              <w:rPr>
                <w:rStyle w:val="SectionIndent1CharCharCharCharCharCharCharCharCharCharCharCharCharCharCharCharCharCharChar"/>
                <w:rFonts w:eastAsiaTheme="minorHAnsi"/>
              </w:rPr>
            </w:pPr>
            <w:r w:rsidRPr="009F1A7B">
              <w:t>Section 3</w:t>
            </w:r>
          </w:p>
        </w:tc>
        <w:tc>
          <w:tcPr>
            <w:tcW w:w="8348" w:type="dxa"/>
            <w:shd w:val="clear" w:color="auto" w:fill="D6EAF6" w:themeFill="accent2" w:themeFillTint="33"/>
            <w:vAlign w:val="top"/>
          </w:tcPr>
          <w:p w14:paraId="52FD3D7A" w14:textId="2AB4DE70" w:rsidR="00665116" w:rsidRDefault="00BF26E8" w:rsidP="00140185">
            <w:pPr>
              <w:pStyle w:val="TableSubhead"/>
              <w:jc w:val="both"/>
              <w:rPr>
                <w:rFonts w:asciiTheme="minorHAnsi" w:hAnsiTheme="minorHAnsi"/>
              </w:rPr>
            </w:pPr>
            <w:r w:rsidRPr="00BF26E8">
              <w:rPr>
                <w:lang w:val="en-AU"/>
              </w:rPr>
              <w:t>Application, Designation and Accreditation, Responsible Executives and Compliance Managers (all Participants)</w:t>
            </w:r>
          </w:p>
        </w:tc>
        <w:tc>
          <w:tcPr>
            <w:tcW w:w="1120" w:type="dxa"/>
            <w:shd w:val="clear" w:color="auto" w:fill="D6EAF6" w:themeFill="accent2" w:themeFillTint="33"/>
            <w:vAlign w:val="top"/>
          </w:tcPr>
          <w:p w14:paraId="582C4444" w14:textId="77777777" w:rsidR="00665116" w:rsidRDefault="00665116" w:rsidP="00D63B89">
            <w:pPr>
              <w:pStyle w:val="TableSubhead"/>
              <w:jc w:val="center"/>
              <w:rPr>
                <w:rFonts w:asciiTheme="minorHAnsi" w:hAnsiTheme="minorHAnsi"/>
              </w:rPr>
            </w:pPr>
          </w:p>
        </w:tc>
        <w:tc>
          <w:tcPr>
            <w:tcW w:w="3266" w:type="dxa"/>
            <w:shd w:val="clear" w:color="auto" w:fill="D6EAF6" w:themeFill="accent2" w:themeFillTint="33"/>
            <w:vAlign w:val="top"/>
          </w:tcPr>
          <w:p w14:paraId="3543C177" w14:textId="77777777" w:rsidR="00665116" w:rsidRDefault="00665116" w:rsidP="00D63B89">
            <w:pPr>
              <w:pStyle w:val="TableSubhead"/>
              <w:jc w:val="both"/>
              <w:rPr>
                <w:rFonts w:asciiTheme="minorHAnsi" w:hAnsiTheme="minorHAnsi"/>
              </w:rPr>
            </w:pPr>
          </w:p>
        </w:tc>
      </w:tr>
      <w:tr w:rsidR="00B70580" w:rsidRPr="009F1A7B" w14:paraId="4A4E64CC" w14:textId="77777777" w:rsidTr="003D66F9">
        <w:trPr>
          <w:trHeight w:val="386"/>
        </w:trPr>
        <w:tc>
          <w:tcPr>
            <w:tcW w:w="1237" w:type="dxa"/>
            <w:vAlign w:val="top"/>
          </w:tcPr>
          <w:p w14:paraId="1831EBAF" w14:textId="4D681CCF" w:rsidR="00665116" w:rsidRDefault="00B70580" w:rsidP="00E87DD7">
            <w:pPr>
              <w:spacing w:line="240" w:lineRule="atLeast"/>
              <w:jc w:val="center"/>
              <w:rPr>
                <w:rFonts w:asciiTheme="minorHAnsi" w:hAnsiTheme="minorHAnsi"/>
                <w:sz w:val="22"/>
                <w:szCs w:val="20"/>
              </w:rPr>
            </w:pPr>
            <w:r w:rsidRPr="009F1A7B">
              <w:rPr>
                <w:szCs w:val="20"/>
              </w:rPr>
              <w:t>3.</w:t>
            </w:r>
            <w:r w:rsidR="00E87DD7">
              <w:rPr>
                <w:szCs w:val="20"/>
              </w:rPr>
              <w:t>7</w:t>
            </w:r>
          </w:p>
        </w:tc>
        <w:tc>
          <w:tcPr>
            <w:tcW w:w="8348" w:type="dxa"/>
            <w:vAlign w:val="top"/>
          </w:tcPr>
          <w:p w14:paraId="0BACDE22" w14:textId="6DBC82BA" w:rsidR="00E87DD7" w:rsidRDefault="00206580" w:rsidP="00E87DD7">
            <w:pPr>
              <w:spacing w:line="240" w:lineRule="atLeast"/>
              <w:jc w:val="both"/>
              <w:rPr>
                <w:rFonts w:cs="Arial"/>
                <w:szCs w:val="20"/>
              </w:rPr>
            </w:pPr>
            <w:r>
              <w:rPr>
                <w:rFonts w:cs="Arial"/>
                <w:szCs w:val="20"/>
              </w:rPr>
              <w:t xml:space="preserve">During </w:t>
            </w:r>
            <w:r w:rsidR="00B70580" w:rsidRPr="009F1A7B">
              <w:rPr>
                <w:rFonts w:cs="Arial"/>
                <w:szCs w:val="20"/>
              </w:rPr>
              <w:t>th</w:t>
            </w:r>
            <w:r>
              <w:rPr>
                <w:rFonts w:cs="Arial"/>
                <w:szCs w:val="20"/>
              </w:rPr>
              <w:t>is</w:t>
            </w:r>
            <w:r w:rsidR="00B70580" w:rsidRPr="009F1A7B">
              <w:rPr>
                <w:rFonts w:cs="Arial"/>
                <w:szCs w:val="20"/>
              </w:rPr>
              <w:t xml:space="preserve"> </w:t>
            </w:r>
            <w:r w:rsidR="005F5BB7">
              <w:rPr>
                <w:rFonts w:cs="Arial"/>
                <w:szCs w:val="20"/>
              </w:rPr>
              <w:t>quarter</w:t>
            </w:r>
            <w:r w:rsidR="00B70580" w:rsidRPr="009F1A7B">
              <w:rPr>
                <w:rFonts w:cs="Arial"/>
                <w:szCs w:val="20"/>
              </w:rPr>
              <w:t>, the Participant</w:t>
            </w:r>
            <w:r w:rsidR="00554A8C" w:rsidRPr="009F1A7B">
              <w:rPr>
                <w:rFonts w:cs="Arial"/>
                <w:szCs w:val="20"/>
              </w:rPr>
              <w:t xml:space="preserve"> notified NZX </w:t>
            </w:r>
            <w:r w:rsidR="00554A8C">
              <w:rPr>
                <w:rFonts w:cs="Arial"/>
                <w:szCs w:val="20"/>
              </w:rPr>
              <w:t xml:space="preserve">in writing </w:t>
            </w:r>
            <w:r w:rsidR="00554A8C" w:rsidRPr="009F1A7B">
              <w:rPr>
                <w:rFonts w:cs="Arial"/>
                <w:szCs w:val="20"/>
              </w:rPr>
              <w:t>of</w:t>
            </w:r>
            <w:r w:rsidR="00E87DD7">
              <w:rPr>
                <w:rFonts w:cs="Arial"/>
                <w:szCs w:val="20"/>
              </w:rPr>
              <w:t>:</w:t>
            </w:r>
            <w:r w:rsidR="00B70580" w:rsidRPr="009F1A7B">
              <w:rPr>
                <w:rFonts w:cs="Arial"/>
                <w:szCs w:val="20"/>
              </w:rPr>
              <w:t xml:space="preserve"> </w:t>
            </w:r>
          </w:p>
          <w:p w14:paraId="367FAF79" w14:textId="05FF9921" w:rsidR="00665116" w:rsidRPr="00FA5712" w:rsidRDefault="00B70580" w:rsidP="00E87DD7">
            <w:pPr>
              <w:pStyle w:val="ListParagraph"/>
              <w:numPr>
                <w:ilvl w:val="0"/>
                <w:numId w:val="23"/>
              </w:numPr>
              <w:spacing w:line="240" w:lineRule="atLeast"/>
              <w:jc w:val="both"/>
              <w:rPr>
                <w:rFonts w:cs="Arial"/>
                <w:szCs w:val="20"/>
              </w:rPr>
            </w:pPr>
            <w:r w:rsidRPr="00E87DD7">
              <w:rPr>
                <w:rFonts w:cs="Arial"/>
                <w:szCs w:val="20"/>
              </w:rPr>
              <w:t xml:space="preserve">the appointment of any </w:t>
            </w:r>
            <w:r w:rsidR="000C70A2" w:rsidRPr="00E87DD7">
              <w:rPr>
                <w:rFonts w:cs="Arial"/>
                <w:szCs w:val="20"/>
              </w:rPr>
              <w:t>D</w:t>
            </w:r>
            <w:r w:rsidRPr="00E87DD7">
              <w:rPr>
                <w:rFonts w:cs="Arial"/>
                <w:szCs w:val="20"/>
              </w:rPr>
              <w:t xml:space="preserve">irector within 5 Business Days of that </w:t>
            </w:r>
            <w:r w:rsidR="006F3ACD" w:rsidRPr="00E87DD7">
              <w:rPr>
                <w:rFonts w:cs="Arial"/>
                <w:szCs w:val="20"/>
              </w:rPr>
              <w:t>appointment and</w:t>
            </w:r>
            <w:r w:rsidR="00554A8C" w:rsidRPr="00E87DD7">
              <w:rPr>
                <w:rFonts w:cs="Arial"/>
                <w:szCs w:val="20"/>
              </w:rPr>
              <w:t xml:space="preserve"> provided NZX with </w:t>
            </w:r>
            <w:r w:rsidR="00554A8C" w:rsidRPr="00FA5712">
              <w:rPr>
                <w:rFonts w:cs="Arial"/>
                <w:szCs w:val="20"/>
              </w:rPr>
              <w:t>an executed undertaking for the Director or Partner</w:t>
            </w:r>
            <w:r w:rsidR="000C70A2" w:rsidRPr="00FA5712">
              <w:rPr>
                <w:rFonts w:cs="Arial"/>
                <w:szCs w:val="20"/>
              </w:rPr>
              <w:t>.</w:t>
            </w:r>
          </w:p>
          <w:p w14:paraId="4E2B4DD9" w14:textId="09E6A8D1" w:rsidR="00E87DD7" w:rsidRPr="00341CAE" w:rsidRDefault="00E87DD7" w:rsidP="00E87DD7">
            <w:pPr>
              <w:pStyle w:val="ListParagraph"/>
              <w:numPr>
                <w:ilvl w:val="0"/>
                <w:numId w:val="23"/>
              </w:numPr>
              <w:spacing w:line="240" w:lineRule="atLeast"/>
              <w:jc w:val="both"/>
              <w:rPr>
                <w:rFonts w:asciiTheme="minorHAnsi" w:hAnsiTheme="minorHAnsi" w:cs="Arial"/>
                <w:sz w:val="22"/>
                <w:szCs w:val="20"/>
              </w:rPr>
            </w:pPr>
            <w:r w:rsidRPr="00341CAE">
              <w:rPr>
                <w:rFonts w:cs="Arial"/>
                <w:szCs w:val="20"/>
              </w:rPr>
              <w:t>the resignation of any Director within 5 Business Days of that resignation.</w:t>
            </w:r>
          </w:p>
        </w:tc>
        <w:tc>
          <w:tcPr>
            <w:tcW w:w="1120" w:type="dxa"/>
            <w:vAlign w:val="top"/>
          </w:tcPr>
          <w:p w14:paraId="6E565D4A" w14:textId="77777777" w:rsidR="00665116" w:rsidRDefault="00665116" w:rsidP="00D63B89">
            <w:pPr>
              <w:spacing w:line="240" w:lineRule="atLeast"/>
              <w:jc w:val="center"/>
              <w:rPr>
                <w:rFonts w:asciiTheme="minorHAnsi" w:hAnsiTheme="minorHAnsi"/>
                <w:sz w:val="22"/>
                <w:szCs w:val="20"/>
              </w:rPr>
            </w:pPr>
          </w:p>
        </w:tc>
        <w:tc>
          <w:tcPr>
            <w:tcW w:w="3266" w:type="dxa"/>
            <w:vAlign w:val="top"/>
          </w:tcPr>
          <w:p w14:paraId="0245C976" w14:textId="77777777" w:rsidR="00665116" w:rsidRDefault="00665116" w:rsidP="00D63B89">
            <w:pPr>
              <w:spacing w:line="240" w:lineRule="atLeast"/>
              <w:jc w:val="both"/>
              <w:rPr>
                <w:rFonts w:asciiTheme="minorHAnsi" w:hAnsiTheme="minorHAnsi"/>
                <w:sz w:val="22"/>
                <w:szCs w:val="20"/>
              </w:rPr>
            </w:pPr>
          </w:p>
        </w:tc>
      </w:tr>
      <w:tr w:rsidR="00301617" w:rsidRPr="009F1A7B" w14:paraId="1711B508" w14:textId="77777777" w:rsidTr="003D66F9">
        <w:tc>
          <w:tcPr>
            <w:tcW w:w="1237" w:type="dxa"/>
            <w:vAlign w:val="top"/>
          </w:tcPr>
          <w:p w14:paraId="729B6AAE" w14:textId="1538C2D4" w:rsidR="00665116" w:rsidRDefault="00301617" w:rsidP="00FA5712">
            <w:pPr>
              <w:spacing w:line="240" w:lineRule="atLeast"/>
              <w:jc w:val="center"/>
              <w:rPr>
                <w:rFonts w:asciiTheme="minorHAnsi" w:hAnsiTheme="minorHAnsi"/>
                <w:sz w:val="22"/>
                <w:szCs w:val="20"/>
              </w:rPr>
            </w:pPr>
            <w:r w:rsidRPr="009F1A7B">
              <w:rPr>
                <w:szCs w:val="20"/>
              </w:rPr>
              <w:t>3.</w:t>
            </w:r>
            <w:r w:rsidR="00FA5712">
              <w:rPr>
                <w:szCs w:val="20"/>
              </w:rPr>
              <w:t>8.1</w:t>
            </w:r>
          </w:p>
        </w:tc>
        <w:tc>
          <w:tcPr>
            <w:tcW w:w="8348" w:type="dxa"/>
            <w:vAlign w:val="top"/>
          </w:tcPr>
          <w:p w14:paraId="4F588EE5" w14:textId="4DFC00C6" w:rsidR="00665116" w:rsidRDefault="00554A8C" w:rsidP="00FA5712">
            <w:pPr>
              <w:spacing w:line="240" w:lineRule="atLeast"/>
              <w:jc w:val="both"/>
              <w:rPr>
                <w:rFonts w:asciiTheme="minorHAnsi" w:hAnsiTheme="minorHAnsi" w:cs="Arial"/>
                <w:sz w:val="22"/>
                <w:szCs w:val="20"/>
              </w:rPr>
            </w:pPr>
            <w:r>
              <w:rPr>
                <w:rFonts w:cs="Arial"/>
                <w:szCs w:val="20"/>
              </w:rPr>
              <w:t>During</w:t>
            </w:r>
            <w:r w:rsidRPr="009F1A7B">
              <w:rPr>
                <w:rFonts w:cs="Arial"/>
                <w:szCs w:val="20"/>
              </w:rPr>
              <w:t xml:space="preserve"> this </w:t>
            </w:r>
            <w:r w:rsidR="005F5BB7">
              <w:rPr>
                <w:rFonts w:cs="Arial"/>
                <w:szCs w:val="20"/>
              </w:rPr>
              <w:t>quarter</w:t>
            </w:r>
            <w:r w:rsidRPr="009F1A7B">
              <w:rPr>
                <w:rFonts w:cs="Arial"/>
                <w:szCs w:val="20"/>
              </w:rPr>
              <w:t>, the Participant notified NZX in writing of any changes to its Management arrangements/structure within 5 Business Days of that change</w:t>
            </w:r>
            <w:r>
              <w:rPr>
                <w:rFonts w:cs="Arial"/>
                <w:szCs w:val="20"/>
              </w:rPr>
              <w:t xml:space="preserve"> being made</w:t>
            </w:r>
            <w:r w:rsidRPr="009F1A7B">
              <w:rPr>
                <w:rFonts w:cs="Arial"/>
                <w:szCs w:val="20"/>
              </w:rPr>
              <w:t>.</w:t>
            </w:r>
          </w:p>
        </w:tc>
        <w:tc>
          <w:tcPr>
            <w:tcW w:w="1120" w:type="dxa"/>
            <w:vAlign w:val="top"/>
          </w:tcPr>
          <w:p w14:paraId="136EC06F" w14:textId="77777777" w:rsidR="00665116" w:rsidRDefault="00665116" w:rsidP="00D63B89">
            <w:pPr>
              <w:spacing w:line="240" w:lineRule="atLeast"/>
              <w:jc w:val="center"/>
              <w:rPr>
                <w:rFonts w:asciiTheme="minorHAnsi" w:hAnsiTheme="minorHAnsi"/>
                <w:sz w:val="22"/>
                <w:szCs w:val="20"/>
              </w:rPr>
            </w:pPr>
          </w:p>
        </w:tc>
        <w:tc>
          <w:tcPr>
            <w:tcW w:w="3266" w:type="dxa"/>
            <w:vAlign w:val="top"/>
          </w:tcPr>
          <w:p w14:paraId="1AD9229E" w14:textId="77777777" w:rsidR="00665116" w:rsidRDefault="00665116" w:rsidP="00D63B89">
            <w:pPr>
              <w:spacing w:line="240" w:lineRule="atLeast"/>
              <w:jc w:val="both"/>
              <w:rPr>
                <w:rFonts w:asciiTheme="minorHAnsi" w:hAnsiTheme="minorHAnsi"/>
                <w:sz w:val="22"/>
                <w:szCs w:val="20"/>
              </w:rPr>
            </w:pPr>
          </w:p>
        </w:tc>
      </w:tr>
      <w:tr w:rsidR="00301617" w:rsidRPr="009F1A7B" w14:paraId="131A13AE" w14:textId="77777777" w:rsidTr="003D66F9">
        <w:tc>
          <w:tcPr>
            <w:tcW w:w="1237" w:type="dxa"/>
            <w:vAlign w:val="top"/>
          </w:tcPr>
          <w:p w14:paraId="1D5ABF23" w14:textId="4F7FBF09" w:rsidR="00665116" w:rsidRDefault="00301617" w:rsidP="00341CAE">
            <w:pPr>
              <w:spacing w:line="240" w:lineRule="atLeast"/>
              <w:jc w:val="center"/>
              <w:rPr>
                <w:rFonts w:asciiTheme="minorHAnsi" w:hAnsiTheme="minorHAnsi"/>
                <w:sz w:val="22"/>
                <w:szCs w:val="20"/>
              </w:rPr>
            </w:pPr>
            <w:r w:rsidRPr="009F1A7B">
              <w:rPr>
                <w:szCs w:val="20"/>
              </w:rPr>
              <w:t>3.11</w:t>
            </w:r>
          </w:p>
        </w:tc>
        <w:tc>
          <w:tcPr>
            <w:tcW w:w="8348" w:type="dxa"/>
            <w:vAlign w:val="top"/>
          </w:tcPr>
          <w:p w14:paraId="3D636347" w14:textId="0ED7F805" w:rsidR="00665116" w:rsidRDefault="00554A8C" w:rsidP="00341CAE">
            <w:pPr>
              <w:spacing w:line="240" w:lineRule="atLeast"/>
              <w:jc w:val="both"/>
              <w:rPr>
                <w:rFonts w:asciiTheme="minorHAnsi" w:hAnsiTheme="minorHAnsi" w:cs="Arial"/>
                <w:sz w:val="22"/>
                <w:szCs w:val="20"/>
              </w:rPr>
            </w:pPr>
            <w:r>
              <w:rPr>
                <w:rFonts w:cs="Arial"/>
                <w:szCs w:val="20"/>
              </w:rPr>
              <w:t>During</w:t>
            </w:r>
            <w:r w:rsidRPr="009F1A7B">
              <w:rPr>
                <w:rFonts w:cs="Arial"/>
                <w:szCs w:val="20"/>
              </w:rPr>
              <w:t xml:space="preserve"> this </w:t>
            </w:r>
            <w:r w:rsidR="005F5BB7">
              <w:rPr>
                <w:rFonts w:cs="Arial"/>
                <w:szCs w:val="20"/>
              </w:rPr>
              <w:t>quarter</w:t>
            </w:r>
            <w:r w:rsidRPr="009F1A7B">
              <w:rPr>
                <w:rFonts w:cs="Arial"/>
                <w:szCs w:val="20"/>
              </w:rPr>
              <w:t xml:space="preserve">, the Participant notified NZX </w:t>
            </w:r>
            <w:r>
              <w:rPr>
                <w:rFonts w:cs="Arial"/>
                <w:szCs w:val="20"/>
              </w:rPr>
              <w:t xml:space="preserve">in writing </w:t>
            </w:r>
            <w:r w:rsidRPr="009F1A7B">
              <w:rPr>
                <w:rFonts w:cs="Arial"/>
                <w:szCs w:val="20"/>
              </w:rPr>
              <w:t xml:space="preserve">of the resignation, appointment or change of </w:t>
            </w:r>
            <w:r>
              <w:rPr>
                <w:rFonts w:cs="Arial"/>
                <w:szCs w:val="20"/>
              </w:rPr>
              <w:t xml:space="preserve">the Participant’s </w:t>
            </w:r>
            <w:r w:rsidRPr="009F1A7B">
              <w:rPr>
                <w:rFonts w:cs="Arial"/>
                <w:szCs w:val="20"/>
              </w:rPr>
              <w:t>Compliance Manager within 1 Business Day of that change being made</w:t>
            </w:r>
            <w:r>
              <w:rPr>
                <w:rFonts w:cs="Arial"/>
                <w:szCs w:val="20"/>
              </w:rPr>
              <w:t>.</w:t>
            </w:r>
          </w:p>
        </w:tc>
        <w:tc>
          <w:tcPr>
            <w:tcW w:w="1120" w:type="dxa"/>
            <w:vAlign w:val="top"/>
          </w:tcPr>
          <w:p w14:paraId="28E47229" w14:textId="77777777" w:rsidR="00665116" w:rsidRDefault="00665116" w:rsidP="00D63B89">
            <w:pPr>
              <w:spacing w:line="240" w:lineRule="atLeast"/>
              <w:jc w:val="center"/>
              <w:rPr>
                <w:rFonts w:asciiTheme="minorHAnsi" w:hAnsiTheme="minorHAnsi"/>
                <w:sz w:val="22"/>
                <w:szCs w:val="20"/>
              </w:rPr>
            </w:pPr>
          </w:p>
        </w:tc>
        <w:tc>
          <w:tcPr>
            <w:tcW w:w="3266" w:type="dxa"/>
            <w:vAlign w:val="top"/>
          </w:tcPr>
          <w:p w14:paraId="5EFC60CA" w14:textId="77777777" w:rsidR="00665116" w:rsidRDefault="00665116" w:rsidP="00D63B89">
            <w:pPr>
              <w:spacing w:line="240" w:lineRule="atLeast"/>
              <w:jc w:val="both"/>
              <w:rPr>
                <w:rFonts w:asciiTheme="minorHAnsi" w:hAnsiTheme="minorHAnsi"/>
                <w:sz w:val="22"/>
                <w:szCs w:val="20"/>
              </w:rPr>
            </w:pPr>
          </w:p>
        </w:tc>
      </w:tr>
      <w:tr w:rsidR="00301617" w:rsidRPr="009F1A7B" w14:paraId="4AA6723B" w14:textId="77777777" w:rsidTr="003D66F9">
        <w:trPr>
          <w:trHeight w:val="579"/>
        </w:trPr>
        <w:tc>
          <w:tcPr>
            <w:tcW w:w="1237" w:type="dxa"/>
            <w:vAlign w:val="top"/>
          </w:tcPr>
          <w:p w14:paraId="6A71BC12" w14:textId="4879DF83" w:rsidR="00665116" w:rsidRDefault="006741B5" w:rsidP="00D63B89">
            <w:pPr>
              <w:spacing w:line="240" w:lineRule="atLeast"/>
              <w:jc w:val="center"/>
              <w:rPr>
                <w:rFonts w:asciiTheme="minorHAnsi" w:hAnsiTheme="minorHAnsi"/>
                <w:sz w:val="22"/>
                <w:szCs w:val="20"/>
              </w:rPr>
            </w:pPr>
            <w:r w:rsidRPr="009F1A7B">
              <w:rPr>
                <w:szCs w:val="20"/>
              </w:rPr>
              <w:t>3.</w:t>
            </w:r>
            <w:r>
              <w:rPr>
                <w:szCs w:val="20"/>
              </w:rPr>
              <w:t>2</w:t>
            </w:r>
            <w:r w:rsidRPr="009F1A7B">
              <w:rPr>
                <w:szCs w:val="20"/>
              </w:rPr>
              <w:t>2.2</w:t>
            </w:r>
          </w:p>
        </w:tc>
        <w:tc>
          <w:tcPr>
            <w:tcW w:w="8348" w:type="dxa"/>
            <w:vAlign w:val="top"/>
          </w:tcPr>
          <w:p w14:paraId="2848F1C8" w14:textId="104087B7" w:rsidR="00665116" w:rsidRDefault="006741B5" w:rsidP="00341CAE">
            <w:pPr>
              <w:spacing w:line="240" w:lineRule="atLeast"/>
              <w:jc w:val="both"/>
              <w:rPr>
                <w:rFonts w:asciiTheme="minorHAnsi" w:hAnsiTheme="minorHAnsi" w:cs="Arial"/>
                <w:sz w:val="22"/>
                <w:szCs w:val="20"/>
              </w:rPr>
            </w:pPr>
            <w:r>
              <w:rPr>
                <w:rFonts w:cs="Arial"/>
                <w:szCs w:val="20"/>
              </w:rPr>
              <w:t>During</w:t>
            </w:r>
            <w:r w:rsidRPr="009F1A7B">
              <w:rPr>
                <w:rFonts w:cs="Arial"/>
                <w:szCs w:val="20"/>
              </w:rPr>
              <w:t xml:space="preserve"> this </w:t>
            </w:r>
            <w:r w:rsidR="005F5BB7">
              <w:rPr>
                <w:rFonts w:cs="Arial"/>
                <w:szCs w:val="20"/>
              </w:rPr>
              <w:t>quarter</w:t>
            </w:r>
            <w:r w:rsidRPr="009F1A7B">
              <w:rPr>
                <w:rFonts w:cs="Arial"/>
                <w:szCs w:val="20"/>
              </w:rPr>
              <w:t>, the Participant notified NZX in writing</w:t>
            </w:r>
            <w:r w:rsidRPr="00341CAE">
              <w:rPr>
                <w:rFonts w:cs="Arial"/>
                <w:szCs w:val="20"/>
                <w:lang w:val="en-GB"/>
              </w:rPr>
              <w:t xml:space="preserve">, details of all entities to which Rule </w:t>
            </w:r>
            <w:r w:rsidRPr="00341CAE">
              <w:rPr>
                <w:rFonts w:cs="Arial"/>
                <w:szCs w:val="20"/>
                <w:lang w:val="en-GB"/>
              </w:rPr>
              <w:fldChar w:fldCharType="begin"/>
            </w:r>
            <w:r w:rsidRPr="00341CAE">
              <w:rPr>
                <w:rFonts w:cs="Arial"/>
                <w:szCs w:val="20"/>
                <w:lang w:val="en-GB"/>
              </w:rPr>
              <w:instrText xml:space="preserve"> REF _Ref33005096 \r \h  \* MERGEFORMAT </w:instrText>
            </w:r>
            <w:r w:rsidRPr="00341CAE">
              <w:rPr>
                <w:rFonts w:cs="Arial"/>
                <w:szCs w:val="20"/>
                <w:lang w:val="en-GB"/>
              </w:rPr>
            </w:r>
            <w:r w:rsidRPr="00341CAE">
              <w:rPr>
                <w:rFonts w:cs="Arial"/>
                <w:szCs w:val="20"/>
                <w:lang w:val="en-GB"/>
              </w:rPr>
              <w:fldChar w:fldCharType="separate"/>
            </w:r>
            <w:r w:rsidRPr="00341CAE">
              <w:rPr>
                <w:rFonts w:cs="Arial"/>
                <w:szCs w:val="20"/>
                <w:lang w:val="en-GB"/>
              </w:rPr>
              <w:t>3.22.1(a)</w:t>
            </w:r>
            <w:r w:rsidRPr="00341CAE">
              <w:rPr>
                <w:rFonts w:cs="Arial"/>
                <w:szCs w:val="20"/>
              </w:rPr>
              <w:fldChar w:fldCharType="end"/>
            </w:r>
            <w:r w:rsidRPr="00341CAE">
              <w:rPr>
                <w:rFonts w:cs="Arial"/>
                <w:szCs w:val="20"/>
                <w:lang w:val="en-GB"/>
              </w:rPr>
              <w:t xml:space="preserve"> or </w:t>
            </w:r>
            <w:r w:rsidRPr="00341CAE">
              <w:rPr>
                <w:rFonts w:cs="Arial"/>
                <w:szCs w:val="20"/>
                <w:lang w:val="en-GB"/>
              </w:rPr>
              <w:fldChar w:fldCharType="begin"/>
            </w:r>
            <w:r w:rsidRPr="00341CAE">
              <w:rPr>
                <w:rFonts w:cs="Arial"/>
                <w:szCs w:val="20"/>
                <w:lang w:val="en-GB"/>
              </w:rPr>
              <w:instrText xml:space="preserve"> REF _Ref241985392 \r \h  \* MERGEFORMAT </w:instrText>
            </w:r>
            <w:r w:rsidRPr="00341CAE">
              <w:rPr>
                <w:rFonts w:cs="Arial"/>
                <w:szCs w:val="20"/>
                <w:lang w:val="en-GB"/>
              </w:rPr>
            </w:r>
            <w:r w:rsidRPr="00341CAE">
              <w:rPr>
                <w:rFonts w:cs="Arial"/>
                <w:szCs w:val="20"/>
                <w:lang w:val="en-GB"/>
              </w:rPr>
              <w:fldChar w:fldCharType="separate"/>
            </w:r>
            <w:r w:rsidRPr="00341CAE">
              <w:rPr>
                <w:rFonts w:cs="Arial"/>
                <w:szCs w:val="20"/>
                <w:lang w:val="en-GB"/>
              </w:rPr>
              <w:t>3.22.1(b)</w:t>
            </w:r>
            <w:r w:rsidRPr="00341CAE">
              <w:rPr>
                <w:rFonts w:cs="Arial"/>
                <w:szCs w:val="20"/>
              </w:rPr>
              <w:fldChar w:fldCharType="end"/>
            </w:r>
            <w:r w:rsidRPr="00341CAE">
              <w:rPr>
                <w:rFonts w:cs="Arial"/>
                <w:szCs w:val="20"/>
                <w:lang w:val="en-GB"/>
              </w:rPr>
              <w:t xml:space="preserve"> applies and of any changes to any of those entities within five 5 Business Days of the Rule beginning or ceasing to apply to that entity.  </w:t>
            </w:r>
          </w:p>
        </w:tc>
        <w:tc>
          <w:tcPr>
            <w:tcW w:w="1120" w:type="dxa"/>
            <w:vAlign w:val="top"/>
          </w:tcPr>
          <w:p w14:paraId="11704712" w14:textId="77777777" w:rsidR="00665116" w:rsidRDefault="00665116" w:rsidP="00D63B89">
            <w:pPr>
              <w:spacing w:line="240" w:lineRule="atLeast"/>
              <w:jc w:val="center"/>
              <w:rPr>
                <w:rFonts w:asciiTheme="minorHAnsi" w:hAnsiTheme="minorHAnsi"/>
                <w:sz w:val="22"/>
                <w:szCs w:val="20"/>
              </w:rPr>
            </w:pPr>
          </w:p>
        </w:tc>
        <w:tc>
          <w:tcPr>
            <w:tcW w:w="3266" w:type="dxa"/>
            <w:vAlign w:val="top"/>
          </w:tcPr>
          <w:p w14:paraId="1B6346F9" w14:textId="77777777" w:rsidR="00665116" w:rsidRDefault="00665116" w:rsidP="00D63B89">
            <w:pPr>
              <w:spacing w:line="240" w:lineRule="atLeast"/>
              <w:jc w:val="both"/>
              <w:rPr>
                <w:rFonts w:asciiTheme="minorHAnsi" w:hAnsiTheme="minorHAnsi"/>
                <w:sz w:val="22"/>
                <w:szCs w:val="20"/>
              </w:rPr>
            </w:pPr>
          </w:p>
        </w:tc>
      </w:tr>
      <w:tr w:rsidR="00301617" w:rsidRPr="009F1A7B" w14:paraId="366095AB" w14:textId="77777777" w:rsidTr="003D66F9">
        <w:trPr>
          <w:trHeight w:val="231"/>
        </w:trPr>
        <w:tc>
          <w:tcPr>
            <w:tcW w:w="1237" w:type="dxa"/>
            <w:shd w:val="clear" w:color="auto" w:fill="D6EAF6" w:themeFill="accent2" w:themeFillTint="33"/>
            <w:vAlign w:val="top"/>
          </w:tcPr>
          <w:p w14:paraId="46ED6751" w14:textId="77777777" w:rsidR="00665116" w:rsidRDefault="00AA59CE" w:rsidP="00D63B89">
            <w:pPr>
              <w:pStyle w:val="TableSubhead"/>
              <w:jc w:val="center"/>
              <w:rPr>
                <w:rFonts w:asciiTheme="minorHAnsi" w:hAnsiTheme="minorHAnsi"/>
              </w:rPr>
            </w:pPr>
            <w:r w:rsidRPr="009F1A7B">
              <w:t>Section 4</w:t>
            </w:r>
          </w:p>
        </w:tc>
        <w:tc>
          <w:tcPr>
            <w:tcW w:w="8348" w:type="dxa"/>
            <w:shd w:val="clear" w:color="auto" w:fill="D6EAF6" w:themeFill="accent2" w:themeFillTint="33"/>
            <w:vAlign w:val="top"/>
          </w:tcPr>
          <w:p w14:paraId="1CA17A40" w14:textId="022589C0" w:rsidR="00665116" w:rsidRDefault="006634AD" w:rsidP="006634AD">
            <w:pPr>
              <w:pStyle w:val="TableSubhead"/>
              <w:jc w:val="both"/>
              <w:rPr>
                <w:rFonts w:asciiTheme="minorHAnsi" w:hAnsiTheme="minorHAnsi"/>
              </w:rPr>
            </w:pPr>
            <w:r>
              <w:t>Business Conduct of</w:t>
            </w:r>
            <w:r w:rsidRPr="009F1A7B">
              <w:t xml:space="preserve"> </w:t>
            </w:r>
            <w:r w:rsidR="00301617" w:rsidRPr="009F1A7B">
              <w:t>Participants (all Participants)</w:t>
            </w:r>
          </w:p>
        </w:tc>
        <w:tc>
          <w:tcPr>
            <w:tcW w:w="1120" w:type="dxa"/>
            <w:shd w:val="clear" w:color="auto" w:fill="D6EAF6" w:themeFill="accent2" w:themeFillTint="33"/>
            <w:vAlign w:val="top"/>
          </w:tcPr>
          <w:p w14:paraId="79DBAB55" w14:textId="77777777" w:rsidR="00665116" w:rsidRDefault="00665116" w:rsidP="00D63B89">
            <w:pPr>
              <w:pStyle w:val="TableSubhead"/>
              <w:jc w:val="center"/>
              <w:rPr>
                <w:rFonts w:asciiTheme="minorHAnsi" w:hAnsiTheme="minorHAnsi"/>
              </w:rPr>
            </w:pPr>
          </w:p>
        </w:tc>
        <w:tc>
          <w:tcPr>
            <w:tcW w:w="3266" w:type="dxa"/>
            <w:shd w:val="clear" w:color="auto" w:fill="D6EAF6" w:themeFill="accent2" w:themeFillTint="33"/>
            <w:vAlign w:val="top"/>
          </w:tcPr>
          <w:p w14:paraId="7B48E405" w14:textId="77777777" w:rsidR="00665116" w:rsidRDefault="00665116" w:rsidP="00D63B89">
            <w:pPr>
              <w:pStyle w:val="TableSubhead"/>
              <w:jc w:val="both"/>
              <w:rPr>
                <w:rFonts w:asciiTheme="minorHAnsi" w:hAnsiTheme="minorHAnsi"/>
              </w:rPr>
            </w:pPr>
          </w:p>
        </w:tc>
      </w:tr>
      <w:tr w:rsidR="00802511" w:rsidRPr="009F1A7B" w14:paraId="1ED62D05" w14:textId="77777777" w:rsidTr="003D66F9">
        <w:trPr>
          <w:trHeight w:val="464"/>
        </w:trPr>
        <w:tc>
          <w:tcPr>
            <w:tcW w:w="1237" w:type="dxa"/>
            <w:vAlign w:val="top"/>
          </w:tcPr>
          <w:p w14:paraId="3E654368" w14:textId="21A9413A" w:rsidR="00802511" w:rsidRDefault="00802511" w:rsidP="00D63B89">
            <w:pPr>
              <w:spacing w:line="240" w:lineRule="atLeast"/>
              <w:jc w:val="center"/>
              <w:rPr>
                <w:szCs w:val="20"/>
              </w:rPr>
            </w:pPr>
            <w:r>
              <w:rPr>
                <w:szCs w:val="20"/>
              </w:rPr>
              <w:t>4.5.1</w:t>
            </w:r>
          </w:p>
        </w:tc>
        <w:tc>
          <w:tcPr>
            <w:tcW w:w="8348" w:type="dxa"/>
            <w:vAlign w:val="top"/>
          </w:tcPr>
          <w:p w14:paraId="250621ED" w14:textId="0BBC95CD" w:rsidR="00802511" w:rsidRPr="007B621C" w:rsidRDefault="00D87A4E" w:rsidP="00802511">
            <w:pPr>
              <w:spacing w:line="240" w:lineRule="atLeast"/>
              <w:jc w:val="both"/>
              <w:rPr>
                <w:rFonts w:asciiTheme="minorHAnsi" w:hAnsiTheme="minorHAnsi" w:cstheme="minorHAnsi"/>
                <w:szCs w:val="20"/>
              </w:rPr>
            </w:pPr>
            <w:r w:rsidRPr="007B621C">
              <w:rPr>
                <w:rFonts w:asciiTheme="minorHAnsi" w:hAnsiTheme="minorHAnsi" w:cstheme="minorHAnsi"/>
                <w:szCs w:val="20"/>
              </w:rPr>
              <w:t xml:space="preserve">During this </w:t>
            </w:r>
            <w:r w:rsidR="005F5BB7">
              <w:rPr>
                <w:rFonts w:cs="Arial"/>
                <w:szCs w:val="20"/>
              </w:rPr>
              <w:t>quarter</w:t>
            </w:r>
            <w:r w:rsidRPr="007B621C">
              <w:rPr>
                <w:rFonts w:asciiTheme="minorHAnsi" w:hAnsiTheme="minorHAnsi" w:cstheme="minorHAnsi"/>
                <w:szCs w:val="20"/>
              </w:rPr>
              <w:t>, the Participant notified NZX of the following promptly after becoming aware of the same:</w:t>
            </w:r>
          </w:p>
          <w:p w14:paraId="2196DBF0" w14:textId="77777777" w:rsidR="00C25C57" w:rsidRPr="007B621C" w:rsidRDefault="00C25C57" w:rsidP="00C25C57">
            <w:pPr>
              <w:numPr>
                <w:ilvl w:val="0"/>
                <w:numId w:val="26"/>
              </w:numPr>
              <w:spacing w:line="240" w:lineRule="atLeast"/>
              <w:jc w:val="both"/>
              <w:rPr>
                <w:rFonts w:asciiTheme="minorHAnsi" w:hAnsiTheme="minorHAnsi" w:cstheme="minorHAnsi"/>
                <w:szCs w:val="20"/>
                <w:lang w:val="en-AU"/>
              </w:rPr>
            </w:pPr>
            <w:r w:rsidRPr="007B621C">
              <w:rPr>
                <w:rFonts w:asciiTheme="minorHAnsi" w:hAnsiTheme="minorHAnsi" w:cstheme="minorHAnsi"/>
                <w:szCs w:val="20"/>
                <w:lang w:val="en-AU"/>
              </w:rPr>
              <w:lastRenderedPageBreak/>
              <w:t>the Insolvency of the Participant or of any of its Directors, or other Person holding an analogous position in that Participant;</w:t>
            </w:r>
          </w:p>
          <w:p w14:paraId="3380498D" w14:textId="77777777" w:rsidR="00C25C57" w:rsidRPr="007B621C" w:rsidRDefault="00C25C57" w:rsidP="00C25C57">
            <w:pPr>
              <w:numPr>
                <w:ilvl w:val="0"/>
                <w:numId w:val="26"/>
              </w:numPr>
              <w:spacing w:line="240" w:lineRule="atLeast"/>
              <w:jc w:val="both"/>
              <w:rPr>
                <w:rFonts w:asciiTheme="minorHAnsi" w:hAnsiTheme="minorHAnsi" w:cstheme="minorHAnsi"/>
                <w:szCs w:val="20"/>
                <w:lang w:val="en-AU"/>
              </w:rPr>
            </w:pPr>
            <w:r w:rsidRPr="007B621C">
              <w:rPr>
                <w:rFonts w:asciiTheme="minorHAnsi" w:hAnsiTheme="minorHAnsi" w:cstheme="minorHAnsi"/>
                <w:szCs w:val="20"/>
                <w:lang w:val="en-AU"/>
              </w:rPr>
              <w:t>any change in Control of the Participant, such Notice to give full details of the change of Control;</w:t>
            </w:r>
          </w:p>
          <w:p w14:paraId="5B926503" w14:textId="77777777" w:rsidR="00C25C57" w:rsidRPr="007B621C" w:rsidRDefault="00C25C57" w:rsidP="00C25C57">
            <w:pPr>
              <w:numPr>
                <w:ilvl w:val="0"/>
                <w:numId w:val="26"/>
              </w:numPr>
              <w:spacing w:line="240" w:lineRule="atLeast"/>
              <w:jc w:val="both"/>
              <w:rPr>
                <w:rFonts w:asciiTheme="minorHAnsi" w:hAnsiTheme="minorHAnsi" w:cstheme="minorHAnsi"/>
                <w:szCs w:val="20"/>
                <w:lang w:val="en-AU"/>
              </w:rPr>
            </w:pPr>
            <w:r w:rsidRPr="007B621C">
              <w:rPr>
                <w:rFonts w:asciiTheme="minorHAnsi" w:hAnsiTheme="minorHAnsi" w:cstheme="minorHAnsi"/>
                <w:szCs w:val="20"/>
                <w:lang w:val="en-AU"/>
              </w:rPr>
              <w:t xml:space="preserve">any breach of the Rules by the Participant and the occurrence of any event referred to in Rule </w:t>
            </w:r>
            <w:r w:rsidRPr="007B621C">
              <w:rPr>
                <w:rFonts w:cs="Arial"/>
                <w:szCs w:val="20"/>
                <w:lang w:val="en-AU"/>
              </w:rPr>
              <w:t>14.15</w:t>
            </w:r>
            <w:r w:rsidRPr="007B621C">
              <w:rPr>
                <w:rFonts w:asciiTheme="minorHAnsi" w:hAnsiTheme="minorHAnsi" w:cstheme="minorHAnsi"/>
                <w:szCs w:val="20"/>
                <w:lang w:val="en-AU"/>
              </w:rPr>
              <w:t xml:space="preserve"> of the Rules;</w:t>
            </w:r>
          </w:p>
          <w:p w14:paraId="1A3A062C" w14:textId="77777777" w:rsidR="00C25C57" w:rsidRPr="007B621C" w:rsidRDefault="00C25C57" w:rsidP="00C25C57">
            <w:pPr>
              <w:numPr>
                <w:ilvl w:val="0"/>
                <w:numId w:val="26"/>
              </w:numPr>
              <w:spacing w:line="240" w:lineRule="atLeast"/>
              <w:jc w:val="both"/>
              <w:rPr>
                <w:rFonts w:asciiTheme="minorHAnsi" w:hAnsiTheme="minorHAnsi" w:cstheme="minorHAnsi"/>
                <w:szCs w:val="20"/>
                <w:lang w:val="en-AU"/>
              </w:rPr>
            </w:pPr>
            <w:r w:rsidRPr="007B621C">
              <w:rPr>
                <w:rFonts w:asciiTheme="minorHAnsi" w:hAnsiTheme="minorHAnsi" w:cstheme="minorHAnsi"/>
                <w:szCs w:val="20"/>
                <w:lang w:val="en-AU"/>
              </w:rPr>
              <w:t>where the Participant or any of its Directors is charged or convicted of an indictable offence;</w:t>
            </w:r>
          </w:p>
          <w:p w14:paraId="1485EDE0" w14:textId="77777777" w:rsidR="00C25C57" w:rsidRPr="007B621C" w:rsidRDefault="00C25C57" w:rsidP="00C25C57">
            <w:pPr>
              <w:numPr>
                <w:ilvl w:val="0"/>
                <w:numId w:val="26"/>
              </w:numPr>
              <w:spacing w:before="60" w:after="60" w:line="240" w:lineRule="atLeast"/>
              <w:rPr>
                <w:rFonts w:asciiTheme="minorHAnsi" w:hAnsiTheme="minorHAnsi" w:cstheme="minorHAnsi"/>
                <w:szCs w:val="20"/>
                <w:lang w:val="en-AU"/>
              </w:rPr>
            </w:pPr>
            <w:r w:rsidRPr="007B621C">
              <w:rPr>
                <w:rFonts w:asciiTheme="minorHAnsi" w:hAnsiTheme="minorHAnsi" w:cstheme="minorHAnsi"/>
                <w:lang w:val="en-AU"/>
              </w:rPr>
              <w:t>where any emergency arises (including the failure of that Participant’s accounting system or ability to connect to the Trading System), which results in that Participant being unable to comply with the requirements as set out in these Rules applicable to that Participant.  As part of that notification, that Participant must advise NZX of the specific steps that Participant is undertaking to deal with, and if possible remedy, that emergency;</w:t>
            </w:r>
          </w:p>
          <w:p w14:paraId="7103589A" w14:textId="77777777" w:rsidR="00C25C57" w:rsidRPr="007B621C" w:rsidRDefault="00C25C57" w:rsidP="00C25C57">
            <w:pPr>
              <w:numPr>
                <w:ilvl w:val="0"/>
                <w:numId w:val="26"/>
              </w:numPr>
              <w:spacing w:before="60" w:after="60" w:line="240" w:lineRule="atLeast"/>
              <w:rPr>
                <w:rFonts w:asciiTheme="minorHAnsi" w:hAnsiTheme="minorHAnsi" w:cstheme="minorHAnsi"/>
                <w:szCs w:val="20"/>
                <w:lang w:val="en-AU"/>
              </w:rPr>
            </w:pPr>
            <w:r w:rsidRPr="007B621C">
              <w:rPr>
                <w:rFonts w:asciiTheme="minorHAnsi" w:hAnsiTheme="minorHAnsi" w:cstheme="minorHAnsi"/>
                <w:lang w:val="en-AU"/>
              </w:rPr>
              <w:t xml:space="preserve">where that Participant, due to circumstances outside its control, is unable to comply or it is impractical for that Participant to comply with any requirement of these Rules. As part of that notification, that Participant must advise NZX of the specific steps that Participant is undertaking to deal with, and if possible remedy, that situation; </w:t>
            </w:r>
          </w:p>
          <w:p w14:paraId="286B0EEC" w14:textId="2DFB9F44" w:rsidR="00C25C57" w:rsidRPr="007B621C" w:rsidRDefault="00C25C57" w:rsidP="00C25C57">
            <w:pPr>
              <w:numPr>
                <w:ilvl w:val="0"/>
                <w:numId w:val="26"/>
              </w:numPr>
              <w:spacing w:before="60" w:after="60" w:line="240" w:lineRule="atLeast"/>
              <w:rPr>
                <w:rFonts w:asciiTheme="minorHAnsi" w:hAnsiTheme="minorHAnsi" w:cstheme="minorHAnsi"/>
                <w:szCs w:val="20"/>
                <w:lang w:val="en-AU"/>
              </w:rPr>
            </w:pPr>
            <w:r w:rsidRPr="007B621C">
              <w:rPr>
                <w:rFonts w:asciiTheme="minorHAnsi" w:hAnsiTheme="minorHAnsi" w:cstheme="minorHAnsi"/>
                <w:lang w:val="en-AU"/>
              </w:rPr>
              <w:t xml:space="preserve">the details of any litigation, arbitration or administrative proceedings, claims or action (including disciplinary or enforcement actions) taken, threatened or pending against the Participant or any Director, </w:t>
            </w:r>
            <w:r w:rsidR="007B621C" w:rsidRPr="002F6333">
              <w:t xml:space="preserve">or partner, as the case may be, </w:t>
            </w:r>
            <w:r w:rsidR="007B621C" w:rsidRPr="002F6333">
              <w:rPr>
                <w:lang w:val="en-US"/>
              </w:rPr>
              <w:t>Employees</w:t>
            </w:r>
            <w:r w:rsidRPr="007B621C">
              <w:rPr>
                <w:rFonts w:asciiTheme="minorHAnsi" w:hAnsiTheme="minorHAnsi" w:cstheme="minorHAnsi"/>
                <w:lang w:val="en-AU"/>
              </w:rPr>
              <w:t>, agent or Person acting on the Participant’s behalf by any Regulatory Authority, Alternative Regulator, exchange, market operator, clearing and settlement facility or any other Person which, if adversely determined, would reasonable be likely to have a Material Adverse Effect;</w:t>
            </w:r>
          </w:p>
          <w:p w14:paraId="2E283AB1" w14:textId="77777777" w:rsidR="00C25C57" w:rsidRPr="007B621C" w:rsidRDefault="00C25C57" w:rsidP="00C25C57">
            <w:pPr>
              <w:numPr>
                <w:ilvl w:val="0"/>
                <w:numId w:val="26"/>
              </w:numPr>
              <w:spacing w:before="60" w:after="60" w:line="240" w:lineRule="atLeast"/>
              <w:rPr>
                <w:rFonts w:asciiTheme="minorHAnsi" w:hAnsiTheme="minorHAnsi" w:cstheme="minorHAnsi"/>
                <w:szCs w:val="20"/>
                <w:lang w:val="en-AU"/>
              </w:rPr>
            </w:pPr>
            <w:r w:rsidRPr="007B621C">
              <w:rPr>
                <w:rFonts w:asciiTheme="minorHAnsi" w:hAnsiTheme="minorHAnsi" w:cstheme="minorHAnsi"/>
                <w:lang w:val="en-AU"/>
              </w:rPr>
              <w:t>where that Participant is an Overseas Participant, that its Alternative Regulator:</w:t>
            </w:r>
          </w:p>
          <w:p w14:paraId="586072AA" w14:textId="77777777" w:rsidR="00C25C57" w:rsidRPr="007B621C" w:rsidRDefault="00C25C57" w:rsidP="00C25C57">
            <w:pPr>
              <w:numPr>
                <w:ilvl w:val="1"/>
                <w:numId w:val="26"/>
              </w:numPr>
              <w:spacing w:before="60" w:after="60" w:line="240" w:lineRule="atLeast"/>
              <w:rPr>
                <w:rFonts w:asciiTheme="minorHAnsi" w:hAnsiTheme="minorHAnsi" w:cstheme="minorHAnsi"/>
                <w:szCs w:val="20"/>
                <w:lang w:val="en-AU"/>
              </w:rPr>
            </w:pPr>
            <w:r w:rsidRPr="007B621C">
              <w:rPr>
                <w:rFonts w:asciiTheme="minorHAnsi" w:hAnsiTheme="minorHAnsi" w:cstheme="minorHAnsi"/>
                <w:szCs w:val="20"/>
                <w:lang w:val="en-AU"/>
              </w:rPr>
              <w:t>has commenced or notified that Overseas Participant that is intends to commence any disciplinary proceeding;</w:t>
            </w:r>
          </w:p>
          <w:p w14:paraId="071BBFD9" w14:textId="77777777" w:rsidR="00C25C57" w:rsidRPr="007B621C" w:rsidRDefault="00C25C57" w:rsidP="00C25C57">
            <w:pPr>
              <w:numPr>
                <w:ilvl w:val="1"/>
                <w:numId w:val="26"/>
              </w:numPr>
              <w:spacing w:before="60" w:after="60" w:line="240" w:lineRule="atLeast"/>
              <w:rPr>
                <w:rFonts w:asciiTheme="minorHAnsi" w:hAnsiTheme="minorHAnsi" w:cstheme="minorHAnsi"/>
                <w:szCs w:val="20"/>
                <w:lang w:val="en-AU"/>
              </w:rPr>
            </w:pPr>
            <w:r w:rsidRPr="007B621C">
              <w:rPr>
                <w:rFonts w:asciiTheme="minorHAnsi" w:hAnsiTheme="minorHAnsi" w:cstheme="minorHAnsi"/>
                <w:szCs w:val="20"/>
                <w:lang w:val="en-AU"/>
              </w:rPr>
              <w:t>has requested further information from the Overseas Participant;</w:t>
            </w:r>
          </w:p>
          <w:p w14:paraId="4E9BA460" w14:textId="77777777" w:rsidR="00C25C57" w:rsidRPr="007B621C" w:rsidRDefault="00C25C57" w:rsidP="00C25C57">
            <w:pPr>
              <w:numPr>
                <w:ilvl w:val="1"/>
                <w:numId w:val="26"/>
              </w:numPr>
              <w:spacing w:before="60" w:after="60" w:line="240" w:lineRule="atLeast"/>
              <w:rPr>
                <w:rFonts w:asciiTheme="minorHAnsi" w:hAnsiTheme="minorHAnsi" w:cstheme="minorHAnsi"/>
                <w:szCs w:val="20"/>
                <w:lang w:val="en-AU"/>
              </w:rPr>
            </w:pPr>
            <w:r w:rsidRPr="007B621C">
              <w:rPr>
                <w:rFonts w:asciiTheme="minorHAnsi" w:hAnsiTheme="minorHAnsi" w:cstheme="minorHAnsi"/>
                <w:szCs w:val="20"/>
                <w:lang w:val="en-AU"/>
              </w:rPr>
              <w:t>has commenced a disciplinary proceeding against that Overseas Participant or notified that Overseas Participant that it intends to do so;</w:t>
            </w:r>
          </w:p>
          <w:p w14:paraId="28D1BA51" w14:textId="77777777" w:rsidR="00C25C57" w:rsidRPr="00C25C57" w:rsidRDefault="00C25C57" w:rsidP="00C25C57">
            <w:pPr>
              <w:numPr>
                <w:ilvl w:val="0"/>
                <w:numId w:val="26"/>
              </w:numPr>
              <w:spacing w:before="60" w:after="60" w:line="240" w:lineRule="atLeast"/>
              <w:rPr>
                <w:rFonts w:asciiTheme="minorHAnsi" w:hAnsiTheme="minorHAnsi" w:cstheme="minorHAnsi"/>
                <w:szCs w:val="20"/>
              </w:rPr>
            </w:pPr>
            <w:r w:rsidRPr="007B621C">
              <w:rPr>
                <w:rFonts w:asciiTheme="minorHAnsi" w:hAnsiTheme="minorHAnsi" w:cstheme="minorHAnsi"/>
                <w:szCs w:val="20"/>
                <w:lang w:val="en-AU"/>
              </w:rPr>
              <w:t>where that Participant is and Overseas Participant, of any event of which its Alternative Regulator requires immediate notification;</w:t>
            </w:r>
            <w:r>
              <w:rPr>
                <w:rFonts w:asciiTheme="minorHAnsi" w:hAnsiTheme="minorHAnsi" w:cstheme="minorHAnsi"/>
                <w:szCs w:val="20"/>
                <w:lang w:val="en-AU"/>
              </w:rPr>
              <w:t xml:space="preserve"> </w:t>
            </w:r>
          </w:p>
          <w:p w14:paraId="4DD7C9B1" w14:textId="550480E5" w:rsidR="00802511" w:rsidRPr="00C25C57" w:rsidRDefault="00C25C57" w:rsidP="00C25C57">
            <w:pPr>
              <w:numPr>
                <w:ilvl w:val="0"/>
                <w:numId w:val="26"/>
              </w:numPr>
              <w:spacing w:before="60" w:after="60" w:line="240" w:lineRule="atLeast"/>
              <w:rPr>
                <w:rFonts w:asciiTheme="minorHAnsi" w:hAnsiTheme="minorHAnsi" w:cstheme="minorHAnsi"/>
                <w:szCs w:val="20"/>
              </w:rPr>
            </w:pPr>
            <w:r w:rsidRPr="00C25C57">
              <w:rPr>
                <w:rFonts w:asciiTheme="minorHAnsi" w:hAnsiTheme="minorHAnsi" w:cstheme="minorHAnsi"/>
                <w:szCs w:val="20"/>
                <w:lang w:val="en-AU"/>
              </w:rPr>
              <w:t>any material chance in information concerning the Participant or the Participant’s business from that previously provided to NZX.</w:t>
            </w:r>
          </w:p>
        </w:tc>
        <w:tc>
          <w:tcPr>
            <w:tcW w:w="1120" w:type="dxa"/>
            <w:vAlign w:val="top"/>
          </w:tcPr>
          <w:p w14:paraId="6A616E21" w14:textId="77777777" w:rsidR="00802511" w:rsidRDefault="00802511" w:rsidP="00D63B89">
            <w:pPr>
              <w:spacing w:line="240" w:lineRule="atLeast"/>
              <w:jc w:val="center"/>
              <w:rPr>
                <w:szCs w:val="20"/>
              </w:rPr>
            </w:pPr>
          </w:p>
        </w:tc>
        <w:tc>
          <w:tcPr>
            <w:tcW w:w="3266" w:type="dxa"/>
            <w:vAlign w:val="top"/>
          </w:tcPr>
          <w:p w14:paraId="36CAD83B" w14:textId="77777777" w:rsidR="00802511" w:rsidRDefault="00802511" w:rsidP="00D63B89">
            <w:pPr>
              <w:spacing w:line="240" w:lineRule="atLeast"/>
              <w:jc w:val="both"/>
              <w:rPr>
                <w:szCs w:val="20"/>
              </w:rPr>
            </w:pPr>
          </w:p>
        </w:tc>
      </w:tr>
      <w:tr w:rsidR="00802511" w:rsidRPr="009F1A7B" w14:paraId="4984B7C6" w14:textId="77777777" w:rsidTr="003D66F9">
        <w:trPr>
          <w:trHeight w:val="464"/>
        </w:trPr>
        <w:tc>
          <w:tcPr>
            <w:tcW w:w="1237" w:type="dxa"/>
            <w:vAlign w:val="top"/>
          </w:tcPr>
          <w:p w14:paraId="372D6F8A" w14:textId="6463BCDD" w:rsidR="00802511" w:rsidRDefault="007B621C" w:rsidP="00D63B89">
            <w:pPr>
              <w:spacing w:line="240" w:lineRule="atLeast"/>
              <w:jc w:val="center"/>
              <w:rPr>
                <w:szCs w:val="20"/>
              </w:rPr>
            </w:pPr>
            <w:r>
              <w:rPr>
                <w:szCs w:val="20"/>
              </w:rPr>
              <w:lastRenderedPageBreak/>
              <w:t>4.5.2</w:t>
            </w:r>
          </w:p>
        </w:tc>
        <w:tc>
          <w:tcPr>
            <w:tcW w:w="8348" w:type="dxa"/>
            <w:vAlign w:val="top"/>
          </w:tcPr>
          <w:p w14:paraId="5BF6BFEE" w14:textId="093888F3" w:rsidR="00802511" w:rsidRDefault="00D87A4E" w:rsidP="00A93347">
            <w:pPr>
              <w:spacing w:line="240" w:lineRule="atLeast"/>
              <w:jc w:val="both"/>
              <w:rPr>
                <w:rFonts w:cs="Arial"/>
                <w:szCs w:val="20"/>
              </w:rPr>
            </w:pPr>
            <w:r>
              <w:rPr>
                <w:rFonts w:cs="Arial"/>
                <w:szCs w:val="20"/>
              </w:rPr>
              <w:t>During</w:t>
            </w:r>
            <w:r w:rsidRPr="009F1A7B">
              <w:rPr>
                <w:rFonts w:cs="Arial"/>
                <w:szCs w:val="20"/>
              </w:rPr>
              <w:t xml:space="preserve"> this </w:t>
            </w:r>
            <w:r w:rsidR="005F5BB7">
              <w:rPr>
                <w:rFonts w:cs="Arial"/>
                <w:szCs w:val="20"/>
              </w:rPr>
              <w:t>quarter</w:t>
            </w:r>
            <w:r w:rsidRPr="009F1A7B">
              <w:rPr>
                <w:rFonts w:cs="Arial"/>
                <w:szCs w:val="20"/>
              </w:rPr>
              <w:t xml:space="preserve">, the Participant notified NZX in writing of any changes </w:t>
            </w:r>
            <w:r>
              <w:rPr>
                <w:rFonts w:cs="Arial"/>
                <w:szCs w:val="20"/>
              </w:rPr>
              <w:t>to the Trading Participant’s</w:t>
            </w:r>
            <w:r w:rsidRPr="009F1A7B">
              <w:rPr>
                <w:rFonts w:cs="Arial"/>
                <w:szCs w:val="20"/>
              </w:rPr>
              <w:t xml:space="preserve"> Dealer</w:t>
            </w:r>
            <w:r>
              <w:rPr>
                <w:rFonts w:cs="Arial"/>
                <w:szCs w:val="20"/>
              </w:rPr>
              <w:t>(s)</w:t>
            </w:r>
            <w:r w:rsidRPr="009F1A7B">
              <w:rPr>
                <w:rFonts w:cs="Arial"/>
                <w:szCs w:val="20"/>
              </w:rPr>
              <w:t xml:space="preserve"> within 5 Business Days</w:t>
            </w:r>
            <w:r>
              <w:rPr>
                <w:rFonts w:cs="Arial"/>
                <w:szCs w:val="20"/>
              </w:rPr>
              <w:t>:</w:t>
            </w:r>
          </w:p>
          <w:p w14:paraId="2D5BDD83" w14:textId="77777777" w:rsidR="007B621C" w:rsidRPr="007B621C" w:rsidRDefault="007B621C" w:rsidP="007B621C">
            <w:pPr>
              <w:numPr>
                <w:ilvl w:val="0"/>
                <w:numId w:val="27"/>
              </w:numPr>
              <w:spacing w:line="240" w:lineRule="atLeast"/>
              <w:jc w:val="both"/>
              <w:rPr>
                <w:rFonts w:cs="Arial"/>
                <w:szCs w:val="20"/>
                <w:lang w:val="en-AU"/>
              </w:rPr>
            </w:pPr>
            <w:r w:rsidRPr="007B621C">
              <w:rPr>
                <w:rFonts w:cs="Arial"/>
                <w:szCs w:val="20"/>
                <w:lang w:val="en-AU"/>
              </w:rPr>
              <w:t>the proposed appointment or resignation of its auditor;</w:t>
            </w:r>
          </w:p>
          <w:p w14:paraId="384DB392" w14:textId="77777777" w:rsidR="007B621C" w:rsidRPr="007B621C" w:rsidRDefault="007B621C" w:rsidP="007B621C">
            <w:pPr>
              <w:numPr>
                <w:ilvl w:val="0"/>
                <w:numId w:val="27"/>
              </w:numPr>
              <w:spacing w:line="240" w:lineRule="atLeast"/>
              <w:jc w:val="both"/>
              <w:rPr>
                <w:rFonts w:cs="Arial"/>
                <w:szCs w:val="20"/>
                <w:lang w:val="en-AU"/>
              </w:rPr>
            </w:pPr>
            <w:r w:rsidRPr="007B621C">
              <w:rPr>
                <w:rFonts w:cs="Arial"/>
                <w:szCs w:val="20"/>
                <w:lang w:val="en-AU"/>
              </w:rPr>
              <w:t>any proposed Major Transaction, (or analogous transaction under the law of another jurisdiction) or material change in the nature or scope of its business or any proposed cessation of its business as a Participant;</w:t>
            </w:r>
          </w:p>
          <w:p w14:paraId="17EEBEBC" w14:textId="77777777" w:rsidR="007B621C" w:rsidRPr="007B621C" w:rsidRDefault="007B621C" w:rsidP="007B621C">
            <w:pPr>
              <w:numPr>
                <w:ilvl w:val="0"/>
                <w:numId w:val="27"/>
              </w:numPr>
              <w:spacing w:line="240" w:lineRule="atLeast"/>
              <w:jc w:val="both"/>
              <w:rPr>
                <w:rFonts w:cs="Arial"/>
                <w:szCs w:val="20"/>
                <w:lang w:val="en-AU"/>
              </w:rPr>
            </w:pPr>
            <w:r w:rsidRPr="007B621C">
              <w:rPr>
                <w:rFonts w:cs="Arial"/>
                <w:szCs w:val="20"/>
                <w:lang w:val="en-AU"/>
              </w:rPr>
              <w:t xml:space="preserve">the change of its name or the name in which it carries on business, or any change in the address at which the Participant carries on business or stores or maintains records or other information required to be stored or maintained by these Rules; </w:t>
            </w:r>
          </w:p>
          <w:p w14:paraId="3D17EBD8" w14:textId="6CBA4CBA" w:rsidR="007B621C" w:rsidRPr="007B621C" w:rsidRDefault="007B621C" w:rsidP="007B621C">
            <w:pPr>
              <w:numPr>
                <w:ilvl w:val="0"/>
                <w:numId w:val="27"/>
              </w:numPr>
              <w:spacing w:line="240" w:lineRule="atLeast"/>
              <w:jc w:val="both"/>
              <w:rPr>
                <w:rFonts w:cs="Arial"/>
                <w:szCs w:val="20"/>
                <w:lang w:val="en-AU"/>
              </w:rPr>
            </w:pPr>
            <w:r w:rsidRPr="007B621C">
              <w:rPr>
                <w:rFonts w:cs="Arial"/>
                <w:szCs w:val="20"/>
                <w:lang w:val="en-AU"/>
              </w:rPr>
              <w:t xml:space="preserve">the change to the contact details for the Participant, the Responsible Executive or any Director, </w:t>
            </w:r>
            <w:r>
              <w:rPr>
                <w:rFonts w:cs="Arial"/>
                <w:szCs w:val="20"/>
                <w:lang w:val="en-AU"/>
              </w:rPr>
              <w:t>Employees</w:t>
            </w:r>
            <w:r w:rsidRPr="007B621C">
              <w:rPr>
                <w:rFonts w:cs="Arial"/>
                <w:szCs w:val="20"/>
                <w:lang w:val="en-AU"/>
              </w:rPr>
              <w:t>, agent or other Person acting on behalf of the Participant, which the Participant has previously provided to NZX;</w:t>
            </w:r>
          </w:p>
          <w:p w14:paraId="3BB67933" w14:textId="77777777" w:rsidR="007B621C" w:rsidRPr="007B621C" w:rsidRDefault="007B621C" w:rsidP="007B621C">
            <w:pPr>
              <w:numPr>
                <w:ilvl w:val="0"/>
                <w:numId w:val="27"/>
              </w:numPr>
              <w:spacing w:line="240" w:lineRule="atLeast"/>
              <w:jc w:val="both"/>
              <w:rPr>
                <w:rFonts w:cs="Arial"/>
                <w:szCs w:val="20"/>
              </w:rPr>
            </w:pPr>
            <w:r w:rsidRPr="007B621C">
              <w:rPr>
                <w:rFonts w:cs="Arial"/>
                <w:szCs w:val="20"/>
                <w:lang w:val="en-AU"/>
              </w:rPr>
              <w:t xml:space="preserve">any proposed issue, re-purchase or redemption of securities issued by the Participant (including the purchase of all or any of the shares of a share holder following receipt by the Participant of a notice by that shareholder pursuant to section 111(1) of the Companies Act 1993), any proposed amalgamation or reconstruction of the Participant, any proposed provision of financial assistance for the acquisition of securities issued by the Participant or its Holding Company, or any release of its security holders from liability to the Participant, including the obligation to pay uncalled consideration on securities; or </w:t>
            </w:r>
          </w:p>
          <w:p w14:paraId="6A5BF902" w14:textId="53DC0B9D" w:rsidR="00C25C57" w:rsidRPr="007B621C" w:rsidRDefault="007B621C" w:rsidP="007B621C">
            <w:pPr>
              <w:numPr>
                <w:ilvl w:val="0"/>
                <w:numId w:val="27"/>
              </w:numPr>
              <w:spacing w:line="240" w:lineRule="atLeast"/>
              <w:jc w:val="both"/>
              <w:rPr>
                <w:rFonts w:cs="Arial"/>
                <w:szCs w:val="20"/>
              </w:rPr>
            </w:pPr>
            <w:r w:rsidRPr="007B621C">
              <w:rPr>
                <w:rFonts w:cs="Arial"/>
                <w:szCs w:val="20"/>
                <w:lang w:val="en-AU"/>
              </w:rPr>
              <w:t>any proposed change in its legal or corporate structure, change to its constitution or place, jurisdiction or nature of incorporation, domicile or residence.</w:t>
            </w:r>
          </w:p>
          <w:p w14:paraId="651CC83D" w14:textId="0FA93B7E" w:rsidR="00C25C57" w:rsidRDefault="00C25C57" w:rsidP="00A93347">
            <w:pPr>
              <w:spacing w:line="240" w:lineRule="atLeast"/>
              <w:jc w:val="both"/>
              <w:rPr>
                <w:rFonts w:cs="Arial"/>
                <w:szCs w:val="20"/>
              </w:rPr>
            </w:pPr>
          </w:p>
        </w:tc>
        <w:tc>
          <w:tcPr>
            <w:tcW w:w="1120" w:type="dxa"/>
            <w:vAlign w:val="top"/>
          </w:tcPr>
          <w:p w14:paraId="1C3AB476" w14:textId="77777777" w:rsidR="00802511" w:rsidRDefault="00802511" w:rsidP="00D63B89">
            <w:pPr>
              <w:spacing w:line="240" w:lineRule="atLeast"/>
              <w:jc w:val="center"/>
              <w:rPr>
                <w:szCs w:val="20"/>
              </w:rPr>
            </w:pPr>
          </w:p>
        </w:tc>
        <w:tc>
          <w:tcPr>
            <w:tcW w:w="3266" w:type="dxa"/>
            <w:vAlign w:val="top"/>
          </w:tcPr>
          <w:p w14:paraId="1329E6B7" w14:textId="77777777" w:rsidR="00802511" w:rsidRDefault="00802511" w:rsidP="00D63B89">
            <w:pPr>
              <w:spacing w:line="240" w:lineRule="atLeast"/>
              <w:jc w:val="both"/>
              <w:rPr>
                <w:szCs w:val="20"/>
              </w:rPr>
            </w:pPr>
          </w:p>
        </w:tc>
      </w:tr>
      <w:tr w:rsidR="004B73D9" w:rsidRPr="009F1A7B" w14:paraId="15E7774F" w14:textId="77777777" w:rsidTr="003D66F9">
        <w:trPr>
          <w:trHeight w:val="464"/>
        </w:trPr>
        <w:tc>
          <w:tcPr>
            <w:tcW w:w="1237" w:type="dxa"/>
            <w:vAlign w:val="top"/>
          </w:tcPr>
          <w:p w14:paraId="76F15F00" w14:textId="7B563E4D" w:rsidR="004B73D9" w:rsidRDefault="004B73D9" w:rsidP="00D63B89">
            <w:pPr>
              <w:spacing w:line="240" w:lineRule="atLeast"/>
              <w:jc w:val="center"/>
              <w:rPr>
                <w:szCs w:val="20"/>
              </w:rPr>
            </w:pPr>
            <w:r>
              <w:rPr>
                <w:szCs w:val="20"/>
              </w:rPr>
              <w:t>4.6</w:t>
            </w:r>
          </w:p>
        </w:tc>
        <w:tc>
          <w:tcPr>
            <w:tcW w:w="8348" w:type="dxa"/>
            <w:vAlign w:val="top"/>
          </w:tcPr>
          <w:p w14:paraId="24D68620" w14:textId="3B222BDE" w:rsidR="004B73D9" w:rsidRDefault="00D87A4E" w:rsidP="00D87A4E">
            <w:pPr>
              <w:spacing w:line="240" w:lineRule="atLeast"/>
              <w:jc w:val="both"/>
              <w:rPr>
                <w:rFonts w:cs="Arial"/>
                <w:szCs w:val="20"/>
              </w:rPr>
            </w:pPr>
            <w:r>
              <w:rPr>
                <w:rFonts w:cs="Arial"/>
                <w:szCs w:val="20"/>
                <w:lang w:val="en-AU"/>
              </w:rPr>
              <w:t>A</w:t>
            </w:r>
            <w:r w:rsidRPr="004B73D9">
              <w:rPr>
                <w:rFonts w:cs="Arial"/>
                <w:szCs w:val="20"/>
                <w:lang w:val="en-AU"/>
              </w:rPr>
              <w:t xml:space="preserve">t </w:t>
            </w:r>
            <w:r w:rsidR="004B73D9" w:rsidRPr="004B73D9">
              <w:rPr>
                <w:rFonts w:cs="Arial"/>
                <w:szCs w:val="20"/>
                <w:lang w:val="en-AU"/>
              </w:rPr>
              <w:t xml:space="preserve">any time in this </w:t>
            </w:r>
            <w:r w:rsidR="005F5BB7">
              <w:rPr>
                <w:rFonts w:cs="Arial"/>
                <w:szCs w:val="20"/>
              </w:rPr>
              <w:t>quarter</w:t>
            </w:r>
            <w:r w:rsidR="004B73D9" w:rsidRPr="004B73D9">
              <w:rPr>
                <w:rFonts w:cs="Arial"/>
                <w:szCs w:val="20"/>
                <w:lang w:val="en-AU"/>
              </w:rPr>
              <w:t xml:space="preserve"> that the Participant has filed an annual return, financial statements, or a notice of a change in its share capital, its Directors or its Constitution with the Registrar of Companies, or in the respect of an Overseas Participant, such Alternative Regulator or person holding an analogous office to the Registrar of Companies in its home jurisdiction, the Participant also sent a copy of such return or notice to NZX.</w:t>
            </w:r>
          </w:p>
        </w:tc>
        <w:tc>
          <w:tcPr>
            <w:tcW w:w="1120" w:type="dxa"/>
            <w:vAlign w:val="top"/>
          </w:tcPr>
          <w:p w14:paraId="54E44EAB" w14:textId="77777777" w:rsidR="004B73D9" w:rsidRDefault="004B73D9" w:rsidP="00D63B89">
            <w:pPr>
              <w:spacing w:line="240" w:lineRule="atLeast"/>
              <w:jc w:val="center"/>
              <w:rPr>
                <w:szCs w:val="20"/>
              </w:rPr>
            </w:pPr>
          </w:p>
        </w:tc>
        <w:tc>
          <w:tcPr>
            <w:tcW w:w="3266" w:type="dxa"/>
            <w:vAlign w:val="top"/>
          </w:tcPr>
          <w:p w14:paraId="55AAD62E" w14:textId="77777777" w:rsidR="004B73D9" w:rsidRDefault="004B73D9" w:rsidP="00D63B89">
            <w:pPr>
              <w:spacing w:line="240" w:lineRule="atLeast"/>
              <w:jc w:val="both"/>
              <w:rPr>
                <w:szCs w:val="20"/>
              </w:rPr>
            </w:pPr>
          </w:p>
        </w:tc>
      </w:tr>
      <w:tr w:rsidR="00802511" w:rsidRPr="009F1A7B" w14:paraId="6428111A" w14:textId="77777777" w:rsidTr="003D66F9">
        <w:trPr>
          <w:trHeight w:val="464"/>
        </w:trPr>
        <w:tc>
          <w:tcPr>
            <w:tcW w:w="1237" w:type="dxa"/>
            <w:vAlign w:val="top"/>
          </w:tcPr>
          <w:p w14:paraId="6A9B3E7F" w14:textId="5763F163" w:rsidR="00802511" w:rsidRDefault="004B73D9" w:rsidP="00802511">
            <w:pPr>
              <w:spacing w:line="240" w:lineRule="atLeast"/>
              <w:jc w:val="center"/>
              <w:rPr>
                <w:szCs w:val="20"/>
              </w:rPr>
            </w:pPr>
            <w:r>
              <w:rPr>
                <w:szCs w:val="20"/>
              </w:rPr>
              <w:t>4.16</w:t>
            </w:r>
            <w:r w:rsidR="00802511" w:rsidRPr="009F1A7B">
              <w:rPr>
                <w:szCs w:val="20"/>
              </w:rPr>
              <w:t>.2</w:t>
            </w:r>
          </w:p>
        </w:tc>
        <w:tc>
          <w:tcPr>
            <w:tcW w:w="8348" w:type="dxa"/>
            <w:vAlign w:val="top"/>
          </w:tcPr>
          <w:p w14:paraId="1C73D085" w14:textId="68316C3F" w:rsidR="00802511" w:rsidRDefault="00802511" w:rsidP="00802511">
            <w:pPr>
              <w:spacing w:line="240" w:lineRule="atLeast"/>
              <w:jc w:val="both"/>
              <w:rPr>
                <w:rFonts w:cs="Arial"/>
                <w:szCs w:val="20"/>
              </w:rPr>
            </w:pPr>
            <w:r>
              <w:rPr>
                <w:rFonts w:cs="Arial"/>
                <w:szCs w:val="20"/>
              </w:rPr>
              <w:t>T</w:t>
            </w:r>
            <w:r w:rsidRPr="009F1A7B">
              <w:rPr>
                <w:rFonts w:cs="Arial"/>
                <w:szCs w:val="20"/>
              </w:rPr>
              <w:t>he Participant continues to have the following insurances:</w:t>
            </w:r>
          </w:p>
          <w:p w14:paraId="221342CE" w14:textId="77777777" w:rsidR="00802511" w:rsidRDefault="00802511" w:rsidP="00802511">
            <w:pPr>
              <w:spacing w:line="240" w:lineRule="atLeast"/>
              <w:jc w:val="both"/>
              <w:rPr>
                <w:rFonts w:asciiTheme="minorHAnsi" w:hAnsiTheme="minorHAnsi" w:cs="Arial"/>
                <w:sz w:val="22"/>
                <w:szCs w:val="20"/>
              </w:rPr>
            </w:pPr>
          </w:p>
          <w:p w14:paraId="57F68D0F" w14:textId="77777777" w:rsidR="00802511" w:rsidRPr="00802511" w:rsidRDefault="00802511" w:rsidP="00802511">
            <w:pPr>
              <w:pStyle w:val="ListParagraph"/>
              <w:numPr>
                <w:ilvl w:val="0"/>
                <w:numId w:val="25"/>
              </w:numPr>
              <w:spacing w:line="240" w:lineRule="atLeast"/>
              <w:ind w:left="401"/>
              <w:jc w:val="both"/>
              <w:rPr>
                <w:rFonts w:asciiTheme="minorHAnsi" w:hAnsiTheme="minorHAnsi" w:cs="Arial"/>
                <w:sz w:val="22"/>
                <w:szCs w:val="20"/>
              </w:rPr>
            </w:pPr>
            <w:r w:rsidRPr="00802511">
              <w:rPr>
                <w:rFonts w:cs="Arial"/>
                <w:szCs w:val="20"/>
              </w:rPr>
              <w:t>Professional indemnity insurance; and</w:t>
            </w:r>
          </w:p>
          <w:p w14:paraId="60B978D5" w14:textId="288E6971" w:rsidR="00802511" w:rsidRPr="00802511" w:rsidRDefault="00802511" w:rsidP="00802511">
            <w:pPr>
              <w:pStyle w:val="ListParagraph"/>
              <w:numPr>
                <w:ilvl w:val="0"/>
                <w:numId w:val="25"/>
              </w:numPr>
              <w:spacing w:line="240" w:lineRule="atLeast"/>
              <w:ind w:left="401"/>
              <w:jc w:val="both"/>
              <w:rPr>
                <w:rFonts w:cs="Arial"/>
                <w:szCs w:val="20"/>
              </w:rPr>
            </w:pPr>
            <w:r w:rsidRPr="00802511">
              <w:rPr>
                <w:rFonts w:cs="Arial"/>
                <w:szCs w:val="20"/>
              </w:rPr>
              <w:t>Directors’ and officers’ liability insurance (when applicable to the legal structure of the Market Participant).</w:t>
            </w:r>
          </w:p>
        </w:tc>
        <w:tc>
          <w:tcPr>
            <w:tcW w:w="1120" w:type="dxa"/>
            <w:vAlign w:val="top"/>
          </w:tcPr>
          <w:p w14:paraId="465D7665" w14:textId="77777777" w:rsidR="00802511" w:rsidRDefault="00802511" w:rsidP="00802511">
            <w:pPr>
              <w:spacing w:line="240" w:lineRule="atLeast"/>
              <w:jc w:val="center"/>
              <w:rPr>
                <w:szCs w:val="20"/>
              </w:rPr>
            </w:pPr>
          </w:p>
        </w:tc>
        <w:tc>
          <w:tcPr>
            <w:tcW w:w="3266" w:type="dxa"/>
            <w:vAlign w:val="top"/>
          </w:tcPr>
          <w:p w14:paraId="0A93D391" w14:textId="77777777" w:rsidR="00802511" w:rsidRDefault="00802511" w:rsidP="00802511">
            <w:pPr>
              <w:spacing w:line="240" w:lineRule="atLeast"/>
              <w:jc w:val="both"/>
              <w:rPr>
                <w:szCs w:val="20"/>
              </w:rPr>
            </w:pPr>
          </w:p>
        </w:tc>
      </w:tr>
      <w:tr w:rsidR="00802511" w:rsidRPr="009F1A7B" w14:paraId="7BCA32CB" w14:textId="77777777" w:rsidTr="003D66F9">
        <w:trPr>
          <w:trHeight w:val="464"/>
        </w:trPr>
        <w:tc>
          <w:tcPr>
            <w:tcW w:w="1237" w:type="dxa"/>
            <w:vAlign w:val="top"/>
          </w:tcPr>
          <w:p w14:paraId="422598B5" w14:textId="441AD02E" w:rsidR="00802511" w:rsidRDefault="004B73D9" w:rsidP="00802511">
            <w:pPr>
              <w:spacing w:line="240" w:lineRule="atLeast"/>
              <w:jc w:val="center"/>
              <w:rPr>
                <w:szCs w:val="20"/>
              </w:rPr>
            </w:pPr>
            <w:r>
              <w:rPr>
                <w:szCs w:val="20"/>
              </w:rPr>
              <w:t>4.16.3</w:t>
            </w:r>
            <w:r w:rsidR="00533096">
              <w:rPr>
                <w:szCs w:val="20"/>
              </w:rPr>
              <w:t>(f)</w:t>
            </w:r>
          </w:p>
        </w:tc>
        <w:tc>
          <w:tcPr>
            <w:tcW w:w="8348" w:type="dxa"/>
            <w:vAlign w:val="top"/>
          </w:tcPr>
          <w:p w14:paraId="37602575" w14:textId="1E5EB93A" w:rsidR="00802511" w:rsidRDefault="00D87A4E" w:rsidP="00802511">
            <w:pPr>
              <w:spacing w:line="240" w:lineRule="atLeast"/>
              <w:jc w:val="both"/>
              <w:rPr>
                <w:rFonts w:cs="Arial"/>
                <w:szCs w:val="20"/>
              </w:rPr>
            </w:pPr>
            <w:r>
              <w:rPr>
                <w:rFonts w:cs="Arial"/>
                <w:szCs w:val="20"/>
                <w:lang w:val="en-AU"/>
              </w:rPr>
              <w:t>During the</w:t>
            </w:r>
            <w:r w:rsidR="00533096">
              <w:rPr>
                <w:rFonts w:cs="Arial"/>
                <w:szCs w:val="20"/>
                <w:lang w:val="en-AU"/>
              </w:rPr>
              <w:t xml:space="preserve"> quarter</w:t>
            </w:r>
            <w:r w:rsidR="004B73D9" w:rsidRPr="004B73D9">
              <w:rPr>
                <w:rFonts w:cs="Arial"/>
                <w:szCs w:val="20"/>
                <w:lang w:val="en-AU"/>
              </w:rPr>
              <w:t>, the Participant has notified NZX of any material change made to the amount of insurance that the Participant has cover for.</w:t>
            </w:r>
          </w:p>
        </w:tc>
        <w:tc>
          <w:tcPr>
            <w:tcW w:w="1120" w:type="dxa"/>
            <w:vAlign w:val="top"/>
          </w:tcPr>
          <w:p w14:paraId="7E89BAD6" w14:textId="77777777" w:rsidR="00802511" w:rsidRDefault="00802511" w:rsidP="00802511">
            <w:pPr>
              <w:spacing w:line="240" w:lineRule="atLeast"/>
              <w:jc w:val="center"/>
              <w:rPr>
                <w:szCs w:val="20"/>
              </w:rPr>
            </w:pPr>
          </w:p>
        </w:tc>
        <w:tc>
          <w:tcPr>
            <w:tcW w:w="3266" w:type="dxa"/>
            <w:vAlign w:val="top"/>
          </w:tcPr>
          <w:p w14:paraId="04D1B2EF" w14:textId="77777777" w:rsidR="00802511" w:rsidRDefault="00802511" w:rsidP="00802511">
            <w:pPr>
              <w:spacing w:line="240" w:lineRule="atLeast"/>
              <w:jc w:val="both"/>
              <w:rPr>
                <w:szCs w:val="20"/>
              </w:rPr>
            </w:pPr>
          </w:p>
        </w:tc>
      </w:tr>
      <w:tr w:rsidR="00802511" w:rsidRPr="009F1A7B" w14:paraId="756FAD14" w14:textId="77777777" w:rsidTr="003D66F9">
        <w:trPr>
          <w:trHeight w:val="464"/>
        </w:trPr>
        <w:tc>
          <w:tcPr>
            <w:tcW w:w="1237" w:type="dxa"/>
            <w:vAlign w:val="top"/>
          </w:tcPr>
          <w:p w14:paraId="170B89E3" w14:textId="24B9098A" w:rsidR="00802511" w:rsidRDefault="004B73D9" w:rsidP="00802511">
            <w:pPr>
              <w:spacing w:line="240" w:lineRule="atLeast"/>
              <w:jc w:val="center"/>
              <w:rPr>
                <w:szCs w:val="20"/>
              </w:rPr>
            </w:pPr>
            <w:r>
              <w:rPr>
                <w:szCs w:val="20"/>
              </w:rPr>
              <w:lastRenderedPageBreak/>
              <w:t>4.16.5</w:t>
            </w:r>
          </w:p>
        </w:tc>
        <w:tc>
          <w:tcPr>
            <w:tcW w:w="8348" w:type="dxa"/>
            <w:vAlign w:val="top"/>
          </w:tcPr>
          <w:p w14:paraId="5F2E2147" w14:textId="0FD0371F" w:rsidR="004B73D9" w:rsidRPr="004B73D9" w:rsidRDefault="00D87A4E" w:rsidP="004B73D9">
            <w:pPr>
              <w:spacing w:line="240" w:lineRule="atLeast"/>
              <w:jc w:val="both"/>
              <w:rPr>
                <w:rFonts w:cs="Arial"/>
                <w:szCs w:val="20"/>
                <w:lang w:val="en-AU"/>
              </w:rPr>
            </w:pPr>
            <w:r>
              <w:rPr>
                <w:rFonts w:cs="Arial"/>
                <w:szCs w:val="20"/>
                <w:lang w:val="en-AU"/>
              </w:rPr>
              <w:t>During the</w:t>
            </w:r>
            <w:r w:rsidR="004B73D9" w:rsidRPr="004B73D9">
              <w:rPr>
                <w:rFonts w:cs="Arial"/>
                <w:szCs w:val="20"/>
                <w:lang w:val="en-AU"/>
              </w:rPr>
              <w:t xml:space="preserve"> </w:t>
            </w:r>
            <w:r w:rsidR="005F5BB7">
              <w:rPr>
                <w:rFonts w:cs="Arial"/>
                <w:szCs w:val="20"/>
              </w:rPr>
              <w:t>quarter</w:t>
            </w:r>
            <w:r w:rsidR="004B73D9" w:rsidRPr="004B73D9">
              <w:rPr>
                <w:rFonts w:cs="Arial"/>
                <w:szCs w:val="20"/>
                <w:lang w:val="en-AU"/>
              </w:rPr>
              <w:t>, the Participant has notified NZX of:</w:t>
            </w:r>
          </w:p>
          <w:p w14:paraId="6A9F86C5" w14:textId="77777777" w:rsidR="004B73D9" w:rsidRPr="004B73D9" w:rsidRDefault="004B73D9" w:rsidP="004B73D9">
            <w:pPr>
              <w:numPr>
                <w:ilvl w:val="0"/>
                <w:numId w:val="28"/>
              </w:numPr>
              <w:spacing w:line="240" w:lineRule="atLeast"/>
              <w:jc w:val="both"/>
              <w:rPr>
                <w:rFonts w:cs="Arial"/>
                <w:szCs w:val="20"/>
              </w:rPr>
            </w:pPr>
            <w:r w:rsidRPr="004B73D9">
              <w:rPr>
                <w:rFonts w:cs="Arial"/>
                <w:szCs w:val="20"/>
                <w:lang w:val="en-AU"/>
              </w:rPr>
              <w:t>any material claim on any insurance policy that Participant has in relation to Directors’ and officers or professional indemnity cover of any other policy that is relevant to its business as a Participant; and</w:t>
            </w:r>
            <w:r>
              <w:rPr>
                <w:rFonts w:cs="Arial"/>
                <w:szCs w:val="20"/>
                <w:lang w:val="en-AU"/>
              </w:rPr>
              <w:t xml:space="preserve"> </w:t>
            </w:r>
          </w:p>
          <w:p w14:paraId="30B591EC" w14:textId="69688ABE" w:rsidR="00802511" w:rsidRDefault="004B73D9" w:rsidP="004B73D9">
            <w:pPr>
              <w:numPr>
                <w:ilvl w:val="0"/>
                <w:numId w:val="28"/>
              </w:numPr>
              <w:spacing w:line="240" w:lineRule="atLeast"/>
              <w:jc w:val="both"/>
              <w:rPr>
                <w:rFonts w:cs="Arial"/>
                <w:szCs w:val="20"/>
              </w:rPr>
            </w:pPr>
            <w:r w:rsidRPr="004B73D9">
              <w:rPr>
                <w:rFonts w:cs="Arial"/>
                <w:szCs w:val="20"/>
                <w:lang w:val="en-AU"/>
              </w:rPr>
              <w:t>any event or circumstance that has or would be likely to result in any cover (in whole or in part) under an insurance policy disclosed to NZX ceasing to be available.</w:t>
            </w:r>
          </w:p>
        </w:tc>
        <w:tc>
          <w:tcPr>
            <w:tcW w:w="1120" w:type="dxa"/>
            <w:vAlign w:val="top"/>
          </w:tcPr>
          <w:p w14:paraId="40ABD703" w14:textId="77777777" w:rsidR="00802511" w:rsidRDefault="00802511" w:rsidP="00802511">
            <w:pPr>
              <w:spacing w:line="240" w:lineRule="atLeast"/>
              <w:jc w:val="center"/>
              <w:rPr>
                <w:szCs w:val="20"/>
              </w:rPr>
            </w:pPr>
          </w:p>
        </w:tc>
        <w:tc>
          <w:tcPr>
            <w:tcW w:w="3266" w:type="dxa"/>
            <w:vAlign w:val="top"/>
          </w:tcPr>
          <w:p w14:paraId="1B64647C" w14:textId="77777777" w:rsidR="00802511" w:rsidRDefault="00802511" w:rsidP="00802511">
            <w:pPr>
              <w:spacing w:line="240" w:lineRule="atLeast"/>
              <w:jc w:val="both"/>
              <w:rPr>
                <w:szCs w:val="20"/>
              </w:rPr>
            </w:pPr>
          </w:p>
        </w:tc>
      </w:tr>
      <w:tr w:rsidR="00802511" w:rsidRPr="009F1A7B" w14:paraId="794A57A8" w14:textId="77777777" w:rsidTr="003D66F9">
        <w:trPr>
          <w:trHeight w:val="464"/>
        </w:trPr>
        <w:tc>
          <w:tcPr>
            <w:tcW w:w="1237" w:type="dxa"/>
            <w:vAlign w:val="top"/>
          </w:tcPr>
          <w:p w14:paraId="584FD5C5" w14:textId="7D180C0F" w:rsidR="00802511" w:rsidRDefault="00686191" w:rsidP="00802511">
            <w:pPr>
              <w:spacing w:line="240" w:lineRule="atLeast"/>
              <w:jc w:val="center"/>
              <w:rPr>
                <w:szCs w:val="20"/>
              </w:rPr>
            </w:pPr>
            <w:r>
              <w:rPr>
                <w:szCs w:val="20"/>
              </w:rPr>
              <w:t>4.19.1</w:t>
            </w:r>
          </w:p>
        </w:tc>
        <w:tc>
          <w:tcPr>
            <w:tcW w:w="8348" w:type="dxa"/>
            <w:vAlign w:val="top"/>
          </w:tcPr>
          <w:p w14:paraId="5EB4266D" w14:textId="230CA22B" w:rsidR="00686191" w:rsidRPr="00C41B38" w:rsidRDefault="00686191" w:rsidP="00686191">
            <w:pPr>
              <w:pStyle w:val="TableSubhead"/>
              <w:jc w:val="both"/>
              <w:rPr>
                <w:rFonts w:asciiTheme="minorHAnsi" w:hAnsiTheme="minorHAnsi"/>
                <w:b w:val="0"/>
              </w:rPr>
            </w:pPr>
            <w:r w:rsidRPr="00C41B38">
              <w:rPr>
                <w:b w:val="0"/>
              </w:rPr>
              <w:t xml:space="preserve">During this </w:t>
            </w:r>
            <w:r w:rsidR="005F5BB7" w:rsidRPr="005F5BB7">
              <w:rPr>
                <w:b w:val="0"/>
                <w:lang w:val="en-NZ"/>
              </w:rPr>
              <w:t>quarter</w:t>
            </w:r>
            <w:r w:rsidRPr="00C41B38">
              <w:rPr>
                <w:b w:val="0"/>
              </w:rPr>
              <w:t>, the Participant took reasonable steps to ensure</w:t>
            </w:r>
            <w:r>
              <w:rPr>
                <w:b w:val="0"/>
              </w:rPr>
              <w:t xml:space="preserve"> that</w:t>
            </w:r>
            <w:r w:rsidRPr="00C41B38">
              <w:rPr>
                <w:b w:val="0"/>
              </w:rPr>
              <w:t>:</w:t>
            </w:r>
          </w:p>
          <w:p w14:paraId="40330741" w14:textId="77777777" w:rsidR="00686191" w:rsidRPr="00C41B38" w:rsidRDefault="00686191" w:rsidP="00686191">
            <w:pPr>
              <w:pStyle w:val="TableSubhead"/>
              <w:jc w:val="both"/>
              <w:rPr>
                <w:rFonts w:asciiTheme="minorHAnsi" w:hAnsiTheme="minorHAnsi"/>
                <w:b w:val="0"/>
              </w:rPr>
            </w:pPr>
          </w:p>
          <w:p w14:paraId="00AA126C" w14:textId="1164A497" w:rsidR="00686191" w:rsidRPr="00C41B38" w:rsidRDefault="00686191" w:rsidP="00686191">
            <w:pPr>
              <w:pStyle w:val="ListParagraph"/>
              <w:numPr>
                <w:ilvl w:val="0"/>
                <w:numId w:val="20"/>
              </w:numPr>
              <w:spacing w:line="240" w:lineRule="atLeast"/>
              <w:jc w:val="both"/>
              <w:rPr>
                <w:rFonts w:asciiTheme="minorHAnsi" w:hAnsiTheme="minorHAnsi"/>
                <w:b/>
                <w:szCs w:val="20"/>
              </w:rPr>
            </w:pPr>
            <w:r>
              <w:rPr>
                <w:rFonts w:cs="Arial"/>
                <w:szCs w:val="20"/>
              </w:rPr>
              <w:t xml:space="preserve">It </w:t>
            </w:r>
            <w:r w:rsidRPr="00C41B38">
              <w:rPr>
                <w:rFonts w:cs="Arial"/>
                <w:szCs w:val="20"/>
              </w:rPr>
              <w:t>d</w:t>
            </w:r>
            <w:r>
              <w:rPr>
                <w:rFonts w:cs="Arial"/>
                <w:szCs w:val="20"/>
              </w:rPr>
              <w:t>id</w:t>
            </w:r>
            <w:r w:rsidRPr="00C41B38">
              <w:rPr>
                <w:rFonts w:cs="Arial"/>
                <w:szCs w:val="20"/>
              </w:rPr>
              <w:t xml:space="preserve"> not operate an account for a Prescribed Person</w:t>
            </w:r>
            <w:r>
              <w:rPr>
                <w:rFonts w:cs="Arial"/>
                <w:szCs w:val="20"/>
              </w:rPr>
              <w:t xml:space="preserve"> of another Participant</w:t>
            </w:r>
            <w:r w:rsidRPr="00C41B38">
              <w:rPr>
                <w:rFonts w:cs="Arial"/>
                <w:szCs w:val="20"/>
              </w:rPr>
              <w:t>; and</w:t>
            </w:r>
          </w:p>
          <w:p w14:paraId="1791697E" w14:textId="74B29687" w:rsidR="00686191" w:rsidRPr="00C41B38" w:rsidRDefault="00686191" w:rsidP="00686191">
            <w:pPr>
              <w:pStyle w:val="ListParagraph"/>
              <w:numPr>
                <w:ilvl w:val="0"/>
                <w:numId w:val="20"/>
              </w:numPr>
              <w:spacing w:line="240" w:lineRule="atLeast"/>
              <w:jc w:val="both"/>
              <w:rPr>
                <w:rFonts w:asciiTheme="minorHAnsi" w:hAnsiTheme="minorHAnsi"/>
                <w:szCs w:val="20"/>
              </w:rPr>
            </w:pPr>
            <w:r>
              <w:rPr>
                <w:rFonts w:cs="Arial"/>
                <w:szCs w:val="20"/>
              </w:rPr>
              <w:t>Its</w:t>
            </w:r>
            <w:r w:rsidRPr="00C41B38">
              <w:rPr>
                <w:rFonts w:cs="Arial"/>
                <w:szCs w:val="20"/>
              </w:rPr>
              <w:t xml:space="preserve"> Prescribed Persons d</w:t>
            </w:r>
            <w:r>
              <w:rPr>
                <w:rFonts w:cs="Arial"/>
                <w:szCs w:val="20"/>
              </w:rPr>
              <w:t>id</w:t>
            </w:r>
            <w:r w:rsidRPr="00C41B38">
              <w:rPr>
                <w:rFonts w:cs="Arial"/>
                <w:szCs w:val="20"/>
              </w:rPr>
              <w:t xml:space="preserve"> not have accounts with any other P</w:t>
            </w:r>
            <w:r>
              <w:rPr>
                <w:rFonts w:cs="Arial"/>
                <w:szCs w:val="20"/>
              </w:rPr>
              <w:t>articipant.</w:t>
            </w:r>
          </w:p>
          <w:p w14:paraId="4088B95A" w14:textId="77777777" w:rsidR="00686191" w:rsidRDefault="00686191" w:rsidP="00686191">
            <w:pPr>
              <w:spacing w:line="240" w:lineRule="atLeast"/>
              <w:ind w:left="488" w:hanging="488"/>
              <w:jc w:val="both"/>
              <w:rPr>
                <w:szCs w:val="20"/>
              </w:rPr>
            </w:pPr>
          </w:p>
          <w:p w14:paraId="09C8CA00" w14:textId="1B302B91" w:rsidR="00802511" w:rsidRDefault="00686191" w:rsidP="00686191">
            <w:pPr>
              <w:spacing w:line="240" w:lineRule="atLeast"/>
              <w:jc w:val="both"/>
              <w:rPr>
                <w:rFonts w:cs="Arial"/>
                <w:szCs w:val="20"/>
              </w:rPr>
            </w:pPr>
            <w:r>
              <w:rPr>
                <w:szCs w:val="20"/>
              </w:rPr>
              <w:t>Except a</w:t>
            </w:r>
            <w:r w:rsidRPr="00C41B38">
              <w:rPr>
                <w:szCs w:val="20"/>
              </w:rPr>
              <w:t xml:space="preserve">s provided under Rule </w:t>
            </w:r>
            <w:r>
              <w:rPr>
                <w:szCs w:val="20"/>
              </w:rPr>
              <w:t>4.19.1</w:t>
            </w:r>
            <w:r w:rsidRPr="00C41B38">
              <w:rPr>
                <w:szCs w:val="20"/>
              </w:rPr>
              <w:t>.</w:t>
            </w:r>
          </w:p>
        </w:tc>
        <w:tc>
          <w:tcPr>
            <w:tcW w:w="1120" w:type="dxa"/>
            <w:vAlign w:val="top"/>
          </w:tcPr>
          <w:p w14:paraId="76FA16E5" w14:textId="77777777" w:rsidR="00802511" w:rsidRDefault="00802511" w:rsidP="00802511">
            <w:pPr>
              <w:spacing w:line="240" w:lineRule="atLeast"/>
              <w:jc w:val="center"/>
              <w:rPr>
                <w:szCs w:val="20"/>
              </w:rPr>
            </w:pPr>
          </w:p>
        </w:tc>
        <w:tc>
          <w:tcPr>
            <w:tcW w:w="3266" w:type="dxa"/>
            <w:vAlign w:val="top"/>
          </w:tcPr>
          <w:p w14:paraId="734D5888" w14:textId="77777777" w:rsidR="00802511" w:rsidRDefault="00802511" w:rsidP="00802511">
            <w:pPr>
              <w:spacing w:line="240" w:lineRule="atLeast"/>
              <w:jc w:val="both"/>
              <w:rPr>
                <w:szCs w:val="20"/>
              </w:rPr>
            </w:pPr>
          </w:p>
        </w:tc>
      </w:tr>
      <w:tr w:rsidR="00802511" w:rsidRPr="009F1A7B" w14:paraId="559F0A04" w14:textId="77777777" w:rsidTr="003D66F9">
        <w:trPr>
          <w:trHeight w:val="233"/>
        </w:trPr>
        <w:tc>
          <w:tcPr>
            <w:tcW w:w="1237" w:type="dxa"/>
            <w:shd w:val="clear" w:color="auto" w:fill="D6EAF6" w:themeFill="accent2" w:themeFillTint="33"/>
            <w:vAlign w:val="top"/>
          </w:tcPr>
          <w:p w14:paraId="324D531D" w14:textId="39AE902B" w:rsidR="00802511" w:rsidRDefault="00802511" w:rsidP="004B73D9">
            <w:pPr>
              <w:pStyle w:val="TableSubhead"/>
              <w:jc w:val="center"/>
              <w:rPr>
                <w:rFonts w:asciiTheme="minorHAnsi" w:hAnsiTheme="minorHAnsi"/>
              </w:rPr>
            </w:pPr>
            <w:r w:rsidRPr="009F1A7B">
              <w:t xml:space="preserve">Section </w:t>
            </w:r>
            <w:r w:rsidR="004B73D9">
              <w:t>6</w:t>
            </w:r>
          </w:p>
        </w:tc>
        <w:tc>
          <w:tcPr>
            <w:tcW w:w="8348" w:type="dxa"/>
            <w:shd w:val="clear" w:color="auto" w:fill="D6EAF6" w:themeFill="accent2" w:themeFillTint="33"/>
            <w:vAlign w:val="top"/>
          </w:tcPr>
          <w:p w14:paraId="5B7A5926" w14:textId="7330FB4F" w:rsidR="00802511" w:rsidRDefault="004B73D9" w:rsidP="004B73D9">
            <w:pPr>
              <w:pStyle w:val="TableSubhead"/>
              <w:jc w:val="both"/>
              <w:rPr>
                <w:rFonts w:asciiTheme="minorHAnsi" w:hAnsiTheme="minorHAnsi"/>
              </w:rPr>
            </w:pPr>
            <w:r>
              <w:t>Business Conduct of</w:t>
            </w:r>
            <w:r w:rsidRPr="009F1A7B">
              <w:t xml:space="preserve"> </w:t>
            </w:r>
            <w:r w:rsidR="00802511" w:rsidRPr="009F1A7B">
              <w:t>Advising Participants (all Advising Participants)</w:t>
            </w:r>
          </w:p>
        </w:tc>
        <w:tc>
          <w:tcPr>
            <w:tcW w:w="1120" w:type="dxa"/>
            <w:shd w:val="clear" w:color="auto" w:fill="D6EAF6" w:themeFill="accent2" w:themeFillTint="33"/>
            <w:vAlign w:val="top"/>
          </w:tcPr>
          <w:p w14:paraId="7FBAE9EE" w14:textId="77777777" w:rsidR="00802511" w:rsidRDefault="00802511" w:rsidP="00802511">
            <w:pPr>
              <w:pStyle w:val="TableSubhead"/>
              <w:jc w:val="center"/>
              <w:rPr>
                <w:rFonts w:asciiTheme="minorHAnsi" w:hAnsiTheme="minorHAnsi"/>
              </w:rPr>
            </w:pPr>
          </w:p>
        </w:tc>
        <w:tc>
          <w:tcPr>
            <w:tcW w:w="3266" w:type="dxa"/>
            <w:shd w:val="clear" w:color="auto" w:fill="D6EAF6" w:themeFill="accent2" w:themeFillTint="33"/>
            <w:vAlign w:val="top"/>
          </w:tcPr>
          <w:p w14:paraId="40AD5B94" w14:textId="77777777" w:rsidR="00802511" w:rsidRDefault="00802511" w:rsidP="00802511">
            <w:pPr>
              <w:pStyle w:val="TableSubhead"/>
              <w:jc w:val="both"/>
              <w:rPr>
                <w:rFonts w:asciiTheme="minorHAnsi" w:hAnsiTheme="minorHAnsi"/>
              </w:rPr>
            </w:pPr>
          </w:p>
        </w:tc>
      </w:tr>
      <w:tr w:rsidR="00802511" w:rsidRPr="009F1A7B" w14:paraId="2B7BCE38" w14:textId="77777777" w:rsidTr="003D66F9">
        <w:trPr>
          <w:trHeight w:val="636"/>
        </w:trPr>
        <w:tc>
          <w:tcPr>
            <w:tcW w:w="1237" w:type="dxa"/>
            <w:vAlign w:val="top"/>
          </w:tcPr>
          <w:p w14:paraId="51501FB5" w14:textId="64EB1DB6" w:rsidR="00802511" w:rsidRDefault="004515CA" w:rsidP="004515CA">
            <w:pPr>
              <w:spacing w:line="240" w:lineRule="atLeast"/>
              <w:jc w:val="center"/>
              <w:rPr>
                <w:rFonts w:asciiTheme="minorHAnsi" w:hAnsiTheme="minorHAnsi"/>
                <w:sz w:val="22"/>
                <w:szCs w:val="20"/>
              </w:rPr>
            </w:pPr>
            <w:r>
              <w:rPr>
                <w:szCs w:val="20"/>
              </w:rPr>
              <w:t>6.3.1(d)</w:t>
            </w:r>
          </w:p>
        </w:tc>
        <w:tc>
          <w:tcPr>
            <w:tcW w:w="8348" w:type="dxa"/>
            <w:vAlign w:val="top"/>
          </w:tcPr>
          <w:p w14:paraId="06537F67" w14:textId="0C7114E2" w:rsidR="004515CA" w:rsidRDefault="00250141" w:rsidP="004515CA">
            <w:pPr>
              <w:spacing w:line="240" w:lineRule="atLeast"/>
              <w:jc w:val="both"/>
              <w:rPr>
                <w:rFonts w:cs="Arial"/>
                <w:szCs w:val="20"/>
                <w:lang w:val="en-AU"/>
              </w:rPr>
            </w:pPr>
            <w:r>
              <w:rPr>
                <w:rFonts w:cs="Arial"/>
                <w:szCs w:val="20"/>
                <w:lang w:val="en-AU"/>
              </w:rPr>
              <w:t>During the</w:t>
            </w:r>
            <w:r w:rsidR="004515CA" w:rsidRPr="004515CA">
              <w:rPr>
                <w:rFonts w:cs="Arial"/>
                <w:szCs w:val="20"/>
                <w:lang w:val="en-AU"/>
              </w:rPr>
              <w:t xml:space="preserve"> </w:t>
            </w:r>
            <w:r w:rsidR="005F5BB7">
              <w:rPr>
                <w:rFonts w:cs="Arial"/>
                <w:szCs w:val="20"/>
              </w:rPr>
              <w:t>quarter</w:t>
            </w:r>
            <w:r w:rsidR="004515CA" w:rsidRPr="004515CA">
              <w:rPr>
                <w:rFonts w:cs="Arial"/>
                <w:szCs w:val="20"/>
                <w:lang w:val="en-AU"/>
              </w:rPr>
              <w:t xml:space="preserve">, the Advising Participant has immediately notified NZX whenever an </w:t>
            </w:r>
            <w:r w:rsidR="004515CA">
              <w:rPr>
                <w:rFonts w:cs="Arial"/>
                <w:szCs w:val="20"/>
                <w:lang w:val="en-AU"/>
              </w:rPr>
              <w:t xml:space="preserve">NZX </w:t>
            </w:r>
            <w:r>
              <w:rPr>
                <w:rFonts w:cs="Arial"/>
                <w:szCs w:val="20"/>
                <w:lang w:val="en-AU"/>
              </w:rPr>
              <w:t xml:space="preserve">Derivatives </w:t>
            </w:r>
            <w:r w:rsidR="004515CA" w:rsidRPr="004515CA">
              <w:rPr>
                <w:rFonts w:cs="Arial"/>
                <w:szCs w:val="20"/>
                <w:lang w:val="en-AU"/>
              </w:rPr>
              <w:t xml:space="preserve">Advisor has: </w:t>
            </w:r>
          </w:p>
          <w:p w14:paraId="151F6B4A" w14:textId="77777777" w:rsidR="004515CA" w:rsidRPr="004515CA" w:rsidRDefault="004515CA" w:rsidP="004515CA">
            <w:pPr>
              <w:pStyle w:val="ListParagraph"/>
              <w:numPr>
                <w:ilvl w:val="0"/>
                <w:numId w:val="30"/>
              </w:numPr>
              <w:spacing w:line="240" w:lineRule="atLeast"/>
              <w:ind w:left="401"/>
              <w:jc w:val="both"/>
              <w:rPr>
                <w:rFonts w:cs="Arial"/>
                <w:szCs w:val="20"/>
                <w:lang w:val="en-AU"/>
              </w:rPr>
            </w:pPr>
            <w:r w:rsidRPr="004515CA">
              <w:rPr>
                <w:rFonts w:cs="Arial"/>
                <w:szCs w:val="20"/>
                <w:lang w:val="en-AU"/>
              </w:rPr>
              <w:t xml:space="preserve">commenced Employment with; or </w:t>
            </w:r>
          </w:p>
          <w:p w14:paraId="09DD3DF2" w14:textId="4914243F" w:rsidR="00802511" w:rsidRPr="003D66F9" w:rsidRDefault="004515CA" w:rsidP="004515CA">
            <w:pPr>
              <w:pStyle w:val="ListParagraph"/>
              <w:numPr>
                <w:ilvl w:val="0"/>
                <w:numId w:val="30"/>
              </w:numPr>
              <w:spacing w:line="240" w:lineRule="atLeast"/>
              <w:ind w:left="401"/>
              <w:jc w:val="both"/>
              <w:rPr>
                <w:rFonts w:asciiTheme="minorHAnsi" w:hAnsiTheme="minorHAnsi" w:cs="Arial"/>
                <w:b/>
                <w:sz w:val="22"/>
                <w:szCs w:val="20"/>
              </w:rPr>
            </w:pPr>
            <w:r w:rsidRPr="003D66F9">
              <w:rPr>
                <w:rFonts w:cs="Arial"/>
                <w:szCs w:val="20"/>
                <w:lang w:val="en-AU"/>
              </w:rPr>
              <w:t>ceased to be Employed by, t</w:t>
            </w:r>
            <w:r w:rsidRPr="004515CA">
              <w:rPr>
                <w:rFonts w:cs="Arial"/>
                <w:szCs w:val="20"/>
                <w:lang w:val="en-AU"/>
              </w:rPr>
              <w:t>hat Advising Participant</w:t>
            </w:r>
            <w:r w:rsidR="00802511" w:rsidRPr="003D66F9">
              <w:rPr>
                <w:rFonts w:cs="Arial"/>
                <w:szCs w:val="20"/>
              </w:rPr>
              <w:t>.</w:t>
            </w:r>
          </w:p>
        </w:tc>
        <w:tc>
          <w:tcPr>
            <w:tcW w:w="1120" w:type="dxa"/>
            <w:vAlign w:val="top"/>
          </w:tcPr>
          <w:p w14:paraId="079E2291" w14:textId="77777777" w:rsidR="00802511" w:rsidRDefault="00802511" w:rsidP="00802511">
            <w:pPr>
              <w:spacing w:line="240" w:lineRule="atLeast"/>
              <w:jc w:val="center"/>
              <w:rPr>
                <w:rFonts w:asciiTheme="minorHAnsi" w:hAnsiTheme="minorHAnsi"/>
                <w:sz w:val="22"/>
                <w:szCs w:val="20"/>
              </w:rPr>
            </w:pPr>
          </w:p>
        </w:tc>
        <w:tc>
          <w:tcPr>
            <w:tcW w:w="3266" w:type="dxa"/>
            <w:vAlign w:val="top"/>
          </w:tcPr>
          <w:p w14:paraId="58A0CA40" w14:textId="77777777" w:rsidR="00802511" w:rsidRDefault="00802511" w:rsidP="00802511">
            <w:pPr>
              <w:spacing w:line="240" w:lineRule="atLeast"/>
              <w:jc w:val="both"/>
              <w:rPr>
                <w:rFonts w:asciiTheme="minorHAnsi" w:hAnsiTheme="minorHAnsi"/>
                <w:sz w:val="22"/>
                <w:szCs w:val="20"/>
              </w:rPr>
            </w:pPr>
          </w:p>
        </w:tc>
      </w:tr>
      <w:tr w:rsidR="00802511" w:rsidRPr="009F1A7B" w14:paraId="3D6E9508" w14:textId="77777777" w:rsidTr="003D66F9">
        <w:trPr>
          <w:trHeight w:val="636"/>
        </w:trPr>
        <w:tc>
          <w:tcPr>
            <w:tcW w:w="1237" w:type="dxa"/>
            <w:vAlign w:val="top"/>
          </w:tcPr>
          <w:p w14:paraId="47A3136F" w14:textId="33626EE9" w:rsidR="00802511" w:rsidRDefault="004515CA" w:rsidP="00802511">
            <w:pPr>
              <w:spacing w:line="240" w:lineRule="atLeast"/>
              <w:jc w:val="center"/>
              <w:rPr>
                <w:rFonts w:asciiTheme="minorHAnsi" w:hAnsiTheme="minorHAnsi"/>
                <w:sz w:val="22"/>
                <w:szCs w:val="20"/>
              </w:rPr>
            </w:pPr>
            <w:r>
              <w:rPr>
                <w:szCs w:val="20"/>
              </w:rPr>
              <w:t>6.7</w:t>
            </w:r>
          </w:p>
        </w:tc>
        <w:tc>
          <w:tcPr>
            <w:tcW w:w="8348" w:type="dxa"/>
            <w:vAlign w:val="top"/>
          </w:tcPr>
          <w:p w14:paraId="7CAE4860" w14:textId="1B6E4477" w:rsidR="00802511" w:rsidRPr="00250141" w:rsidRDefault="00250141" w:rsidP="00250141">
            <w:pPr>
              <w:spacing w:line="240" w:lineRule="atLeast"/>
              <w:ind w:left="44"/>
              <w:jc w:val="both"/>
              <w:rPr>
                <w:rFonts w:asciiTheme="minorHAnsi" w:hAnsiTheme="minorHAnsi" w:cs="Arial"/>
                <w:sz w:val="22"/>
                <w:szCs w:val="20"/>
              </w:rPr>
            </w:pPr>
            <w:r>
              <w:rPr>
                <w:rFonts w:cs="Arial"/>
                <w:szCs w:val="20"/>
                <w:lang w:val="en-AU"/>
              </w:rPr>
              <w:t>During the</w:t>
            </w:r>
            <w:r w:rsidR="004515CA" w:rsidRPr="00250141">
              <w:rPr>
                <w:rFonts w:cs="Arial"/>
                <w:szCs w:val="20"/>
                <w:lang w:val="en-AU"/>
              </w:rPr>
              <w:t xml:space="preserve"> </w:t>
            </w:r>
            <w:r w:rsidR="005F5BB7">
              <w:rPr>
                <w:rFonts w:cs="Arial"/>
                <w:szCs w:val="20"/>
              </w:rPr>
              <w:t>quarter</w:t>
            </w:r>
            <w:r w:rsidR="004515CA" w:rsidRPr="00250141">
              <w:rPr>
                <w:rFonts w:cs="Arial"/>
                <w:szCs w:val="20"/>
                <w:lang w:val="en-AU"/>
              </w:rPr>
              <w:t xml:space="preserve">, the Participant, has at all times ensured that all persons who provide advice to clients on transactions in relation to Derivatives Contracts are approved by NZX as an NZX </w:t>
            </w:r>
            <w:r w:rsidRPr="00250141">
              <w:rPr>
                <w:rFonts w:cs="Arial"/>
                <w:szCs w:val="20"/>
                <w:lang w:val="en-AU"/>
              </w:rPr>
              <w:t xml:space="preserve">Derivatives </w:t>
            </w:r>
            <w:r w:rsidR="004515CA" w:rsidRPr="00250141">
              <w:rPr>
                <w:rFonts w:cs="Arial"/>
                <w:szCs w:val="20"/>
                <w:lang w:val="en-AU"/>
              </w:rPr>
              <w:t>Advisor.</w:t>
            </w:r>
          </w:p>
        </w:tc>
        <w:tc>
          <w:tcPr>
            <w:tcW w:w="1120" w:type="dxa"/>
            <w:vAlign w:val="top"/>
          </w:tcPr>
          <w:p w14:paraId="451B8B74" w14:textId="77777777" w:rsidR="00802511" w:rsidRDefault="00802511" w:rsidP="00802511">
            <w:pPr>
              <w:spacing w:line="240" w:lineRule="atLeast"/>
              <w:jc w:val="center"/>
              <w:rPr>
                <w:rFonts w:asciiTheme="minorHAnsi" w:hAnsiTheme="minorHAnsi"/>
                <w:sz w:val="22"/>
                <w:szCs w:val="20"/>
              </w:rPr>
            </w:pPr>
          </w:p>
        </w:tc>
        <w:tc>
          <w:tcPr>
            <w:tcW w:w="3266" w:type="dxa"/>
            <w:vAlign w:val="top"/>
          </w:tcPr>
          <w:p w14:paraId="4CC1AF4A" w14:textId="77777777" w:rsidR="00802511" w:rsidRDefault="00802511" w:rsidP="00802511">
            <w:pPr>
              <w:spacing w:line="240" w:lineRule="atLeast"/>
              <w:jc w:val="both"/>
              <w:rPr>
                <w:rFonts w:asciiTheme="minorHAnsi" w:hAnsiTheme="minorHAnsi"/>
                <w:sz w:val="22"/>
                <w:szCs w:val="20"/>
              </w:rPr>
            </w:pPr>
          </w:p>
        </w:tc>
      </w:tr>
      <w:tr w:rsidR="00802511" w:rsidRPr="009F1A7B" w14:paraId="3A6C22AA" w14:textId="77777777" w:rsidTr="003D66F9">
        <w:trPr>
          <w:trHeight w:val="156"/>
        </w:trPr>
        <w:tc>
          <w:tcPr>
            <w:tcW w:w="1237" w:type="dxa"/>
            <w:shd w:val="clear" w:color="auto" w:fill="D6EAF6" w:themeFill="accent2" w:themeFillTint="33"/>
            <w:vAlign w:val="top"/>
          </w:tcPr>
          <w:p w14:paraId="56582401" w14:textId="7CDD43E6" w:rsidR="00802511" w:rsidRDefault="00802511" w:rsidP="004515CA">
            <w:pPr>
              <w:pStyle w:val="TableSubhead"/>
              <w:jc w:val="center"/>
              <w:rPr>
                <w:rFonts w:asciiTheme="minorHAnsi" w:hAnsiTheme="minorHAnsi"/>
              </w:rPr>
            </w:pPr>
            <w:r w:rsidRPr="009F1A7B">
              <w:t xml:space="preserve">Section </w:t>
            </w:r>
            <w:r w:rsidR="004515CA">
              <w:t>7</w:t>
            </w:r>
          </w:p>
        </w:tc>
        <w:tc>
          <w:tcPr>
            <w:tcW w:w="8348" w:type="dxa"/>
            <w:shd w:val="clear" w:color="auto" w:fill="D6EAF6" w:themeFill="accent2" w:themeFillTint="33"/>
            <w:vAlign w:val="top"/>
          </w:tcPr>
          <w:p w14:paraId="0E6A1AE0" w14:textId="251BFDC2" w:rsidR="00802511" w:rsidRDefault="00802511" w:rsidP="00802511">
            <w:pPr>
              <w:pStyle w:val="TableSubhead"/>
              <w:jc w:val="both"/>
              <w:rPr>
                <w:rFonts w:asciiTheme="minorHAnsi" w:hAnsiTheme="minorHAnsi"/>
              </w:rPr>
            </w:pPr>
            <w:r w:rsidRPr="009F1A7B">
              <w:t>Clearing Arrangements</w:t>
            </w:r>
            <w:r w:rsidR="00250141">
              <w:t xml:space="preserve"> </w:t>
            </w:r>
            <w:r w:rsidR="00250141" w:rsidRPr="00250141">
              <w:rPr>
                <w:lang w:val="en-AU"/>
              </w:rPr>
              <w:t>(all Trading Participants)</w:t>
            </w:r>
          </w:p>
        </w:tc>
        <w:tc>
          <w:tcPr>
            <w:tcW w:w="1120" w:type="dxa"/>
            <w:shd w:val="clear" w:color="auto" w:fill="D6EAF6" w:themeFill="accent2" w:themeFillTint="33"/>
            <w:vAlign w:val="top"/>
          </w:tcPr>
          <w:p w14:paraId="1795B50E" w14:textId="77777777" w:rsidR="00802511" w:rsidRDefault="00802511" w:rsidP="00802511">
            <w:pPr>
              <w:pStyle w:val="TableSubhead"/>
              <w:jc w:val="center"/>
              <w:rPr>
                <w:rFonts w:asciiTheme="minorHAnsi" w:hAnsiTheme="minorHAnsi"/>
              </w:rPr>
            </w:pPr>
          </w:p>
        </w:tc>
        <w:tc>
          <w:tcPr>
            <w:tcW w:w="3266" w:type="dxa"/>
            <w:shd w:val="clear" w:color="auto" w:fill="D6EAF6" w:themeFill="accent2" w:themeFillTint="33"/>
            <w:vAlign w:val="top"/>
          </w:tcPr>
          <w:p w14:paraId="654F9DF8" w14:textId="77777777" w:rsidR="00802511" w:rsidRDefault="00802511" w:rsidP="00802511">
            <w:pPr>
              <w:pStyle w:val="TableSubhead"/>
              <w:jc w:val="both"/>
              <w:rPr>
                <w:rFonts w:asciiTheme="minorHAnsi" w:hAnsiTheme="minorHAnsi"/>
              </w:rPr>
            </w:pPr>
          </w:p>
        </w:tc>
      </w:tr>
      <w:tr w:rsidR="00802511" w:rsidRPr="009F1A7B" w14:paraId="4A2D3D35" w14:textId="77777777" w:rsidTr="003D66F9">
        <w:trPr>
          <w:trHeight w:val="212"/>
        </w:trPr>
        <w:tc>
          <w:tcPr>
            <w:tcW w:w="1237" w:type="dxa"/>
            <w:vAlign w:val="top"/>
          </w:tcPr>
          <w:p w14:paraId="617A98FD" w14:textId="1F63204C" w:rsidR="00802511" w:rsidRDefault="004515CA" w:rsidP="004515CA">
            <w:pPr>
              <w:spacing w:line="240" w:lineRule="atLeast"/>
              <w:jc w:val="center"/>
              <w:rPr>
                <w:rFonts w:asciiTheme="minorHAnsi" w:hAnsiTheme="minorHAnsi"/>
                <w:sz w:val="22"/>
                <w:szCs w:val="20"/>
              </w:rPr>
            </w:pPr>
            <w:r>
              <w:rPr>
                <w:szCs w:val="20"/>
              </w:rPr>
              <w:t>7</w:t>
            </w:r>
            <w:r w:rsidR="00802511" w:rsidRPr="009F1A7B">
              <w:rPr>
                <w:szCs w:val="20"/>
              </w:rPr>
              <w:t>.3.1</w:t>
            </w:r>
          </w:p>
        </w:tc>
        <w:tc>
          <w:tcPr>
            <w:tcW w:w="8348" w:type="dxa"/>
            <w:vAlign w:val="top"/>
          </w:tcPr>
          <w:p w14:paraId="374C1BD2" w14:textId="6111D1DF" w:rsidR="00802511" w:rsidRDefault="00250141" w:rsidP="00250141">
            <w:pPr>
              <w:spacing w:line="240" w:lineRule="atLeast"/>
              <w:jc w:val="both"/>
              <w:rPr>
                <w:rFonts w:asciiTheme="minorHAnsi" w:hAnsiTheme="minorHAnsi" w:cs="Arial"/>
                <w:b/>
                <w:sz w:val="22"/>
                <w:szCs w:val="20"/>
              </w:rPr>
            </w:pPr>
            <w:r>
              <w:rPr>
                <w:rFonts w:cs="Arial"/>
                <w:szCs w:val="20"/>
              </w:rPr>
              <w:t>During</w:t>
            </w:r>
            <w:r w:rsidRPr="009F1A7B">
              <w:rPr>
                <w:rFonts w:cs="Arial"/>
                <w:szCs w:val="20"/>
              </w:rPr>
              <w:t xml:space="preserve"> this </w:t>
            </w:r>
            <w:r w:rsidR="005F5BB7">
              <w:rPr>
                <w:rFonts w:cs="Arial"/>
                <w:szCs w:val="20"/>
              </w:rPr>
              <w:t>quarter</w:t>
            </w:r>
            <w:r w:rsidRPr="009F1A7B">
              <w:rPr>
                <w:rFonts w:cs="Arial"/>
                <w:szCs w:val="20"/>
              </w:rPr>
              <w:t xml:space="preserve">, the Trading Participant (not being a Clearing Participant) </w:t>
            </w:r>
            <w:r>
              <w:rPr>
                <w:rFonts w:cs="Arial"/>
                <w:szCs w:val="20"/>
              </w:rPr>
              <w:t>w</w:t>
            </w:r>
            <w:r w:rsidRPr="009F1A7B">
              <w:rPr>
                <w:rFonts w:cs="Arial"/>
                <w:szCs w:val="20"/>
              </w:rPr>
              <w:t>as party to and maintained a separate written agreement with each of its Clearing Participant(s) and ha</w:t>
            </w:r>
            <w:r>
              <w:rPr>
                <w:rFonts w:cs="Arial"/>
                <w:szCs w:val="20"/>
              </w:rPr>
              <w:t>d</w:t>
            </w:r>
            <w:r w:rsidRPr="009F1A7B">
              <w:rPr>
                <w:rFonts w:cs="Arial"/>
                <w:szCs w:val="20"/>
              </w:rPr>
              <w:t xml:space="preserve"> given NZX a copy of each of its C&amp;S Agreements.</w:t>
            </w:r>
          </w:p>
        </w:tc>
        <w:tc>
          <w:tcPr>
            <w:tcW w:w="1120" w:type="dxa"/>
            <w:vAlign w:val="top"/>
          </w:tcPr>
          <w:p w14:paraId="7DD40F11" w14:textId="77777777" w:rsidR="00802511" w:rsidRDefault="00802511" w:rsidP="00802511">
            <w:pPr>
              <w:spacing w:line="240" w:lineRule="atLeast"/>
              <w:jc w:val="center"/>
              <w:rPr>
                <w:rFonts w:asciiTheme="minorHAnsi" w:hAnsiTheme="minorHAnsi"/>
                <w:sz w:val="22"/>
                <w:szCs w:val="20"/>
              </w:rPr>
            </w:pPr>
          </w:p>
        </w:tc>
        <w:tc>
          <w:tcPr>
            <w:tcW w:w="3266" w:type="dxa"/>
            <w:vAlign w:val="top"/>
          </w:tcPr>
          <w:p w14:paraId="4B52FFD4" w14:textId="77777777" w:rsidR="00802511" w:rsidRDefault="00802511" w:rsidP="00802511">
            <w:pPr>
              <w:spacing w:line="240" w:lineRule="atLeast"/>
              <w:jc w:val="both"/>
              <w:rPr>
                <w:rFonts w:asciiTheme="minorHAnsi" w:hAnsiTheme="minorHAnsi"/>
                <w:sz w:val="22"/>
                <w:szCs w:val="20"/>
              </w:rPr>
            </w:pPr>
          </w:p>
        </w:tc>
      </w:tr>
      <w:tr w:rsidR="00802511" w:rsidRPr="009F1A7B" w14:paraId="1AB48C8E" w14:textId="77777777" w:rsidTr="003D66F9">
        <w:trPr>
          <w:trHeight w:val="212"/>
        </w:trPr>
        <w:tc>
          <w:tcPr>
            <w:tcW w:w="1237" w:type="dxa"/>
            <w:vAlign w:val="top"/>
          </w:tcPr>
          <w:p w14:paraId="44920840" w14:textId="16C7E42F" w:rsidR="00802511" w:rsidRDefault="004515CA" w:rsidP="00250141">
            <w:pPr>
              <w:spacing w:line="240" w:lineRule="atLeast"/>
              <w:jc w:val="center"/>
              <w:rPr>
                <w:rFonts w:asciiTheme="minorHAnsi" w:hAnsiTheme="minorHAnsi" w:cs="Arial"/>
                <w:sz w:val="22"/>
                <w:szCs w:val="20"/>
              </w:rPr>
            </w:pPr>
            <w:r>
              <w:rPr>
                <w:rFonts w:cs="Arial"/>
                <w:szCs w:val="20"/>
              </w:rPr>
              <w:t>7</w:t>
            </w:r>
            <w:r w:rsidR="00802511" w:rsidRPr="009F1A7B">
              <w:rPr>
                <w:rFonts w:cs="Arial"/>
                <w:szCs w:val="20"/>
              </w:rPr>
              <w:t>.3.</w:t>
            </w:r>
            <w:r>
              <w:rPr>
                <w:rFonts w:cs="Arial"/>
                <w:szCs w:val="20"/>
              </w:rPr>
              <w:t>3</w:t>
            </w:r>
          </w:p>
        </w:tc>
        <w:tc>
          <w:tcPr>
            <w:tcW w:w="8348" w:type="dxa"/>
            <w:vAlign w:val="top"/>
          </w:tcPr>
          <w:p w14:paraId="31534B9A" w14:textId="03AD4902" w:rsidR="00802511" w:rsidRDefault="00250141" w:rsidP="00250141">
            <w:pPr>
              <w:spacing w:line="240" w:lineRule="atLeast"/>
              <w:jc w:val="both"/>
              <w:rPr>
                <w:rFonts w:asciiTheme="minorHAnsi" w:hAnsiTheme="minorHAnsi" w:cs="Arial"/>
                <w:sz w:val="22"/>
                <w:szCs w:val="20"/>
              </w:rPr>
            </w:pPr>
            <w:r>
              <w:rPr>
                <w:rFonts w:cs="Arial"/>
                <w:szCs w:val="20"/>
              </w:rPr>
              <w:t>During</w:t>
            </w:r>
            <w:r w:rsidRPr="009F1A7B">
              <w:rPr>
                <w:rFonts w:cs="Arial"/>
                <w:szCs w:val="20"/>
              </w:rPr>
              <w:t xml:space="preserve"> this </w:t>
            </w:r>
            <w:r w:rsidR="005F5BB7">
              <w:rPr>
                <w:rFonts w:cs="Arial"/>
                <w:szCs w:val="20"/>
              </w:rPr>
              <w:t>quarter</w:t>
            </w:r>
            <w:r w:rsidRPr="009F1A7B">
              <w:rPr>
                <w:rFonts w:cs="Arial"/>
                <w:szCs w:val="20"/>
              </w:rPr>
              <w:t xml:space="preserve">, </w:t>
            </w:r>
            <w:r>
              <w:rPr>
                <w:rFonts w:cs="Arial"/>
                <w:szCs w:val="20"/>
              </w:rPr>
              <w:t xml:space="preserve">the Trading Participant </w:t>
            </w:r>
            <w:r w:rsidRPr="009F1A7B">
              <w:rPr>
                <w:rFonts w:cs="Arial"/>
                <w:szCs w:val="20"/>
              </w:rPr>
              <w:t>notified NZX of any amendments to any of its C&amp;S Agreements at least 10 Business Days before the amendment</w:t>
            </w:r>
            <w:r>
              <w:rPr>
                <w:rFonts w:cs="Arial"/>
                <w:szCs w:val="20"/>
              </w:rPr>
              <w:t>s</w:t>
            </w:r>
            <w:r w:rsidRPr="009F1A7B">
              <w:rPr>
                <w:rFonts w:cs="Arial"/>
                <w:szCs w:val="20"/>
              </w:rPr>
              <w:t xml:space="preserve"> became effective.</w:t>
            </w:r>
          </w:p>
        </w:tc>
        <w:tc>
          <w:tcPr>
            <w:tcW w:w="1120" w:type="dxa"/>
            <w:vAlign w:val="top"/>
          </w:tcPr>
          <w:p w14:paraId="6388304E" w14:textId="77777777" w:rsidR="00802511" w:rsidRDefault="00802511" w:rsidP="00802511">
            <w:pPr>
              <w:spacing w:line="240" w:lineRule="atLeast"/>
              <w:jc w:val="center"/>
              <w:rPr>
                <w:rFonts w:asciiTheme="minorHAnsi" w:hAnsiTheme="minorHAnsi"/>
                <w:sz w:val="22"/>
                <w:szCs w:val="20"/>
              </w:rPr>
            </w:pPr>
          </w:p>
        </w:tc>
        <w:tc>
          <w:tcPr>
            <w:tcW w:w="3266" w:type="dxa"/>
            <w:vAlign w:val="top"/>
          </w:tcPr>
          <w:p w14:paraId="7AB2069C" w14:textId="77777777" w:rsidR="00802511" w:rsidRDefault="00802511" w:rsidP="00802511">
            <w:pPr>
              <w:spacing w:line="240" w:lineRule="atLeast"/>
              <w:jc w:val="both"/>
              <w:rPr>
                <w:rFonts w:asciiTheme="minorHAnsi" w:hAnsiTheme="minorHAnsi"/>
                <w:sz w:val="22"/>
                <w:szCs w:val="20"/>
              </w:rPr>
            </w:pPr>
          </w:p>
        </w:tc>
      </w:tr>
      <w:tr w:rsidR="00802511" w:rsidRPr="009F1A7B" w14:paraId="674EA047" w14:textId="77777777" w:rsidTr="003D66F9">
        <w:trPr>
          <w:trHeight w:val="212"/>
        </w:trPr>
        <w:tc>
          <w:tcPr>
            <w:tcW w:w="1237" w:type="dxa"/>
            <w:shd w:val="clear" w:color="auto" w:fill="D6EAF6" w:themeFill="accent2" w:themeFillTint="33"/>
            <w:vAlign w:val="top"/>
          </w:tcPr>
          <w:p w14:paraId="1B80DD0F" w14:textId="77777777" w:rsidR="00802511" w:rsidRDefault="00802511" w:rsidP="00802511">
            <w:pPr>
              <w:pStyle w:val="TableSubhead"/>
              <w:jc w:val="center"/>
              <w:rPr>
                <w:rFonts w:asciiTheme="minorHAnsi" w:hAnsiTheme="minorHAnsi"/>
              </w:rPr>
            </w:pPr>
            <w:r w:rsidRPr="009F1A7B">
              <w:t>Section 8</w:t>
            </w:r>
          </w:p>
        </w:tc>
        <w:tc>
          <w:tcPr>
            <w:tcW w:w="8348" w:type="dxa"/>
            <w:shd w:val="clear" w:color="auto" w:fill="D6EAF6" w:themeFill="accent2" w:themeFillTint="33"/>
            <w:vAlign w:val="top"/>
          </w:tcPr>
          <w:p w14:paraId="39AD4824" w14:textId="165BC139" w:rsidR="00802511" w:rsidRDefault="00250141" w:rsidP="00802511">
            <w:pPr>
              <w:pStyle w:val="TableSubhead"/>
              <w:jc w:val="both"/>
              <w:rPr>
                <w:rFonts w:asciiTheme="minorHAnsi" w:hAnsiTheme="minorHAnsi"/>
              </w:rPr>
            </w:pPr>
            <w:r>
              <w:t xml:space="preserve">Trading Participants - </w:t>
            </w:r>
            <w:r w:rsidR="00802511" w:rsidRPr="009F1A7B">
              <w:t>General Obligations (all Market Participants)</w:t>
            </w:r>
          </w:p>
        </w:tc>
        <w:tc>
          <w:tcPr>
            <w:tcW w:w="1120" w:type="dxa"/>
            <w:shd w:val="clear" w:color="auto" w:fill="D6EAF6" w:themeFill="accent2" w:themeFillTint="33"/>
            <w:vAlign w:val="top"/>
          </w:tcPr>
          <w:p w14:paraId="47B54FB0" w14:textId="77777777" w:rsidR="00802511" w:rsidRDefault="00802511" w:rsidP="00802511">
            <w:pPr>
              <w:pStyle w:val="TableSubhead"/>
              <w:jc w:val="center"/>
              <w:rPr>
                <w:rFonts w:asciiTheme="minorHAnsi" w:hAnsiTheme="minorHAnsi"/>
              </w:rPr>
            </w:pPr>
          </w:p>
        </w:tc>
        <w:tc>
          <w:tcPr>
            <w:tcW w:w="3266" w:type="dxa"/>
            <w:shd w:val="clear" w:color="auto" w:fill="D6EAF6" w:themeFill="accent2" w:themeFillTint="33"/>
            <w:vAlign w:val="top"/>
          </w:tcPr>
          <w:p w14:paraId="11BEFF23" w14:textId="77777777" w:rsidR="00802511" w:rsidRDefault="00802511" w:rsidP="00802511">
            <w:pPr>
              <w:pStyle w:val="TableSubhead"/>
              <w:jc w:val="both"/>
              <w:rPr>
                <w:rFonts w:asciiTheme="minorHAnsi" w:hAnsiTheme="minorHAnsi"/>
              </w:rPr>
            </w:pPr>
          </w:p>
        </w:tc>
      </w:tr>
      <w:tr w:rsidR="00802511" w:rsidRPr="009F1A7B" w14:paraId="61A9B6BF" w14:textId="77777777" w:rsidTr="003D66F9">
        <w:trPr>
          <w:trHeight w:val="636"/>
        </w:trPr>
        <w:tc>
          <w:tcPr>
            <w:tcW w:w="1237" w:type="dxa"/>
            <w:vAlign w:val="top"/>
          </w:tcPr>
          <w:p w14:paraId="5D83482E" w14:textId="5DF7FFC2" w:rsidR="00802511" w:rsidRDefault="003D66F9" w:rsidP="00802511">
            <w:pPr>
              <w:spacing w:line="240" w:lineRule="atLeast"/>
              <w:jc w:val="center"/>
              <w:rPr>
                <w:szCs w:val="20"/>
              </w:rPr>
            </w:pPr>
            <w:r>
              <w:rPr>
                <w:szCs w:val="20"/>
              </w:rPr>
              <w:t>8.3.2</w:t>
            </w:r>
            <w:r w:rsidR="005E6696">
              <w:rPr>
                <w:szCs w:val="20"/>
              </w:rPr>
              <w:t xml:space="preserve"> </w:t>
            </w:r>
            <w:r>
              <w:rPr>
                <w:szCs w:val="20"/>
              </w:rPr>
              <w:t>&amp;</w:t>
            </w:r>
          </w:p>
          <w:p w14:paraId="4E67B755" w14:textId="34868F45" w:rsidR="003D66F9" w:rsidRDefault="003D66F9" w:rsidP="00802511">
            <w:pPr>
              <w:spacing w:line="240" w:lineRule="atLeast"/>
              <w:jc w:val="center"/>
              <w:rPr>
                <w:rFonts w:ascii="Tahoma" w:hAnsi="Tahoma" w:cs="Tahoma"/>
                <w:sz w:val="16"/>
                <w:szCs w:val="20"/>
              </w:rPr>
            </w:pPr>
            <w:r>
              <w:rPr>
                <w:szCs w:val="20"/>
              </w:rPr>
              <w:t>8.3.3</w:t>
            </w:r>
          </w:p>
        </w:tc>
        <w:tc>
          <w:tcPr>
            <w:tcW w:w="8348" w:type="dxa"/>
            <w:vAlign w:val="top"/>
          </w:tcPr>
          <w:p w14:paraId="5842EBEF" w14:textId="014C5384" w:rsidR="00802511" w:rsidRDefault="00250141" w:rsidP="00250141">
            <w:pPr>
              <w:spacing w:line="240" w:lineRule="atLeast"/>
              <w:jc w:val="both"/>
              <w:rPr>
                <w:rFonts w:ascii="Tahoma" w:hAnsi="Tahoma" w:cs="Arial"/>
                <w:b/>
                <w:sz w:val="16"/>
                <w:szCs w:val="20"/>
              </w:rPr>
            </w:pPr>
            <w:r>
              <w:rPr>
                <w:rFonts w:cs="Arial"/>
                <w:szCs w:val="20"/>
              </w:rPr>
              <w:t>During</w:t>
            </w:r>
            <w:r w:rsidRPr="009F1A7B">
              <w:rPr>
                <w:rFonts w:cs="Arial"/>
                <w:szCs w:val="20"/>
              </w:rPr>
              <w:t xml:space="preserve"> this </w:t>
            </w:r>
            <w:r w:rsidR="005F5BB7">
              <w:rPr>
                <w:rFonts w:cs="Arial"/>
                <w:szCs w:val="20"/>
              </w:rPr>
              <w:t>quarter</w:t>
            </w:r>
            <w:r w:rsidRPr="009F1A7B">
              <w:rPr>
                <w:rFonts w:cs="Arial"/>
                <w:szCs w:val="20"/>
              </w:rPr>
              <w:t>, the</w:t>
            </w:r>
            <w:r w:rsidR="00802511" w:rsidRPr="009F1A7B">
              <w:rPr>
                <w:rFonts w:cs="Arial"/>
                <w:szCs w:val="20"/>
              </w:rPr>
              <w:t xml:space="preserve"> </w:t>
            </w:r>
            <w:r w:rsidR="003D66F9">
              <w:rPr>
                <w:rFonts w:cs="Arial"/>
                <w:szCs w:val="20"/>
              </w:rPr>
              <w:t xml:space="preserve">Participant has </w:t>
            </w:r>
            <w:r w:rsidR="003D66F9" w:rsidRPr="003D66F9">
              <w:rPr>
                <w:rFonts w:cs="Arial"/>
                <w:szCs w:val="20"/>
                <w:lang w:val="en-AU"/>
              </w:rPr>
              <w:t>at all times ensured that all persons who use the trading functionality available in the Trading System are approved by NZX as a Dealer and/or DMA Authorised Person.</w:t>
            </w:r>
          </w:p>
        </w:tc>
        <w:tc>
          <w:tcPr>
            <w:tcW w:w="1120" w:type="dxa"/>
            <w:vAlign w:val="top"/>
          </w:tcPr>
          <w:p w14:paraId="1A621A86" w14:textId="77777777" w:rsidR="00802511" w:rsidRDefault="00802511" w:rsidP="00802511">
            <w:pPr>
              <w:spacing w:line="240" w:lineRule="atLeast"/>
              <w:jc w:val="center"/>
              <w:rPr>
                <w:rFonts w:asciiTheme="minorHAnsi" w:hAnsiTheme="minorHAnsi"/>
                <w:sz w:val="22"/>
                <w:szCs w:val="20"/>
              </w:rPr>
            </w:pPr>
          </w:p>
        </w:tc>
        <w:tc>
          <w:tcPr>
            <w:tcW w:w="3266" w:type="dxa"/>
            <w:vAlign w:val="top"/>
          </w:tcPr>
          <w:p w14:paraId="40A05355" w14:textId="77777777" w:rsidR="00802511" w:rsidRDefault="00802511" w:rsidP="00802511">
            <w:pPr>
              <w:spacing w:line="240" w:lineRule="atLeast"/>
              <w:jc w:val="both"/>
              <w:rPr>
                <w:rFonts w:asciiTheme="minorHAnsi" w:hAnsiTheme="minorHAnsi"/>
                <w:sz w:val="22"/>
                <w:szCs w:val="20"/>
              </w:rPr>
            </w:pPr>
          </w:p>
        </w:tc>
      </w:tr>
      <w:tr w:rsidR="004B73D9" w:rsidRPr="009F1A7B" w14:paraId="5B04100D" w14:textId="77777777" w:rsidTr="003D66F9">
        <w:trPr>
          <w:trHeight w:val="636"/>
        </w:trPr>
        <w:tc>
          <w:tcPr>
            <w:tcW w:w="1237" w:type="dxa"/>
            <w:vAlign w:val="top"/>
          </w:tcPr>
          <w:p w14:paraId="7F3A3AC4" w14:textId="614D9799" w:rsidR="004B73D9" w:rsidRPr="009F1A7B" w:rsidRDefault="003D66F9" w:rsidP="00250141">
            <w:pPr>
              <w:spacing w:line="240" w:lineRule="atLeast"/>
              <w:jc w:val="center"/>
              <w:rPr>
                <w:szCs w:val="20"/>
              </w:rPr>
            </w:pPr>
            <w:r>
              <w:rPr>
                <w:szCs w:val="20"/>
              </w:rPr>
              <w:lastRenderedPageBreak/>
              <w:t>8.3.</w:t>
            </w:r>
            <w:r w:rsidR="00250141">
              <w:rPr>
                <w:szCs w:val="20"/>
              </w:rPr>
              <w:t>5</w:t>
            </w:r>
          </w:p>
        </w:tc>
        <w:tc>
          <w:tcPr>
            <w:tcW w:w="8348" w:type="dxa"/>
            <w:vAlign w:val="top"/>
          </w:tcPr>
          <w:p w14:paraId="77ED6A95" w14:textId="14E9F5EB" w:rsidR="004B73D9" w:rsidRDefault="004B73D9" w:rsidP="00250141">
            <w:pPr>
              <w:spacing w:line="240" w:lineRule="atLeast"/>
              <w:jc w:val="both"/>
              <w:rPr>
                <w:rFonts w:cs="Arial"/>
                <w:szCs w:val="20"/>
              </w:rPr>
            </w:pPr>
            <w:r>
              <w:rPr>
                <w:rFonts w:cs="Arial"/>
                <w:szCs w:val="20"/>
              </w:rPr>
              <w:t>During</w:t>
            </w:r>
            <w:r w:rsidRPr="009F1A7B">
              <w:rPr>
                <w:rFonts w:cs="Arial"/>
                <w:szCs w:val="20"/>
              </w:rPr>
              <w:t xml:space="preserve"> this </w:t>
            </w:r>
            <w:r w:rsidR="005F5BB7">
              <w:rPr>
                <w:rFonts w:cs="Arial"/>
                <w:szCs w:val="20"/>
              </w:rPr>
              <w:t>quarter</w:t>
            </w:r>
            <w:r w:rsidRPr="009F1A7B">
              <w:rPr>
                <w:rFonts w:cs="Arial"/>
                <w:szCs w:val="20"/>
              </w:rPr>
              <w:t xml:space="preserve">, the Trading Participant notified NZX in writing of any changes </w:t>
            </w:r>
            <w:r>
              <w:rPr>
                <w:rFonts w:cs="Arial"/>
                <w:szCs w:val="20"/>
              </w:rPr>
              <w:t>to the Trading Participant’s</w:t>
            </w:r>
            <w:r w:rsidRPr="009F1A7B">
              <w:rPr>
                <w:rFonts w:cs="Arial"/>
                <w:szCs w:val="20"/>
              </w:rPr>
              <w:t xml:space="preserve"> Dealer</w:t>
            </w:r>
            <w:r>
              <w:rPr>
                <w:rFonts w:cs="Arial"/>
                <w:szCs w:val="20"/>
              </w:rPr>
              <w:t>(s)</w:t>
            </w:r>
            <w:r w:rsidRPr="009F1A7B">
              <w:rPr>
                <w:rFonts w:cs="Arial"/>
                <w:szCs w:val="20"/>
              </w:rPr>
              <w:t xml:space="preserve"> within 5 Business Days of </w:t>
            </w:r>
            <w:r>
              <w:rPr>
                <w:rFonts w:cs="Arial"/>
                <w:szCs w:val="20"/>
              </w:rPr>
              <w:t>the</w:t>
            </w:r>
            <w:r w:rsidRPr="009F1A7B">
              <w:rPr>
                <w:rFonts w:cs="Arial"/>
                <w:szCs w:val="20"/>
              </w:rPr>
              <w:t xml:space="preserve"> change being made.</w:t>
            </w:r>
          </w:p>
        </w:tc>
        <w:tc>
          <w:tcPr>
            <w:tcW w:w="1120" w:type="dxa"/>
            <w:vAlign w:val="top"/>
          </w:tcPr>
          <w:p w14:paraId="6A1EE038" w14:textId="77777777" w:rsidR="004B73D9" w:rsidRDefault="004B73D9" w:rsidP="004B73D9">
            <w:pPr>
              <w:spacing w:line="240" w:lineRule="atLeast"/>
              <w:jc w:val="center"/>
              <w:rPr>
                <w:szCs w:val="20"/>
              </w:rPr>
            </w:pPr>
          </w:p>
        </w:tc>
        <w:tc>
          <w:tcPr>
            <w:tcW w:w="3266" w:type="dxa"/>
            <w:vAlign w:val="top"/>
          </w:tcPr>
          <w:p w14:paraId="3D8CBB8E" w14:textId="77777777" w:rsidR="004B73D9" w:rsidRDefault="004B73D9" w:rsidP="004B73D9">
            <w:pPr>
              <w:spacing w:line="240" w:lineRule="atLeast"/>
              <w:jc w:val="both"/>
              <w:rPr>
                <w:szCs w:val="20"/>
              </w:rPr>
            </w:pPr>
          </w:p>
        </w:tc>
      </w:tr>
      <w:tr w:rsidR="004B73D9" w:rsidRPr="009F1A7B" w14:paraId="42BA0CA8" w14:textId="77777777" w:rsidTr="003D66F9">
        <w:trPr>
          <w:trHeight w:val="261"/>
        </w:trPr>
        <w:tc>
          <w:tcPr>
            <w:tcW w:w="1237" w:type="dxa"/>
            <w:shd w:val="clear" w:color="auto" w:fill="D6EAF6" w:themeFill="accent2" w:themeFillTint="33"/>
            <w:vAlign w:val="top"/>
          </w:tcPr>
          <w:p w14:paraId="2FBDD65D" w14:textId="31420998" w:rsidR="004B73D9" w:rsidRDefault="004B73D9" w:rsidP="00686191">
            <w:pPr>
              <w:pStyle w:val="TableSubhead"/>
              <w:jc w:val="center"/>
              <w:rPr>
                <w:rFonts w:asciiTheme="minorHAnsi" w:hAnsiTheme="minorHAnsi"/>
              </w:rPr>
            </w:pPr>
            <w:r w:rsidRPr="009F1A7B">
              <w:t xml:space="preserve">Section </w:t>
            </w:r>
            <w:r w:rsidR="00686191">
              <w:t>9</w:t>
            </w:r>
          </w:p>
        </w:tc>
        <w:tc>
          <w:tcPr>
            <w:tcW w:w="8348" w:type="dxa"/>
            <w:shd w:val="clear" w:color="auto" w:fill="D6EAF6" w:themeFill="accent2" w:themeFillTint="33"/>
            <w:vAlign w:val="top"/>
          </w:tcPr>
          <w:p w14:paraId="20D585C1" w14:textId="4BA2DF8D" w:rsidR="004B73D9" w:rsidRDefault="004B73D9" w:rsidP="00686191">
            <w:pPr>
              <w:pStyle w:val="TableSubhead"/>
              <w:jc w:val="both"/>
              <w:rPr>
                <w:rFonts w:asciiTheme="minorHAnsi" w:hAnsiTheme="minorHAnsi"/>
              </w:rPr>
            </w:pPr>
            <w:r w:rsidRPr="009F1A7B">
              <w:t xml:space="preserve">Trading </w:t>
            </w:r>
            <w:r w:rsidR="00686191">
              <w:t>with</w:t>
            </w:r>
            <w:r w:rsidRPr="009F1A7B">
              <w:t xml:space="preserve"> a Client (all Client Advising Participants)</w:t>
            </w:r>
          </w:p>
        </w:tc>
        <w:tc>
          <w:tcPr>
            <w:tcW w:w="1120" w:type="dxa"/>
            <w:shd w:val="clear" w:color="auto" w:fill="D6EAF6" w:themeFill="accent2" w:themeFillTint="33"/>
            <w:vAlign w:val="top"/>
          </w:tcPr>
          <w:p w14:paraId="3A78FA08" w14:textId="77777777" w:rsidR="004B73D9" w:rsidRDefault="004B73D9" w:rsidP="004B73D9">
            <w:pPr>
              <w:pStyle w:val="TableSubhead"/>
              <w:jc w:val="center"/>
              <w:rPr>
                <w:rFonts w:asciiTheme="minorHAnsi" w:hAnsiTheme="minorHAnsi"/>
              </w:rPr>
            </w:pPr>
          </w:p>
        </w:tc>
        <w:tc>
          <w:tcPr>
            <w:tcW w:w="3266" w:type="dxa"/>
            <w:shd w:val="clear" w:color="auto" w:fill="D6EAF6" w:themeFill="accent2" w:themeFillTint="33"/>
            <w:vAlign w:val="top"/>
          </w:tcPr>
          <w:p w14:paraId="4E1CD23B" w14:textId="77777777" w:rsidR="004B73D9" w:rsidRDefault="004B73D9" w:rsidP="004B73D9">
            <w:pPr>
              <w:pStyle w:val="TableSubhead"/>
              <w:jc w:val="both"/>
              <w:rPr>
                <w:rFonts w:asciiTheme="minorHAnsi" w:hAnsiTheme="minorHAnsi"/>
              </w:rPr>
            </w:pPr>
          </w:p>
        </w:tc>
      </w:tr>
      <w:tr w:rsidR="004B73D9" w:rsidRPr="009F1A7B" w14:paraId="529808FE" w14:textId="77777777" w:rsidTr="003D66F9">
        <w:trPr>
          <w:trHeight w:val="302"/>
        </w:trPr>
        <w:tc>
          <w:tcPr>
            <w:tcW w:w="1237" w:type="dxa"/>
            <w:vAlign w:val="top"/>
          </w:tcPr>
          <w:p w14:paraId="76846018" w14:textId="6D6E6E93" w:rsidR="004B73D9" w:rsidRDefault="00686191" w:rsidP="004B73D9">
            <w:pPr>
              <w:spacing w:line="240" w:lineRule="atLeast"/>
              <w:jc w:val="center"/>
              <w:rPr>
                <w:rFonts w:asciiTheme="minorHAnsi" w:hAnsiTheme="minorHAnsi"/>
                <w:sz w:val="22"/>
                <w:szCs w:val="20"/>
              </w:rPr>
            </w:pPr>
            <w:r>
              <w:rPr>
                <w:szCs w:val="20"/>
              </w:rPr>
              <w:t>9.9</w:t>
            </w:r>
            <w:r w:rsidR="004B73D9" w:rsidRPr="009F1A7B">
              <w:rPr>
                <w:szCs w:val="20"/>
              </w:rPr>
              <w:t>.1</w:t>
            </w:r>
          </w:p>
        </w:tc>
        <w:tc>
          <w:tcPr>
            <w:tcW w:w="8348" w:type="dxa"/>
            <w:vAlign w:val="top"/>
          </w:tcPr>
          <w:p w14:paraId="4F677B78" w14:textId="0C2B0FBF" w:rsidR="004B73D9" w:rsidRDefault="00250141" w:rsidP="00686191">
            <w:pPr>
              <w:spacing w:line="240" w:lineRule="atLeast"/>
              <w:jc w:val="both"/>
              <w:rPr>
                <w:rFonts w:asciiTheme="minorHAnsi" w:hAnsiTheme="minorHAnsi" w:cs="Arial"/>
                <w:sz w:val="22"/>
                <w:szCs w:val="20"/>
              </w:rPr>
            </w:pPr>
            <w:r>
              <w:rPr>
                <w:rFonts w:cs="Arial"/>
                <w:szCs w:val="20"/>
              </w:rPr>
              <w:t>During</w:t>
            </w:r>
            <w:r w:rsidRPr="009F1A7B">
              <w:rPr>
                <w:rFonts w:cs="Arial"/>
                <w:szCs w:val="20"/>
              </w:rPr>
              <w:t xml:space="preserve"> this </w:t>
            </w:r>
            <w:r w:rsidR="005F5BB7">
              <w:rPr>
                <w:rFonts w:cs="Arial"/>
                <w:szCs w:val="20"/>
              </w:rPr>
              <w:t>quarter</w:t>
            </w:r>
            <w:r w:rsidRPr="009F1A7B">
              <w:rPr>
                <w:rFonts w:cs="Arial"/>
                <w:szCs w:val="20"/>
              </w:rPr>
              <w:t xml:space="preserve">, all contract notes </w:t>
            </w:r>
            <w:r>
              <w:rPr>
                <w:rFonts w:cs="Arial"/>
                <w:szCs w:val="20"/>
              </w:rPr>
              <w:t>were</w:t>
            </w:r>
            <w:r w:rsidRPr="009F1A7B">
              <w:rPr>
                <w:rFonts w:cs="Arial"/>
                <w:szCs w:val="20"/>
              </w:rPr>
              <w:t xml:space="preserve"> </w:t>
            </w:r>
            <w:r>
              <w:rPr>
                <w:rFonts w:cs="Arial"/>
                <w:szCs w:val="20"/>
              </w:rPr>
              <w:t xml:space="preserve">made available to Clients as per Rule 9.9.1 and </w:t>
            </w:r>
            <w:r w:rsidRPr="009F1A7B">
              <w:rPr>
                <w:rFonts w:cs="Arial"/>
                <w:szCs w:val="20"/>
              </w:rPr>
              <w:t>within the required timeframe.</w:t>
            </w:r>
          </w:p>
        </w:tc>
        <w:tc>
          <w:tcPr>
            <w:tcW w:w="1120" w:type="dxa"/>
            <w:vAlign w:val="top"/>
          </w:tcPr>
          <w:p w14:paraId="4FF88315" w14:textId="77777777" w:rsidR="004B73D9" w:rsidRDefault="004B73D9" w:rsidP="004B73D9">
            <w:pPr>
              <w:spacing w:line="240" w:lineRule="atLeast"/>
              <w:jc w:val="center"/>
              <w:rPr>
                <w:rFonts w:asciiTheme="minorHAnsi" w:hAnsiTheme="minorHAnsi"/>
                <w:sz w:val="22"/>
                <w:szCs w:val="20"/>
              </w:rPr>
            </w:pPr>
          </w:p>
        </w:tc>
        <w:tc>
          <w:tcPr>
            <w:tcW w:w="3266" w:type="dxa"/>
            <w:vAlign w:val="top"/>
          </w:tcPr>
          <w:p w14:paraId="0BC9AA54" w14:textId="77777777" w:rsidR="004B73D9" w:rsidRDefault="004B73D9" w:rsidP="004B73D9">
            <w:pPr>
              <w:spacing w:line="240" w:lineRule="atLeast"/>
              <w:jc w:val="both"/>
              <w:rPr>
                <w:rFonts w:asciiTheme="minorHAnsi" w:hAnsiTheme="minorHAnsi"/>
                <w:sz w:val="22"/>
                <w:szCs w:val="20"/>
              </w:rPr>
            </w:pPr>
          </w:p>
        </w:tc>
      </w:tr>
      <w:tr w:rsidR="004B73D9" w:rsidRPr="009F1A7B" w14:paraId="519722E6" w14:textId="77777777" w:rsidTr="003D66F9">
        <w:trPr>
          <w:trHeight w:val="221"/>
        </w:trPr>
        <w:tc>
          <w:tcPr>
            <w:tcW w:w="1237" w:type="dxa"/>
            <w:shd w:val="clear" w:color="auto" w:fill="D6EAF6" w:themeFill="accent2" w:themeFillTint="33"/>
            <w:vAlign w:val="top"/>
          </w:tcPr>
          <w:p w14:paraId="2D9DE61F" w14:textId="363C6BBF" w:rsidR="004B73D9" w:rsidRDefault="004B73D9" w:rsidP="00AC2A98">
            <w:pPr>
              <w:pStyle w:val="TableSubhead"/>
              <w:jc w:val="center"/>
              <w:rPr>
                <w:rFonts w:asciiTheme="minorHAnsi" w:hAnsiTheme="minorHAnsi"/>
              </w:rPr>
            </w:pPr>
            <w:r w:rsidRPr="009F1A7B">
              <w:t>Section 1</w:t>
            </w:r>
            <w:r w:rsidR="00AC2A98">
              <w:t>1</w:t>
            </w:r>
          </w:p>
        </w:tc>
        <w:tc>
          <w:tcPr>
            <w:tcW w:w="8348" w:type="dxa"/>
            <w:shd w:val="clear" w:color="auto" w:fill="D6EAF6" w:themeFill="accent2" w:themeFillTint="33"/>
            <w:vAlign w:val="top"/>
          </w:tcPr>
          <w:p w14:paraId="1D91F1AE" w14:textId="70076E71" w:rsidR="004B73D9" w:rsidRDefault="00483D5A" w:rsidP="00483D5A">
            <w:pPr>
              <w:pStyle w:val="TableSubhead"/>
              <w:jc w:val="both"/>
              <w:rPr>
                <w:rFonts w:asciiTheme="minorHAnsi" w:hAnsiTheme="minorHAnsi"/>
              </w:rPr>
            </w:pPr>
            <w:r w:rsidRPr="009F1A7B">
              <w:t xml:space="preserve">Accepting </w:t>
            </w:r>
            <w:r>
              <w:t xml:space="preserve">and Holding </w:t>
            </w:r>
            <w:r w:rsidRPr="009F1A7B">
              <w:t xml:space="preserve">Client </w:t>
            </w:r>
            <w:r>
              <w:t>Funds</w:t>
            </w:r>
            <w:r w:rsidR="004B73D9" w:rsidRPr="009F1A7B">
              <w:t xml:space="preserve"> (all </w:t>
            </w:r>
            <w:r>
              <w:t>Trading and Advising Firms</w:t>
            </w:r>
            <w:r w:rsidR="004B73D9" w:rsidRPr="009F1A7B">
              <w:t>)</w:t>
            </w:r>
          </w:p>
        </w:tc>
        <w:tc>
          <w:tcPr>
            <w:tcW w:w="1120" w:type="dxa"/>
            <w:shd w:val="clear" w:color="auto" w:fill="D6EAF6" w:themeFill="accent2" w:themeFillTint="33"/>
            <w:vAlign w:val="top"/>
          </w:tcPr>
          <w:p w14:paraId="02F15F74" w14:textId="77777777" w:rsidR="004B73D9" w:rsidRDefault="004B73D9" w:rsidP="004B73D9">
            <w:pPr>
              <w:pStyle w:val="TableSubhead"/>
              <w:jc w:val="center"/>
              <w:rPr>
                <w:rFonts w:asciiTheme="minorHAnsi" w:hAnsiTheme="minorHAnsi"/>
              </w:rPr>
            </w:pPr>
          </w:p>
        </w:tc>
        <w:tc>
          <w:tcPr>
            <w:tcW w:w="3266" w:type="dxa"/>
            <w:shd w:val="clear" w:color="auto" w:fill="D6EAF6" w:themeFill="accent2" w:themeFillTint="33"/>
            <w:vAlign w:val="top"/>
          </w:tcPr>
          <w:p w14:paraId="00E7A44F" w14:textId="77777777" w:rsidR="004B73D9" w:rsidRDefault="004B73D9" w:rsidP="004B73D9">
            <w:pPr>
              <w:pStyle w:val="TableSubhead"/>
              <w:jc w:val="both"/>
              <w:rPr>
                <w:rFonts w:asciiTheme="minorHAnsi" w:hAnsiTheme="minorHAnsi"/>
              </w:rPr>
            </w:pPr>
          </w:p>
        </w:tc>
      </w:tr>
      <w:tr w:rsidR="004B73D9" w:rsidRPr="009F1A7B" w14:paraId="326A799C" w14:textId="77777777" w:rsidTr="003D66F9">
        <w:trPr>
          <w:trHeight w:val="506"/>
        </w:trPr>
        <w:tc>
          <w:tcPr>
            <w:tcW w:w="1237" w:type="dxa"/>
            <w:vAlign w:val="top"/>
          </w:tcPr>
          <w:p w14:paraId="2E22A4DF" w14:textId="2823FD09" w:rsidR="004B73D9" w:rsidRDefault="004B73D9" w:rsidP="00AC2A98">
            <w:pPr>
              <w:spacing w:line="240" w:lineRule="atLeast"/>
              <w:jc w:val="center"/>
              <w:rPr>
                <w:rFonts w:asciiTheme="minorHAnsi" w:hAnsiTheme="minorHAnsi"/>
                <w:sz w:val="22"/>
                <w:szCs w:val="20"/>
              </w:rPr>
            </w:pPr>
            <w:r w:rsidRPr="009F1A7B">
              <w:rPr>
                <w:szCs w:val="20"/>
              </w:rPr>
              <w:t>1</w:t>
            </w:r>
            <w:r w:rsidR="00AC2A98">
              <w:rPr>
                <w:szCs w:val="20"/>
              </w:rPr>
              <w:t>1</w:t>
            </w:r>
            <w:r w:rsidRPr="009F1A7B">
              <w:rPr>
                <w:szCs w:val="20"/>
              </w:rPr>
              <w:t>.</w:t>
            </w:r>
            <w:r w:rsidR="00AC2A98">
              <w:rPr>
                <w:szCs w:val="20"/>
              </w:rPr>
              <w:t>3</w:t>
            </w:r>
            <w:r w:rsidRPr="009F1A7B">
              <w:rPr>
                <w:szCs w:val="20"/>
              </w:rPr>
              <w:t>.1</w:t>
            </w:r>
          </w:p>
        </w:tc>
        <w:tc>
          <w:tcPr>
            <w:tcW w:w="8348" w:type="dxa"/>
            <w:vAlign w:val="top"/>
          </w:tcPr>
          <w:p w14:paraId="021BC526" w14:textId="221699CA" w:rsidR="004B73D9" w:rsidRDefault="00AC2A98" w:rsidP="00AC2A98">
            <w:pPr>
              <w:spacing w:line="240" w:lineRule="atLeast"/>
              <w:jc w:val="both"/>
              <w:rPr>
                <w:rFonts w:asciiTheme="minorHAnsi" w:hAnsiTheme="minorHAnsi" w:cs="Arial"/>
                <w:b/>
                <w:sz w:val="22"/>
                <w:szCs w:val="20"/>
              </w:rPr>
            </w:pPr>
            <w:r>
              <w:rPr>
                <w:rFonts w:cs="Arial"/>
                <w:szCs w:val="20"/>
                <w:lang w:val="en-AU"/>
              </w:rPr>
              <w:t>T</w:t>
            </w:r>
            <w:r w:rsidRPr="00AC2A98">
              <w:rPr>
                <w:rFonts w:cs="Arial"/>
                <w:szCs w:val="20"/>
                <w:lang w:val="en-AU"/>
              </w:rPr>
              <w:t xml:space="preserve">he Participant has, at all times during this </w:t>
            </w:r>
            <w:r w:rsidR="005F5BB7">
              <w:rPr>
                <w:rFonts w:cs="Arial"/>
                <w:szCs w:val="20"/>
              </w:rPr>
              <w:t>quarter</w:t>
            </w:r>
            <w:r w:rsidRPr="00AC2A98">
              <w:rPr>
                <w:rFonts w:cs="Arial"/>
                <w:szCs w:val="20"/>
                <w:lang w:val="en-AU"/>
              </w:rPr>
              <w:t>, complied with its obligations (to the extent such obligations apply to that Participant) under (a) the Client Funds Regulations</w:t>
            </w:r>
            <w:r>
              <w:rPr>
                <w:rFonts w:cs="Arial"/>
                <w:szCs w:val="20"/>
                <w:lang w:val="en-AU"/>
              </w:rPr>
              <w:t xml:space="preserve"> </w:t>
            </w:r>
            <w:r w:rsidRPr="00AC2A98">
              <w:rPr>
                <w:rFonts w:cs="Arial"/>
                <w:szCs w:val="20"/>
                <w:lang w:val="en-GB"/>
              </w:rPr>
              <w:t>(as though all references in the Client Funds Regulations to “futures contracts” were to include Derivatives Contracts)</w:t>
            </w:r>
            <w:r w:rsidRPr="00AC2A98">
              <w:rPr>
                <w:rFonts w:cs="Arial"/>
                <w:szCs w:val="20"/>
                <w:lang w:val="en-AU"/>
              </w:rPr>
              <w:t>, and (</w:t>
            </w:r>
            <w:r>
              <w:rPr>
                <w:rFonts w:cs="Arial"/>
                <w:szCs w:val="20"/>
                <w:lang w:val="en-AU"/>
              </w:rPr>
              <w:t>b</w:t>
            </w:r>
            <w:r w:rsidRPr="00AC2A98">
              <w:rPr>
                <w:rFonts w:cs="Arial"/>
                <w:szCs w:val="20"/>
                <w:lang w:val="en-AU"/>
              </w:rPr>
              <w:t>) any other law or regulation regulating acceptance, holding and disbursement of Client Funds (including for the avoidance of doubt those that apply to an Overseas Participant in its home jurisdiction)</w:t>
            </w:r>
            <w:r w:rsidR="004B73D9" w:rsidRPr="009F1A7B">
              <w:rPr>
                <w:rFonts w:cs="Arial"/>
                <w:szCs w:val="20"/>
              </w:rPr>
              <w:t>.</w:t>
            </w:r>
          </w:p>
        </w:tc>
        <w:tc>
          <w:tcPr>
            <w:tcW w:w="1120" w:type="dxa"/>
            <w:vAlign w:val="top"/>
          </w:tcPr>
          <w:p w14:paraId="7E66F6E0" w14:textId="77777777" w:rsidR="004B73D9" w:rsidRDefault="004B73D9" w:rsidP="004B73D9">
            <w:pPr>
              <w:spacing w:line="240" w:lineRule="atLeast"/>
              <w:jc w:val="center"/>
              <w:rPr>
                <w:rFonts w:asciiTheme="minorHAnsi" w:hAnsiTheme="minorHAnsi"/>
                <w:sz w:val="22"/>
                <w:szCs w:val="20"/>
              </w:rPr>
            </w:pPr>
          </w:p>
        </w:tc>
        <w:tc>
          <w:tcPr>
            <w:tcW w:w="3266" w:type="dxa"/>
            <w:vAlign w:val="top"/>
          </w:tcPr>
          <w:p w14:paraId="4F19F8CC" w14:textId="77777777" w:rsidR="004B73D9" w:rsidRDefault="004B73D9" w:rsidP="004B73D9">
            <w:pPr>
              <w:spacing w:line="240" w:lineRule="atLeast"/>
              <w:jc w:val="both"/>
              <w:rPr>
                <w:rFonts w:asciiTheme="minorHAnsi" w:hAnsiTheme="minorHAnsi"/>
                <w:sz w:val="22"/>
                <w:szCs w:val="20"/>
              </w:rPr>
            </w:pPr>
          </w:p>
        </w:tc>
      </w:tr>
      <w:tr w:rsidR="00483D5A" w:rsidRPr="009F1A7B" w14:paraId="1DE87FE2" w14:textId="77777777" w:rsidTr="00905E33">
        <w:trPr>
          <w:trHeight w:val="506"/>
        </w:trPr>
        <w:tc>
          <w:tcPr>
            <w:tcW w:w="1237" w:type="dxa"/>
            <w:shd w:val="clear" w:color="auto" w:fill="D6EAF6" w:themeFill="accent2" w:themeFillTint="33"/>
            <w:vAlign w:val="top"/>
          </w:tcPr>
          <w:p w14:paraId="39C824CC" w14:textId="13D7C534" w:rsidR="00483D5A" w:rsidRPr="009F1A7B" w:rsidRDefault="00483D5A" w:rsidP="00483D5A">
            <w:pPr>
              <w:pStyle w:val="TableSubhead"/>
              <w:jc w:val="center"/>
            </w:pPr>
            <w:r w:rsidRPr="009F1A7B">
              <w:t xml:space="preserve">Section </w:t>
            </w:r>
            <w:r>
              <w:t>12</w:t>
            </w:r>
          </w:p>
        </w:tc>
        <w:tc>
          <w:tcPr>
            <w:tcW w:w="8348" w:type="dxa"/>
            <w:shd w:val="clear" w:color="auto" w:fill="D6EAF6" w:themeFill="accent2" w:themeFillTint="33"/>
            <w:vAlign w:val="top"/>
          </w:tcPr>
          <w:p w14:paraId="4E3878C1" w14:textId="36DA1EBC" w:rsidR="00483D5A" w:rsidRPr="009F1A7B" w:rsidDel="00463E71" w:rsidRDefault="00483D5A" w:rsidP="00483D5A">
            <w:pPr>
              <w:pStyle w:val="TableSubhead"/>
            </w:pPr>
            <w:r w:rsidRPr="00905E33">
              <w:rPr>
                <w:lang w:val="en-AU"/>
              </w:rPr>
              <w:t>Placing F&amp;O Orders and Facilitating Trades off exchange</w:t>
            </w:r>
          </w:p>
        </w:tc>
        <w:tc>
          <w:tcPr>
            <w:tcW w:w="1120" w:type="dxa"/>
            <w:shd w:val="clear" w:color="auto" w:fill="D6EAF6" w:themeFill="accent2" w:themeFillTint="33"/>
            <w:vAlign w:val="top"/>
          </w:tcPr>
          <w:p w14:paraId="677D6B5D" w14:textId="77777777" w:rsidR="00483D5A" w:rsidRDefault="00483D5A" w:rsidP="00483D5A">
            <w:pPr>
              <w:pStyle w:val="TableSubhead"/>
              <w:jc w:val="center"/>
            </w:pPr>
          </w:p>
        </w:tc>
        <w:tc>
          <w:tcPr>
            <w:tcW w:w="3266" w:type="dxa"/>
            <w:shd w:val="clear" w:color="auto" w:fill="D6EAF6" w:themeFill="accent2" w:themeFillTint="33"/>
            <w:vAlign w:val="top"/>
          </w:tcPr>
          <w:p w14:paraId="518CB42A" w14:textId="77777777" w:rsidR="00483D5A" w:rsidRDefault="00483D5A" w:rsidP="00483D5A">
            <w:pPr>
              <w:pStyle w:val="TableSubhead"/>
              <w:jc w:val="center"/>
            </w:pPr>
          </w:p>
        </w:tc>
      </w:tr>
      <w:tr w:rsidR="00483D5A" w:rsidRPr="009F1A7B" w14:paraId="6DB9EB70" w14:textId="77777777" w:rsidTr="003D66F9">
        <w:trPr>
          <w:trHeight w:val="177"/>
        </w:trPr>
        <w:tc>
          <w:tcPr>
            <w:tcW w:w="1237" w:type="dxa"/>
            <w:vAlign w:val="top"/>
          </w:tcPr>
          <w:p w14:paraId="7B7EC5A8" w14:textId="4907DE86" w:rsidR="00483D5A" w:rsidRDefault="00483D5A" w:rsidP="00483D5A">
            <w:pPr>
              <w:spacing w:line="240" w:lineRule="atLeast"/>
              <w:jc w:val="center"/>
              <w:rPr>
                <w:rFonts w:asciiTheme="minorHAnsi" w:hAnsiTheme="minorHAnsi"/>
                <w:sz w:val="22"/>
                <w:szCs w:val="20"/>
              </w:rPr>
            </w:pPr>
            <w:r>
              <w:rPr>
                <w:rFonts w:asciiTheme="minorHAnsi" w:hAnsiTheme="minorHAnsi"/>
                <w:sz w:val="22"/>
                <w:szCs w:val="20"/>
              </w:rPr>
              <w:t>12.2.1</w:t>
            </w:r>
          </w:p>
        </w:tc>
        <w:tc>
          <w:tcPr>
            <w:tcW w:w="8348" w:type="dxa"/>
            <w:vAlign w:val="top"/>
          </w:tcPr>
          <w:p w14:paraId="543D9097" w14:textId="7DE82978" w:rsidR="00483D5A" w:rsidRPr="00905E33" w:rsidRDefault="00483D5A" w:rsidP="00483D5A">
            <w:pPr>
              <w:spacing w:line="240" w:lineRule="atLeast"/>
              <w:jc w:val="both"/>
              <w:rPr>
                <w:rFonts w:cs="Arial"/>
                <w:szCs w:val="20"/>
                <w:lang w:val="en-AU"/>
              </w:rPr>
            </w:pPr>
            <w:r w:rsidRPr="00483D5A">
              <w:rPr>
                <w:rFonts w:cs="Arial"/>
                <w:szCs w:val="20"/>
                <w:lang w:val="en-AU"/>
              </w:rPr>
              <w:t xml:space="preserve">We confirm that </w:t>
            </w:r>
            <w:r>
              <w:rPr>
                <w:rFonts w:cs="Arial"/>
                <w:szCs w:val="20"/>
                <w:lang w:val="en-AU"/>
              </w:rPr>
              <w:t>T</w:t>
            </w:r>
            <w:r w:rsidRPr="00905E33">
              <w:rPr>
                <w:rFonts w:cs="Arial"/>
                <w:szCs w:val="20"/>
                <w:lang w:val="en-AU"/>
              </w:rPr>
              <w:t>he Participant has maintained records of the time and date of:</w:t>
            </w:r>
          </w:p>
          <w:p w14:paraId="58E0C479" w14:textId="77777777" w:rsidR="00483D5A" w:rsidRPr="00905E33" w:rsidRDefault="00483D5A" w:rsidP="00483D5A">
            <w:pPr>
              <w:numPr>
                <w:ilvl w:val="0"/>
                <w:numId w:val="31"/>
              </w:numPr>
              <w:tabs>
                <w:tab w:val="clear" w:pos="1418"/>
              </w:tabs>
              <w:spacing w:line="240" w:lineRule="atLeast"/>
              <w:ind w:left="381"/>
              <w:jc w:val="both"/>
              <w:rPr>
                <w:rFonts w:cs="Arial"/>
                <w:szCs w:val="20"/>
                <w:lang w:val="en-AU"/>
              </w:rPr>
            </w:pPr>
            <w:r w:rsidRPr="00905E33">
              <w:rPr>
                <w:rFonts w:cs="Arial"/>
                <w:szCs w:val="20"/>
                <w:lang w:val="en-AU"/>
              </w:rPr>
              <w:t>receipt of each instruction to place a F&amp;O Order on a F&amp;O Exchange or facilitate a trade Off-Exchange received from a Client;</w:t>
            </w:r>
          </w:p>
          <w:p w14:paraId="5069B068" w14:textId="77777777" w:rsidR="00483D5A" w:rsidRPr="00905E33" w:rsidRDefault="00483D5A" w:rsidP="00483D5A">
            <w:pPr>
              <w:numPr>
                <w:ilvl w:val="0"/>
                <w:numId w:val="31"/>
              </w:numPr>
              <w:tabs>
                <w:tab w:val="clear" w:pos="1418"/>
              </w:tabs>
              <w:spacing w:line="240" w:lineRule="atLeast"/>
              <w:ind w:left="381"/>
              <w:jc w:val="both"/>
              <w:rPr>
                <w:rFonts w:asciiTheme="minorHAnsi" w:hAnsiTheme="minorHAnsi" w:cs="Arial"/>
                <w:sz w:val="22"/>
                <w:szCs w:val="20"/>
              </w:rPr>
            </w:pPr>
            <w:r w:rsidRPr="00905E33">
              <w:rPr>
                <w:rFonts w:cs="Arial"/>
                <w:szCs w:val="20"/>
                <w:lang w:val="en-AU"/>
              </w:rPr>
              <w:t>each F&amp;O Order placed with a F&amp;O Executing Participant of a F&amp;O Exchange as a result of the Client’s instructions;</w:t>
            </w:r>
            <w:r>
              <w:rPr>
                <w:rFonts w:cs="Arial"/>
                <w:szCs w:val="20"/>
                <w:lang w:val="en-AU"/>
              </w:rPr>
              <w:t xml:space="preserve"> </w:t>
            </w:r>
          </w:p>
          <w:p w14:paraId="4971C5F3" w14:textId="31412B28" w:rsidR="00483D5A" w:rsidRDefault="00483D5A" w:rsidP="00483D5A">
            <w:pPr>
              <w:numPr>
                <w:ilvl w:val="0"/>
                <w:numId w:val="31"/>
              </w:numPr>
              <w:tabs>
                <w:tab w:val="clear" w:pos="1418"/>
              </w:tabs>
              <w:spacing w:line="240" w:lineRule="atLeast"/>
              <w:ind w:left="381"/>
              <w:jc w:val="both"/>
              <w:rPr>
                <w:rFonts w:asciiTheme="minorHAnsi" w:hAnsiTheme="minorHAnsi" w:cs="Arial"/>
                <w:sz w:val="22"/>
                <w:szCs w:val="20"/>
              </w:rPr>
            </w:pPr>
            <w:r w:rsidRPr="00905E33">
              <w:rPr>
                <w:rFonts w:cs="Arial"/>
                <w:szCs w:val="20"/>
                <w:lang w:val="en-AU"/>
              </w:rPr>
              <w:t>each facilitation of trading Derivatives Contracts Off-Exchange as a result of those instructions as part of the account records required by these Rules.</w:t>
            </w:r>
          </w:p>
        </w:tc>
        <w:tc>
          <w:tcPr>
            <w:tcW w:w="1120" w:type="dxa"/>
            <w:vAlign w:val="top"/>
          </w:tcPr>
          <w:p w14:paraId="2CC3E84D" w14:textId="77777777" w:rsidR="00483D5A" w:rsidRDefault="00483D5A" w:rsidP="00483D5A">
            <w:pPr>
              <w:spacing w:line="240" w:lineRule="atLeast"/>
              <w:jc w:val="center"/>
              <w:rPr>
                <w:rFonts w:asciiTheme="minorHAnsi" w:hAnsiTheme="minorHAnsi"/>
                <w:sz w:val="22"/>
                <w:szCs w:val="20"/>
              </w:rPr>
            </w:pPr>
          </w:p>
        </w:tc>
        <w:tc>
          <w:tcPr>
            <w:tcW w:w="3266" w:type="dxa"/>
            <w:vAlign w:val="top"/>
          </w:tcPr>
          <w:p w14:paraId="72B39076" w14:textId="77777777" w:rsidR="00483D5A" w:rsidRDefault="00483D5A" w:rsidP="00483D5A">
            <w:pPr>
              <w:spacing w:line="240" w:lineRule="atLeast"/>
              <w:jc w:val="both"/>
              <w:rPr>
                <w:rFonts w:asciiTheme="minorHAnsi" w:hAnsiTheme="minorHAnsi"/>
                <w:sz w:val="22"/>
                <w:szCs w:val="20"/>
              </w:rPr>
            </w:pPr>
          </w:p>
        </w:tc>
      </w:tr>
      <w:tr w:rsidR="00483D5A" w:rsidRPr="009F1A7B" w14:paraId="2CEA66F3" w14:textId="77777777" w:rsidTr="003D66F9">
        <w:trPr>
          <w:trHeight w:val="106"/>
        </w:trPr>
        <w:tc>
          <w:tcPr>
            <w:tcW w:w="1237" w:type="dxa"/>
            <w:shd w:val="clear" w:color="auto" w:fill="D6EAF6" w:themeFill="accent2" w:themeFillTint="33"/>
            <w:vAlign w:val="top"/>
          </w:tcPr>
          <w:p w14:paraId="3B537634" w14:textId="73785A46" w:rsidR="00483D5A" w:rsidRDefault="00483D5A" w:rsidP="00483D5A">
            <w:pPr>
              <w:pStyle w:val="TableSubhead"/>
              <w:jc w:val="both"/>
              <w:rPr>
                <w:rFonts w:asciiTheme="minorHAnsi" w:hAnsiTheme="minorHAnsi"/>
              </w:rPr>
            </w:pPr>
            <w:r w:rsidRPr="009F1A7B">
              <w:t xml:space="preserve">Section </w:t>
            </w:r>
            <w:r>
              <w:t>14</w:t>
            </w:r>
          </w:p>
        </w:tc>
        <w:tc>
          <w:tcPr>
            <w:tcW w:w="8348" w:type="dxa"/>
            <w:shd w:val="clear" w:color="auto" w:fill="D6EAF6" w:themeFill="accent2" w:themeFillTint="33"/>
            <w:vAlign w:val="top"/>
          </w:tcPr>
          <w:p w14:paraId="0BEA8AC0" w14:textId="77777777" w:rsidR="00483D5A" w:rsidRDefault="00483D5A" w:rsidP="00483D5A">
            <w:pPr>
              <w:pStyle w:val="TableSubhead"/>
              <w:jc w:val="both"/>
              <w:rPr>
                <w:rFonts w:ascii="Tahoma" w:hAnsi="Tahoma"/>
              </w:rPr>
            </w:pPr>
            <w:r w:rsidRPr="009F1A7B">
              <w:t>NZX Powers (all Market Participants)</w:t>
            </w:r>
          </w:p>
        </w:tc>
        <w:tc>
          <w:tcPr>
            <w:tcW w:w="1120" w:type="dxa"/>
            <w:shd w:val="clear" w:color="auto" w:fill="D6EAF6" w:themeFill="accent2" w:themeFillTint="33"/>
            <w:vAlign w:val="top"/>
          </w:tcPr>
          <w:p w14:paraId="3FD9A3C5" w14:textId="77777777" w:rsidR="00483D5A" w:rsidRDefault="00483D5A" w:rsidP="00483D5A">
            <w:pPr>
              <w:pStyle w:val="TableSubhead"/>
              <w:jc w:val="center"/>
              <w:rPr>
                <w:rFonts w:asciiTheme="minorHAnsi" w:hAnsiTheme="minorHAnsi"/>
              </w:rPr>
            </w:pPr>
          </w:p>
        </w:tc>
        <w:tc>
          <w:tcPr>
            <w:tcW w:w="3266" w:type="dxa"/>
            <w:shd w:val="clear" w:color="auto" w:fill="D6EAF6" w:themeFill="accent2" w:themeFillTint="33"/>
            <w:vAlign w:val="top"/>
          </w:tcPr>
          <w:p w14:paraId="1B6C8300" w14:textId="77777777" w:rsidR="00483D5A" w:rsidRDefault="00483D5A" w:rsidP="00483D5A">
            <w:pPr>
              <w:pStyle w:val="TableSubhead"/>
              <w:jc w:val="both"/>
              <w:rPr>
                <w:rFonts w:asciiTheme="minorHAnsi" w:hAnsiTheme="minorHAnsi"/>
              </w:rPr>
            </w:pPr>
          </w:p>
        </w:tc>
      </w:tr>
      <w:tr w:rsidR="00483D5A" w:rsidRPr="009F1A7B" w14:paraId="11ABD067" w14:textId="77777777" w:rsidTr="003D66F9">
        <w:trPr>
          <w:trHeight w:val="636"/>
        </w:trPr>
        <w:tc>
          <w:tcPr>
            <w:tcW w:w="1237" w:type="dxa"/>
            <w:vAlign w:val="top"/>
          </w:tcPr>
          <w:p w14:paraId="377C4AD9" w14:textId="6DF4A47D" w:rsidR="00483D5A" w:rsidRDefault="00483D5A" w:rsidP="00483D5A">
            <w:pPr>
              <w:spacing w:line="240" w:lineRule="atLeast"/>
              <w:jc w:val="center"/>
              <w:rPr>
                <w:rFonts w:asciiTheme="minorHAnsi" w:hAnsiTheme="minorHAnsi"/>
                <w:sz w:val="22"/>
                <w:szCs w:val="20"/>
              </w:rPr>
            </w:pPr>
            <w:r>
              <w:rPr>
                <w:szCs w:val="20"/>
              </w:rPr>
              <w:t>14.6</w:t>
            </w:r>
          </w:p>
        </w:tc>
        <w:tc>
          <w:tcPr>
            <w:tcW w:w="8348" w:type="dxa"/>
            <w:vAlign w:val="top"/>
          </w:tcPr>
          <w:p w14:paraId="3650471E" w14:textId="77D959B9" w:rsidR="00483D5A" w:rsidRDefault="00483D5A" w:rsidP="00483D5A">
            <w:pPr>
              <w:spacing w:line="240" w:lineRule="atLeast"/>
              <w:jc w:val="both"/>
              <w:rPr>
                <w:rFonts w:asciiTheme="minorHAnsi" w:hAnsiTheme="minorHAnsi" w:cs="Arial"/>
                <w:sz w:val="22"/>
                <w:szCs w:val="20"/>
              </w:rPr>
            </w:pPr>
            <w:r w:rsidRPr="00295C05">
              <w:rPr>
                <w:rFonts w:cs="Arial"/>
                <w:szCs w:val="20"/>
                <w:lang w:val="en-AU"/>
              </w:rPr>
              <w:t xml:space="preserve"> During this </w:t>
            </w:r>
            <w:r w:rsidR="005F5BB7">
              <w:rPr>
                <w:rFonts w:cs="Arial"/>
                <w:szCs w:val="20"/>
              </w:rPr>
              <w:t>quarter</w:t>
            </w:r>
            <w:r w:rsidRPr="00295C05">
              <w:rPr>
                <w:rFonts w:cs="Arial"/>
                <w:szCs w:val="20"/>
                <w:lang w:val="en-AU"/>
              </w:rPr>
              <w:t>, the Participant promptly notified NZX in writing, where it became aware that it or another Participant breached or was likely to breach any of its obligations under the Rules and that breach or likely breach was significant.</w:t>
            </w:r>
          </w:p>
        </w:tc>
        <w:tc>
          <w:tcPr>
            <w:tcW w:w="1120" w:type="dxa"/>
            <w:vAlign w:val="top"/>
          </w:tcPr>
          <w:p w14:paraId="40C50D09" w14:textId="77777777" w:rsidR="00483D5A" w:rsidRDefault="00483D5A" w:rsidP="00483D5A">
            <w:pPr>
              <w:spacing w:line="240" w:lineRule="atLeast"/>
              <w:jc w:val="center"/>
              <w:rPr>
                <w:rFonts w:asciiTheme="minorHAnsi" w:hAnsiTheme="minorHAnsi"/>
                <w:sz w:val="22"/>
                <w:szCs w:val="20"/>
              </w:rPr>
            </w:pPr>
          </w:p>
        </w:tc>
        <w:tc>
          <w:tcPr>
            <w:tcW w:w="3266" w:type="dxa"/>
            <w:vAlign w:val="top"/>
          </w:tcPr>
          <w:p w14:paraId="6291E284" w14:textId="77777777" w:rsidR="00483D5A" w:rsidRDefault="00483D5A" w:rsidP="00483D5A">
            <w:pPr>
              <w:spacing w:line="240" w:lineRule="atLeast"/>
              <w:jc w:val="both"/>
              <w:rPr>
                <w:rFonts w:asciiTheme="minorHAnsi" w:hAnsiTheme="minorHAnsi"/>
                <w:sz w:val="22"/>
                <w:szCs w:val="20"/>
              </w:rPr>
            </w:pPr>
          </w:p>
        </w:tc>
      </w:tr>
    </w:tbl>
    <w:p w14:paraId="7BF8E10B" w14:textId="77777777" w:rsidR="005F5BB7" w:rsidRDefault="005E6696" w:rsidP="00483D5A">
      <w:pPr>
        <w:rPr>
          <w:rFonts w:cs="Arial"/>
          <w:color w:val="3397D3"/>
          <w:sz w:val="36"/>
          <w:szCs w:val="40"/>
          <w:lang w:val="en-GB"/>
        </w:rPr>
      </w:pPr>
      <w:r>
        <w:rPr>
          <w:rFonts w:cs="Arial"/>
          <w:color w:val="3397D3"/>
          <w:sz w:val="36"/>
          <w:szCs w:val="40"/>
          <w:lang w:val="en-GB"/>
        </w:rPr>
        <w:br/>
      </w:r>
    </w:p>
    <w:p w14:paraId="0F1D32D4" w14:textId="6854100E" w:rsidR="00483D5A" w:rsidRPr="00DD7DC2" w:rsidRDefault="00483D5A" w:rsidP="00483D5A">
      <w:pPr>
        <w:rPr>
          <w:rFonts w:ascii="Arial" w:hAnsi="Arial" w:cs="Arial"/>
        </w:rPr>
      </w:pPr>
      <w:r>
        <w:rPr>
          <w:rFonts w:cs="Arial"/>
          <w:color w:val="3397D3"/>
          <w:sz w:val="36"/>
          <w:szCs w:val="40"/>
          <w:lang w:val="en-GB"/>
        </w:rPr>
        <w:lastRenderedPageBreak/>
        <w:t>CONFIRMATION</w:t>
      </w:r>
    </w:p>
    <w:p w14:paraId="6E33B2C0" w14:textId="77777777" w:rsidR="00483D5A" w:rsidRDefault="00483D5A" w:rsidP="00483D5A">
      <w:pPr>
        <w:spacing w:after="0"/>
        <w:rPr>
          <w:rFonts w:ascii="Arial" w:hAnsi="Arial" w:cs="Arial"/>
          <w:lang w:val="en-AU"/>
        </w:rPr>
      </w:pPr>
    </w:p>
    <w:p w14:paraId="505D5162" w14:textId="77777777" w:rsidR="00483D5A" w:rsidRPr="00DD7DC2" w:rsidRDefault="00483D5A" w:rsidP="00483D5A">
      <w:pPr>
        <w:spacing w:after="0" w:line="240" w:lineRule="auto"/>
        <w:jc w:val="both"/>
        <w:rPr>
          <w:rFonts w:ascii="Arial" w:hAnsi="Arial" w:cs="Arial"/>
          <w:lang w:val="en-AU"/>
        </w:rPr>
      </w:pPr>
      <w:r>
        <w:rPr>
          <w:rFonts w:ascii="Arial" w:hAnsi="Arial" w:cs="Arial"/>
          <w:lang w:val="en-AU"/>
        </w:rPr>
        <w:t xml:space="preserve">The Market Participant’s Responsible Executive confirms </w:t>
      </w:r>
      <w:r w:rsidRPr="00DD7DC2">
        <w:rPr>
          <w:rFonts w:ascii="Arial" w:hAnsi="Arial" w:cs="Arial"/>
          <w:lang w:val="en-AU"/>
        </w:rPr>
        <w:t>that</w:t>
      </w:r>
      <w:r>
        <w:rPr>
          <w:rFonts w:ascii="Arial" w:hAnsi="Arial" w:cs="Arial"/>
          <w:lang w:val="en-AU"/>
        </w:rPr>
        <w:t xml:space="preserve"> the responses</w:t>
      </w:r>
      <w:r w:rsidRPr="00DD7DC2">
        <w:rPr>
          <w:rFonts w:ascii="Arial" w:hAnsi="Arial" w:cs="Arial"/>
          <w:lang w:val="en-AU"/>
        </w:rPr>
        <w:t xml:space="preserve"> </w:t>
      </w:r>
      <w:r>
        <w:rPr>
          <w:rFonts w:ascii="Arial" w:hAnsi="Arial" w:cs="Arial"/>
          <w:lang w:val="en-AU"/>
        </w:rPr>
        <w:t xml:space="preserve">provided </w:t>
      </w:r>
      <w:r w:rsidRPr="00DD7DC2">
        <w:rPr>
          <w:rFonts w:ascii="Arial" w:hAnsi="Arial" w:cs="Arial"/>
          <w:lang w:val="en-AU"/>
        </w:rPr>
        <w:t xml:space="preserve">in </w:t>
      </w:r>
      <w:r>
        <w:rPr>
          <w:rFonts w:ascii="Arial" w:hAnsi="Arial" w:cs="Arial"/>
          <w:lang w:val="en-AU"/>
        </w:rPr>
        <w:t>Part A of the</w:t>
      </w:r>
      <w:r w:rsidRPr="00DD7DC2">
        <w:rPr>
          <w:rFonts w:ascii="Arial" w:hAnsi="Arial" w:cs="Arial"/>
          <w:lang w:val="en-AU"/>
        </w:rPr>
        <w:t xml:space="preserve"> Internal Control Checklist are true and correct.</w:t>
      </w:r>
    </w:p>
    <w:p w14:paraId="2707EA27" w14:textId="77777777" w:rsidR="00483D5A" w:rsidRPr="00DD7DC2" w:rsidRDefault="00483D5A" w:rsidP="00483D5A">
      <w:pPr>
        <w:spacing w:after="480"/>
        <w:rPr>
          <w:rFonts w:ascii="Arial" w:hAnsi="Arial" w:cs="Arial"/>
        </w:rPr>
      </w:pPr>
    </w:p>
    <w:p w14:paraId="7B01FC8D" w14:textId="77777777" w:rsidR="005E6696" w:rsidRDefault="005E6696" w:rsidP="00483D5A">
      <w:pPr>
        <w:rPr>
          <w:rFonts w:cs="Arial"/>
          <w:b/>
        </w:rPr>
      </w:pPr>
    </w:p>
    <w:p w14:paraId="75AEB3EE" w14:textId="1642A569" w:rsidR="00483D5A" w:rsidRDefault="00483D5A" w:rsidP="00483D5A">
      <w:pPr>
        <w:rPr>
          <w:rFonts w:cs="Arial"/>
        </w:rPr>
      </w:pPr>
      <w:r>
        <w:rPr>
          <w:rFonts w:cs="Arial"/>
          <w:b/>
        </w:rPr>
        <w:t>Responsible Executive</w:t>
      </w:r>
      <w:r w:rsidRPr="00DD7DC2">
        <w:rPr>
          <w:rFonts w:cs="Arial"/>
          <w:b/>
        </w:rPr>
        <w:t xml:space="preserve"> Signature </w:t>
      </w:r>
      <w:r w:rsidRPr="00DD7DC2">
        <w:rPr>
          <w:rFonts w:cs="Arial"/>
        </w:rPr>
        <w:t>____________________</w:t>
      </w:r>
      <w:r>
        <w:rPr>
          <w:rFonts w:cs="Arial"/>
        </w:rPr>
        <w:t>_________________</w:t>
      </w:r>
      <w:r w:rsidRPr="00DD7DC2">
        <w:rPr>
          <w:rFonts w:cs="Arial"/>
        </w:rPr>
        <w:t>______</w:t>
      </w:r>
      <w:r w:rsidRPr="00DD7DC2">
        <w:rPr>
          <w:rFonts w:cs="Arial"/>
          <w:b/>
        </w:rPr>
        <w:t xml:space="preserve">  Date </w:t>
      </w:r>
      <w:r w:rsidRPr="00DD7DC2">
        <w:rPr>
          <w:rFonts w:cs="Arial"/>
        </w:rPr>
        <w:t>___________________</w:t>
      </w:r>
    </w:p>
    <w:p w14:paraId="2DD8F816" w14:textId="5E06690D" w:rsidR="00D63B89" w:rsidRDefault="00D63B89">
      <w:pPr>
        <w:rPr>
          <w:rFonts w:asciiTheme="majorHAnsi" w:eastAsiaTheme="majorEastAsia" w:hAnsiTheme="majorHAnsi" w:cstheme="majorBidi"/>
          <w:b/>
          <w:bCs/>
          <w:iCs/>
          <w:color w:val="0061A2" w:themeColor="text2"/>
          <w:sz w:val="28"/>
          <w:szCs w:val="28"/>
        </w:rPr>
      </w:pPr>
    </w:p>
    <w:sectPr w:rsidR="00D63B89" w:rsidSect="007411DE">
      <w:headerReference w:type="default" r:id="rId10"/>
      <w:footerReference w:type="default" r:id="rId11"/>
      <w:headerReference w:type="first" r:id="rId12"/>
      <w:pgSz w:w="16838" w:h="11906" w:orient="landscape" w:code="9"/>
      <w:pgMar w:top="1134" w:right="1418" w:bottom="1134" w:left="1418"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F351E" w14:textId="77777777" w:rsidR="00EC6416" w:rsidRDefault="00EC6416" w:rsidP="00541A8C">
      <w:pPr>
        <w:spacing w:after="0" w:line="240" w:lineRule="auto"/>
      </w:pPr>
      <w:r>
        <w:separator/>
      </w:r>
    </w:p>
    <w:p w14:paraId="2295A906" w14:textId="77777777" w:rsidR="00EC6416" w:rsidRDefault="00EC6416"/>
  </w:endnote>
  <w:endnote w:type="continuationSeparator" w:id="0">
    <w:p w14:paraId="34ED0CD6" w14:textId="77777777" w:rsidR="00EC6416" w:rsidRDefault="00EC6416" w:rsidP="00541A8C">
      <w:pPr>
        <w:spacing w:after="0" w:line="240" w:lineRule="auto"/>
      </w:pPr>
      <w:r>
        <w:continuationSeparator/>
      </w:r>
    </w:p>
    <w:p w14:paraId="0512378D" w14:textId="77777777" w:rsidR="00EC6416" w:rsidRDefault="00EC6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N-Regular">
    <w:altName w:val="Times New Roman"/>
    <w:charset w:val="00"/>
    <w:family w:val="auto"/>
    <w:pitch w:val="variable"/>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ACaslon Bold">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77C8" w14:textId="51627904" w:rsidR="003D736A" w:rsidRDefault="002844DE">
    <w:pPr>
      <w:pStyle w:val="FooterText"/>
      <w:tabs>
        <w:tab w:val="clear" w:pos="9743"/>
        <w:tab w:val="right" w:pos="13750"/>
      </w:tabs>
    </w:pPr>
    <w:r>
      <w:rPr>
        <w:caps/>
        <w:noProof/>
        <w:lang w:val="en-NZ" w:eastAsia="en-NZ"/>
      </w:rPr>
      <mc:AlternateContent>
        <mc:Choice Requires="wps">
          <w:drawing>
            <wp:anchor distT="0" distB="0" distL="114300" distR="114300" simplePos="0" relativeHeight="251673600" behindDoc="0" locked="0" layoutInCell="1" allowOverlap="1" wp14:anchorId="0C8986EA" wp14:editId="13097988">
              <wp:simplePos x="0" y="0"/>
              <wp:positionH relativeFrom="column">
                <wp:posOffset>8845550</wp:posOffset>
              </wp:positionH>
              <wp:positionV relativeFrom="paragraph">
                <wp:posOffset>27940</wp:posOffset>
              </wp:positionV>
              <wp:extent cx="195580" cy="195580"/>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5580" cy="195580"/>
                      </a:xfrm>
                      <a:prstGeom prst="rtTriangle">
                        <a:avLst/>
                      </a:prstGeom>
                      <a:solidFill>
                        <a:schemeClr val="accent2">
                          <a:lumMod val="100000"/>
                          <a:lumOff val="0"/>
                        </a:schemeClr>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BFAA4" id="_x0000_t6" coordsize="21600,21600" o:spt="6" path="m,l,21600r21600,xe">
              <v:stroke joinstyle="miter"/>
              <v:path gradientshapeok="t" o:connecttype="custom" o:connectlocs="0,0;0,10800;0,21600;10800,21600;21600,21600;10800,10800" textboxrect="1800,12600,12600,19800"/>
            </v:shapetype>
            <v:shape id="AutoShape 1" o:spid="_x0000_s1026" type="#_x0000_t6" style="position:absolute;margin-left:696.5pt;margin-top:2.2pt;width:15.4pt;height:15.4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" fillcolor="#3397d3 [3205]" stroked="f"/>
          </w:pict>
        </mc:Fallback>
      </mc:AlternateContent>
    </w:r>
    <w:r w:rsidR="00630350">
      <w:rPr>
        <w:caps/>
        <w:noProof/>
        <w:lang w:val="en-US"/>
      </w:rPr>
      <w:t xml:space="preserve">appendix </w:t>
    </w:r>
    <w:r w:rsidR="00A46AD2">
      <w:rPr>
        <w:caps/>
        <w:noProof/>
        <w:lang w:val="en-US"/>
      </w:rPr>
      <w:t>Five</w:t>
    </w:r>
    <w:r w:rsidR="003A3B1A">
      <w:rPr>
        <w:caps/>
        <w:noProof/>
        <w:lang w:val="en-US"/>
      </w:rPr>
      <w:t xml:space="preserve"> Part A</w:t>
    </w:r>
    <w:r w:rsidR="003D736A">
      <w:rPr>
        <w:caps/>
        <w:noProof/>
        <w:lang w:val="en-US"/>
      </w:rPr>
      <w:t xml:space="preserve"> –</w:t>
    </w:r>
    <w:r w:rsidR="005F5BB7">
      <w:rPr>
        <w:caps/>
        <w:noProof/>
        <w:lang w:val="en-US"/>
      </w:rPr>
      <w:t xml:space="preserve"> </w:t>
    </w:r>
    <w:r w:rsidR="003D736A">
      <w:rPr>
        <w:caps/>
        <w:noProof/>
        <w:lang w:val="en-US"/>
      </w:rPr>
      <w:t>INTERNAL CONTROL CHECKLIST</w:t>
    </w:r>
    <w:r w:rsidR="00F838D5">
      <w:rPr>
        <w:caps/>
        <w:noProof/>
        <w:lang w:val="en-US"/>
      </w:rPr>
      <w:t xml:space="preserve"> – NZX Derivatives Market Procedures</w:t>
    </w:r>
    <w:r w:rsidR="003D736A">
      <w:tab/>
    </w:r>
    <w:r w:rsidR="003D736A" w:rsidRPr="00A84B39">
      <w:rPr>
        <w:color w:val="3397D3" w:themeColor="accent2"/>
      </w:rPr>
      <w:fldChar w:fldCharType="begin"/>
    </w:r>
    <w:r w:rsidR="003D736A" w:rsidRPr="00A84B39">
      <w:rPr>
        <w:color w:val="3397D3" w:themeColor="accent2"/>
      </w:rPr>
      <w:instrText xml:space="preserve"> PAGE   \* MERGEFORMAT </w:instrText>
    </w:r>
    <w:r w:rsidR="003D736A" w:rsidRPr="00A84B39">
      <w:rPr>
        <w:color w:val="3397D3" w:themeColor="accent2"/>
      </w:rPr>
      <w:fldChar w:fldCharType="separate"/>
    </w:r>
    <w:r w:rsidR="00847A86">
      <w:rPr>
        <w:noProof/>
        <w:color w:val="3397D3" w:themeColor="accent2"/>
      </w:rPr>
      <w:t>2</w:t>
    </w:r>
    <w:r w:rsidR="003D736A" w:rsidRPr="00A84B39">
      <w:rPr>
        <w:color w:val="3397D3" w:themeColor="accent2"/>
      </w:rPr>
      <w:fldChar w:fldCharType="end"/>
    </w:r>
    <w:r w:rsidR="003D736A">
      <w:rPr>
        <w:color w:val="3397D3" w:themeColor="accent2"/>
      </w:rPr>
      <w:t xml:space="preserve"> </w:t>
    </w:r>
    <w:r w:rsidR="003D736A" w:rsidRPr="00A84B39">
      <w:t xml:space="preserve">of </w:t>
    </w:r>
    <w:r w:rsidR="0053308D">
      <w:fldChar w:fldCharType="begin"/>
    </w:r>
    <w:r w:rsidR="0053308D">
      <w:instrText xml:space="preserve"> NUMPAGES  \# "0"  \* MERGEFORMAT </w:instrText>
    </w:r>
    <w:r w:rsidR="0053308D">
      <w:fldChar w:fldCharType="separate"/>
    </w:r>
    <w:r w:rsidR="00847A86">
      <w:rPr>
        <w:noProof/>
      </w:rPr>
      <w:t>12</w:t>
    </w:r>
    <w:r w:rsidR="0053308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5273F" w14:textId="77777777" w:rsidR="00EC6416" w:rsidRDefault="00EC6416"/>
  </w:footnote>
  <w:footnote w:type="continuationSeparator" w:id="0">
    <w:p w14:paraId="733E06AC" w14:textId="77777777" w:rsidR="00EC6416" w:rsidRDefault="00EC6416" w:rsidP="00541A8C">
      <w:pPr>
        <w:spacing w:after="0" w:line="240" w:lineRule="auto"/>
      </w:pPr>
      <w:r>
        <w:continuationSeparator/>
      </w:r>
    </w:p>
    <w:p w14:paraId="2D92F331" w14:textId="77777777" w:rsidR="00EC6416" w:rsidRDefault="00EC6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63D42" w14:textId="77777777" w:rsidR="003D736A" w:rsidRDefault="0053308D">
    <w:pPr>
      <w:pStyle w:val="Header"/>
    </w:pPr>
    <w:r>
      <w:rPr>
        <w:noProof/>
        <w:lang w:eastAsia="en-NZ"/>
      </w:rPr>
      <w:drawing>
        <wp:anchor distT="0" distB="0" distL="114300" distR="114300" simplePos="0" relativeHeight="251675648" behindDoc="0" locked="0" layoutInCell="1" allowOverlap="1" wp14:anchorId="4EC91241" wp14:editId="12CE39BB">
          <wp:simplePos x="0" y="0"/>
          <wp:positionH relativeFrom="page">
            <wp:posOffset>900430</wp:posOffset>
          </wp:positionH>
          <wp:positionV relativeFrom="page">
            <wp:posOffset>449580</wp:posOffset>
          </wp:positionV>
          <wp:extent cx="1269365" cy="348615"/>
          <wp:effectExtent l="19050" t="0" r="6985" b="0"/>
          <wp:wrapNone/>
          <wp:docPr id="3" name="Picture 1" descr="NZ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X Logo.jpg"/>
                  <pic:cNvPicPr>
                    <a:picLocks noChangeAspect="1" noChangeArrowheads="1"/>
                  </pic:cNvPicPr>
                </pic:nvPicPr>
                <pic:blipFill>
                  <a:blip r:embed="rId1"/>
                  <a:srcRect/>
                  <a:stretch>
                    <a:fillRect/>
                  </a:stretch>
                </pic:blipFill>
                <pic:spPr bwMode="auto">
                  <a:xfrm>
                    <a:off x="0" y="0"/>
                    <a:ext cx="1269365" cy="348615"/>
                  </a:xfrm>
                  <a:prstGeom prst="rect">
                    <a:avLst/>
                  </a:prstGeom>
                  <a:noFill/>
                  <a:ln w="9525">
                    <a:noFill/>
                    <a:miter lim="800000"/>
                    <a:headEnd/>
                    <a:tailEnd/>
                  </a:ln>
                </pic:spPr>
              </pic:pic>
            </a:graphicData>
          </a:graphic>
        </wp:anchor>
      </w:drawing>
    </w:r>
  </w:p>
  <w:p w14:paraId="7178FE1E" w14:textId="77777777" w:rsidR="003D736A" w:rsidRDefault="003D73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8488" w14:textId="77777777" w:rsidR="003D736A" w:rsidRDefault="003D736A">
    <w:pPr>
      <w:pStyle w:val="Header"/>
    </w:pPr>
    <w:r>
      <w:rPr>
        <w:noProof/>
        <w:lang w:eastAsia="en-NZ"/>
      </w:rPr>
      <w:drawing>
        <wp:anchor distT="0" distB="0" distL="114300" distR="114300" simplePos="0" relativeHeight="251664384" behindDoc="1" locked="0" layoutInCell="1" allowOverlap="1" wp14:anchorId="6D88048F" wp14:editId="1623DDF5">
          <wp:simplePos x="0" y="0"/>
          <wp:positionH relativeFrom="page">
            <wp:posOffset>2043430</wp:posOffset>
          </wp:positionH>
          <wp:positionV relativeFrom="page">
            <wp:posOffset>5189855</wp:posOffset>
          </wp:positionV>
          <wp:extent cx="5518150" cy="5512435"/>
          <wp:effectExtent l="19050" t="0" r="6350" b="0"/>
          <wp:wrapNone/>
          <wp:docPr id="2" name="Picture 1" descr="Blue De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Device.jpg"/>
                  <pic:cNvPicPr/>
                </pic:nvPicPr>
                <pic:blipFill>
                  <a:blip r:embed="rId1"/>
                  <a:stretch>
                    <a:fillRect/>
                  </a:stretch>
                </pic:blipFill>
                <pic:spPr>
                  <a:xfrm>
                    <a:off x="0" y="0"/>
                    <a:ext cx="5518150" cy="5512435"/>
                  </a:xfrm>
                  <a:prstGeom prst="rect">
                    <a:avLst/>
                  </a:prstGeom>
                </pic:spPr>
              </pic:pic>
            </a:graphicData>
          </a:graphic>
        </wp:anchor>
      </w:drawing>
    </w:r>
    <w:r>
      <w:rPr>
        <w:noProof/>
        <w:lang w:eastAsia="en-NZ"/>
      </w:rPr>
      <w:drawing>
        <wp:anchor distT="0" distB="0" distL="114300" distR="114300" simplePos="0" relativeHeight="251665408" behindDoc="1" locked="0" layoutInCell="1" allowOverlap="1" wp14:anchorId="7906CB27" wp14:editId="14AC9E7E">
          <wp:simplePos x="0" y="0"/>
          <wp:positionH relativeFrom="page">
            <wp:posOffset>810260</wp:posOffset>
          </wp:positionH>
          <wp:positionV relativeFrom="page">
            <wp:posOffset>635330</wp:posOffset>
          </wp:positionV>
          <wp:extent cx="1720685" cy="475013"/>
          <wp:effectExtent l="0" t="0" r="6985" b="7620"/>
          <wp:wrapNone/>
          <wp:docPr id="1" name="Picture 0" descr="NZ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X Logo.jpg"/>
                  <pic:cNvPicPr/>
                </pic:nvPicPr>
                <pic:blipFill>
                  <a:blip r:embed="rId2"/>
                  <a:stretch>
                    <a:fillRect/>
                  </a:stretch>
                </pic:blipFill>
                <pic:spPr>
                  <a:xfrm>
                    <a:off x="0" y="0"/>
                    <a:ext cx="1720685" cy="4750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05FC"/>
    <w:multiLevelType w:val="hybridMultilevel"/>
    <w:tmpl w:val="1CECE14C"/>
    <w:lvl w:ilvl="0" w:tplc="BFFE1DFE">
      <w:start w:val="1"/>
      <w:numFmt w:val="lowerLetter"/>
      <w:lvlText w:val="(%1)"/>
      <w:lvlJc w:val="left"/>
      <w:pPr>
        <w:tabs>
          <w:tab w:val="num" w:pos="720"/>
        </w:tabs>
        <w:ind w:left="72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 w15:restartNumberingAfterBreak="0">
    <w:nsid w:val="0BBC5A87"/>
    <w:multiLevelType w:val="hybridMultilevel"/>
    <w:tmpl w:val="6B52811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CDB5C18"/>
    <w:multiLevelType w:val="hybridMultilevel"/>
    <w:tmpl w:val="95AEE0D6"/>
    <w:lvl w:ilvl="0" w:tplc="5B703DC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392618"/>
    <w:multiLevelType w:val="hybridMultilevel"/>
    <w:tmpl w:val="1B12CDD4"/>
    <w:lvl w:ilvl="0" w:tplc="E952B69C">
      <w:numFmt w:val="bullet"/>
      <w:pStyle w:val="Bullet"/>
      <w:lvlText w:val="•"/>
      <w:lvlJc w:val="left"/>
      <w:pPr>
        <w:ind w:left="720" w:hanging="360"/>
      </w:pPr>
      <w:rPr>
        <w:rFonts w:ascii="Arial" w:eastAsiaTheme="minorHAnsi" w:hAnsi="Arial" w:cs="Arial" w:hint="default"/>
      </w:rPr>
    </w:lvl>
    <w:lvl w:ilvl="1" w:tplc="790C1F82">
      <w:start w:val="1"/>
      <w:numFmt w:val="bullet"/>
      <w:pStyle w:val="SubBullet"/>
      <w:lvlText w:val="-"/>
      <w:lvlJc w:val="left"/>
      <w:pPr>
        <w:ind w:left="1440"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9B55FC"/>
    <w:multiLevelType w:val="hybridMultilevel"/>
    <w:tmpl w:val="E8EE7268"/>
    <w:lvl w:ilvl="0" w:tplc="BFFE1DFE">
      <w:start w:val="1"/>
      <w:numFmt w:val="lowerLetter"/>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04279C4"/>
    <w:multiLevelType w:val="hybridMultilevel"/>
    <w:tmpl w:val="1CECE14C"/>
    <w:lvl w:ilvl="0" w:tplc="BFFE1DFE">
      <w:start w:val="1"/>
      <w:numFmt w:val="lowerLetter"/>
      <w:lvlText w:val="(%1)"/>
      <w:lvlJc w:val="left"/>
      <w:pPr>
        <w:tabs>
          <w:tab w:val="num" w:pos="720"/>
        </w:tabs>
        <w:ind w:left="72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6" w15:restartNumberingAfterBreak="0">
    <w:nsid w:val="121C68DC"/>
    <w:multiLevelType w:val="hybridMultilevel"/>
    <w:tmpl w:val="1CECE14C"/>
    <w:lvl w:ilvl="0" w:tplc="BFFE1DFE">
      <w:start w:val="1"/>
      <w:numFmt w:val="lowerLetter"/>
      <w:lvlText w:val="(%1)"/>
      <w:lvlJc w:val="left"/>
      <w:pPr>
        <w:tabs>
          <w:tab w:val="num" w:pos="720"/>
        </w:tabs>
        <w:ind w:left="72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15:restartNumberingAfterBreak="0">
    <w:nsid w:val="14E12411"/>
    <w:multiLevelType w:val="hybridMultilevel"/>
    <w:tmpl w:val="ED4E7AFA"/>
    <w:lvl w:ilvl="0" w:tplc="DAE06D4E">
      <w:start w:val="1"/>
      <w:numFmt w:val="bullet"/>
      <w:pStyle w:val="MERWlvl2"/>
      <w:lvlText w:val="-"/>
      <w:lvlJc w:val="left"/>
      <w:pPr>
        <w:tabs>
          <w:tab w:val="num" w:pos="720"/>
        </w:tabs>
        <w:ind w:left="720" w:hanging="360"/>
      </w:pPr>
      <w:rPr>
        <w:rFonts w:ascii="Arial Narrow" w:eastAsia="Times New Roman" w:hAnsi="Arial Narrow" w:cs="Times New Roman" w:hint="default"/>
      </w:rPr>
    </w:lvl>
    <w:lvl w:ilvl="1" w:tplc="14090003">
      <w:start w:val="1"/>
      <w:numFmt w:val="bullet"/>
      <w:pStyle w:val="StyleSectionheadingoneCharCharCharCharCharCharCharCharCharCharCharCharCharChar"/>
      <w:lvlText w:val="o"/>
      <w:lvlJc w:val="left"/>
      <w:pPr>
        <w:tabs>
          <w:tab w:val="num" w:pos="1440"/>
        </w:tabs>
        <w:ind w:left="1440" w:hanging="360"/>
      </w:pPr>
      <w:rPr>
        <w:rFonts w:ascii="Courier New" w:hAnsi="Courier New" w:cs="Arial Narro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Arial Narro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Arial Narro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491784"/>
    <w:multiLevelType w:val="hybridMultilevel"/>
    <w:tmpl w:val="CD2E1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C300FCD"/>
    <w:multiLevelType w:val="hybridMultilevel"/>
    <w:tmpl w:val="AAB8E3F8"/>
    <w:lvl w:ilvl="0" w:tplc="BFFE1DF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1D354391"/>
    <w:multiLevelType w:val="hybridMultilevel"/>
    <w:tmpl w:val="CC1248C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1DB7EF9"/>
    <w:multiLevelType w:val="hybridMultilevel"/>
    <w:tmpl w:val="CED674A6"/>
    <w:lvl w:ilvl="0" w:tplc="B9769DBC">
      <w:start w:val="1"/>
      <w:numFmt w:val="lowerLetter"/>
      <w:lvlText w:val="(%1)"/>
      <w:lvlJc w:val="left"/>
      <w:pPr>
        <w:tabs>
          <w:tab w:val="num" w:pos="567"/>
        </w:tabs>
        <w:ind w:left="567" w:hanging="397"/>
      </w:pPr>
      <w:rPr>
        <w:rFonts w:hint="default"/>
        <w:b w:val="0"/>
      </w:rPr>
    </w:lvl>
    <w:lvl w:ilvl="1" w:tplc="993AC858">
      <w:start w:val="1"/>
      <w:numFmt w:val="lowerRoman"/>
      <w:lvlText w:val="%2."/>
      <w:lvlJc w:val="left"/>
      <w:pPr>
        <w:ind w:left="1480" w:hanging="360"/>
      </w:pPr>
      <w:rPr>
        <w:rFonts w:hint="default"/>
      </w:r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23233B0C"/>
    <w:multiLevelType w:val="multilevel"/>
    <w:tmpl w:val="F738D3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42E2317"/>
    <w:multiLevelType w:val="hybridMultilevel"/>
    <w:tmpl w:val="86C4A8BA"/>
    <w:lvl w:ilvl="0" w:tplc="BFFE1DFE">
      <w:start w:val="1"/>
      <w:numFmt w:val="lowerLetter"/>
      <w:lvlText w:val="(%1)"/>
      <w:lvlJc w:val="left"/>
      <w:pPr>
        <w:ind w:left="667" w:hanging="360"/>
      </w:pPr>
      <w:rPr>
        <w:rFonts w:hint="default"/>
      </w:rPr>
    </w:lvl>
    <w:lvl w:ilvl="1" w:tplc="14090019" w:tentative="1">
      <w:start w:val="1"/>
      <w:numFmt w:val="lowerLetter"/>
      <w:lvlText w:val="%2."/>
      <w:lvlJc w:val="left"/>
      <w:pPr>
        <w:ind w:left="1387" w:hanging="360"/>
      </w:pPr>
    </w:lvl>
    <w:lvl w:ilvl="2" w:tplc="1409001B" w:tentative="1">
      <w:start w:val="1"/>
      <w:numFmt w:val="lowerRoman"/>
      <w:lvlText w:val="%3."/>
      <w:lvlJc w:val="right"/>
      <w:pPr>
        <w:ind w:left="2107" w:hanging="180"/>
      </w:pPr>
    </w:lvl>
    <w:lvl w:ilvl="3" w:tplc="1409000F" w:tentative="1">
      <w:start w:val="1"/>
      <w:numFmt w:val="decimal"/>
      <w:lvlText w:val="%4."/>
      <w:lvlJc w:val="left"/>
      <w:pPr>
        <w:ind w:left="2827" w:hanging="360"/>
      </w:pPr>
    </w:lvl>
    <w:lvl w:ilvl="4" w:tplc="14090019" w:tentative="1">
      <w:start w:val="1"/>
      <w:numFmt w:val="lowerLetter"/>
      <w:lvlText w:val="%5."/>
      <w:lvlJc w:val="left"/>
      <w:pPr>
        <w:ind w:left="3547" w:hanging="360"/>
      </w:pPr>
    </w:lvl>
    <w:lvl w:ilvl="5" w:tplc="1409001B" w:tentative="1">
      <w:start w:val="1"/>
      <w:numFmt w:val="lowerRoman"/>
      <w:lvlText w:val="%6."/>
      <w:lvlJc w:val="right"/>
      <w:pPr>
        <w:ind w:left="4267" w:hanging="180"/>
      </w:pPr>
    </w:lvl>
    <w:lvl w:ilvl="6" w:tplc="1409000F" w:tentative="1">
      <w:start w:val="1"/>
      <w:numFmt w:val="decimal"/>
      <w:lvlText w:val="%7."/>
      <w:lvlJc w:val="left"/>
      <w:pPr>
        <w:ind w:left="4987" w:hanging="360"/>
      </w:pPr>
    </w:lvl>
    <w:lvl w:ilvl="7" w:tplc="14090019" w:tentative="1">
      <w:start w:val="1"/>
      <w:numFmt w:val="lowerLetter"/>
      <w:lvlText w:val="%8."/>
      <w:lvlJc w:val="left"/>
      <w:pPr>
        <w:ind w:left="5707" w:hanging="360"/>
      </w:pPr>
    </w:lvl>
    <w:lvl w:ilvl="8" w:tplc="1409001B" w:tentative="1">
      <w:start w:val="1"/>
      <w:numFmt w:val="lowerRoman"/>
      <w:lvlText w:val="%9."/>
      <w:lvlJc w:val="right"/>
      <w:pPr>
        <w:ind w:left="6427" w:hanging="180"/>
      </w:pPr>
    </w:lvl>
  </w:abstractNum>
  <w:abstractNum w:abstractNumId="14" w15:restartNumberingAfterBreak="0">
    <w:nsid w:val="34090D04"/>
    <w:multiLevelType w:val="hybridMultilevel"/>
    <w:tmpl w:val="69487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F1F4D"/>
    <w:multiLevelType w:val="hybridMultilevel"/>
    <w:tmpl w:val="0D000FE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DIN-Regular"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DIN-Regular"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DIN-Regular"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2311CA"/>
    <w:multiLevelType w:val="hybridMultilevel"/>
    <w:tmpl w:val="5C20A294"/>
    <w:lvl w:ilvl="0" w:tplc="BFFE1DF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8512AC2"/>
    <w:multiLevelType w:val="hybridMultilevel"/>
    <w:tmpl w:val="17EC4286"/>
    <w:lvl w:ilvl="0" w:tplc="5C4C477E">
      <w:start w:val="1"/>
      <w:numFmt w:val="lowerLetter"/>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9429E"/>
    <w:multiLevelType w:val="hybridMultilevel"/>
    <w:tmpl w:val="B1F6AD42"/>
    <w:lvl w:ilvl="0" w:tplc="BC3CCBD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1BA3333"/>
    <w:multiLevelType w:val="hybridMultilevel"/>
    <w:tmpl w:val="E65A8F6E"/>
    <w:lvl w:ilvl="0" w:tplc="06DCA0B8">
      <w:start w:val="1"/>
      <w:numFmt w:val="lowerLetter"/>
      <w:lvlText w:val="(%1)"/>
      <w:lvlJc w:val="left"/>
      <w:pPr>
        <w:ind w:left="720" w:hanging="360"/>
      </w:pPr>
      <w:rPr>
        <w:rFonts w:hint="default"/>
        <w:b w:val="0"/>
        <w:bCs/>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55100FC"/>
    <w:multiLevelType w:val="hybridMultilevel"/>
    <w:tmpl w:val="F71EF9B6"/>
    <w:lvl w:ilvl="0" w:tplc="BC3CCBDE">
      <w:start w:val="1"/>
      <w:numFmt w:val="lowerLetter"/>
      <w:lvlText w:val="(%1)"/>
      <w:lvlJc w:val="left"/>
      <w:pPr>
        <w:ind w:left="1080" w:hanging="360"/>
      </w:pPr>
      <w:rPr>
        <w:rFonts w:hint="default"/>
        <w:b w:val="0"/>
        <w:sz w:val="20"/>
        <w:szCs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51560FE1"/>
    <w:multiLevelType w:val="hybridMultilevel"/>
    <w:tmpl w:val="5AAABDD2"/>
    <w:lvl w:ilvl="0" w:tplc="C888858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49761AB"/>
    <w:multiLevelType w:val="hybridMultilevel"/>
    <w:tmpl w:val="36165AE4"/>
    <w:lvl w:ilvl="0" w:tplc="BC3CCBD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7C161B4"/>
    <w:multiLevelType w:val="hybridMultilevel"/>
    <w:tmpl w:val="AAB8E3F8"/>
    <w:lvl w:ilvl="0" w:tplc="BFFE1DF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59C80ADB"/>
    <w:multiLevelType w:val="hybridMultilevel"/>
    <w:tmpl w:val="38C2CB22"/>
    <w:lvl w:ilvl="0" w:tplc="F0AC7F6E">
      <w:start w:val="1"/>
      <w:numFmt w:val="lowerLetter"/>
      <w:lvlText w:val="(%1)"/>
      <w:lvlJc w:val="left"/>
      <w:pPr>
        <w:tabs>
          <w:tab w:val="num" w:pos="1418"/>
        </w:tabs>
        <w:ind w:left="1418" w:hanging="33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30C8C"/>
    <w:multiLevelType w:val="hybridMultilevel"/>
    <w:tmpl w:val="911C7C50"/>
    <w:lvl w:ilvl="0" w:tplc="9BE0599A">
      <w:start w:val="1"/>
      <w:numFmt w:val="lowerLetter"/>
      <w:lvlText w:val="%1)"/>
      <w:lvlJc w:val="left"/>
      <w:pPr>
        <w:ind w:left="1080" w:hanging="360"/>
      </w:pPr>
      <w:rPr>
        <w:b w:val="0"/>
        <w:sz w:val="20"/>
        <w:szCs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601B48C1"/>
    <w:multiLevelType w:val="hybridMultilevel"/>
    <w:tmpl w:val="00E6C41A"/>
    <w:lvl w:ilvl="0" w:tplc="AAC24624">
      <w:start w:val="1"/>
      <w:numFmt w:val="lowerLetter"/>
      <w:lvlText w:val="(%1)"/>
      <w:lvlJc w:val="left"/>
      <w:pPr>
        <w:ind w:left="720" w:hanging="360"/>
      </w:pPr>
      <w:rPr>
        <w:rFonts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1E31302"/>
    <w:multiLevelType w:val="hybridMultilevel"/>
    <w:tmpl w:val="E7DA26F6"/>
    <w:lvl w:ilvl="0" w:tplc="BC3CCBDE">
      <w:start w:val="1"/>
      <w:numFmt w:val="lowerLetter"/>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2F7605C"/>
    <w:multiLevelType w:val="hybridMultilevel"/>
    <w:tmpl w:val="C1B26710"/>
    <w:lvl w:ilvl="0" w:tplc="14090001">
      <w:start w:val="1"/>
      <w:numFmt w:val="decimal"/>
      <w:pStyle w:val="ListNumber"/>
      <w:lvlText w:val="%1."/>
      <w:lvlJc w:val="left"/>
      <w:pPr>
        <w:ind w:left="360" w:hanging="360"/>
      </w:pPr>
    </w:lvl>
    <w:lvl w:ilvl="1" w:tplc="14090003">
      <w:start w:val="1"/>
      <w:numFmt w:val="lowerLetter"/>
      <w:pStyle w:val="ListNumber2"/>
      <w:lvlText w:val="%2."/>
      <w:lvlJc w:val="left"/>
      <w:pPr>
        <w:ind w:left="1080" w:hanging="360"/>
      </w:pPr>
    </w:lvl>
    <w:lvl w:ilvl="2" w:tplc="14090005" w:tentative="1">
      <w:start w:val="1"/>
      <w:numFmt w:val="lowerRoman"/>
      <w:lvlText w:val="%3."/>
      <w:lvlJc w:val="right"/>
      <w:pPr>
        <w:ind w:left="1800" w:hanging="180"/>
      </w:pPr>
    </w:lvl>
    <w:lvl w:ilvl="3" w:tplc="14090001" w:tentative="1">
      <w:start w:val="1"/>
      <w:numFmt w:val="decimal"/>
      <w:lvlText w:val="%4."/>
      <w:lvlJc w:val="left"/>
      <w:pPr>
        <w:ind w:left="2520" w:hanging="360"/>
      </w:pPr>
    </w:lvl>
    <w:lvl w:ilvl="4" w:tplc="14090003" w:tentative="1">
      <w:start w:val="1"/>
      <w:numFmt w:val="lowerLetter"/>
      <w:lvlText w:val="%5."/>
      <w:lvlJc w:val="left"/>
      <w:pPr>
        <w:ind w:left="3240" w:hanging="360"/>
      </w:pPr>
    </w:lvl>
    <w:lvl w:ilvl="5" w:tplc="14090005" w:tentative="1">
      <w:start w:val="1"/>
      <w:numFmt w:val="lowerRoman"/>
      <w:lvlText w:val="%6."/>
      <w:lvlJc w:val="right"/>
      <w:pPr>
        <w:ind w:left="3960" w:hanging="180"/>
      </w:pPr>
    </w:lvl>
    <w:lvl w:ilvl="6" w:tplc="14090001" w:tentative="1">
      <w:start w:val="1"/>
      <w:numFmt w:val="decimal"/>
      <w:lvlText w:val="%7."/>
      <w:lvlJc w:val="left"/>
      <w:pPr>
        <w:ind w:left="4680" w:hanging="360"/>
      </w:pPr>
    </w:lvl>
    <w:lvl w:ilvl="7" w:tplc="14090003" w:tentative="1">
      <w:start w:val="1"/>
      <w:numFmt w:val="lowerLetter"/>
      <w:lvlText w:val="%8."/>
      <w:lvlJc w:val="left"/>
      <w:pPr>
        <w:ind w:left="5400" w:hanging="360"/>
      </w:pPr>
    </w:lvl>
    <w:lvl w:ilvl="8" w:tplc="14090005" w:tentative="1">
      <w:start w:val="1"/>
      <w:numFmt w:val="lowerRoman"/>
      <w:lvlText w:val="%9."/>
      <w:lvlJc w:val="right"/>
      <w:pPr>
        <w:ind w:left="6120" w:hanging="180"/>
      </w:pPr>
    </w:lvl>
  </w:abstractNum>
  <w:abstractNum w:abstractNumId="29" w15:restartNumberingAfterBreak="0">
    <w:nsid w:val="6D830CC3"/>
    <w:multiLevelType w:val="hybridMultilevel"/>
    <w:tmpl w:val="9C34F728"/>
    <w:lvl w:ilvl="0" w:tplc="7F0A2256">
      <w:start w:val="1"/>
      <w:numFmt w:val="lowerLetter"/>
      <w:lvlText w:val="%1)"/>
      <w:lvlJc w:val="left"/>
      <w:pPr>
        <w:ind w:left="720" w:hanging="360"/>
      </w:pPr>
      <w:rPr>
        <w:rFonts w:ascii="Arial" w:hAnsi="Arial"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D3704F1"/>
    <w:multiLevelType w:val="hybridMultilevel"/>
    <w:tmpl w:val="814A6E12"/>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DIN-Regular"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DIN-Regular"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DIN-Regular"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16cid:durableId="1873614642">
    <w:abstractNumId w:val="3"/>
  </w:num>
  <w:num w:numId="2" w16cid:durableId="656879017">
    <w:abstractNumId w:val="28"/>
  </w:num>
  <w:num w:numId="3" w16cid:durableId="504899603">
    <w:abstractNumId w:val="7"/>
  </w:num>
  <w:num w:numId="4" w16cid:durableId="212888600">
    <w:abstractNumId w:val="14"/>
  </w:num>
  <w:num w:numId="5" w16cid:durableId="523325403">
    <w:abstractNumId w:val="16"/>
  </w:num>
  <w:num w:numId="6" w16cid:durableId="1132481189">
    <w:abstractNumId w:val="13"/>
  </w:num>
  <w:num w:numId="7" w16cid:durableId="545916678">
    <w:abstractNumId w:val="23"/>
  </w:num>
  <w:num w:numId="8" w16cid:durableId="249241379">
    <w:abstractNumId w:val="25"/>
  </w:num>
  <w:num w:numId="9" w16cid:durableId="1633053249">
    <w:abstractNumId w:val="29"/>
  </w:num>
  <w:num w:numId="10" w16cid:durableId="315694288">
    <w:abstractNumId w:val="12"/>
  </w:num>
  <w:num w:numId="11" w16cid:durableId="1291402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1420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7819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378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86339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9343535">
    <w:abstractNumId w:val="10"/>
  </w:num>
  <w:num w:numId="17" w16cid:durableId="314335536">
    <w:abstractNumId w:val="26"/>
  </w:num>
  <w:num w:numId="18" w16cid:durableId="449592672">
    <w:abstractNumId w:val="21"/>
  </w:num>
  <w:num w:numId="19" w16cid:durableId="1435974038">
    <w:abstractNumId w:val="22"/>
  </w:num>
  <w:num w:numId="20" w16cid:durableId="1728143528">
    <w:abstractNumId w:val="20"/>
  </w:num>
  <w:num w:numId="21" w16cid:durableId="107896740">
    <w:abstractNumId w:val="27"/>
  </w:num>
  <w:num w:numId="22" w16cid:durableId="1119644171">
    <w:abstractNumId w:val="18"/>
  </w:num>
  <w:num w:numId="23" w16cid:durableId="1222670200">
    <w:abstractNumId w:val="8"/>
  </w:num>
  <w:num w:numId="24" w16cid:durableId="821969933">
    <w:abstractNumId w:val="9"/>
  </w:num>
  <w:num w:numId="25" w16cid:durableId="1491631685">
    <w:abstractNumId w:val="4"/>
  </w:num>
  <w:num w:numId="26" w16cid:durableId="1751806076">
    <w:abstractNumId w:val="11"/>
  </w:num>
  <w:num w:numId="27" w16cid:durableId="564031401">
    <w:abstractNumId w:val="2"/>
  </w:num>
  <w:num w:numId="28" w16cid:durableId="1903909982">
    <w:abstractNumId w:val="17"/>
  </w:num>
  <w:num w:numId="29" w16cid:durableId="1972057274">
    <w:abstractNumId w:val="1"/>
  </w:num>
  <w:num w:numId="30" w16cid:durableId="1214728717">
    <w:abstractNumId w:val="19"/>
  </w:num>
  <w:num w:numId="31" w16cid:durableId="2012491720">
    <w:abstractNumId w:val="24"/>
  </w:num>
  <w:num w:numId="32" w16cid:durableId="893394138">
    <w:abstractNumId w:val="15"/>
  </w:num>
  <w:num w:numId="33" w16cid:durableId="1224488985">
    <w:abstractNumId w:val="30"/>
  </w:num>
  <w:num w:numId="34" w16cid:durableId="823929387">
    <w:abstractNumId w:val="5"/>
  </w:num>
  <w:num w:numId="35" w16cid:durableId="786318839">
    <w:abstractNumId w:val="0"/>
  </w:num>
  <w:num w:numId="36" w16cid:durableId="179078487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efaultTabStop w:val="720"/>
  <w:defaultTableStyle w:val="NZX"/>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A8C"/>
    <w:rsid w:val="000022FA"/>
    <w:rsid w:val="0000372B"/>
    <w:rsid w:val="00025892"/>
    <w:rsid w:val="00030088"/>
    <w:rsid w:val="00031317"/>
    <w:rsid w:val="00043EB2"/>
    <w:rsid w:val="000503C6"/>
    <w:rsid w:val="00064FCD"/>
    <w:rsid w:val="00075AD6"/>
    <w:rsid w:val="000C70A2"/>
    <w:rsid w:val="000F54C1"/>
    <w:rsid w:val="000F5F06"/>
    <w:rsid w:val="000F6023"/>
    <w:rsid w:val="00113F93"/>
    <w:rsid w:val="00127B9F"/>
    <w:rsid w:val="00135BE8"/>
    <w:rsid w:val="00140185"/>
    <w:rsid w:val="00144FF8"/>
    <w:rsid w:val="00152FEB"/>
    <w:rsid w:val="001570D2"/>
    <w:rsid w:val="0016462D"/>
    <w:rsid w:val="00193FC8"/>
    <w:rsid w:val="001A369E"/>
    <w:rsid w:val="001A77E2"/>
    <w:rsid w:val="001D7E53"/>
    <w:rsid w:val="001F57E6"/>
    <w:rsid w:val="00206580"/>
    <w:rsid w:val="002122FD"/>
    <w:rsid w:val="00222819"/>
    <w:rsid w:val="00225083"/>
    <w:rsid w:val="00244FCD"/>
    <w:rsid w:val="00245A29"/>
    <w:rsid w:val="00250141"/>
    <w:rsid w:val="00265916"/>
    <w:rsid w:val="00271749"/>
    <w:rsid w:val="002766E3"/>
    <w:rsid w:val="0028092A"/>
    <w:rsid w:val="002844DE"/>
    <w:rsid w:val="0029048F"/>
    <w:rsid w:val="00295C05"/>
    <w:rsid w:val="00296CF4"/>
    <w:rsid w:val="002A552C"/>
    <w:rsid w:val="002F041A"/>
    <w:rsid w:val="002F17A9"/>
    <w:rsid w:val="002F6252"/>
    <w:rsid w:val="002F7CD7"/>
    <w:rsid w:val="00301617"/>
    <w:rsid w:val="00306E6C"/>
    <w:rsid w:val="00341CAE"/>
    <w:rsid w:val="00353F04"/>
    <w:rsid w:val="0035425A"/>
    <w:rsid w:val="00360EED"/>
    <w:rsid w:val="00372494"/>
    <w:rsid w:val="003748EF"/>
    <w:rsid w:val="003773A6"/>
    <w:rsid w:val="003812C9"/>
    <w:rsid w:val="00383829"/>
    <w:rsid w:val="003A36FB"/>
    <w:rsid w:val="003A3B1A"/>
    <w:rsid w:val="003A4AE4"/>
    <w:rsid w:val="003B2EEC"/>
    <w:rsid w:val="003C5BBC"/>
    <w:rsid w:val="003C7365"/>
    <w:rsid w:val="003C73D0"/>
    <w:rsid w:val="003D0240"/>
    <w:rsid w:val="003D6179"/>
    <w:rsid w:val="003D66F9"/>
    <w:rsid w:val="003D736A"/>
    <w:rsid w:val="003D736E"/>
    <w:rsid w:val="003E3520"/>
    <w:rsid w:val="003E6C25"/>
    <w:rsid w:val="00401600"/>
    <w:rsid w:val="00402194"/>
    <w:rsid w:val="00406A5A"/>
    <w:rsid w:val="00414EEB"/>
    <w:rsid w:val="004201B6"/>
    <w:rsid w:val="0043169B"/>
    <w:rsid w:val="004405F9"/>
    <w:rsid w:val="004515CA"/>
    <w:rsid w:val="00463E71"/>
    <w:rsid w:val="00470DD6"/>
    <w:rsid w:val="00480D70"/>
    <w:rsid w:val="004823C6"/>
    <w:rsid w:val="00483035"/>
    <w:rsid w:val="00483D5A"/>
    <w:rsid w:val="00486159"/>
    <w:rsid w:val="00490C4B"/>
    <w:rsid w:val="00494125"/>
    <w:rsid w:val="004959D4"/>
    <w:rsid w:val="004B2A54"/>
    <w:rsid w:val="004B73D9"/>
    <w:rsid w:val="004C3EF8"/>
    <w:rsid w:val="004C65C1"/>
    <w:rsid w:val="004D643E"/>
    <w:rsid w:val="004E1C9E"/>
    <w:rsid w:val="004F7C76"/>
    <w:rsid w:val="00502577"/>
    <w:rsid w:val="0052406D"/>
    <w:rsid w:val="0052499D"/>
    <w:rsid w:val="0053308D"/>
    <w:rsid w:val="00533096"/>
    <w:rsid w:val="00541A8C"/>
    <w:rsid w:val="00545F12"/>
    <w:rsid w:val="00552135"/>
    <w:rsid w:val="00552D5D"/>
    <w:rsid w:val="00554A8C"/>
    <w:rsid w:val="00556D1F"/>
    <w:rsid w:val="00565510"/>
    <w:rsid w:val="0056784D"/>
    <w:rsid w:val="005952BD"/>
    <w:rsid w:val="005B7B0A"/>
    <w:rsid w:val="005B7B8C"/>
    <w:rsid w:val="005C2B7B"/>
    <w:rsid w:val="005D2EFE"/>
    <w:rsid w:val="005E5A8D"/>
    <w:rsid w:val="005E6696"/>
    <w:rsid w:val="005F16D5"/>
    <w:rsid w:val="005F5BB7"/>
    <w:rsid w:val="005F7EB0"/>
    <w:rsid w:val="0061150C"/>
    <w:rsid w:val="00612321"/>
    <w:rsid w:val="00616B21"/>
    <w:rsid w:val="00630350"/>
    <w:rsid w:val="00631D92"/>
    <w:rsid w:val="00643F38"/>
    <w:rsid w:val="00651639"/>
    <w:rsid w:val="00651B1E"/>
    <w:rsid w:val="00651F3F"/>
    <w:rsid w:val="00653D1F"/>
    <w:rsid w:val="0066277B"/>
    <w:rsid w:val="006634AD"/>
    <w:rsid w:val="00665116"/>
    <w:rsid w:val="006741B5"/>
    <w:rsid w:val="00680097"/>
    <w:rsid w:val="00686191"/>
    <w:rsid w:val="00690BB7"/>
    <w:rsid w:val="006A76F7"/>
    <w:rsid w:val="006B332B"/>
    <w:rsid w:val="006B6D4A"/>
    <w:rsid w:val="006C32F3"/>
    <w:rsid w:val="006C5791"/>
    <w:rsid w:val="006D1697"/>
    <w:rsid w:val="006E2F62"/>
    <w:rsid w:val="006E4D7C"/>
    <w:rsid w:val="006E61B8"/>
    <w:rsid w:val="006F3ACD"/>
    <w:rsid w:val="007056EE"/>
    <w:rsid w:val="00721888"/>
    <w:rsid w:val="007255E9"/>
    <w:rsid w:val="0073679A"/>
    <w:rsid w:val="007411DE"/>
    <w:rsid w:val="00743690"/>
    <w:rsid w:val="00747EDF"/>
    <w:rsid w:val="00752185"/>
    <w:rsid w:val="0076025E"/>
    <w:rsid w:val="00763AB0"/>
    <w:rsid w:val="0079577D"/>
    <w:rsid w:val="007976C6"/>
    <w:rsid w:val="007A17FC"/>
    <w:rsid w:val="007A32D8"/>
    <w:rsid w:val="007A6618"/>
    <w:rsid w:val="007B022B"/>
    <w:rsid w:val="007B621C"/>
    <w:rsid w:val="007C2153"/>
    <w:rsid w:val="007C21F2"/>
    <w:rsid w:val="007C2B28"/>
    <w:rsid w:val="007C33F5"/>
    <w:rsid w:val="007E190C"/>
    <w:rsid w:val="007E58E5"/>
    <w:rsid w:val="007F0FDF"/>
    <w:rsid w:val="007F1E09"/>
    <w:rsid w:val="007F23EE"/>
    <w:rsid w:val="00802511"/>
    <w:rsid w:val="008243EC"/>
    <w:rsid w:val="00825C14"/>
    <w:rsid w:val="008271D9"/>
    <w:rsid w:val="00830210"/>
    <w:rsid w:val="00836DC0"/>
    <w:rsid w:val="00846020"/>
    <w:rsid w:val="00847A86"/>
    <w:rsid w:val="00847F0E"/>
    <w:rsid w:val="008676BD"/>
    <w:rsid w:val="0087018E"/>
    <w:rsid w:val="00875C43"/>
    <w:rsid w:val="00880719"/>
    <w:rsid w:val="00890ECC"/>
    <w:rsid w:val="00890EDB"/>
    <w:rsid w:val="00892082"/>
    <w:rsid w:val="00892A23"/>
    <w:rsid w:val="008953C8"/>
    <w:rsid w:val="008C6088"/>
    <w:rsid w:val="008E69A6"/>
    <w:rsid w:val="008F2566"/>
    <w:rsid w:val="008F5D4A"/>
    <w:rsid w:val="008F7216"/>
    <w:rsid w:val="0090231E"/>
    <w:rsid w:val="00905E33"/>
    <w:rsid w:val="00917F4D"/>
    <w:rsid w:val="00921429"/>
    <w:rsid w:val="009255A6"/>
    <w:rsid w:val="00936C0F"/>
    <w:rsid w:val="009605E7"/>
    <w:rsid w:val="00965288"/>
    <w:rsid w:val="00965C44"/>
    <w:rsid w:val="009A5A2A"/>
    <w:rsid w:val="009B6494"/>
    <w:rsid w:val="009D2633"/>
    <w:rsid w:val="009E3C78"/>
    <w:rsid w:val="009E5FB4"/>
    <w:rsid w:val="009F23FC"/>
    <w:rsid w:val="00A123CA"/>
    <w:rsid w:val="00A13AF3"/>
    <w:rsid w:val="00A15883"/>
    <w:rsid w:val="00A35B2E"/>
    <w:rsid w:val="00A4289E"/>
    <w:rsid w:val="00A46AD2"/>
    <w:rsid w:val="00A65525"/>
    <w:rsid w:val="00A84B39"/>
    <w:rsid w:val="00A87023"/>
    <w:rsid w:val="00A93347"/>
    <w:rsid w:val="00AA59CE"/>
    <w:rsid w:val="00AC0965"/>
    <w:rsid w:val="00AC1BF4"/>
    <w:rsid w:val="00AC2A98"/>
    <w:rsid w:val="00AD28B9"/>
    <w:rsid w:val="00AE0694"/>
    <w:rsid w:val="00AE65F2"/>
    <w:rsid w:val="00AF5826"/>
    <w:rsid w:val="00B07782"/>
    <w:rsid w:val="00B10148"/>
    <w:rsid w:val="00B14585"/>
    <w:rsid w:val="00B24814"/>
    <w:rsid w:val="00B362B5"/>
    <w:rsid w:val="00B37F04"/>
    <w:rsid w:val="00B442EF"/>
    <w:rsid w:val="00B5388B"/>
    <w:rsid w:val="00B538D0"/>
    <w:rsid w:val="00B70580"/>
    <w:rsid w:val="00B7459B"/>
    <w:rsid w:val="00B92414"/>
    <w:rsid w:val="00BA762F"/>
    <w:rsid w:val="00BC655E"/>
    <w:rsid w:val="00BE4D3F"/>
    <w:rsid w:val="00BF26E8"/>
    <w:rsid w:val="00BF40C2"/>
    <w:rsid w:val="00BF7A45"/>
    <w:rsid w:val="00C00162"/>
    <w:rsid w:val="00C07211"/>
    <w:rsid w:val="00C20824"/>
    <w:rsid w:val="00C255FB"/>
    <w:rsid w:val="00C25C57"/>
    <w:rsid w:val="00C27879"/>
    <w:rsid w:val="00C41B38"/>
    <w:rsid w:val="00C47515"/>
    <w:rsid w:val="00C62A5C"/>
    <w:rsid w:val="00C64A23"/>
    <w:rsid w:val="00C839C7"/>
    <w:rsid w:val="00C91B94"/>
    <w:rsid w:val="00CC5692"/>
    <w:rsid w:val="00D02D4A"/>
    <w:rsid w:val="00D06E2E"/>
    <w:rsid w:val="00D2650A"/>
    <w:rsid w:val="00D26CDE"/>
    <w:rsid w:val="00D312B8"/>
    <w:rsid w:val="00D32AE3"/>
    <w:rsid w:val="00D33D9D"/>
    <w:rsid w:val="00D377C9"/>
    <w:rsid w:val="00D6311C"/>
    <w:rsid w:val="00D63B89"/>
    <w:rsid w:val="00D73AAA"/>
    <w:rsid w:val="00D87A4E"/>
    <w:rsid w:val="00D95AB7"/>
    <w:rsid w:val="00D97969"/>
    <w:rsid w:val="00D979B7"/>
    <w:rsid w:val="00DB14C8"/>
    <w:rsid w:val="00DB2CE6"/>
    <w:rsid w:val="00DD7AF0"/>
    <w:rsid w:val="00DF0F67"/>
    <w:rsid w:val="00DF4EFA"/>
    <w:rsid w:val="00E06101"/>
    <w:rsid w:val="00E16CB8"/>
    <w:rsid w:val="00E34B59"/>
    <w:rsid w:val="00E44D1D"/>
    <w:rsid w:val="00E4592A"/>
    <w:rsid w:val="00E460DE"/>
    <w:rsid w:val="00E51B6B"/>
    <w:rsid w:val="00E62EBF"/>
    <w:rsid w:val="00E87DD7"/>
    <w:rsid w:val="00EA5B4D"/>
    <w:rsid w:val="00EA7C98"/>
    <w:rsid w:val="00EC6416"/>
    <w:rsid w:val="00EE4D18"/>
    <w:rsid w:val="00EF2BCE"/>
    <w:rsid w:val="00EF62D6"/>
    <w:rsid w:val="00F12E1D"/>
    <w:rsid w:val="00F22E06"/>
    <w:rsid w:val="00F37A5C"/>
    <w:rsid w:val="00F574BB"/>
    <w:rsid w:val="00F62034"/>
    <w:rsid w:val="00F73853"/>
    <w:rsid w:val="00F73AFD"/>
    <w:rsid w:val="00F740AA"/>
    <w:rsid w:val="00F838D5"/>
    <w:rsid w:val="00F9020B"/>
    <w:rsid w:val="00F916E3"/>
    <w:rsid w:val="00F933DF"/>
    <w:rsid w:val="00FA5712"/>
    <w:rsid w:val="00FA57F9"/>
    <w:rsid w:val="00FD1327"/>
    <w:rsid w:val="00FD57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42094D2"/>
  <w15:docId w15:val="{F33BC130-F933-4E89-ACDD-B3234513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612321"/>
  </w:style>
  <w:style w:type="paragraph" w:styleId="Heading1">
    <w:name w:val="heading 1"/>
    <w:aliases w:val="Testomg"/>
    <w:basedOn w:val="BasicParagraph"/>
    <w:next w:val="Normal"/>
    <w:link w:val="Heading1Char"/>
    <w:qFormat/>
    <w:rsid w:val="00FA57F9"/>
    <w:pPr>
      <w:outlineLvl w:val="0"/>
    </w:pPr>
    <w:rPr>
      <w:rFonts w:ascii="Arial Bold" w:hAnsi="Arial Bold" w:cs="Arial"/>
      <w:b/>
      <w:bCs/>
      <w:color w:val="0061A2" w:themeColor="accent1"/>
      <w:sz w:val="36"/>
      <w:szCs w:val="36"/>
    </w:rPr>
  </w:style>
  <w:style w:type="paragraph" w:styleId="Heading2">
    <w:name w:val="heading 2"/>
    <w:basedOn w:val="Normal"/>
    <w:next w:val="Normal"/>
    <w:link w:val="Heading2Char"/>
    <w:qFormat/>
    <w:rsid w:val="00BC655E"/>
    <w:pPr>
      <w:keepNext/>
      <w:keepLines/>
      <w:spacing w:before="200" w:after="0"/>
      <w:outlineLvl w:val="1"/>
    </w:pPr>
    <w:rPr>
      <w:rFonts w:asciiTheme="majorHAnsi" w:eastAsiaTheme="majorEastAsia" w:hAnsiTheme="majorHAnsi" w:cstheme="majorBidi"/>
      <w:b/>
      <w:bCs/>
      <w:color w:val="000000" w:themeColor="text1"/>
      <w:sz w:val="24"/>
      <w:szCs w:val="24"/>
    </w:rPr>
  </w:style>
  <w:style w:type="paragraph" w:styleId="Heading3">
    <w:name w:val="heading 3"/>
    <w:basedOn w:val="Normal"/>
    <w:next w:val="Normal"/>
    <w:link w:val="Heading3Char"/>
    <w:qFormat/>
    <w:rsid w:val="00BC655E"/>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qFormat/>
    <w:rsid w:val="00BC655E"/>
    <w:pPr>
      <w:keepNext/>
      <w:keepLines/>
      <w:spacing w:before="200" w:after="0"/>
      <w:outlineLvl w:val="3"/>
    </w:pPr>
    <w:rPr>
      <w:rFonts w:asciiTheme="majorHAnsi" w:eastAsiaTheme="majorEastAsia" w:hAnsiTheme="majorHAnsi" w:cstheme="majorBidi"/>
      <w:bCs/>
      <w:iCs/>
      <w:color w:val="0061A2" w:themeColor="text2"/>
    </w:rPr>
  </w:style>
  <w:style w:type="paragraph" w:styleId="Heading5">
    <w:name w:val="heading 5"/>
    <w:basedOn w:val="Normal"/>
    <w:next w:val="Normal"/>
    <w:link w:val="Heading5Char"/>
    <w:qFormat/>
    <w:rsid w:val="00D312B8"/>
    <w:pPr>
      <w:keepNext/>
      <w:keepLines/>
      <w:spacing w:before="200" w:after="0"/>
      <w:outlineLvl w:val="4"/>
    </w:pPr>
    <w:rPr>
      <w:rFonts w:asciiTheme="majorHAnsi" w:eastAsiaTheme="majorEastAsia" w:hAnsiTheme="majorHAnsi" w:cstheme="majorBidi"/>
      <w:color w:val="003050" w:themeColor="accent1" w:themeShade="7F"/>
    </w:rPr>
  </w:style>
  <w:style w:type="paragraph" w:styleId="Heading6">
    <w:name w:val="heading 6"/>
    <w:basedOn w:val="Normal"/>
    <w:next w:val="Normal"/>
    <w:link w:val="Heading6Char"/>
    <w:qFormat/>
    <w:rsid w:val="00D312B8"/>
    <w:pPr>
      <w:keepNext/>
      <w:keepLines/>
      <w:spacing w:before="200" w:after="0"/>
      <w:outlineLvl w:val="5"/>
    </w:pPr>
    <w:rPr>
      <w:rFonts w:asciiTheme="majorHAnsi" w:eastAsiaTheme="majorEastAsia" w:hAnsiTheme="majorHAnsi" w:cstheme="majorBidi"/>
      <w:i/>
      <w:iCs/>
      <w:color w:val="00305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07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52C"/>
  </w:style>
  <w:style w:type="table" w:customStyle="1" w:styleId="LightShading1">
    <w:name w:val="Light Shading1"/>
    <w:aliases w:val="Lotteries 2"/>
    <w:basedOn w:val="TableNormal"/>
    <w:uiPriority w:val="60"/>
    <w:rsid w:val="003B2EEC"/>
    <w:pPr>
      <w:spacing w:after="0" w:line="240" w:lineRule="auto"/>
    </w:pPr>
    <w:rPr>
      <w:rFonts w:ascii="Arial Narrow" w:hAnsi="Arial Narrow"/>
      <w:b/>
      <w:color w:val="000000" w:themeColor="text1" w:themeShade="BF"/>
      <w:sz w:val="18"/>
    </w:rPr>
    <w:tblPr>
      <w:tblStyleRowBandSize w:val="1"/>
      <w:tblStyleColBandSize w:val="1"/>
    </w:tblPr>
    <w:tcPr>
      <w:shd w:val="clear" w:color="auto" w:fill="auto"/>
      <w:vAlign w:val="center"/>
    </w:tcPr>
    <w:tblStylePr w:type="firstRow">
      <w:pPr>
        <w:spacing w:before="0" w:after="0" w:line="240" w:lineRule="auto"/>
      </w:pPr>
      <w:rPr>
        <w:rFonts w:ascii="Arial Narrow" w:hAnsi="Arial Narrow"/>
        <w:b/>
        <w:bCs/>
        <w:color w:val="FFFFFF" w:themeColor="background1"/>
        <w:sz w:val="18"/>
      </w:rPr>
      <w:tblPr/>
      <w:tcPr>
        <w:shd w:val="clear" w:color="auto" w:fill="0061A2" w:themeFill="accent1"/>
      </w:tcPr>
    </w:tblStylePr>
    <w:tblStylePr w:type="lastRow">
      <w:pPr>
        <w:spacing w:before="0" w:after="0" w:line="240" w:lineRule="auto"/>
      </w:pPr>
      <w:rPr>
        <w:rFonts w:ascii="Arial Narrow" w:hAnsi="Arial Narrow"/>
        <w:b w:val="0"/>
        <w:bCs/>
        <w:sz w:val="18"/>
      </w:rPr>
    </w:tblStylePr>
    <w:tblStylePr w:type="firstCol">
      <w:rPr>
        <w:rFonts w:ascii="Arial" w:hAnsi="Arial"/>
        <w:b w:val="0"/>
        <w:bCs/>
        <w:sz w:val="18"/>
      </w:rPr>
    </w:tblStylePr>
    <w:tblStylePr w:type="lastCol">
      <w:rPr>
        <w:rFonts w:ascii="Arial" w:hAnsi="Arial"/>
        <w:b w:val="0"/>
        <w:bCs/>
        <w:sz w:val="18"/>
      </w:rPr>
    </w:tblStylePr>
    <w:tblStylePr w:type="band1Horz">
      <w:rPr>
        <w:rFonts w:ascii="Arial Narrow" w:hAnsi="Arial Narrow"/>
        <w:sz w:val="18"/>
      </w:rPr>
    </w:tblStylePr>
    <w:tblStylePr w:type="band2Horz">
      <w:rPr>
        <w:rFonts w:ascii="Arial Narrow" w:hAnsi="Arial Narrow"/>
        <w:sz w:val="18"/>
      </w:rPr>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4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52C"/>
    <w:rPr>
      <w:rFonts w:ascii="Tahoma" w:hAnsi="Tahoma" w:cs="Tahoma"/>
      <w:sz w:val="16"/>
      <w:szCs w:val="16"/>
    </w:rPr>
  </w:style>
  <w:style w:type="paragraph" w:styleId="Footer">
    <w:name w:val="footer"/>
    <w:basedOn w:val="Normal"/>
    <w:link w:val="FooterChar"/>
    <w:unhideWhenUsed/>
    <w:rsid w:val="00541A8C"/>
    <w:pPr>
      <w:tabs>
        <w:tab w:val="center" w:pos="4513"/>
        <w:tab w:val="right" w:pos="9026"/>
      </w:tabs>
      <w:spacing w:after="0" w:line="240" w:lineRule="auto"/>
    </w:pPr>
  </w:style>
  <w:style w:type="character" w:customStyle="1" w:styleId="FooterChar">
    <w:name w:val="Footer Char"/>
    <w:basedOn w:val="DefaultParagraphFont"/>
    <w:link w:val="Footer"/>
    <w:rsid w:val="002A552C"/>
  </w:style>
  <w:style w:type="paragraph" w:customStyle="1" w:styleId="BasicParagraph">
    <w:name w:val="[Basic Paragraph]"/>
    <w:basedOn w:val="Normal"/>
    <w:uiPriority w:val="99"/>
    <w:unhideWhenUsed/>
    <w:rsid w:val="00612321"/>
    <w:pPr>
      <w:autoSpaceDE w:val="0"/>
      <w:autoSpaceDN w:val="0"/>
      <w:adjustRightInd w:val="0"/>
      <w:spacing w:after="0" w:line="288" w:lineRule="auto"/>
      <w:textAlignment w:val="center"/>
    </w:pPr>
    <w:rPr>
      <w:rFonts w:cs="Minion Pro"/>
      <w:color w:val="000000"/>
      <w:sz w:val="24"/>
      <w:szCs w:val="24"/>
      <w:lang w:val="en-GB"/>
    </w:rPr>
  </w:style>
  <w:style w:type="paragraph" w:customStyle="1" w:styleId="NZXTitle">
    <w:name w:val="NZX Title"/>
    <w:basedOn w:val="BasicParagraph"/>
    <w:uiPriority w:val="99"/>
    <w:semiHidden/>
    <w:rsid w:val="00541A8C"/>
    <w:pPr>
      <w:spacing w:before="280"/>
    </w:pPr>
    <w:rPr>
      <w:rFonts w:cs="Arial"/>
      <w:b/>
      <w:bCs/>
      <w:sz w:val="60"/>
      <w:szCs w:val="60"/>
    </w:rPr>
  </w:style>
  <w:style w:type="paragraph" w:customStyle="1" w:styleId="NZXSubtitle">
    <w:name w:val="NZX Subtitle"/>
    <w:basedOn w:val="BasicParagraph"/>
    <w:uiPriority w:val="99"/>
    <w:semiHidden/>
    <w:unhideWhenUsed/>
    <w:rsid w:val="00541A8C"/>
    <w:rPr>
      <w:rFonts w:cs="Arial"/>
      <w:color w:val="3397D3"/>
      <w:sz w:val="40"/>
      <w:szCs w:val="40"/>
    </w:rPr>
  </w:style>
  <w:style w:type="paragraph" w:customStyle="1" w:styleId="CoverDate">
    <w:name w:val="Cover Date"/>
    <w:basedOn w:val="BasicParagraph"/>
    <w:uiPriority w:val="2"/>
    <w:qFormat/>
    <w:rsid w:val="0087018E"/>
    <w:rPr>
      <w:rFonts w:cs="Arial"/>
      <w:sz w:val="28"/>
      <w:szCs w:val="28"/>
    </w:rPr>
  </w:style>
  <w:style w:type="character" w:customStyle="1" w:styleId="Bold">
    <w:name w:val="Bold"/>
    <w:uiPriority w:val="99"/>
    <w:unhideWhenUsed/>
    <w:rsid w:val="0087018E"/>
    <w:rPr>
      <w:rFonts w:ascii="Arial" w:hAnsi="Arial" w:cs="Arial"/>
      <w:b/>
      <w:bCs/>
      <w:bdr w:val="none" w:sz="0" w:space="0" w:color="auto"/>
    </w:rPr>
  </w:style>
  <w:style w:type="paragraph" w:styleId="Title">
    <w:name w:val="Title"/>
    <w:basedOn w:val="NZXTitle"/>
    <w:next w:val="Normal"/>
    <w:link w:val="TitleChar"/>
    <w:qFormat/>
    <w:rsid w:val="0087018E"/>
    <w:pPr>
      <w:spacing w:before="200"/>
    </w:pPr>
  </w:style>
  <w:style w:type="character" w:customStyle="1" w:styleId="TitleChar">
    <w:name w:val="Title Char"/>
    <w:basedOn w:val="DefaultParagraphFont"/>
    <w:link w:val="Title"/>
    <w:rsid w:val="0087018E"/>
    <w:rPr>
      <w:rFonts w:ascii="Arial" w:hAnsi="Arial" w:cs="Arial"/>
      <w:b/>
      <w:bCs/>
      <w:color w:val="000000"/>
      <w:sz w:val="60"/>
      <w:szCs w:val="60"/>
      <w:lang w:val="en-GB"/>
    </w:rPr>
  </w:style>
  <w:style w:type="paragraph" w:styleId="Subtitle">
    <w:name w:val="Subtitle"/>
    <w:basedOn w:val="NZXSubtitle"/>
    <w:next w:val="Normal"/>
    <w:link w:val="SubtitleChar"/>
    <w:uiPriority w:val="1"/>
    <w:qFormat/>
    <w:rsid w:val="0087018E"/>
    <w:rPr>
      <w:sz w:val="36"/>
    </w:rPr>
  </w:style>
  <w:style w:type="character" w:customStyle="1" w:styleId="SubtitleChar">
    <w:name w:val="Subtitle Char"/>
    <w:basedOn w:val="DefaultParagraphFont"/>
    <w:link w:val="Subtitle"/>
    <w:uiPriority w:val="1"/>
    <w:rsid w:val="0087018E"/>
    <w:rPr>
      <w:rFonts w:ascii="Arial" w:hAnsi="Arial" w:cs="Arial"/>
      <w:color w:val="3397D3"/>
      <w:sz w:val="36"/>
      <w:szCs w:val="40"/>
      <w:lang w:val="en-GB"/>
    </w:rPr>
  </w:style>
  <w:style w:type="character" w:customStyle="1" w:styleId="Heading1Char">
    <w:name w:val="Heading 1 Char"/>
    <w:aliases w:val="Testomg Char"/>
    <w:basedOn w:val="DefaultParagraphFont"/>
    <w:link w:val="Heading1"/>
    <w:uiPriority w:val="3"/>
    <w:rsid w:val="00FA57F9"/>
    <w:rPr>
      <w:rFonts w:ascii="Arial Bold" w:hAnsi="Arial Bold" w:cs="Arial"/>
      <w:b/>
      <w:bCs/>
      <w:color w:val="0061A2" w:themeColor="accent1"/>
      <w:sz w:val="36"/>
      <w:szCs w:val="36"/>
      <w:lang w:val="en-GB"/>
    </w:rPr>
  </w:style>
  <w:style w:type="paragraph" w:customStyle="1" w:styleId="Disclaimer">
    <w:name w:val="Disclaimer"/>
    <w:basedOn w:val="BasicParagraph"/>
    <w:uiPriority w:val="99"/>
    <w:qFormat/>
    <w:rsid w:val="00D979B7"/>
    <w:pPr>
      <w:spacing w:after="113" w:line="240" w:lineRule="auto"/>
      <w:ind w:right="2126"/>
    </w:pPr>
    <w:rPr>
      <w:rFonts w:cs="Arial"/>
      <w:color w:val="808080" w:themeColor="accent3"/>
      <w:sz w:val="14"/>
      <w:szCs w:val="14"/>
    </w:rPr>
  </w:style>
  <w:style w:type="paragraph" w:styleId="TOC1">
    <w:name w:val="toc 1"/>
    <w:basedOn w:val="BasicParagraph"/>
    <w:next w:val="Normal"/>
    <w:autoRedefine/>
    <w:uiPriority w:val="39"/>
    <w:rsid w:val="006E4D7C"/>
    <w:pPr>
      <w:tabs>
        <w:tab w:val="left" w:leader="dot" w:pos="9214"/>
      </w:tabs>
      <w:spacing w:after="227"/>
      <w:ind w:right="134"/>
      <w:jc w:val="both"/>
    </w:pPr>
    <w:rPr>
      <w:rFonts w:cs="Arial"/>
      <w:noProof/>
    </w:rPr>
  </w:style>
  <w:style w:type="paragraph" w:customStyle="1" w:styleId="BodyCopy">
    <w:name w:val="Body Copy"/>
    <w:basedOn w:val="BasicParagraph"/>
    <w:uiPriority w:val="4"/>
    <w:qFormat/>
    <w:rsid w:val="00D377C9"/>
    <w:pPr>
      <w:suppressAutoHyphens/>
      <w:spacing w:after="227" w:line="240" w:lineRule="auto"/>
    </w:pPr>
    <w:rPr>
      <w:rFonts w:cs="Arial"/>
      <w:sz w:val="22"/>
      <w:szCs w:val="22"/>
    </w:rPr>
  </w:style>
  <w:style w:type="paragraph" w:customStyle="1" w:styleId="Bullet">
    <w:name w:val="Bullet"/>
    <w:basedOn w:val="BasicParagraph"/>
    <w:uiPriority w:val="5"/>
    <w:qFormat/>
    <w:rsid w:val="00AF5826"/>
    <w:pPr>
      <w:numPr>
        <w:numId w:val="1"/>
      </w:numPr>
      <w:tabs>
        <w:tab w:val="left" w:pos="426"/>
      </w:tabs>
      <w:suppressAutoHyphens/>
      <w:spacing w:after="227" w:line="240" w:lineRule="auto"/>
      <w:ind w:left="425" w:hanging="425"/>
    </w:pPr>
    <w:rPr>
      <w:rFonts w:cs="Arial"/>
      <w:sz w:val="22"/>
      <w:szCs w:val="22"/>
    </w:rPr>
  </w:style>
  <w:style w:type="paragraph" w:customStyle="1" w:styleId="SubBullet">
    <w:name w:val="Sub Bullet"/>
    <w:basedOn w:val="Bullet"/>
    <w:uiPriority w:val="6"/>
    <w:qFormat/>
    <w:rsid w:val="00AF5826"/>
    <w:pPr>
      <w:numPr>
        <w:ilvl w:val="1"/>
      </w:numPr>
      <w:tabs>
        <w:tab w:val="left" w:pos="851"/>
      </w:tabs>
      <w:ind w:left="850" w:hanging="425"/>
    </w:pPr>
  </w:style>
  <w:style w:type="paragraph" w:customStyle="1" w:styleId="Footnote">
    <w:name w:val="Footnote"/>
    <w:basedOn w:val="BasicParagraph"/>
    <w:uiPriority w:val="99"/>
    <w:qFormat/>
    <w:rsid w:val="00A84B39"/>
    <w:pPr>
      <w:pBdr>
        <w:top w:val="single" w:sz="4" w:space="10" w:color="808080" w:themeColor="accent3"/>
      </w:pBdr>
      <w:suppressAutoHyphens/>
      <w:spacing w:after="113"/>
      <w:ind w:right="2126"/>
    </w:pPr>
    <w:rPr>
      <w:rFonts w:cs="Arial"/>
      <w:color w:val="808080" w:themeColor="accent3"/>
      <w:sz w:val="14"/>
      <w:szCs w:val="14"/>
    </w:rPr>
  </w:style>
  <w:style w:type="table" w:styleId="TableGrid">
    <w:name w:val="Table Grid"/>
    <w:basedOn w:val="TableNormal"/>
    <w:uiPriority w:val="59"/>
    <w:rsid w:val="00C0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C001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NZX">
    <w:name w:val="NZX"/>
    <w:basedOn w:val="TableNormal"/>
    <w:uiPriority w:val="99"/>
    <w:qFormat/>
    <w:rsid w:val="00C00162"/>
    <w:pPr>
      <w:spacing w:after="0" w:line="240" w:lineRule="auto"/>
    </w:pPr>
    <w:rPr>
      <w:rFonts w:ascii="Arial" w:hAnsi="Arial"/>
      <w:sz w:val="20"/>
    </w:rPr>
    <w:tblPr>
      <w:tblBorders>
        <w:top w:val="single" w:sz="4" w:space="0" w:color="808080" w:themeColor="accent3"/>
        <w:left w:val="single" w:sz="4" w:space="0" w:color="808080" w:themeColor="accent3"/>
        <w:bottom w:val="single" w:sz="4" w:space="0" w:color="808080" w:themeColor="accent3"/>
        <w:right w:val="single" w:sz="4" w:space="0" w:color="808080" w:themeColor="accent3"/>
        <w:insideH w:val="single" w:sz="4" w:space="0" w:color="808080" w:themeColor="accent3"/>
        <w:insideV w:val="single" w:sz="4" w:space="0" w:color="808080" w:themeColor="accent3"/>
      </w:tblBorders>
      <w:tblCellMar>
        <w:top w:w="57" w:type="dxa"/>
        <w:left w:w="79" w:type="dxa"/>
        <w:bottom w:w="113" w:type="dxa"/>
        <w:right w:w="79" w:type="dxa"/>
      </w:tblCellMar>
    </w:tblPr>
    <w:tcPr>
      <w:vAlign w:val="center"/>
    </w:tcPr>
    <w:tblStylePr w:type="firstRow">
      <w:rPr>
        <w:rFonts w:ascii="Arial" w:hAnsi="Arial"/>
        <w:b/>
        <w:color w:val="FFFFFF" w:themeColor="background1"/>
        <w:sz w:val="20"/>
      </w:rPr>
      <w:tblPr/>
      <w:tcPr>
        <w:tcBorders>
          <w:top w:val="single" w:sz="4" w:space="0" w:color="0061A2" w:themeColor="accent1"/>
          <w:left w:val="single" w:sz="4" w:space="0" w:color="0061A2" w:themeColor="accent1"/>
          <w:bottom w:val="single" w:sz="4" w:space="0" w:color="0061A2" w:themeColor="accent1"/>
          <w:right w:val="single" w:sz="4" w:space="0" w:color="0061A2" w:themeColor="accent1"/>
          <w:insideH w:val="single" w:sz="4" w:space="0" w:color="0061A2" w:themeColor="accent1"/>
          <w:insideV w:val="single" w:sz="4" w:space="0" w:color="0061A2" w:themeColor="accent1"/>
          <w:tl2br w:val="nil"/>
          <w:tr2bl w:val="nil"/>
        </w:tcBorders>
        <w:shd w:val="clear" w:color="auto" w:fill="0061A2" w:themeFill="accent1"/>
      </w:tcPr>
    </w:tblStylePr>
  </w:style>
  <w:style w:type="paragraph" w:customStyle="1" w:styleId="TableHeader">
    <w:name w:val="Table Header"/>
    <w:basedOn w:val="Normal"/>
    <w:uiPriority w:val="99"/>
    <w:qFormat/>
    <w:rsid w:val="002A552C"/>
    <w:pPr>
      <w:autoSpaceDE w:val="0"/>
      <w:autoSpaceDN w:val="0"/>
      <w:adjustRightInd w:val="0"/>
      <w:spacing w:after="0" w:line="240" w:lineRule="auto"/>
      <w:jc w:val="center"/>
      <w:textAlignment w:val="center"/>
    </w:pPr>
    <w:rPr>
      <w:rFonts w:cs="Arial"/>
      <w:b/>
      <w:bCs/>
      <w:color w:val="FFFFFF"/>
      <w:sz w:val="20"/>
      <w:szCs w:val="20"/>
      <w:lang w:val="en-GB"/>
    </w:rPr>
  </w:style>
  <w:style w:type="paragraph" w:customStyle="1" w:styleId="TableSubhead">
    <w:name w:val="Table Subhead"/>
    <w:basedOn w:val="Normal"/>
    <w:uiPriority w:val="99"/>
    <w:qFormat/>
    <w:rsid w:val="002A552C"/>
    <w:pPr>
      <w:autoSpaceDE w:val="0"/>
      <w:autoSpaceDN w:val="0"/>
      <w:adjustRightInd w:val="0"/>
      <w:spacing w:after="0" w:line="240" w:lineRule="auto"/>
      <w:textAlignment w:val="center"/>
    </w:pPr>
    <w:rPr>
      <w:rFonts w:cs="Arial"/>
      <w:b/>
      <w:bCs/>
      <w:color w:val="000000"/>
      <w:sz w:val="20"/>
      <w:szCs w:val="20"/>
      <w:lang w:val="en-GB"/>
    </w:rPr>
  </w:style>
  <w:style w:type="paragraph" w:customStyle="1" w:styleId="TableBody">
    <w:name w:val="Table Body"/>
    <w:basedOn w:val="Normal"/>
    <w:uiPriority w:val="99"/>
    <w:qFormat/>
    <w:rsid w:val="002A552C"/>
    <w:pPr>
      <w:autoSpaceDE w:val="0"/>
      <w:autoSpaceDN w:val="0"/>
      <w:adjustRightInd w:val="0"/>
      <w:spacing w:after="0" w:line="240" w:lineRule="auto"/>
      <w:textAlignment w:val="center"/>
    </w:pPr>
    <w:rPr>
      <w:rFonts w:cs="Arial"/>
      <w:color w:val="000000"/>
      <w:sz w:val="20"/>
      <w:szCs w:val="20"/>
      <w:lang w:val="en-GB"/>
    </w:rPr>
  </w:style>
  <w:style w:type="paragraph" w:customStyle="1" w:styleId="FooterText">
    <w:name w:val="Footer Text"/>
    <w:basedOn w:val="BasicParagraph"/>
    <w:uiPriority w:val="99"/>
    <w:qFormat/>
    <w:rsid w:val="002A552C"/>
    <w:pPr>
      <w:tabs>
        <w:tab w:val="right" w:pos="9743"/>
      </w:tabs>
    </w:pPr>
    <w:rPr>
      <w:rFonts w:cs="Arial"/>
      <w:b/>
      <w:bCs/>
      <w:color w:val="808080" w:themeColor="accent3"/>
      <w:sz w:val="18"/>
      <w:szCs w:val="18"/>
    </w:rPr>
  </w:style>
  <w:style w:type="paragraph" w:styleId="FootnoteText">
    <w:name w:val="footnote text"/>
    <w:basedOn w:val="Footnote"/>
    <w:link w:val="FootnoteTextChar"/>
    <w:uiPriority w:val="99"/>
    <w:rsid w:val="009E3C78"/>
    <w:pPr>
      <w:ind w:right="0"/>
    </w:pPr>
  </w:style>
  <w:style w:type="character" w:customStyle="1" w:styleId="FootnoteTextChar">
    <w:name w:val="Footnote Text Char"/>
    <w:basedOn w:val="DefaultParagraphFont"/>
    <w:link w:val="FootnoteText"/>
    <w:uiPriority w:val="99"/>
    <w:rsid w:val="009E3C78"/>
    <w:rPr>
      <w:rFonts w:ascii="Arial" w:hAnsi="Arial" w:cs="Arial"/>
      <w:color w:val="808080" w:themeColor="accent3"/>
      <w:sz w:val="14"/>
      <w:szCs w:val="14"/>
      <w:lang w:val="en-GB"/>
    </w:rPr>
  </w:style>
  <w:style w:type="character" w:styleId="FootnoteReference">
    <w:name w:val="footnote reference"/>
    <w:basedOn w:val="DefaultParagraphFont"/>
    <w:uiPriority w:val="99"/>
    <w:unhideWhenUsed/>
    <w:rsid w:val="00C839C7"/>
    <w:rPr>
      <w:vertAlign w:val="superscript"/>
    </w:rPr>
  </w:style>
  <w:style w:type="paragraph" w:styleId="TOC2">
    <w:name w:val="toc 2"/>
    <w:basedOn w:val="Normal"/>
    <w:next w:val="Normal"/>
    <w:autoRedefine/>
    <w:uiPriority w:val="39"/>
    <w:unhideWhenUsed/>
    <w:rsid w:val="00135BE8"/>
    <w:pPr>
      <w:tabs>
        <w:tab w:val="right" w:leader="dot" w:pos="9344"/>
      </w:tabs>
      <w:ind w:left="284"/>
    </w:pPr>
    <w:rPr>
      <w:noProof/>
    </w:rPr>
  </w:style>
  <w:style w:type="paragraph" w:styleId="TOC3">
    <w:name w:val="toc 3"/>
    <w:basedOn w:val="Normal"/>
    <w:next w:val="Normal"/>
    <w:autoRedefine/>
    <w:uiPriority w:val="39"/>
    <w:unhideWhenUsed/>
    <w:rsid w:val="00135BE8"/>
    <w:pPr>
      <w:tabs>
        <w:tab w:val="right" w:leader="dot" w:pos="9344"/>
      </w:tabs>
      <w:ind w:left="567"/>
    </w:pPr>
    <w:rPr>
      <w:noProof/>
    </w:rPr>
  </w:style>
  <w:style w:type="paragraph" w:styleId="TOC4">
    <w:name w:val="toc 4"/>
    <w:basedOn w:val="Normal"/>
    <w:next w:val="Normal"/>
    <w:autoRedefine/>
    <w:uiPriority w:val="99"/>
    <w:semiHidden/>
    <w:rsid w:val="001570D2"/>
    <w:pPr>
      <w:ind w:left="660"/>
    </w:pPr>
  </w:style>
  <w:style w:type="paragraph" w:styleId="TOC5">
    <w:name w:val="toc 5"/>
    <w:basedOn w:val="Normal"/>
    <w:next w:val="Normal"/>
    <w:autoRedefine/>
    <w:uiPriority w:val="99"/>
    <w:semiHidden/>
    <w:rsid w:val="001570D2"/>
    <w:pPr>
      <w:ind w:left="880"/>
    </w:pPr>
  </w:style>
  <w:style w:type="paragraph" w:styleId="TOC6">
    <w:name w:val="toc 6"/>
    <w:basedOn w:val="Normal"/>
    <w:next w:val="Normal"/>
    <w:autoRedefine/>
    <w:uiPriority w:val="99"/>
    <w:semiHidden/>
    <w:rsid w:val="001570D2"/>
    <w:pPr>
      <w:ind w:left="1100"/>
    </w:pPr>
  </w:style>
  <w:style w:type="paragraph" w:styleId="TOC7">
    <w:name w:val="toc 7"/>
    <w:basedOn w:val="Normal"/>
    <w:next w:val="Normal"/>
    <w:autoRedefine/>
    <w:uiPriority w:val="99"/>
    <w:semiHidden/>
    <w:rsid w:val="001570D2"/>
    <w:pPr>
      <w:ind w:left="1320"/>
    </w:pPr>
  </w:style>
  <w:style w:type="paragraph" w:styleId="TOC8">
    <w:name w:val="toc 8"/>
    <w:basedOn w:val="Normal"/>
    <w:next w:val="Normal"/>
    <w:autoRedefine/>
    <w:uiPriority w:val="99"/>
    <w:semiHidden/>
    <w:rsid w:val="001570D2"/>
    <w:pPr>
      <w:ind w:left="1540"/>
    </w:pPr>
  </w:style>
  <w:style w:type="paragraph" w:styleId="TOC9">
    <w:name w:val="toc 9"/>
    <w:basedOn w:val="Normal"/>
    <w:next w:val="Normal"/>
    <w:autoRedefine/>
    <w:uiPriority w:val="99"/>
    <w:semiHidden/>
    <w:rsid w:val="001570D2"/>
    <w:pPr>
      <w:ind w:left="1760"/>
    </w:pPr>
  </w:style>
  <w:style w:type="paragraph" w:customStyle="1" w:styleId="Contentsheaderspecificstyle">
    <w:name w:val="Contents header specific style"/>
    <w:basedOn w:val="Heading1"/>
    <w:uiPriority w:val="99"/>
    <w:qFormat/>
    <w:rsid w:val="00A35B2E"/>
  </w:style>
  <w:style w:type="character" w:customStyle="1" w:styleId="Heading2Char">
    <w:name w:val="Heading 2 Char"/>
    <w:basedOn w:val="DefaultParagraphFont"/>
    <w:link w:val="Heading2"/>
    <w:uiPriority w:val="99"/>
    <w:rsid w:val="00556D1F"/>
    <w:rPr>
      <w:rFonts w:asciiTheme="majorHAnsi" w:eastAsiaTheme="majorEastAsia" w:hAnsiTheme="majorHAnsi" w:cstheme="majorBidi"/>
      <w:b/>
      <w:bCs/>
      <w:color w:val="000000" w:themeColor="text1"/>
      <w:sz w:val="24"/>
      <w:szCs w:val="24"/>
    </w:rPr>
  </w:style>
  <w:style w:type="character" w:customStyle="1" w:styleId="Heading3Char">
    <w:name w:val="Heading 3 Char"/>
    <w:basedOn w:val="DefaultParagraphFont"/>
    <w:link w:val="Heading3"/>
    <w:uiPriority w:val="99"/>
    <w:rsid w:val="00556D1F"/>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556D1F"/>
    <w:rPr>
      <w:rFonts w:asciiTheme="majorHAnsi" w:eastAsiaTheme="majorEastAsia" w:hAnsiTheme="majorHAnsi" w:cstheme="majorBidi"/>
      <w:bCs/>
      <w:iCs/>
      <w:color w:val="0061A2" w:themeColor="text2"/>
    </w:rPr>
  </w:style>
  <w:style w:type="paragraph" w:styleId="ListNumber">
    <w:name w:val="List Number"/>
    <w:basedOn w:val="BodyCopy"/>
    <w:uiPriority w:val="99"/>
    <w:unhideWhenUsed/>
    <w:rsid w:val="0073679A"/>
    <w:pPr>
      <w:numPr>
        <w:numId w:val="2"/>
      </w:numPr>
      <w:ind w:left="425" w:hanging="425"/>
    </w:pPr>
  </w:style>
  <w:style w:type="paragraph" w:styleId="ListNumber2">
    <w:name w:val="List Number 2"/>
    <w:basedOn w:val="ListNumber"/>
    <w:uiPriority w:val="99"/>
    <w:unhideWhenUsed/>
    <w:rsid w:val="00AF5826"/>
    <w:pPr>
      <w:numPr>
        <w:ilvl w:val="1"/>
      </w:numPr>
      <w:ind w:left="851" w:hanging="425"/>
    </w:pPr>
  </w:style>
  <w:style w:type="paragraph" w:styleId="NormalWeb">
    <w:name w:val="Normal (Web)"/>
    <w:basedOn w:val="Normal"/>
    <w:uiPriority w:val="99"/>
    <w:semiHidden/>
    <w:unhideWhenUsed/>
    <w:rsid w:val="00612321"/>
    <w:rPr>
      <w:rFonts w:cs="Times New Roman"/>
      <w:sz w:val="24"/>
      <w:szCs w:val="24"/>
    </w:rPr>
  </w:style>
  <w:style w:type="paragraph" w:styleId="NormalIndent">
    <w:name w:val="Normal Indent"/>
    <w:basedOn w:val="Normal"/>
    <w:uiPriority w:val="99"/>
    <w:semiHidden/>
    <w:unhideWhenUsed/>
    <w:rsid w:val="00612321"/>
    <w:pPr>
      <w:ind w:left="720"/>
    </w:pPr>
  </w:style>
  <w:style w:type="paragraph" w:customStyle="1" w:styleId="NZXRuleNormal">
    <w:name w:val="NZX Rule Normal"/>
    <w:link w:val="NZXRuleNormalChar"/>
    <w:rsid w:val="00B70580"/>
    <w:pPr>
      <w:spacing w:before="120" w:after="120" w:line="240" w:lineRule="auto"/>
    </w:pPr>
    <w:rPr>
      <w:rFonts w:ascii="Arial" w:eastAsia="Times New Roman" w:hAnsi="Arial" w:cs="Arial"/>
      <w:bCs/>
      <w:sz w:val="24"/>
      <w:szCs w:val="24"/>
    </w:rPr>
  </w:style>
  <w:style w:type="character" w:customStyle="1" w:styleId="NZXRuleNormalChar">
    <w:name w:val="NZX Rule Normal Char"/>
    <w:link w:val="NZXRuleNormal"/>
    <w:rsid w:val="00B70580"/>
    <w:rPr>
      <w:rFonts w:ascii="Arial" w:eastAsia="Times New Roman" w:hAnsi="Arial" w:cs="Arial"/>
      <w:bCs/>
      <w:sz w:val="24"/>
      <w:szCs w:val="24"/>
    </w:rPr>
  </w:style>
  <w:style w:type="paragraph" w:customStyle="1" w:styleId="NZXSectionHeading">
    <w:name w:val="NZX Section Heading"/>
    <w:basedOn w:val="Normal"/>
    <w:qFormat/>
    <w:rsid w:val="00B70580"/>
    <w:pPr>
      <w:spacing w:before="120" w:after="120" w:line="240" w:lineRule="auto"/>
      <w:jc w:val="center"/>
      <w:outlineLvl w:val="0"/>
    </w:pPr>
    <w:rPr>
      <w:rFonts w:ascii="Arial" w:eastAsia="Times New Roman" w:hAnsi="Arial" w:cs="Arial"/>
      <w:b/>
      <w:bCs/>
      <w:sz w:val="28"/>
      <w:szCs w:val="24"/>
    </w:rPr>
  </w:style>
  <w:style w:type="paragraph" w:customStyle="1" w:styleId="MERWlvl2">
    <w:name w:val="MERW lvl2"/>
    <w:basedOn w:val="Normal"/>
    <w:semiHidden/>
    <w:rsid w:val="00B70580"/>
    <w:pPr>
      <w:numPr>
        <w:numId w:val="3"/>
      </w:numPr>
      <w:tabs>
        <w:tab w:val="clear" w:pos="720"/>
        <w:tab w:val="num" w:pos="1440"/>
      </w:tabs>
      <w:spacing w:after="240" w:line="240" w:lineRule="auto"/>
      <w:ind w:left="1440"/>
      <w:jc w:val="both"/>
      <w:outlineLvl w:val="1"/>
    </w:pPr>
    <w:rPr>
      <w:rFonts w:ascii="Arial" w:eastAsia="Times New Roman" w:hAnsi="Arial" w:cs="Times New Roman"/>
      <w:szCs w:val="24"/>
      <w:lang w:eastAsia="en-NZ"/>
    </w:rPr>
  </w:style>
  <w:style w:type="paragraph" w:customStyle="1" w:styleId="StyleSectionheadingoneCharCharCharCharCharCharCharCharCharCharCharCharCharChar">
    <w:name w:val="Style Section head ing one + Char Char Char Char Char Char Char Char Char Char Char Char Char Char"/>
    <w:basedOn w:val="Normal"/>
    <w:rsid w:val="00B70580"/>
    <w:pPr>
      <w:widowControl w:val="0"/>
      <w:numPr>
        <w:ilvl w:val="1"/>
        <w:numId w:val="3"/>
      </w:numPr>
      <w:tabs>
        <w:tab w:val="clear" w:pos="1440"/>
      </w:tabs>
      <w:spacing w:after="0" w:line="240" w:lineRule="auto"/>
      <w:ind w:left="0" w:firstLine="0"/>
    </w:pPr>
    <w:rPr>
      <w:rFonts w:ascii="ACaslon Bold" w:eastAsia="Times New Roman" w:hAnsi="ACaslon Bold" w:cs="Times New Roman"/>
      <w:caps/>
      <w:snapToGrid w:val="0"/>
      <w:sz w:val="20"/>
      <w:szCs w:val="20"/>
    </w:rPr>
  </w:style>
  <w:style w:type="paragraph" w:customStyle="1" w:styleId="NZXRuleNumberIndent">
    <w:name w:val="NZX Rule Number Indent"/>
    <w:basedOn w:val="Heading3"/>
    <w:qFormat/>
    <w:rsid w:val="00B70580"/>
    <w:pPr>
      <w:keepNext w:val="0"/>
      <w:keepLines w:val="0"/>
      <w:widowControl w:val="0"/>
      <w:spacing w:before="120" w:after="120" w:line="240" w:lineRule="auto"/>
      <w:ind w:left="720" w:hanging="720"/>
    </w:pPr>
    <w:rPr>
      <w:rFonts w:ascii="Arial" w:eastAsia="Times New Roman" w:hAnsi="Arial" w:cs="Times New Roman"/>
      <w:b w:val="0"/>
      <w:bCs w:val="0"/>
      <w:i/>
      <w:sz w:val="24"/>
      <w:szCs w:val="24"/>
      <w:lang w:val="en-GB" w:eastAsia="en-NZ"/>
    </w:rPr>
  </w:style>
  <w:style w:type="paragraph" w:customStyle="1" w:styleId="NZXRuleIndent2">
    <w:name w:val="NZX Rule Indent 2"/>
    <w:basedOn w:val="NZXRuleNumberIndent"/>
    <w:qFormat/>
    <w:rsid w:val="00B70580"/>
    <w:pPr>
      <w:ind w:left="1287" w:hanging="567"/>
    </w:pPr>
  </w:style>
  <w:style w:type="paragraph" w:customStyle="1" w:styleId="SectionANumbering">
    <w:name w:val="Section A Numbering"/>
    <w:basedOn w:val="NZXRuleNumberIndent"/>
    <w:qFormat/>
    <w:rsid w:val="00B70580"/>
    <w:rPr>
      <w:i w:val="0"/>
    </w:rPr>
  </w:style>
  <w:style w:type="paragraph" w:customStyle="1" w:styleId="SectionIndent1CharCharCharCharCharCharCharCharCharCharCharCharCharCharCharCharCharChar">
    <w:name w:val="Section Indent 1 Char Char Char Char Char Char Char Char Char Char Char Char Char Char Char Char Char Char"/>
    <w:basedOn w:val="Normal"/>
    <w:link w:val="SectionIndent1CharCharCharCharCharCharCharCharCharCharCharCharCharCharCharCharCharCharChar"/>
    <w:rsid w:val="00B70580"/>
    <w:pPr>
      <w:widowControl w:val="0"/>
      <w:spacing w:after="0" w:line="240" w:lineRule="auto"/>
      <w:ind w:left="567" w:hanging="567"/>
    </w:pPr>
    <w:rPr>
      <w:rFonts w:ascii="ACaslon Bold" w:eastAsia="Times New Roman" w:hAnsi="ACaslon Bold" w:cs="Times New Roman"/>
      <w:snapToGrid w:val="0"/>
      <w:color w:val="C0C0C0"/>
      <w:sz w:val="24"/>
      <w:szCs w:val="24"/>
      <w:lang w:val="en-US"/>
    </w:rPr>
  </w:style>
  <w:style w:type="character" w:customStyle="1" w:styleId="SectionIndent1CharCharCharCharCharCharCharCharCharCharCharCharCharCharCharCharCharCharChar">
    <w:name w:val="Section Indent 1 Char Char Char Char Char Char Char Char Char Char Char Char Char Char Char Char Char Char Char"/>
    <w:link w:val="SectionIndent1CharCharCharCharCharCharCharCharCharCharCharCharCharCharCharCharCharChar"/>
    <w:rsid w:val="00B70580"/>
    <w:rPr>
      <w:rFonts w:ascii="ACaslon Bold" w:eastAsia="Times New Roman" w:hAnsi="ACaslon Bold" w:cs="Times New Roman"/>
      <w:snapToGrid w:val="0"/>
      <w:color w:val="C0C0C0"/>
      <w:sz w:val="24"/>
      <w:szCs w:val="24"/>
      <w:lang w:val="en-US"/>
    </w:rPr>
  </w:style>
  <w:style w:type="character" w:customStyle="1" w:styleId="Heading5Char">
    <w:name w:val="Heading 5 Char"/>
    <w:basedOn w:val="DefaultParagraphFont"/>
    <w:link w:val="Heading5"/>
    <w:uiPriority w:val="99"/>
    <w:semiHidden/>
    <w:rsid w:val="00D312B8"/>
    <w:rPr>
      <w:rFonts w:asciiTheme="majorHAnsi" w:eastAsiaTheme="majorEastAsia" w:hAnsiTheme="majorHAnsi" w:cstheme="majorBidi"/>
      <w:color w:val="003050" w:themeColor="accent1" w:themeShade="7F"/>
    </w:rPr>
  </w:style>
  <w:style w:type="character" w:customStyle="1" w:styleId="Heading6Char">
    <w:name w:val="Heading 6 Char"/>
    <w:basedOn w:val="DefaultParagraphFont"/>
    <w:link w:val="Heading6"/>
    <w:rsid w:val="00D312B8"/>
    <w:rPr>
      <w:rFonts w:asciiTheme="majorHAnsi" w:eastAsiaTheme="majorEastAsia" w:hAnsiTheme="majorHAnsi" w:cstheme="majorBidi"/>
      <w:i/>
      <w:iCs/>
      <w:color w:val="003050" w:themeColor="accent1" w:themeShade="7F"/>
    </w:rPr>
  </w:style>
  <w:style w:type="paragraph" w:styleId="ListParagraph">
    <w:name w:val="List Paragraph"/>
    <w:basedOn w:val="Normal"/>
    <w:uiPriority w:val="99"/>
    <w:unhideWhenUsed/>
    <w:qFormat/>
    <w:rsid w:val="00225083"/>
    <w:pPr>
      <w:ind w:left="720"/>
      <w:contextualSpacing/>
    </w:pPr>
  </w:style>
  <w:style w:type="paragraph" w:styleId="CommentText">
    <w:name w:val="annotation text"/>
    <w:basedOn w:val="Normal"/>
    <w:link w:val="CommentTextChar"/>
    <w:rsid w:val="004C65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C65C1"/>
    <w:rPr>
      <w:rFonts w:ascii="Times New Roman" w:eastAsia="Times New Roman" w:hAnsi="Times New Roman" w:cs="Times New Roman"/>
      <w:sz w:val="20"/>
      <w:szCs w:val="20"/>
    </w:rPr>
  </w:style>
  <w:style w:type="character" w:styleId="PageNumber">
    <w:name w:val="page number"/>
    <w:basedOn w:val="DefaultParagraphFont"/>
    <w:rsid w:val="004C65C1"/>
  </w:style>
  <w:style w:type="character" w:styleId="Hyperlink">
    <w:name w:val="Hyperlink"/>
    <w:uiPriority w:val="99"/>
    <w:unhideWhenUsed/>
    <w:rsid w:val="00CC5692"/>
    <w:rPr>
      <w:color w:val="0000FF"/>
      <w:u w:val="single"/>
    </w:rPr>
  </w:style>
  <w:style w:type="character" w:styleId="CommentReference">
    <w:name w:val="annotation reference"/>
    <w:basedOn w:val="DefaultParagraphFont"/>
    <w:uiPriority w:val="99"/>
    <w:semiHidden/>
    <w:unhideWhenUsed/>
    <w:rsid w:val="00836DC0"/>
    <w:rPr>
      <w:sz w:val="16"/>
      <w:szCs w:val="16"/>
    </w:rPr>
  </w:style>
  <w:style w:type="paragraph" w:styleId="CommentSubject">
    <w:name w:val="annotation subject"/>
    <w:basedOn w:val="CommentText"/>
    <w:next w:val="CommentText"/>
    <w:link w:val="CommentSubjectChar"/>
    <w:uiPriority w:val="99"/>
    <w:semiHidden/>
    <w:unhideWhenUsed/>
    <w:rsid w:val="00836DC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36DC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icipant@nzregc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rticipant@nzregc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ZX">
      <a:dk1>
        <a:sysClr val="windowText" lastClr="000000"/>
      </a:dk1>
      <a:lt1>
        <a:sysClr val="window" lastClr="FFFFFF"/>
      </a:lt1>
      <a:dk2>
        <a:srgbClr val="0061A2"/>
      </a:dk2>
      <a:lt2>
        <a:srgbClr val="F2F2F2"/>
      </a:lt2>
      <a:accent1>
        <a:srgbClr val="0061A2"/>
      </a:accent1>
      <a:accent2>
        <a:srgbClr val="3397D3"/>
      </a:accent2>
      <a:accent3>
        <a:srgbClr val="808080"/>
      </a:accent3>
      <a:accent4>
        <a:srgbClr val="D9D9D9"/>
      </a:accent4>
      <a:accent5>
        <a:srgbClr val="49A942"/>
      </a:accent5>
      <a:accent6>
        <a:srgbClr val="FFD400"/>
      </a:accent6>
      <a:hlink>
        <a:srgbClr val="808080"/>
      </a:hlink>
      <a:folHlink>
        <a:srgbClr val="3397D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73B9C-3767-4A8C-B442-ED504C49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1921</Words>
  <Characters>9937</Characters>
  <Application>Microsoft Office Word</Application>
  <DocSecurity>0</DocSecurity>
  <Lines>211</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Taylor</dc:creator>
  <cp:lastModifiedBy>Erika Anderson</cp:lastModifiedBy>
  <cp:revision>6</cp:revision>
  <cp:lastPrinted>2017-03-07T01:28:00Z</cp:lastPrinted>
  <dcterms:created xsi:type="dcterms:W3CDTF">2025-01-06T23:14:00Z</dcterms:created>
  <dcterms:modified xsi:type="dcterms:W3CDTF">2025-02-11T21:51:00Z</dcterms:modified>
</cp:coreProperties>
</file>