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E62D" w14:textId="4146E76D" w:rsidR="007D4085" w:rsidRDefault="007D4085" w:rsidP="007D4085">
      <w:pPr>
        <w:pStyle w:val="Heading1"/>
      </w:pPr>
      <w:r>
        <w:t>Appendix B – Quarterly Internal Control Checklist</w:t>
      </w:r>
    </w:p>
    <w:p w14:paraId="4B1D0930" w14:textId="77777777" w:rsidR="007D4085" w:rsidRDefault="007D4085" w:rsidP="007D4085">
      <w:pPr>
        <w:rPr>
          <w:lang w:val="en-GB"/>
        </w:rPr>
      </w:pPr>
    </w:p>
    <w:p w14:paraId="33F66329" w14:textId="77777777" w:rsidR="007D4085" w:rsidRPr="00B7215C" w:rsidRDefault="007D4085" w:rsidP="007D4085">
      <w:pPr>
        <w:rPr>
          <w:rFonts w:cs="Arial"/>
          <w:b/>
          <w:color w:val="3397D3"/>
          <w:sz w:val="36"/>
          <w:szCs w:val="40"/>
          <w:lang w:val="en-GB"/>
        </w:rPr>
      </w:pPr>
      <w:r w:rsidRPr="00B7215C">
        <w:rPr>
          <w:rFonts w:cs="Arial"/>
          <w:color w:val="3397D3"/>
          <w:sz w:val="36"/>
          <w:szCs w:val="40"/>
          <w:lang w:val="en-GB"/>
        </w:rPr>
        <w:t xml:space="preserve">Completing this </w:t>
      </w:r>
      <w:r>
        <w:rPr>
          <w:rFonts w:cs="Arial"/>
          <w:color w:val="3397D3"/>
          <w:sz w:val="36"/>
          <w:szCs w:val="40"/>
          <w:lang w:val="en-GB"/>
        </w:rPr>
        <w:t>checklist</w:t>
      </w:r>
    </w:p>
    <w:p w14:paraId="0E46E4E1" w14:textId="77777777" w:rsidR="007D4085" w:rsidRPr="00B7215C" w:rsidRDefault="007D4085" w:rsidP="007D4085">
      <w:pPr>
        <w:jc w:val="both"/>
        <w:rPr>
          <w:rFonts w:cs="Arial"/>
          <w:b/>
        </w:rPr>
      </w:pPr>
      <w:r w:rsidRPr="00B7215C">
        <w:rPr>
          <w:rFonts w:cs="Arial"/>
        </w:rPr>
        <w:t xml:space="preserve">If you need assistance with your </w:t>
      </w:r>
      <w:r>
        <w:rPr>
          <w:rFonts w:cs="Arial"/>
        </w:rPr>
        <w:t>checklist</w:t>
      </w:r>
      <w:r w:rsidRPr="00B7215C">
        <w:rPr>
          <w:rFonts w:cs="Arial"/>
        </w:rPr>
        <w:t xml:space="preserve">, please contact NZX Participant Compliance on </w:t>
      </w:r>
      <w:hyperlink r:id="rId8" w:history="1">
        <w:r w:rsidRPr="00B7215C">
          <w:rPr>
            <w:rStyle w:val="Hyperlink"/>
          </w:rPr>
          <w:t>compliance@nzx.com</w:t>
        </w:r>
      </w:hyperlink>
      <w:r w:rsidRPr="00B7215C">
        <w:t xml:space="preserve"> or +64 4 498 2279.</w:t>
      </w:r>
    </w:p>
    <w:p w14:paraId="50C73C11" w14:textId="77777777" w:rsidR="007D4085" w:rsidRPr="00B7215C" w:rsidRDefault="007D4085" w:rsidP="007D4085">
      <w:pPr>
        <w:jc w:val="both"/>
        <w:rPr>
          <w:rFonts w:cs="Arial"/>
          <w:b/>
        </w:rPr>
      </w:pPr>
      <w:r w:rsidRPr="00B7215C">
        <w:rPr>
          <w:rFonts w:cs="Arial"/>
        </w:rPr>
        <w:t xml:space="preserve">All information provided to NZX in relation to this </w:t>
      </w:r>
      <w:r>
        <w:rPr>
          <w:rFonts w:cs="Arial"/>
        </w:rPr>
        <w:t>checklist</w:t>
      </w:r>
      <w:r w:rsidRPr="00B7215C">
        <w:rPr>
          <w:rFonts w:cs="Arial"/>
        </w:rPr>
        <w:t xml:space="preserve"> will be kept confidential, except to the extent that disclosure of any or </w:t>
      </w:r>
      <w:proofErr w:type="gramStart"/>
      <w:r w:rsidRPr="00B7215C">
        <w:rPr>
          <w:rFonts w:cs="Arial"/>
        </w:rPr>
        <w:t>all of</w:t>
      </w:r>
      <w:proofErr w:type="gramEnd"/>
      <w:r w:rsidRPr="00B7215C">
        <w:rPr>
          <w:rFonts w:cs="Arial"/>
        </w:rPr>
        <w:t xml:space="preserve"> the information provided is necessary for the exercise of NZX’s regulatory fu</w:t>
      </w:r>
      <w:r>
        <w:rPr>
          <w:rFonts w:cs="Arial"/>
        </w:rPr>
        <w:t>nctions, or as required by law.</w:t>
      </w:r>
    </w:p>
    <w:p w14:paraId="06583816" w14:textId="1F6BBB79" w:rsidR="007D4085" w:rsidRDefault="007D4085" w:rsidP="007D4085">
      <w:pPr>
        <w:jc w:val="both"/>
        <w:rPr>
          <w:rFonts w:cs="Arial"/>
        </w:rPr>
      </w:pPr>
      <w:r w:rsidRPr="00B7215C">
        <w:rPr>
          <w:rFonts w:cs="Arial"/>
        </w:rPr>
        <w:t xml:space="preserve">Completed </w:t>
      </w:r>
      <w:r>
        <w:rPr>
          <w:rFonts w:cs="Arial"/>
        </w:rPr>
        <w:t>checklists</w:t>
      </w:r>
      <w:r w:rsidRPr="00B7215C">
        <w:rPr>
          <w:rFonts w:cs="Arial"/>
        </w:rPr>
        <w:t xml:space="preserve"> (together with any supporting information) should be emailed to </w:t>
      </w:r>
      <w:hyperlink r:id="rId9" w:history="1">
        <w:r w:rsidRPr="00B7215C">
          <w:rPr>
            <w:rStyle w:val="Hyperlink"/>
            <w:rFonts w:cs="Arial"/>
          </w:rPr>
          <w:t>compliance@nzx.com</w:t>
        </w:r>
      </w:hyperlink>
      <w:r>
        <w:rPr>
          <w:rStyle w:val="Hyperlink"/>
          <w:rFonts w:cs="Arial"/>
          <w:color w:val="auto"/>
          <w:u w:val="none"/>
        </w:rPr>
        <w:t xml:space="preserve"> o</w:t>
      </w:r>
      <w:r w:rsidRPr="00DB2CE6">
        <w:rPr>
          <w:rStyle w:val="Hyperlink"/>
          <w:rFonts w:cs="Arial"/>
          <w:color w:val="auto"/>
          <w:u w:val="none"/>
        </w:rPr>
        <w:t xml:space="preserve">r uploaded to the NZX Participant reporting platform </w:t>
      </w:r>
      <w:r w:rsidRPr="00DB2CE6">
        <w:t>w</w:t>
      </w:r>
      <w:r w:rsidRPr="00EB3703">
        <w:t xml:space="preserve">ithin </w:t>
      </w:r>
      <w:r>
        <w:t>10</w:t>
      </w:r>
      <w:r w:rsidRPr="00EB3703">
        <w:t xml:space="preserve"> Business days of the </w:t>
      </w:r>
      <w:r>
        <w:t>end of each calendar quarter</w:t>
      </w:r>
      <w:r w:rsidRPr="00B7215C">
        <w:rPr>
          <w:rFonts w:cs="Arial"/>
        </w:rPr>
        <w:t>.</w:t>
      </w:r>
    </w:p>
    <w:p w14:paraId="016C6AA7" w14:textId="78BEBD25" w:rsidR="007D4085" w:rsidRPr="009F1A7B" w:rsidRDefault="007D4085" w:rsidP="007D4085">
      <w:pPr>
        <w:pStyle w:val="BodyCopy"/>
      </w:pPr>
      <w:r>
        <w:t xml:space="preserve">This checklist is required to be completed by all Market Participants Requiring Capital under NZX Participant Rule 20.14. </w:t>
      </w:r>
      <w:r w:rsidRPr="009F1A7B">
        <w:t>Please respond Yes, No or Not Applicable</w:t>
      </w:r>
      <w:r>
        <w:t xml:space="preserve"> and include details where relevant</w:t>
      </w:r>
      <w:r w:rsidRPr="009F1A7B">
        <w:t>. For questions relating to notification</w:t>
      </w:r>
      <w:r>
        <w:t>s</w:t>
      </w:r>
      <w:r w:rsidRPr="009F1A7B">
        <w:t xml:space="preserve"> to NZX, please respond “N/A” if notification</w:t>
      </w:r>
      <w:r>
        <w:t>s</w:t>
      </w:r>
      <w:r w:rsidRPr="009F1A7B">
        <w:t xml:space="preserve"> w</w:t>
      </w:r>
      <w:r>
        <w:t xml:space="preserve">ere </w:t>
      </w:r>
      <w:r w:rsidRPr="009F1A7B">
        <w:t xml:space="preserve">unnecessary.  </w:t>
      </w:r>
    </w:p>
    <w:p w14:paraId="6F631A09" w14:textId="77777777" w:rsidR="007D4085" w:rsidRDefault="007D4085" w:rsidP="007D4085">
      <w:pPr>
        <w:pStyle w:val="Heading3"/>
        <w:spacing w:before="0"/>
        <w:rPr>
          <w:sz w:val="24"/>
          <w:szCs w:val="24"/>
        </w:rPr>
      </w:pPr>
      <w:r w:rsidRPr="0028092A">
        <w:rPr>
          <w:sz w:val="24"/>
          <w:szCs w:val="24"/>
        </w:rPr>
        <w:t>Name of Market Participant:</w:t>
      </w:r>
      <w:r>
        <w:rPr>
          <w:sz w:val="24"/>
          <w:szCs w:val="24"/>
        </w:rPr>
        <w:t xml:space="preserve"> ___________________________________________________________________</w:t>
      </w:r>
    </w:p>
    <w:p w14:paraId="47EAB944" w14:textId="77777777" w:rsidR="007D4085" w:rsidRDefault="007D4085" w:rsidP="007D4085">
      <w:pPr>
        <w:pStyle w:val="Heading3"/>
        <w:rPr>
          <w:sz w:val="24"/>
          <w:szCs w:val="24"/>
        </w:rPr>
      </w:pPr>
    </w:p>
    <w:p w14:paraId="12D2320F" w14:textId="622FF33C" w:rsidR="007D4085" w:rsidRPr="00C47515" w:rsidRDefault="007D4085" w:rsidP="007D4085">
      <w:pPr>
        <w:pStyle w:val="Heading3"/>
        <w:rPr>
          <w:sz w:val="24"/>
          <w:szCs w:val="24"/>
        </w:rPr>
      </w:pPr>
      <w:r>
        <w:rPr>
          <w:sz w:val="24"/>
          <w:szCs w:val="24"/>
        </w:rPr>
        <w:t>Quarter</w:t>
      </w:r>
      <w:r w:rsidRPr="0028092A">
        <w:rPr>
          <w:sz w:val="24"/>
          <w:szCs w:val="24"/>
        </w:rPr>
        <w:t xml:space="preserve"> ended:</w:t>
      </w:r>
      <w:r>
        <w:rPr>
          <w:sz w:val="24"/>
          <w:szCs w:val="24"/>
        </w:rPr>
        <w:t xml:space="preserve"> ___________________________________</w:t>
      </w:r>
    </w:p>
    <w:p w14:paraId="264E3225" w14:textId="77777777" w:rsidR="007D4085" w:rsidRPr="007D4085" w:rsidRDefault="007D4085" w:rsidP="007D4085">
      <w:pPr>
        <w:rPr>
          <w:rFonts w:cs="Arial"/>
          <w:color w:val="3397D3"/>
          <w:sz w:val="36"/>
          <w:szCs w:val="40"/>
          <w:lang w:val="en-GB"/>
        </w:rPr>
      </w:pPr>
    </w:p>
    <w:p w14:paraId="18AD60E2" w14:textId="77777777" w:rsidR="007D4085" w:rsidRPr="007D4085" w:rsidRDefault="007D4085" w:rsidP="007D4085">
      <w:pPr>
        <w:keepNext/>
        <w:keepLines/>
        <w:spacing w:after="0"/>
        <w:outlineLvl w:val="3"/>
        <w:rPr>
          <w:rFonts w:asciiTheme="majorHAnsi" w:eastAsiaTheme="majorEastAsia" w:hAnsiTheme="majorHAnsi" w:cstheme="majorBidi"/>
          <w:b/>
          <w:bCs/>
          <w:iCs/>
          <w:color w:val="0061A2" w:themeColor="text2"/>
          <w:sz w:val="20"/>
          <w:szCs w:val="20"/>
        </w:rPr>
      </w:pPr>
    </w:p>
    <w:p w14:paraId="38ED2400" w14:textId="77777777" w:rsidR="00E52B65" w:rsidRDefault="00E52B65" w:rsidP="007D4085">
      <w:pPr>
        <w:suppressAutoHyphens/>
        <w:autoSpaceDE w:val="0"/>
        <w:autoSpaceDN w:val="0"/>
        <w:adjustRightInd w:val="0"/>
        <w:spacing w:after="360" w:line="240" w:lineRule="auto"/>
        <w:textAlignment w:val="center"/>
        <w:rPr>
          <w:rFonts w:cs="Arial"/>
          <w:color w:val="000000"/>
          <w:lang w:val="en-GB"/>
        </w:rPr>
      </w:pPr>
    </w:p>
    <w:p w14:paraId="78D602A5" w14:textId="77777777" w:rsidR="00E52B65" w:rsidRDefault="00E52B65" w:rsidP="007D4085">
      <w:pPr>
        <w:suppressAutoHyphens/>
        <w:autoSpaceDE w:val="0"/>
        <w:autoSpaceDN w:val="0"/>
        <w:adjustRightInd w:val="0"/>
        <w:spacing w:after="360" w:line="240" w:lineRule="auto"/>
        <w:textAlignment w:val="center"/>
        <w:rPr>
          <w:rFonts w:cs="Arial"/>
          <w:color w:val="000000"/>
          <w:lang w:val="en-GB"/>
        </w:rPr>
      </w:pPr>
    </w:p>
    <w:p w14:paraId="6E3808F2" w14:textId="77777777" w:rsidR="00E52B65" w:rsidRDefault="00E52B65" w:rsidP="007D4085">
      <w:pPr>
        <w:suppressAutoHyphens/>
        <w:autoSpaceDE w:val="0"/>
        <w:autoSpaceDN w:val="0"/>
        <w:adjustRightInd w:val="0"/>
        <w:spacing w:after="360" w:line="240" w:lineRule="auto"/>
        <w:textAlignment w:val="center"/>
        <w:rPr>
          <w:rFonts w:cs="Arial"/>
          <w:color w:val="000000"/>
          <w:lang w:val="en-GB"/>
        </w:rPr>
      </w:pPr>
    </w:p>
    <w:p w14:paraId="29BF0633" w14:textId="1743F49D" w:rsidR="00E52B65" w:rsidRDefault="00B725B2" w:rsidP="00B725B2">
      <w:pPr>
        <w:tabs>
          <w:tab w:val="left" w:pos="1332"/>
        </w:tabs>
        <w:suppressAutoHyphens/>
        <w:autoSpaceDE w:val="0"/>
        <w:autoSpaceDN w:val="0"/>
        <w:adjustRightInd w:val="0"/>
        <w:spacing w:after="360" w:line="240" w:lineRule="auto"/>
        <w:textAlignment w:val="center"/>
        <w:rPr>
          <w:rFonts w:cs="Arial"/>
          <w:color w:val="000000"/>
          <w:lang w:val="en-GB"/>
        </w:rPr>
      </w:pPr>
      <w:r>
        <w:rPr>
          <w:rFonts w:cs="Arial"/>
          <w:color w:val="000000"/>
          <w:lang w:val="en-GB"/>
        </w:rPr>
        <w:tab/>
      </w:r>
    </w:p>
    <w:p w14:paraId="4E6A70FA" w14:textId="7C8AEDE9" w:rsidR="007D4085" w:rsidRPr="007D4085" w:rsidRDefault="007D4085" w:rsidP="007D4085">
      <w:pPr>
        <w:suppressAutoHyphens/>
        <w:autoSpaceDE w:val="0"/>
        <w:autoSpaceDN w:val="0"/>
        <w:adjustRightInd w:val="0"/>
        <w:spacing w:after="360" w:line="240" w:lineRule="auto"/>
        <w:textAlignment w:val="center"/>
        <w:rPr>
          <w:rFonts w:cs="Arial"/>
          <w:color w:val="000000"/>
          <w:lang w:val="en-GB"/>
        </w:rPr>
      </w:pPr>
      <w:r w:rsidRPr="007D4085">
        <w:rPr>
          <w:rFonts w:cs="Arial"/>
          <w:color w:val="000000"/>
          <w:lang w:val="en-GB"/>
        </w:rPr>
        <w:lastRenderedPageBreak/>
        <w:t>The Market Participant confirms that:</w:t>
      </w:r>
    </w:p>
    <w:tbl>
      <w:tblPr>
        <w:tblStyle w:val="NZX"/>
        <w:tblW w:w="13971" w:type="dxa"/>
        <w:tblLook w:val="01E0" w:firstRow="1" w:lastRow="1" w:firstColumn="1" w:lastColumn="1" w:noHBand="0" w:noVBand="0"/>
      </w:tblPr>
      <w:tblGrid>
        <w:gridCol w:w="1213"/>
        <w:gridCol w:w="8364"/>
        <w:gridCol w:w="1122"/>
        <w:gridCol w:w="3272"/>
      </w:tblGrid>
      <w:tr w:rsidR="007D4085" w:rsidRPr="007D4085" w14:paraId="24B5B3D8" w14:textId="77777777" w:rsidTr="00DE6DD5">
        <w:trPr>
          <w:cnfStyle w:val="100000000000" w:firstRow="1" w:lastRow="0" w:firstColumn="0" w:lastColumn="0" w:oddVBand="0" w:evenVBand="0" w:oddHBand="0" w:evenHBand="0" w:firstRowFirstColumn="0" w:firstRowLastColumn="0" w:lastRowFirstColumn="0" w:lastRowLastColumn="0"/>
          <w:trHeight w:val="386"/>
        </w:trPr>
        <w:tc>
          <w:tcPr>
            <w:tcW w:w="1213" w:type="dxa"/>
            <w:vAlign w:val="top"/>
          </w:tcPr>
          <w:p w14:paraId="647D0D78" w14:textId="77777777" w:rsidR="007D4085" w:rsidRPr="007D4085" w:rsidRDefault="007D4085" w:rsidP="007D4085">
            <w:pPr>
              <w:autoSpaceDE w:val="0"/>
              <w:autoSpaceDN w:val="0"/>
              <w:adjustRightInd w:val="0"/>
              <w:jc w:val="center"/>
              <w:textAlignment w:val="center"/>
              <w:rPr>
                <w:rFonts w:asciiTheme="minorHAnsi" w:hAnsiTheme="minorHAnsi" w:cs="Arial"/>
                <w:bCs/>
                <w:color w:val="FFFFFF"/>
                <w:szCs w:val="20"/>
                <w:lang w:val="en-GB"/>
              </w:rPr>
            </w:pPr>
            <w:r w:rsidRPr="007D4085">
              <w:rPr>
                <w:rFonts w:asciiTheme="minorHAnsi" w:hAnsiTheme="minorHAnsi" w:cs="Arial"/>
                <w:bCs/>
                <w:color w:val="FFFFFF"/>
                <w:szCs w:val="20"/>
                <w:lang w:val="en-GB"/>
              </w:rPr>
              <w:t>Rule</w:t>
            </w:r>
          </w:p>
        </w:tc>
        <w:tc>
          <w:tcPr>
            <w:tcW w:w="8364" w:type="dxa"/>
            <w:vAlign w:val="top"/>
          </w:tcPr>
          <w:p w14:paraId="2C7AAEF4" w14:textId="77777777" w:rsidR="007D4085" w:rsidRPr="007D4085" w:rsidRDefault="007D4085" w:rsidP="007D4085">
            <w:pPr>
              <w:autoSpaceDE w:val="0"/>
              <w:autoSpaceDN w:val="0"/>
              <w:adjustRightInd w:val="0"/>
              <w:jc w:val="center"/>
              <w:textAlignment w:val="center"/>
              <w:rPr>
                <w:rFonts w:asciiTheme="minorHAnsi" w:hAnsiTheme="minorHAnsi" w:cs="Arial"/>
                <w:bCs/>
                <w:color w:val="FFFFFF"/>
                <w:szCs w:val="20"/>
                <w:lang w:val="en-GB"/>
              </w:rPr>
            </w:pPr>
            <w:r w:rsidRPr="007D4085">
              <w:rPr>
                <w:rFonts w:asciiTheme="minorHAnsi" w:hAnsiTheme="minorHAnsi" w:cs="Arial"/>
                <w:bCs/>
                <w:color w:val="FFFFFF"/>
                <w:szCs w:val="20"/>
                <w:lang w:val="en-GB"/>
              </w:rPr>
              <w:t>Internal Control Questions</w:t>
            </w:r>
          </w:p>
        </w:tc>
        <w:tc>
          <w:tcPr>
            <w:tcW w:w="1122" w:type="dxa"/>
            <w:vAlign w:val="top"/>
          </w:tcPr>
          <w:p w14:paraId="799691DE" w14:textId="77777777" w:rsidR="007D4085" w:rsidRPr="007D4085" w:rsidRDefault="007D4085" w:rsidP="007D4085">
            <w:pPr>
              <w:autoSpaceDE w:val="0"/>
              <w:autoSpaceDN w:val="0"/>
              <w:adjustRightInd w:val="0"/>
              <w:jc w:val="center"/>
              <w:textAlignment w:val="center"/>
              <w:rPr>
                <w:rFonts w:asciiTheme="minorHAnsi" w:hAnsiTheme="minorHAnsi" w:cs="Arial"/>
                <w:bCs/>
                <w:color w:val="FFFFFF"/>
                <w:szCs w:val="20"/>
                <w:lang w:val="en-GB"/>
              </w:rPr>
            </w:pPr>
            <w:r w:rsidRPr="007D4085">
              <w:rPr>
                <w:rFonts w:asciiTheme="minorHAnsi" w:hAnsiTheme="minorHAnsi" w:cs="Arial"/>
                <w:bCs/>
                <w:color w:val="FFFFFF"/>
                <w:szCs w:val="20"/>
                <w:lang w:val="en-GB"/>
              </w:rPr>
              <w:t>Y, N, N/A</w:t>
            </w:r>
          </w:p>
        </w:tc>
        <w:tc>
          <w:tcPr>
            <w:tcW w:w="3272" w:type="dxa"/>
            <w:vAlign w:val="top"/>
          </w:tcPr>
          <w:p w14:paraId="2066D994" w14:textId="77777777" w:rsidR="007D4085" w:rsidRPr="007D4085" w:rsidRDefault="007D4085" w:rsidP="007D4085">
            <w:pPr>
              <w:autoSpaceDE w:val="0"/>
              <w:autoSpaceDN w:val="0"/>
              <w:adjustRightInd w:val="0"/>
              <w:jc w:val="center"/>
              <w:textAlignment w:val="center"/>
              <w:rPr>
                <w:rFonts w:asciiTheme="minorHAnsi" w:hAnsiTheme="minorHAnsi" w:cs="Arial"/>
                <w:bCs/>
                <w:color w:val="FFFFFF"/>
                <w:szCs w:val="20"/>
                <w:lang w:val="en-GB"/>
              </w:rPr>
            </w:pPr>
            <w:r w:rsidRPr="007D4085">
              <w:rPr>
                <w:rFonts w:asciiTheme="minorHAnsi" w:hAnsiTheme="minorHAnsi" w:cs="Arial"/>
                <w:bCs/>
                <w:color w:val="FFFFFF"/>
                <w:szCs w:val="20"/>
                <w:lang w:val="en-GB"/>
              </w:rPr>
              <w:t>Comment</w:t>
            </w:r>
          </w:p>
        </w:tc>
      </w:tr>
      <w:tr w:rsidR="007D4085" w:rsidRPr="007D4085" w14:paraId="5AC6D765" w14:textId="77777777" w:rsidTr="00DE6DD5">
        <w:tc>
          <w:tcPr>
            <w:tcW w:w="1213" w:type="dxa"/>
            <w:shd w:val="clear" w:color="auto" w:fill="D6EAF6" w:themeFill="accent2" w:themeFillTint="33"/>
            <w:vAlign w:val="top"/>
          </w:tcPr>
          <w:p w14:paraId="69C13E55" w14:textId="77777777" w:rsidR="007D4085" w:rsidRPr="007D4085" w:rsidRDefault="007D4085" w:rsidP="007D4085">
            <w:pPr>
              <w:autoSpaceDE w:val="0"/>
              <w:autoSpaceDN w:val="0"/>
              <w:adjustRightInd w:val="0"/>
              <w:jc w:val="center"/>
              <w:textAlignment w:val="center"/>
              <w:rPr>
                <w:rFonts w:ascii="ACaslon Bold" w:hAnsi="ACaslon Bold" w:cs="Times New Roman"/>
                <w:b/>
                <w:bCs/>
                <w:snapToGrid w:val="0"/>
                <w:color w:val="C0C0C0"/>
                <w:sz w:val="24"/>
                <w:szCs w:val="24"/>
                <w:lang w:val="en-US"/>
              </w:rPr>
            </w:pPr>
            <w:r w:rsidRPr="007D4085">
              <w:rPr>
                <w:rFonts w:asciiTheme="minorHAnsi" w:hAnsiTheme="minorHAnsi" w:cs="Arial"/>
                <w:b/>
                <w:bCs/>
                <w:color w:val="000000"/>
                <w:szCs w:val="20"/>
                <w:lang w:val="en-GB"/>
              </w:rPr>
              <w:t>Section 3</w:t>
            </w:r>
          </w:p>
        </w:tc>
        <w:tc>
          <w:tcPr>
            <w:tcW w:w="8364" w:type="dxa"/>
            <w:shd w:val="clear" w:color="auto" w:fill="D6EAF6" w:themeFill="accent2" w:themeFillTint="33"/>
            <w:vAlign w:val="top"/>
          </w:tcPr>
          <w:p w14:paraId="35812D0E"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Market Participants (all Market Participants)</w:t>
            </w:r>
          </w:p>
        </w:tc>
        <w:tc>
          <w:tcPr>
            <w:tcW w:w="1122" w:type="dxa"/>
            <w:shd w:val="clear" w:color="auto" w:fill="D6EAF6" w:themeFill="accent2" w:themeFillTint="33"/>
            <w:vAlign w:val="top"/>
          </w:tcPr>
          <w:p w14:paraId="37AA3453"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17A61D83"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078CC413" w14:textId="77777777" w:rsidTr="00DE6DD5">
        <w:trPr>
          <w:trHeight w:val="772"/>
        </w:trPr>
        <w:tc>
          <w:tcPr>
            <w:tcW w:w="1213" w:type="dxa"/>
            <w:vAlign w:val="top"/>
          </w:tcPr>
          <w:p w14:paraId="19422F5C"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3.3.4</w:t>
            </w:r>
          </w:p>
        </w:tc>
        <w:tc>
          <w:tcPr>
            <w:tcW w:w="8364" w:type="dxa"/>
            <w:vAlign w:val="top"/>
          </w:tcPr>
          <w:p w14:paraId="1B1FA4F4" w14:textId="2718C4F2"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any change to the Market Participant’s Managing Principal and provided NZX with an executed undertaking for the Managing Principal.</w:t>
            </w:r>
          </w:p>
        </w:tc>
        <w:tc>
          <w:tcPr>
            <w:tcW w:w="1122" w:type="dxa"/>
            <w:vAlign w:val="top"/>
          </w:tcPr>
          <w:p w14:paraId="2807F7E3"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4BD91BC"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D3C9143" w14:textId="77777777" w:rsidTr="00DE6DD5">
        <w:trPr>
          <w:trHeight w:val="386"/>
        </w:trPr>
        <w:tc>
          <w:tcPr>
            <w:tcW w:w="1213" w:type="dxa"/>
            <w:vAlign w:val="top"/>
          </w:tcPr>
          <w:p w14:paraId="3E4ABA29"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3.5.1 and 3.6.1</w:t>
            </w:r>
          </w:p>
        </w:tc>
        <w:tc>
          <w:tcPr>
            <w:tcW w:w="8364" w:type="dxa"/>
            <w:vAlign w:val="top"/>
          </w:tcPr>
          <w:p w14:paraId="53D485A5" w14:textId="7C4851D3"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the appointment of any Director or Partner within 5 Business Days of that appointment and provided NZX with an executed undertaking for the Director or Partner.</w:t>
            </w:r>
          </w:p>
        </w:tc>
        <w:tc>
          <w:tcPr>
            <w:tcW w:w="1122" w:type="dxa"/>
            <w:vAlign w:val="top"/>
          </w:tcPr>
          <w:p w14:paraId="1B17E11D"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7E23C4A9"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007F9096" w14:textId="77777777" w:rsidTr="00DE6DD5">
        <w:tc>
          <w:tcPr>
            <w:tcW w:w="1213" w:type="dxa"/>
            <w:vAlign w:val="top"/>
          </w:tcPr>
          <w:p w14:paraId="579D9992"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3.5.2</w:t>
            </w:r>
          </w:p>
        </w:tc>
        <w:tc>
          <w:tcPr>
            <w:tcW w:w="8364" w:type="dxa"/>
            <w:vAlign w:val="top"/>
          </w:tcPr>
          <w:p w14:paraId="541954E6" w14:textId="7D780AA7"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NZX was provided with a copy of any filings that the Market Participant made to the Registrar of Companies during the </w:t>
            </w:r>
            <w:r>
              <w:rPr>
                <w:rFonts w:asciiTheme="minorHAnsi" w:hAnsiTheme="minorHAnsi" w:cs="Arial"/>
                <w:sz w:val="22"/>
                <w:szCs w:val="20"/>
              </w:rPr>
              <w:t>quarter</w:t>
            </w:r>
            <w:r w:rsidRPr="007D4085">
              <w:rPr>
                <w:rFonts w:asciiTheme="minorHAnsi" w:hAnsiTheme="minorHAnsi" w:cs="Arial"/>
                <w:sz w:val="22"/>
                <w:szCs w:val="20"/>
              </w:rPr>
              <w:t>, such as an annual return, financial statements, change in share capital, or changes to the Market Participant’s constitution.</w:t>
            </w:r>
          </w:p>
        </w:tc>
        <w:tc>
          <w:tcPr>
            <w:tcW w:w="1122" w:type="dxa"/>
            <w:vAlign w:val="top"/>
          </w:tcPr>
          <w:p w14:paraId="6ADAD3BE"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67FA1835"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79FA46A7" w14:textId="77777777" w:rsidTr="00DE6DD5">
        <w:tc>
          <w:tcPr>
            <w:tcW w:w="1213" w:type="dxa"/>
            <w:vAlign w:val="top"/>
          </w:tcPr>
          <w:p w14:paraId="38DA6A1D"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3.5.3 and 3.6.2</w:t>
            </w:r>
          </w:p>
        </w:tc>
        <w:tc>
          <w:tcPr>
            <w:tcW w:w="8364" w:type="dxa"/>
            <w:vAlign w:val="top"/>
          </w:tcPr>
          <w:p w14:paraId="2E25A70A" w14:textId="013DA46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the resignation of any Director or Partner within 5 Business Days of that resignation.</w:t>
            </w:r>
          </w:p>
        </w:tc>
        <w:tc>
          <w:tcPr>
            <w:tcW w:w="1122" w:type="dxa"/>
            <w:vAlign w:val="top"/>
          </w:tcPr>
          <w:p w14:paraId="7585FB07"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2FFC37ED"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0BB1666E" w14:textId="77777777" w:rsidTr="00DE6DD5">
        <w:tc>
          <w:tcPr>
            <w:tcW w:w="1213" w:type="dxa"/>
            <w:vAlign w:val="top"/>
          </w:tcPr>
          <w:p w14:paraId="1175606B"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3.8.4</w:t>
            </w:r>
          </w:p>
        </w:tc>
        <w:tc>
          <w:tcPr>
            <w:tcW w:w="8364" w:type="dxa"/>
            <w:vAlign w:val="top"/>
          </w:tcPr>
          <w:p w14:paraId="5F00A423" w14:textId="59C5C442"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During this</w:t>
            </w:r>
            <w:r w:rsidR="00E52B65">
              <w:rPr>
                <w:rFonts w:asciiTheme="minorHAnsi" w:hAnsiTheme="minorHAnsi" w:cs="Arial"/>
                <w:sz w:val="22"/>
                <w:szCs w:val="20"/>
              </w:rPr>
              <w:t xml:space="preserve"> </w:t>
            </w:r>
            <w:r>
              <w:rPr>
                <w:rFonts w:asciiTheme="minorHAnsi" w:hAnsiTheme="minorHAnsi" w:cs="Arial"/>
                <w:sz w:val="22"/>
                <w:szCs w:val="20"/>
              </w:rPr>
              <w:t>quarter</w:t>
            </w:r>
            <w:r w:rsidRPr="007D4085">
              <w:rPr>
                <w:rFonts w:asciiTheme="minorHAnsi" w:hAnsiTheme="minorHAnsi" w:cs="Arial"/>
                <w:sz w:val="22"/>
                <w:szCs w:val="20"/>
              </w:rPr>
              <w:t>, the Market Participant’s Principal Broking Office was under the direct full time control of a Managing Principal or a Responsible Executive, as applicable.</w:t>
            </w:r>
          </w:p>
        </w:tc>
        <w:tc>
          <w:tcPr>
            <w:tcW w:w="1122" w:type="dxa"/>
            <w:vAlign w:val="top"/>
          </w:tcPr>
          <w:p w14:paraId="36A5C68E"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10BF0863"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9068B5F" w14:textId="77777777" w:rsidTr="00DE6DD5">
        <w:tc>
          <w:tcPr>
            <w:tcW w:w="1213" w:type="dxa"/>
            <w:vAlign w:val="top"/>
          </w:tcPr>
          <w:p w14:paraId="2FB340BC"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3.8.4(a)</w:t>
            </w:r>
          </w:p>
        </w:tc>
        <w:tc>
          <w:tcPr>
            <w:tcW w:w="8364" w:type="dxa"/>
            <w:vAlign w:val="top"/>
          </w:tcPr>
          <w:p w14:paraId="0AC73DAC" w14:textId="5480692E"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each Broking Office of the Market Participant </w:t>
            </w:r>
            <w:proofErr w:type="gramStart"/>
            <w:r w:rsidRPr="007D4085">
              <w:rPr>
                <w:rFonts w:asciiTheme="minorHAnsi" w:hAnsiTheme="minorHAnsi" w:cs="Arial"/>
                <w:sz w:val="22"/>
                <w:szCs w:val="20"/>
              </w:rPr>
              <w:t>was at all times</w:t>
            </w:r>
            <w:proofErr w:type="gramEnd"/>
            <w:r w:rsidRPr="007D4085">
              <w:rPr>
                <w:rFonts w:asciiTheme="minorHAnsi" w:hAnsiTheme="minorHAnsi" w:cs="Arial"/>
                <w:sz w:val="22"/>
                <w:szCs w:val="20"/>
              </w:rPr>
              <w:t xml:space="preserve"> overseen by the appropriately qualified and experienced Employee previously notified to NZX as having oversight of that Broking Office.</w:t>
            </w:r>
          </w:p>
        </w:tc>
        <w:tc>
          <w:tcPr>
            <w:tcW w:w="1122" w:type="dxa"/>
            <w:vAlign w:val="top"/>
          </w:tcPr>
          <w:p w14:paraId="1895AD01"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11AB7B6"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6B4F948" w14:textId="77777777" w:rsidTr="00DE6DD5">
        <w:tc>
          <w:tcPr>
            <w:tcW w:w="1213" w:type="dxa"/>
            <w:vAlign w:val="top"/>
          </w:tcPr>
          <w:p w14:paraId="4B1D9593"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lastRenderedPageBreak/>
              <w:t>3.8.4(b)</w:t>
            </w:r>
          </w:p>
        </w:tc>
        <w:tc>
          <w:tcPr>
            <w:tcW w:w="8364" w:type="dxa"/>
            <w:vAlign w:val="top"/>
          </w:tcPr>
          <w:p w14:paraId="49000EFB" w14:textId="5D4FF80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Employee appointed under Rule 3.8.4(a) in relation to each Broking Office within one Business Day of that appointment.</w:t>
            </w:r>
          </w:p>
        </w:tc>
        <w:tc>
          <w:tcPr>
            <w:tcW w:w="1122" w:type="dxa"/>
            <w:vAlign w:val="top"/>
          </w:tcPr>
          <w:p w14:paraId="224B8036"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58266F7"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502F170C" w14:textId="77777777" w:rsidTr="00DE6DD5">
        <w:tc>
          <w:tcPr>
            <w:tcW w:w="1213" w:type="dxa"/>
            <w:vAlign w:val="top"/>
          </w:tcPr>
          <w:p w14:paraId="57CC1A0B"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3.10.3</w:t>
            </w:r>
          </w:p>
        </w:tc>
        <w:tc>
          <w:tcPr>
            <w:tcW w:w="8364" w:type="dxa"/>
            <w:vAlign w:val="top"/>
          </w:tcPr>
          <w:p w14:paraId="4C0FFE7F" w14:textId="5FEA2696"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Market Participant notified NZX in writing of any changes to its </w:t>
            </w:r>
            <w:proofErr w:type="gramStart"/>
            <w:r w:rsidRPr="007D4085">
              <w:rPr>
                <w:rFonts w:asciiTheme="minorHAnsi" w:hAnsiTheme="minorHAnsi" w:cs="Arial"/>
                <w:sz w:val="22"/>
                <w:szCs w:val="20"/>
              </w:rPr>
              <w:t>Management</w:t>
            </w:r>
            <w:proofErr w:type="gramEnd"/>
            <w:r w:rsidRPr="007D4085">
              <w:rPr>
                <w:rFonts w:asciiTheme="minorHAnsi" w:hAnsiTheme="minorHAnsi" w:cs="Arial"/>
                <w:sz w:val="22"/>
                <w:szCs w:val="20"/>
              </w:rPr>
              <w:t xml:space="preserve"> arrangements/structure within 5 Business Days of that change being made.</w:t>
            </w:r>
          </w:p>
        </w:tc>
        <w:tc>
          <w:tcPr>
            <w:tcW w:w="1122" w:type="dxa"/>
            <w:vAlign w:val="top"/>
          </w:tcPr>
          <w:p w14:paraId="1CA33A8F"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3D0A536B"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4ADDDFA9" w14:textId="77777777" w:rsidTr="00DE6DD5">
        <w:tc>
          <w:tcPr>
            <w:tcW w:w="1213" w:type="dxa"/>
            <w:vAlign w:val="top"/>
          </w:tcPr>
          <w:p w14:paraId="399405C5"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3.11.2</w:t>
            </w:r>
          </w:p>
        </w:tc>
        <w:tc>
          <w:tcPr>
            <w:tcW w:w="8364" w:type="dxa"/>
            <w:vAlign w:val="top"/>
          </w:tcPr>
          <w:p w14:paraId="7EAE2B4F" w14:textId="34D73BBC"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the resignation, appointment or change of the Market Participant’s Compliance Manager within 1 Business Day of that change being made.</w:t>
            </w:r>
          </w:p>
        </w:tc>
        <w:tc>
          <w:tcPr>
            <w:tcW w:w="1122" w:type="dxa"/>
            <w:vAlign w:val="top"/>
          </w:tcPr>
          <w:p w14:paraId="7AC0603E"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139361D"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4479AEDE" w14:textId="77777777" w:rsidTr="00DE6DD5">
        <w:trPr>
          <w:trHeight w:val="579"/>
        </w:trPr>
        <w:tc>
          <w:tcPr>
            <w:tcW w:w="1213" w:type="dxa"/>
            <w:vAlign w:val="top"/>
          </w:tcPr>
          <w:p w14:paraId="3CDA2A2A"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3.12.2</w:t>
            </w:r>
          </w:p>
        </w:tc>
        <w:tc>
          <w:tcPr>
            <w:tcW w:w="8364" w:type="dxa"/>
            <w:vAlign w:val="top"/>
          </w:tcPr>
          <w:p w14:paraId="189069F2" w14:textId="401B5CB6"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any changes to any of the entities to which Rule 3.12(a) and (b) applies, within 5 Business Days of the changes being made.</w:t>
            </w:r>
          </w:p>
        </w:tc>
        <w:tc>
          <w:tcPr>
            <w:tcW w:w="1122" w:type="dxa"/>
            <w:vAlign w:val="top"/>
          </w:tcPr>
          <w:p w14:paraId="773D36D6"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026DAC5A"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5E13EC4F" w14:textId="77777777" w:rsidTr="00DE6DD5">
        <w:trPr>
          <w:trHeight w:val="1500"/>
        </w:trPr>
        <w:tc>
          <w:tcPr>
            <w:tcW w:w="1213" w:type="dxa"/>
            <w:vAlign w:val="top"/>
          </w:tcPr>
          <w:p w14:paraId="0B366102"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3.21</w:t>
            </w:r>
          </w:p>
        </w:tc>
        <w:tc>
          <w:tcPr>
            <w:tcW w:w="8364" w:type="dxa"/>
            <w:vAlign w:val="top"/>
          </w:tcPr>
          <w:p w14:paraId="4034327D" w14:textId="74C07B8B"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Market Participant notified NZX of any intention to: </w:t>
            </w:r>
          </w:p>
          <w:p w14:paraId="2D81B80F" w14:textId="77777777" w:rsidR="007D4085" w:rsidRPr="007D4085" w:rsidRDefault="007D4085" w:rsidP="007D4085">
            <w:pPr>
              <w:spacing w:after="200" w:line="240" w:lineRule="atLeast"/>
              <w:jc w:val="both"/>
              <w:rPr>
                <w:rFonts w:asciiTheme="minorHAnsi" w:hAnsiTheme="minorHAnsi" w:cs="Arial"/>
                <w:sz w:val="22"/>
                <w:szCs w:val="20"/>
              </w:rPr>
            </w:pPr>
          </w:p>
          <w:p w14:paraId="647ED856" w14:textId="77777777" w:rsidR="007D4085" w:rsidRPr="007D4085" w:rsidRDefault="007D4085" w:rsidP="007D4085">
            <w:pPr>
              <w:numPr>
                <w:ilvl w:val="0"/>
                <w:numId w:val="6"/>
              </w:numPr>
              <w:tabs>
                <w:tab w:val="left" w:pos="488"/>
              </w:tabs>
              <w:spacing w:after="120" w:line="240" w:lineRule="atLeast"/>
              <w:ind w:left="488" w:hanging="488"/>
              <w:contextualSpacing/>
              <w:jc w:val="both"/>
              <w:rPr>
                <w:rFonts w:asciiTheme="minorHAnsi" w:hAnsiTheme="minorHAnsi" w:cs="Arial"/>
                <w:sz w:val="22"/>
                <w:szCs w:val="20"/>
              </w:rPr>
            </w:pPr>
            <w:r w:rsidRPr="007D4085">
              <w:rPr>
                <w:rFonts w:asciiTheme="minorHAnsi" w:hAnsiTheme="minorHAnsi" w:cs="Arial"/>
                <w:sz w:val="22"/>
                <w:szCs w:val="20"/>
              </w:rPr>
              <w:t xml:space="preserve">Open a further Broking Office in addition to its Principal Broking Office and/or its current Broking Offices within 15 Business Days of such intention to do </w:t>
            </w:r>
            <w:proofErr w:type="gramStart"/>
            <w:r w:rsidRPr="007D4085">
              <w:rPr>
                <w:rFonts w:asciiTheme="minorHAnsi" w:hAnsiTheme="minorHAnsi" w:cs="Arial"/>
                <w:sz w:val="22"/>
                <w:szCs w:val="20"/>
              </w:rPr>
              <w:t>so;</w:t>
            </w:r>
            <w:proofErr w:type="gramEnd"/>
            <w:r w:rsidRPr="007D4085">
              <w:rPr>
                <w:rFonts w:asciiTheme="minorHAnsi" w:hAnsiTheme="minorHAnsi" w:cs="Arial"/>
                <w:sz w:val="22"/>
                <w:szCs w:val="20"/>
              </w:rPr>
              <w:t xml:space="preserve"> </w:t>
            </w:r>
          </w:p>
          <w:p w14:paraId="713E409E" w14:textId="77777777" w:rsidR="007D4085" w:rsidRPr="007D4085" w:rsidRDefault="007D4085" w:rsidP="007D4085">
            <w:pPr>
              <w:numPr>
                <w:ilvl w:val="0"/>
                <w:numId w:val="6"/>
              </w:numPr>
              <w:tabs>
                <w:tab w:val="left" w:pos="488"/>
              </w:tabs>
              <w:spacing w:before="120" w:after="200" w:line="240" w:lineRule="atLeast"/>
              <w:ind w:left="488" w:hanging="488"/>
              <w:contextualSpacing/>
              <w:jc w:val="both"/>
              <w:rPr>
                <w:rFonts w:asciiTheme="minorHAnsi" w:hAnsiTheme="minorHAnsi" w:cs="Arial"/>
                <w:sz w:val="22"/>
                <w:szCs w:val="20"/>
              </w:rPr>
            </w:pPr>
            <w:r w:rsidRPr="007D4085">
              <w:rPr>
                <w:rFonts w:asciiTheme="minorHAnsi" w:hAnsiTheme="minorHAnsi" w:cs="Arial"/>
                <w:sz w:val="22"/>
                <w:szCs w:val="20"/>
              </w:rPr>
              <w:t>Join in partnership or to become formally associated with another Market Participant within 15 Business Days of such intention to do so.</w:t>
            </w:r>
          </w:p>
        </w:tc>
        <w:tc>
          <w:tcPr>
            <w:tcW w:w="1122" w:type="dxa"/>
            <w:vAlign w:val="top"/>
          </w:tcPr>
          <w:p w14:paraId="7C41E462"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06E36E87"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0E4E2D3" w14:textId="77777777" w:rsidTr="00DE6DD5">
        <w:trPr>
          <w:trHeight w:val="386"/>
        </w:trPr>
        <w:tc>
          <w:tcPr>
            <w:tcW w:w="1213" w:type="dxa"/>
            <w:vAlign w:val="top"/>
          </w:tcPr>
          <w:p w14:paraId="3D5D868A" w14:textId="77777777" w:rsidR="007D4085" w:rsidRPr="007D4085" w:rsidRDefault="007D4085" w:rsidP="007D4085">
            <w:pPr>
              <w:spacing w:after="200" w:line="240" w:lineRule="atLeast"/>
              <w:jc w:val="center"/>
              <w:rPr>
                <w:rFonts w:asciiTheme="minorHAnsi" w:hAnsiTheme="minorHAnsi" w:cs="Tahoma"/>
                <w:sz w:val="22"/>
                <w:szCs w:val="20"/>
              </w:rPr>
            </w:pPr>
            <w:r w:rsidRPr="007D4085">
              <w:rPr>
                <w:rFonts w:asciiTheme="minorHAnsi" w:hAnsiTheme="minorHAnsi"/>
                <w:sz w:val="22"/>
                <w:szCs w:val="20"/>
              </w:rPr>
              <w:t>3.26.2</w:t>
            </w:r>
          </w:p>
        </w:tc>
        <w:tc>
          <w:tcPr>
            <w:tcW w:w="8364" w:type="dxa"/>
            <w:vAlign w:val="top"/>
          </w:tcPr>
          <w:p w14:paraId="47FF2EEE" w14:textId="77777777"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The Market Participant continues to have the following insurances:</w:t>
            </w:r>
          </w:p>
          <w:p w14:paraId="23B82F4A" w14:textId="77777777" w:rsidR="007D4085" w:rsidRPr="007D4085" w:rsidRDefault="007D4085" w:rsidP="007D4085">
            <w:pPr>
              <w:spacing w:after="200" w:line="240" w:lineRule="atLeast"/>
              <w:jc w:val="both"/>
              <w:rPr>
                <w:rFonts w:asciiTheme="minorHAnsi" w:hAnsiTheme="minorHAnsi" w:cs="Arial"/>
                <w:sz w:val="22"/>
                <w:szCs w:val="20"/>
              </w:rPr>
            </w:pPr>
          </w:p>
          <w:p w14:paraId="6BFAE0A7" w14:textId="77777777" w:rsidR="007D4085" w:rsidRPr="007D4085" w:rsidRDefault="007D4085" w:rsidP="007D4085">
            <w:pPr>
              <w:numPr>
                <w:ilvl w:val="0"/>
                <w:numId w:val="7"/>
              </w:numPr>
              <w:spacing w:after="200" w:line="240" w:lineRule="atLeast"/>
              <w:ind w:left="488" w:hanging="488"/>
              <w:contextualSpacing/>
              <w:jc w:val="both"/>
              <w:rPr>
                <w:rFonts w:asciiTheme="minorHAnsi" w:hAnsiTheme="minorHAnsi" w:cs="Arial"/>
                <w:sz w:val="22"/>
                <w:szCs w:val="20"/>
              </w:rPr>
            </w:pPr>
            <w:r w:rsidRPr="007D4085">
              <w:rPr>
                <w:rFonts w:asciiTheme="minorHAnsi" w:hAnsiTheme="minorHAnsi" w:cs="Arial"/>
                <w:sz w:val="22"/>
                <w:szCs w:val="20"/>
              </w:rPr>
              <w:t>Professional indemnity insurance; and</w:t>
            </w:r>
          </w:p>
          <w:p w14:paraId="12895E68" w14:textId="77777777" w:rsidR="007D4085" w:rsidRPr="007D4085" w:rsidRDefault="007D4085" w:rsidP="007D4085">
            <w:pPr>
              <w:numPr>
                <w:ilvl w:val="0"/>
                <w:numId w:val="7"/>
              </w:numPr>
              <w:spacing w:after="200" w:line="240" w:lineRule="atLeast"/>
              <w:ind w:left="488" w:hanging="488"/>
              <w:contextualSpacing/>
              <w:jc w:val="both"/>
              <w:rPr>
                <w:rFonts w:asciiTheme="minorHAnsi" w:hAnsiTheme="minorHAnsi" w:cs="Arial"/>
                <w:sz w:val="22"/>
                <w:szCs w:val="20"/>
              </w:rPr>
            </w:pPr>
            <w:r w:rsidRPr="007D4085">
              <w:rPr>
                <w:rFonts w:asciiTheme="minorHAnsi" w:hAnsiTheme="minorHAnsi" w:cs="Arial"/>
                <w:sz w:val="22"/>
                <w:szCs w:val="20"/>
              </w:rPr>
              <w:t>Directors’ and officers’ liability insurance (when applicable to the legal structure of the Market Participant).</w:t>
            </w:r>
          </w:p>
        </w:tc>
        <w:tc>
          <w:tcPr>
            <w:tcW w:w="1122" w:type="dxa"/>
            <w:vAlign w:val="top"/>
          </w:tcPr>
          <w:p w14:paraId="3AF77973"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2FAF70F"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1EE5895E" w14:textId="77777777" w:rsidTr="00DE6DD5">
        <w:trPr>
          <w:trHeight w:val="434"/>
        </w:trPr>
        <w:tc>
          <w:tcPr>
            <w:tcW w:w="1213" w:type="dxa"/>
            <w:vAlign w:val="top"/>
          </w:tcPr>
          <w:p w14:paraId="57DE9377"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lastRenderedPageBreak/>
              <w:t>3.26.3(f)</w:t>
            </w:r>
          </w:p>
        </w:tc>
        <w:tc>
          <w:tcPr>
            <w:tcW w:w="8364" w:type="dxa"/>
            <w:vAlign w:val="top"/>
          </w:tcPr>
          <w:p w14:paraId="10CC1BC4" w14:textId="17508400"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in writing of any material change to the amount of the Market Participant’s insurance.</w:t>
            </w:r>
          </w:p>
        </w:tc>
        <w:tc>
          <w:tcPr>
            <w:tcW w:w="1122" w:type="dxa"/>
            <w:vAlign w:val="top"/>
          </w:tcPr>
          <w:p w14:paraId="0151F863"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0B29AB3"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CFAC5D6" w14:textId="77777777" w:rsidTr="00DE6DD5">
        <w:trPr>
          <w:trHeight w:val="395"/>
        </w:trPr>
        <w:tc>
          <w:tcPr>
            <w:tcW w:w="1213" w:type="dxa"/>
            <w:vAlign w:val="top"/>
          </w:tcPr>
          <w:p w14:paraId="66D38CE6"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3.26.4</w:t>
            </w:r>
          </w:p>
        </w:tc>
        <w:tc>
          <w:tcPr>
            <w:tcW w:w="8364" w:type="dxa"/>
            <w:vAlign w:val="top"/>
          </w:tcPr>
          <w:p w14:paraId="5CD144C5" w14:textId="06E4BB43"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material claim on any insurance policy that is relevant to the Broking Business of that Market Participant.</w:t>
            </w:r>
          </w:p>
        </w:tc>
        <w:tc>
          <w:tcPr>
            <w:tcW w:w="1122" w:type="dxa"/>
            <w:vAlign w:val="top"/>
          </w:tcPr>
          <w:p w14:paraId="63482503"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61C0D00F"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5CC76DA5" w14:textId="77777777" w:rsidTr="00DE6DD5">
        <w:trPr>
          <w:trHeight w:val="468"/>
        </w:trPr>
        <w:tc>
          <w:tcPr>
            <w:tcW w:w="1213" w:type="dxa"/>
            <w:vAlign w:val="top"/>
          </w:tcPr>
          <w:p w14:paraId="7B847C47"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3.28.2</w:t>
            </w:r>
          </w:p>
        </w:tc>
        <w:tc>
          <w:tcPr>
            <w:tcW w:w="8364" w:type="dxa"/>
            <w:vAlign w:val="top"/>
          </w:tcPr>
          <w:p w14:paraId="24A0B252" w14:textId="0FF0A2DA"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updated NZX in writing of any change to its emergency contact details within 1 Business Day of the change being made.</w:t>
            </w:r>
          </w:p>
        </w:tc>
        <w:tc>
          <w:tcPr>
            <w:tcW w:w="1122" w:type="dxa"/>
            <w:vAlign w:val="top"/>
          </w:tcPr>
          <w:p w14:paraId="43E5B773"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EBB9170"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25A4891E" w14:textId="77777777" w:rsidTr="00DE6DD5">
        <w:trPr>
          <w:trHeight w:val="636"/>
        </w:trPr>
        <w:tc>
          <w:tcPr>
            <w:tcW w:w="1213" w:type="dxa"/>
            <w:vAlign w:val="top"/>
          </w:tcPr>
          <w:p w14:paraId="69C64BB9"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3.29(a)</w:t>
            </w:r>
          </w:p>
        </w:tc>
        <w:tc>
          <w:tcPr>
            <w:tcW w:w="8364" w:type="dxa"/>
            <w:vAlign w:val="top"/>
          </w:tcPr>
          <w:p w14:paraId="7753F0EA" w14:textId="1DA450CD"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change to its accounting software vendor (if applicable) within 10 or 20 Business Days’ (as determined by the impact on the Trading System, the Clearing House System, or the Depository System) of the change being made.</w:t>
            </w:r>
          </w:p>
        </w:tc>
        <w:tc>
          <w:tcPr>
            <w:tcW w:w="1122" w:type="dxa"/>
            <w:vAlign w:val="top"/>
          </w:tcPr>
          <w:p w14:paraId="6A4E32BF"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4FDBF66"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58D352FC" w14:textId="77777777" w:rsidTr="00DE6DD5">
        <w:trPr>
          <w:trHeight w:val="462"/>
        </w:trPr>
        <w:tc>
          <w:tcPr>
            <w:tcW w:w="1213" w:type="dxa"/>
            <w:vAlign w:val="top"/>
          </w:tcPr>
          <w:p w14:paraId="342D0E4E"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3.29(b)</w:t>
            </w:r>
          </w:p>
        </w:tc>
        <w:tc>
          <w:tcPr>
            <w:tcW w:w="8364" w:type="dxa"/>
            <w:vAlign w:val="top"/>
          </w:tcPr>
          <w:p w14:paraId="3F8A87F9" w14:textId="43BC8683"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change to the Market Participant’s name within 10 Business Days of the change being made.</w:t>
            </w:r>
          </w:p>
        </w:tc>
        <w:tc>
          <w:tcPr>
            <w:tcW w:w="1122" w:type="dxa"/>
            <w:vAlign w:val="top"/>
          </w:tcPr>
          <w:p w14:paraId="408F39C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1A8EE85"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40D447C5" w14:textId="77777777" w:rsidTr="00DE6DD5">
        <w:trPr>
          <w:trHeight w:val="462"/>
        </w:trPr>
        <w:tc>
          <w:tcPr>
            <w:tcW w:w="1213" w:type="dxa"/>
            <w:vAlign w:val="top"/>
          </w:tcPr>
          <w:p w14:paraId="3E237240"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3.29(c)</w:t>
            </w:r>
          </w:p>
        </w:tc>
        <w:tc>
          <w:tcPr>
            <w:tcW w:w="8364" w:type="dxa"/>
            <w:vAlign w:val="top"/>
          </w:tcPr>
          <w:p w14:paraId="70E2DFE2" w14:textId="328138B7"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change to the location of the Market Participant’s Broking Offices within 10 Business Days of the change being made.</w:t>
            </w:r>
          </w:p>
        </w:tc>
        <w:tc>
          <w:tcPr>
            <w:tcW w:w="1122" w:type="dxa"/>
            <w:vAlign w:val="top"/>
          </w:tcPr>
          <w:p w14:paraId="4AB3CAC0"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6E760615"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643597FF" w14:textId="77777777" w:rsidTr="00DE6DD5">
        <w:trPr>
          <w:trHeight w:val="231"/>
        </w:trPr>
        <w:tc>
          <w:tcPr>
            <w:tcW w:w="1213" w:type="dxa"/>
            <w:shd w:val="clear" w:color="auto" w:fill="D6EAF6" w:themeFill="accent2" w:themeFillTint="33"/>
            <w:vAlign w:val="top"/>
          </w:tcPr>
          <w:p w14:paraId="2AD21906"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4</w:t>
            </w:r>
          </w:p>
        </w:tc>
        <w:tc>
          <w:tcPr>
            <w:tcW w:w="8364" w:type="dxa"/>
            <w:shd w:val="clear" w:color="auto" w:fill="D6EAF6" w:themeFill="accent2" w:themeFillTint="33"/>
            <w:vAlign w:val="top"/>
          </w:tcPr>
          <w:p w14:paraId="5916C775"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Trading Participants (all Trading Participants)</w:t>
            </w:r>
          </w:p>
        </w:tc>
        <w:tc>
          <w:tcPr>
            <w:tcW w:w="1122" w:type="dxa"/>
            <w:shd w:val="clear" w:color="auto" w:fill="D6EAF6" w:themeFill="accent2" w:themeFillTint="33"/>
            <w:vAlign w:val="top"/>
          </w:tcPr>
          <w:p w14:paraId="59EEA9E5"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33F8A097"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177AC4ED" w14:textId="77777777" w:rsidTr="00DE6DD5">
        <w:trPr>
          <w:trHeight w:val="464"/>
        </w:trPr>
        <w:tc>
          <w:tcPr>
            <w:tcW w:w="1213" w:type="dxa"/>
            <w:vAlign w:val="top"/>
          </w:tcPr>
          <w:p w14:paraId="7714F4FD"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4.6(c)</w:t>
            </w:r>
          </w:p>
        </w:tc>
        <w:tc>
          <w:tcPr>
            <w:tcW w:w="8364" w:type="dxa"/>
            <w:vAlign w:val="top"/>
          </w:tcPr>
          <w:p w14:paraId="7A078891" w14:textId="2269984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Trading Participant notified NZX in writing of any changes to the Trading Participant’s Dealer(s) within 5 Business Days of the change being made.</w:t>
            </w:r>
          </w:p>
        </w:tc>
        <w:tc>
          <w:tcPr>
            <w:tcW w:w="1122" w:type="dxa"/>
            <w:vAlign w:val="top"/>
          </w:tcPr>
          <w:p w14:paraId="0E0F09D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71F9CEAD"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3157C93" w14:textId="77777777" w:rsidTr="00DE6DD5">
        <w:trPr>
          <w:trHeight w:val="233"/>
        </w:trPr>
        <w:tc>
          <w:tcPr>
            <w:tcW w:w="1213" w:type="dxa"/>
            <w:shd w:val="clear" w:color="auto" w:fill="D6EAF6" w:themeFill="accent2" w:themeFillTint="33"/>
            <w:vAlign w:val="top"/>
          </w:tcPr>
          <w:p w14:paraId="5BE17829"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5</w:t>
            </w:r>
          </w:p>
        </w:tc>
        <w:tc>
          <w:tcPr>
            <w:tcW w:w="8364" w:type="dxa"/>
            <w:shd w:val="clear" w:color="auto" w:fill="D6EAF6" w:themeFill="accent2" w:themeFillTint="33"/>
            <w:vAlign w:val="top"/>
          </w:tcPr>
          <w:p w14:paraId="73CBA258"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Client Advising Participants (all Client Advising Participants)</w:t>
            </w:r>
          </w:p>
        </w:tc>
        <w:tc>
          <w:tcPr>
            <w:tcW w:w="1122" w:type="dxa"/>
            <w:shd w:val="clear" w:color="auto" w:fill="D6EAF6" w:themeFill="accent2" w:themeFillTint="33"/>
            <w:vAlign w:val="top"/>
          </w:tcPr>
          <w:p w14:paraId="662007EC"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75DCCF9C"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6EF31379" w14:textId="77777777" w:rsidTr="00DE6DD5">
        <w:trPr>
          <w:trHeight w:val="636"/>
        </w:trPr>
        <w:tc>
          <w:tcPr>
            <w:tcW w:w="1213" w:type="dxa"/>
            <w:vAlign w:val="top"/>
          </w:tcPr>
          <w:p w14:paraId="5A58D244"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5.2</w:t>
            </w:r>
          </w:p>
        </w:tc>
        <w:tc>
          <w:tcPr>
            <w:tcW w:w="8364" w:type="dxa"/>
            <w:vAlign w:val="top"/>
          </w:tcPr>
          <w:p w14:paraId="1C8763C1" w14:textId="4802ABF0" w:rsidR="007D4085" w:rsidRPr="007D4085" w:rsidRDefault="007D4085" w:rsidP="007D4085">
            <w:pPr>
              <w:spacing w:after="200" w:line="240" w:lineRule="atLeast"/>
              <w:jc w:val="both"/>
              <w:rPr>
                <w:rFonts w:asciiTheme="minorHAnsi" w:hAnsiTheme="minorHAnsi" w:cs="Arial"/>
                <w:b/>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Client Advising Participant ensured that all persons who provided advice to clients on transactions relating to NZX Listed Products (except those quoted on the NZX Derivatives Market for which a separate designation is required) were designated NZX Advisers.</w:t>
            </w:r>
          </w:p>
        </w:tc>
        <w:tc>
          <w:tcPr>
            <w:tcW w:w="1122" w:type="dxa"/>
            <w:vAlign w:val="top"/>
          </w:tcPr>
          <w:p w14:paraId="110AAFE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620B84D0"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41EFAB23" w14:textId="77777777" w:rsidTr="00DE6DD5">
        <w:trPr>
          <w:trHeight w:val="636"/>
        </w:trPr>
        <w:tc>
          <w:tcPr>
            <w:tcW w:w="1213" w:type="dxa"/>
            <w:vAlign w:val="top"/>
          </w:tcPr>
          <w:p w14:paraId="7E3F0915"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lastRenderedPageBreak/>
              <w:t>5.7.1</w:t>
            </w:r>
          </w:p>
        </w:tc>
        <w:tc>
          <w:tcPr>
            <w:tcW w:w="8364" w:type="dxa"/>
            <w:vAlign w:val="top"/>
          </w:tcPr>
          <w:p w14:paraId="534C5BD8" w14:textId="298AE41D"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Client Advising Participant immediately notified NZX whenever an Adviser had: </w:t>
            </w:r>
          </w:p>
          <w:p w14:paraId="336C58FE" w14:textId="77777777" w:rsidR="007D4085" w:rsidRPr="007D4085" w:rsidRDefault="007D4085" w:rsidP="007D4085">
            <w:pPr>
              <w:spacing w:after="200" w:line="240" w:lineRule="atLeast"/>
              <w:jc w:val="both"/>
              <w:rPr>
                <w:rFonts w:asciiTheme="minorHAnsi" w:hAnsiTheme="minorHAnsi" w:cs="Arial"/>
                <w:sz w:val="22"/>
                <w:szCs w:val="20"/>
              </w:rPr>
            </w:pPr>
          </w:p>
          <w:p w14:paraId="5E9ED4D9" w14:textId="77777777" w:rsidR="007D4085" w:rsidRPr="007D4085" w:rsidRDefault="007D4085" w:rsidP="007D4085">
            <w:pPr>
              <w:numPr>
                <w:ilvl w:val="0"/>
                <w:numId w:val="17"/>
              </w:numPr>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 xml:space="preserve">Commenced employment or contractual relations with; or </w:t>
            </w:r>
          </w:p>
          <w:p w14:paraId="0E587B1A" w14:textId="77777777" w:rsidR="007D4085" w:rsidRPr="007D4085" w:rsidRDefault="007D4085" w:rsidP="007D4085">
            <w:pPr>
              <w:numPr>
                <w:ilvl w:val="0"/>
                <w:numId w:val="17"/>
              </w:numPr>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Ceased to be employed by or contracted to, that Client Advising Participant.</w:t>
            </w:r>
          </w:p>
        </w:tc>
        <w:tc>
          <w:tcPr>
            <w:tcW w:w="1122" w:type="dxa"/>
            <w:vAlign w:val="top"/>
          </w:tcPr>
          <w:p w14:paraId="737747FE"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211DA47"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7760D7AB" w14:textId="77777777" w:rsidTr="00DE6DD5">
        <w:trPr>
          <w:trHeight w:val="156"/>
        </w:trPr>
        <w:tc>
          <w:tcPr>
            <w:tcW w:w="1213" w:type="dxa"/>
            <w:shd w:val="clear" w:color="auto" w:fill="D6EAF6" w:themeFill="accent2" w:themeFillTint="33"/>
            <w:vAlign w:val="top"/>
          </w:tcPr>
          <w:p w14:paraId="22853349"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6</w:t>
            </w:r>
          </w:p>
        </w:tc>
        <w:tc>
          <w:tcPr>
            <w:tcW w:w="8364" w:type="dxa"/>
            <w:shd w:val="clear" w:color="auto" w:fill="D6EAF6" w:themeFill="accent2" w:themeFillTint="33"/>
            <w:vAlign w:val="top"/>
          </w:tcPr>
          <w:p w14:paraId="6B0D3BA1"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Clearing Arrangements</w:t>
            </w:r>
          </w:p>
        </w:tc>
        <w:tc>
          <w:tcPr>
            <w:tcW w:w="1122" w:type="dxa"/>
            <w:shd w:val="clear" w:color="auto" w:fill="D6EAF6" w:themeFill="accent2" w:themeFillTint="33"/>
            <w:vAlign w:val="top"/>
          </w:tcPr>
          <w:p w14:paraId="75B56D98"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4C3A65D1"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20CF213A" w14:textId="77777777" w:rsidTr="00DE6DD5">
        <w:trPr>
          <w:trHeight w:val="212"/>
        </w:trPr>
        <w:tc>
          <w:tcPr>
            <w:tcW w:w="1213" w:type="dxa"/>
            <w:vAlign w:val="top"/>
          </w:tcPr>
          <w:p w14:paraId="593EA5AB"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6.3.1</w:t>
            </w:r>
          </w:p>
        </w:tc>
        <w:tc>
          <w:tcPr>
            <w:tcW w:w="8364" w:type="dxa"/>
            <w:vAlign w:val="top"/>
          </w:tcPr>
          <w:p w14:paraId="53667659" w14:textId="505E02C7" w:rsidR="007D4085" w:rsidRPr="007D4085" w:rsidRDefault="007D4085" w:rsidP="007D4085">
            <w:pPr>
              <w:spacing w:after="200" w:line="240" w:lineRule="atLeast"/>
              <w:jc w:val="both"/>
              <w:rPr>
                <w:rFonts w:asciiTheme="minorHAnsi" w:hAnsiTheme="minorHAnsi" w:cs="Arial"/>
                <w:b/>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Trading Participant (not being a Clearing Participant) was party to and maintained a separate written agreement with each of its Clearing Participant(s) and had given NZX a copy of each of its C&amp;S Agreements.</w:t>
            </w:r>
          </w:p>
        </w:tc>
        <w:tc>
          <w:tcPr>
            <w:tcW w:w="1122" w:type="dxa"/>
            <w:vAlign w:val="top"/>
          </w:tcPr>
          <w:p w14:paraId="1CD71D62"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038F0568"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C64EA47" w14:textId="77777777" w:rsidTr="00DE6DD5">
        <w:trPr>
          <w:trHeight w:val="212"/>
        </w:trPr>
        <w:tc>
          <w:tcPr>
            <w:tcW w:w="1213" w:type="dxa"/>
            <w:vAlign w:val="top"/>
          </w:tcPr>
          <w:p w14:paraId="453A7B9F" w14:textId="77777777" w:rsidR="007D4085" w:rsidRPr="007D4085" w:rsidRDefault="007D4085" w:rsidP="007D4085">
            <w:pPr>
              <w:spacing w:after="200" w:line="240" w:lineRule="atLeast"/>
              <w:jc w:val="center"/>
              <w:rPr>
                <w:rFonts w:asciiTheme="minorHAnsi" w:hAnsiTheme="minorHAnsi" w:cs="Arial"/>
                <w:sz w:val="22"/>
                <w:szCs w:val="20"/>
              </w:rPr>
            </w:pPr>
            <w:r w:rsidRPr="007D4085">
              <w:rPr>
                <w:rFonts w:asciiTheme="minorHAnsi" w:hAnsiTheme="minorHAnsi" w:cs="Arial"/>
                <w:sz w:val="22"/>
                <w:szCs w:val="20"/>
              </w:rPr>
              <w:t>6.3.2</w:t>
            </w:r>
          </w:p>
        </w:tc>
        <w:tc>
          <w:tcPr>
            <w:tcW w:w="8364" w:type="dxa"/>
            <w:vAlign w:val="top"/>
          </w:tcPr>
          <w:p w14:paraId="6FA55C86" w14:textId="419D68C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Trading Participant notified NZX of any amendments to any of its C&amp;S Agreements at least 10 Business Days before the amendments became effective.</w:t>
            </w:r>
          </w:p>
        </w:tc>
        <w:tc>
          <w:tcPr>
            <w:tcW w:w="1122" w:type="dxa"/>
            <w:vAlign w:val="top"/>
          </w:tcPr>
          <w:p w14:paraId="35DB71BF"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3EA789F9"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6570AB80" w14:textId="77777777" w:rsidTr="00DE6DD5">
        <w:trPr>
          <w:trHeight w:val="212"/>
        </w:trPr>
        <w:tc>
          <w:tcPr>
            <w:tcW w:w="1213" w:type="dxa"/>
            <w:shd w:val="clear" w:color="auto" w:fill="D6EAF6" w:themeFill="accent2" w:themeFillTint="33"/>
            <w:vAlign w:val="top"/>
          </w:tcPr>
          <w:p w14:paraId="067C70F3"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8</w:t>
            </w:r>
          </w:p>
        </w:tc>
        <w:tc>
          <w:tcPr>
            <w:tcW w:w="8364" w:type="dxa"/>
            <w:shd w:val="clear" w:color="auto" w:fill="D6EAF6" w:themeFill="accent2" w:themeFillTint="33"/>
            <w:vAlign w:val="top"/>
          </w:tcPr>
          <w:p w14:paraId="6F05D4DE"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General Obligations (all Market Participants)</w:t>
            </w:r>
          </w:p>
        </w:tc>
        <w:tc>
          <w:tcPr>
            <w:tcW w:w="1122" w:type="dxa"/>
            <w:shd w:val="clear" w:color="auto" w:fill="D6EAF6" w:themeFill="accent2" w:themeFillTint="33"/>
            <w:vAlign w:val="top"/>
          </w:tcPr>
          <w:p w14:paraId="4DC44A80"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7E6AE218"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38F74607" w14:textId="77777777" w:rsidTr="00DE6DD5">
        <w:trPr>
          <w:trHeight w:val="636"/>
        </w:trPr>
        <w:tc>
          <w:tcPr>
            <w:tcW w:w="1213" w:type="dxa"/>
            <w:vAlign w:val="top"/>
          </w:tcPr>
          <w:p w14:paraId="2E704636" w14:textId="77777777" w:rsidR="007D4085" w:rsidRPr="007D4085" w:rsidRDefault="007D4085" w:rsidP="007D4085">
            <w:pPr>
              <w:spacing w:after="200" w:line="240" w:lineRule="atLeast"/>
              <w:jc w:val="center"/>
              <w:rPr>
                <w:rFonts w:ascii="Tahoma" w:hAnsi="Tahoma" w:cs="Tahoma"/>
                <w:sz w:val="16"/>
                <w:szCs w:val="20"/>
              </w:rPr>
            </w:pPr>
            <w:r w:rsidRPr="007D4085">
              <w:rPr>
                <w:rFonts w:asciiTheme="minorHAnsi" w:hAnsiTheme="minorHAnsi"/>
                <w:sz w:val="22"/>
                <w:szCs w:val="20"/>
              </w:rPr>
              <w:t>8.7.3</w:t>
            </w:r>
          </w:p>
        </w:tc>
        <w:tc>
          <w:tcPr>
            <w:tcW w:w="8364" w:type="dxa"/>
            <w:vAlign w:val="top"/>
          </w:tcPr>
          <w:p w14:paraId="244250FF" w14:textId="4EC8937F"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of any change in the:</w:t>
            </w:r>
          </w:p>
          <w:p w14:paraId="1F2A1623" w14:textId="77777777" w:rsidR="007D4085" w:rsidRPr="007D4085" w:rsidRDefault="007D4085" w:rsidP="007D4085">
            <w:pPr>
              <w:spacing w:after="200" w:line="240" w:lineRule="atLeast"/>
              <w:jc w:val="both"/>
              <w:rPr>
                <w:rFonts w:asciiTheme="minorHAnsi" w:hAnsiTheme="minorHAnsi" w:cs="Arial"/>
                <w:sz w:val="22"/>
                <w:szCs w:val="20"/>
              </w:rPr>
            </w:pPr>
          </w:p>
          <w:p w14:paraId="2CA00BD7" w14:textId="77777777" w:rsidR="007D4085" w:rsidRPr="007D4085" w:rsidRDefault="007D4085" w:rsidP="007D4085">
            <w:pPr>
              <w:numPr>
                <w:ilvl w:val="0"/>
                <w:numId w:val="19"/>
              </w:numPr>
              <w:tabs>
                <w:tab w:val="left" w:pos="488"/>
              </w:tabs>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 xml:space="preserve">Legal or Beneficial Ownership of any shares in the Market Participant that is a company; or </w:t>
            </w:r>
          </w:p>
          <w:p w14:paraId="12F309C1" w14:textId="77777777" w:rsidR="007D4085" w:rsidRPr="007D4085" w:rsidRDefault="007D4085" w:rsidP="007D4085">
            <w:pPr>
              <w:numPr>
                <w:ilvl w:val="0"/>
                <w:numId w:val="19"/>
              </w:numPr>
              <w:tabs>
                <w:tab w:val="left" w:pos="488"/>
              </w:tabs>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 xml:space="preserve">Partners of a Market Participant that is a partnership, </w:t>
            </w:r>
          </w:p>
          <w:p w14:paraId="10C9F201" w14:textId="77777777" w:rsidR="007D4085" w:rsidRPr="007D4085" w:rsidRDefault="007D4085" w:rsidP="007D4085">
            <w:pPr>
              <w:spacing w:after="200" w:line="240" w:lineRule="atLeast"/>
              <w:jc w:val="both"/>
              <w:rPr>
                <w:rFonts w:asciiTheme="minorHAnsi" w:hAnsiTheme="minorHAnsi" w:cs="Arial"/>
                <w:sz w:val="22"/>
                <w:szCs w:val="20"/>
              </w:rPr>
            </w:pPr>
          </w:p>
          <w:p w14:paraId="2E55CF61" w14:textId="77777777" w:rsidR="007D4085" w:rsidRPr="007D4085" w:rsidRDefault="007D4085" w:rsidP="007D4085">
            <w:pPr>
              <w:spacing w:after="200" w:line="240" w:lineRule="atLeast"/>
              <w:jc w:val="both"/>
              <w:rPr>
                <w:rFonts w:ascii="Tahoma" w:hAnsi="Tahoma" w:cs="Arial"/>
                <w:b/>
                <w:sz w:val="16"/>
                <w:szCs w:val="20"/>
              </w:rPr>
            </w:pPr>
            <w:r w:rsidRPr="007D4085">
              <w:rPr>
                <w:rFonts w:asciiTheme="minorHAnsi" w:hAnsiTheme="minorHAnsi" w:cs="Arial"/>
                <w:sz w:val="22"/>
                <w:szCs w:val="20"/>
              </w:rPr>
              <w:t>within 5 days of the change being made.</w:t>
            </w:r>
          </w:p>
        </w:tc>
        <w:tc>
          <w:tcPr>
            <w:tcW w:w="1122" w:type="dxa"/>
            <w:vAlign w:val="top"/>
          </w:tcPr>
          <w:p w14:paraId="2D018CDD"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2F85BED9"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7971F89" w14:textId="77777777" w:rsidTr="00DE6DD5">
        <w:trPr>
          <w:trHeight w:val="420"/>
        </w:trPr>
        <w:tc>
          <w:tcPr>
            <w:tcW w:w="1213" w:type="dxa"/>
            <w:vAlign w:val="top"/>
          </w:tcPr>
          <w:p w14:paraId="0146410E"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8.12.3</w:t>
            </w:r>
          </w:p>
        </w:tc>
        <w:tc>
          <w:tcPr>
            <w:tcW w:w="8364" w:type="dxa"/>
            <w:vAlign w:val="top"/>
          </w:tcPr>
          <w:p w14:paraId="7F3A66A3" w14:textId="7FCF51BD"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there was no emergency which resulted in the Market Participant being unable to comply with its obligations under the NZX Participant Rules.</w:t>
            </w:r>
          </w:p>
        </w:tc>
        <w:tc>
          <w:tcPr>
            <w:tcW w:w="1122" w:type="dxa"/>
            <w:vAlign w:val="top"/>
          </w:tcPr>
          <w:p w14:paraId="7E807007"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2056A8D1"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75B840CA" w14:textId="77777777" w:rsidTr="00DE6DD5">
        <w:trPr>
          <w:trHeight w:val="284"/>
        </w:trPr>
        <w:tc>
          <w:tcPr>
            <w:tcW w:w="1213" w:type="dxa"/>
            <w:shd w:val="clear" w:color="auto" w:fill="D6EAF6" w:themeFill="accent2" w:themeFillTint="33"/>
            <w:vAlign w:val="top"/>
          </w:tcPr>
          <w:p w14:paraId="3BA19ACB"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10</w:t>
            </w:r>
          </w:p>
        </w:tc>
        <w:tc>
          <w:tcPr>
            <w:tcW w:w="8364" w:type="dxa"/>
            <w:shd w:val="clear" w:color="auto" w:fill="D6EAF6" w:themeFill="accent2" w:themeFillTint="33"/>
            <w:vAlign w:val="top"/>
          </w:tcPr>
          <w:p w14:paraId="41BC3749"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Trading – General Obligations when Trading on the Markets Provided by NZX</w:t>
            </w:r>
          </w:p>
        </w:tc>
        <w:tc>
          <w:tcPr>
            <w:tcW w:w="1122" w:type="dxa"/>
            <w:shd w:val="clear" w:color="auto" w:fill="D6EAF6" w:themeFill="accent2" w:themeFillTint="33"/>
            <w:vAlign w:val="top"/>
          </w:tcPr>
          <w:p w14:paraId="6CA1C7AE"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15764816"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5D40A139" w14:textId="77777777" w:rsidTr="00DE6DD5">
        <w:trPr>
          <w:trHeight w:val="289"/>
        </w:trPr>
        <w:tc>
          <w:tcPr>
            <w:tcW w:w="1213" w:type="dxa"/>
            <w:vAlign w:val="top"/>
          </w:tcPr>
          <w:p w14:paraId="389A8C8E" w14:textId="77777777" w:rsidR="007D4085" w:rsidRPr="007D4085" w:rsidRDefault="007D4085" w:rsidP="007D4085">
            <w:pPr>
              <w:autoSpaceDE w:val="0"/>
              <w:autoSpaceDN w:val="0"/>
              <w:adjustRightInd w:val="0"/>
              <w:jc w:val="center"/>
              <w:textAlignment w:val="center"/>
              <w:rPr>
                <w:rFonts w:asciiTheme="minorHAnsi" w:hAnsiTheme="minorHAnsi" w:cs="Arial"/>
                <w:bCs/>
                <w:color w:val="000000"/>
                <w:szCs w:val="20"/>
                <w:lang w:val="en-GB"/>
              </w:rPr>
            </w:pPr>
            <w:r w:rsidRPr="007D4085">
              <w:rPr>
                <w:rFonts w:asciiTheme="minorHAnsi" w:hAnsiTheme="minorHAnsi" w:cs="Arial"/>
                <w:bCs/>
                <w:color w:val="000000"/>
                <w:szCs w:val="20"/>
                <w:lang w:val="en-GB"/>
              </w:rPr>
              <w:lastRenderedPageBreak/>
              <w:t>10.5.11</w:t>
            </w:r>
          </w:p>
        </w:tc>
        <w:tc>
          <w:tcPr>
            <w:tcW w:w="8364" w:type="dxa"/>
            <w:vAlign w:val="top"/>
          </w:tcPr>
          <w:p w14:paraId="1C0EF124" w14:textId="4F7FC15C" w:rsidR="007D4085" w:rsidRPr="007D4085" w:rsidRDefault="007D4085" w:rsidP="007D4085">
            <w:pPr>
              <w:autoSpaceDE w:val="0"/>
              <w:autoSpaceDN w:val="0"/>
              <w:adjustRightInd w:val="0"/>
              <w:jc w:val="both"/>
              <w:textAlignment w:val="center"/>
              <w:rPr>
                <w:rFonts w:asciiTheme="minorHAnsi" w:hAnsiTheme="minorHAnsi" w:cs="Arial"/>
                <w:bCs/>
                <w:color w:val="000000"/>
                <w:szCs w:val="20"/>
                <w:lang w:val="en-GB"/>
              </w:rPr>
            </w:pPr>
            <w:r w:rsidRPr="007D4085">
              <w:rPr>
                <w:rFonts w:asciiTheme="minorHAnsi" w:hAnsiTheme="minorHAnsi" w:cs="Arial"/>
                <w:bCs/>
                <w:color w:val="000000"/>
                <w:szCs w:val="20"/>
                <w:lang w:val="en-GB"/>
              </w:rPr>
              <w:t xml:space="preserve">During this </w:t>
            </w:r>
            <w:r>
              <w:rPr>
                <w:rFonts w:asciiTheme="minorHAnsi" w:hAnsiTheme="minorHAnsi" w:cs="Arial"/>
                <w:bCs/>
                <w:color w:val="000000"/>
                <w:szCs w:val="20"/>
                <w:lang w:val="en-GB"/>
              </w:rPr>
              <w:t>quarter</w:t>
            </w:r>
            <w:r w:rsidRPr="007D4085">
              <w:rPr>
                <w:rFonts w:asciiTheme="minorHAnsi" w:hAnsiTheme="minorHAnsi" w:cs="Arial"/>
                <w:bCs/>
                <w:color w:val="000000"/>
                <w:szCs w:val="20"/>
                <w:lang w:val="en-GB"/>
              </w:rPr>
              <w:t>, the Trading Participant took reasonable steps to ensure that:</w:t>
            </w:r>
          </w:p>
          <w:p w14:paraId="0445A57C" w14:textId="77777777" w:rsidR="007D4085" w:rsidRPr="007D4085" w:rsidRDefault="007D4085" w:rsidP="007D4085">
            <w:pPr>
              <w:autoSpaceDE w:val="0"/>
              <w:autoSpaceDN w:val="0"/>
              <w:adjustRightInd w:val="0"/>
              <w:jc w:val="both"/>
              <w:textAlignment w:val="center"/>
              <w:rPr>
                <w:rFonts w:asciiTheme="minorHAnsi" w:hAnsiTheme="minorHAnsi" w:cs="Arial"/>
                <w:bCs/>
                <w:color w:val="000000"/>
                <w:szCs w:val="20"/>
                <w:lang w:val="en-GB"/>
              </w:rPr>
            </w:pPr>
          </w:p>
          <w:p w14:paraId="7EEA2A62" w14:textId="77777777" w:rsidR="007D4085" w:rsidRPr="007D4085" w:rsidRDefault="007D4085" w:rsidP="007D4085">
            <w:pPr>
              <w:numPr>
                <w:ilvl w:val="0"/>
                <w:numId w:val="20"/>
              </w:numPr>
              <w:spacing w:after="200" w:line="240" w:lineRule="atLeast"/>
              <w:contextualSpacing/>
              <w:jc w:val="both"/>
              <w:rPr>
                <w:rFonts w:asciiTheme="minorHAnsi" w:hAnsiTheme="minorHAnsi"/>
                <w:b/>
                <w:sz w:val="22"/>
                <w:szCs w:val="20"/>
              </w:rPr>
            </w:pPr>
            <w:r w:rsidRPr="007D4085">
              <w:rPr>
                <w:rFonts w:asciiTheme="minorHAnsi" w:hAnsiTheme="minorHAnsi" w:cs="Arial"/>
                <w:sz w:val="22"/>
                <w:szCs w:val="20"/>
              </w:rPr>
              <w:t>It did not operate an account for a Prescribed Person of another Trading Participant or NZX Advising Firm; and</w:t>
            </w:r>
          </w:p>
          <w:p w14:paraId="7868F579" w14:textId="77777777" w:rsidR="007D4085" w:rsidRPr="007D4085" w:rsidRDefault="007D4085" w:rsidP="007D4085">
            <w:pPr>
              <w:numPr>
                <w:ilvl w:val="0"/>
                <w:numId w:val="20"/>
              </w:numPr>
              <w:spacing w:after="200" w:line="240" w:lineRule="atLeast"/>
              <w:contextualSpacing/>
              <w:jc w:val="both"/>
              <w:rPr>
                <w:rFonts w:asciiTheme="minorHAnsi" w:hAnsiTheme="minorHAnsi"/>
                <w:sz w:val="22"/>
                <w:szCs w:val="20"/>
              </w:rPr>
            </w:pPr>
            <w:proofErr w:type="gramStart"/>
            <w:r w:rsidRPr="007D4085">
              <w:rPr>
                <w:rFonts w:asciiTheme="minorHAnsi" w:hAnsiTheme="minorHAnsi" w:cs="Arial"/>
                <w:sz w:val="22"/>
                <w:szCs w:val="20"/>
              </w:rPr>
              <w:t>It’s</w:t>
            </w:r>
            <w:proofErr w:type="gramEnd"/>
            <w:r w:rsidRPr="007D4085">
              <w:rPr>
                <w:rFonts w:asciiTheme="minorHAnsi" w:hAnsiTheme="minorHAnsi" w:cs="Arial"/>
                <w:sz w:val="22"/>
                <w:szCs w:val="20"/>
              </w:rPr>
              <w:t xml:space="preserve"> Prescribed Persons did not have accounts with any other Trading Participant or NZX Advising Firm.</w:t>
            </w:r>
          </w:p>
          <w:p w14:paraId="6D9E172B" w14:textId="77777777" w:rsidR="007D4085" w:rsidRPr="007D4085" w:rsidRDefault="007D4085" w:rsidP="007D4085">
            <w:pPr>
              <w:spacing w:after="200" w:line="240" w:lineRule="atLeast"/>
              <w:ind w:left="488" w:hanging="488"/>
              <w:jc w:val="both"/>
              <w:rPr>
                <w:rFonts w:asciiTheme="minorHAnsi" w:hAnsiTheme="minorHAnsi"/>
                <w:sz w:val="22"/>
                <w:szCs w:val="20"/>
              </w:rPr>
            </w:pPr>
          </w:p>
          <w:p w14:paraId="64EBC255" w14:textId="77777777" w:rsidR="007D4085" w:rsidRPr="007D4085" w:rsidRDefault="007D4085" w:rsidP="007D4085">
            <w:pPr>
              <w:spacing w:after="200" w:line="240" w:lineRule="atLeast"/>
              <w:ind w:left="488" w:hanging="488"/>
              <w:jc w:val="both"/>
              <w:rPr>
                <w:rFonts w:asciiTheme="minorHAnsi" w:hAnsiTheme="minorHAnsi"/>
                <w:sz w:val="22"/>
              </w:rPr>
            </w:pPr>
            <w:r w:rsidRPr="007D4085">
              <w:rPr>
                <w:rFonts w:asciiTheme="minorHAnsi" w:hAnsiTheme="minorHAnsi"/>
                <w:sz w:val="22"/>
                <w:szCs w:val="20"/>
              </w:rPr>
              <w:t>Except as provided under Rule 10.5.11.</w:t>
            </w:r>
          </w:p>
        </w:tc>
        <w:tc>
          <w:tcPr>
            <w:tcW w:w="1122" w:type="dxa"/>
            <w:vAlign w:val="top"/>
          </w:tcPr>
          <w:p w14:paraId="438B1E81"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vAlign w:val="top"/>
          </w:tcPr>
          <w:p w14:paraId="4B1E1CB8"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15C59E5A" w14:textId="77777777" w:rsidTr="00DE6DD5">
        <w:trPr>
          <w:trHeight w:val="261"/>
        </w:trPr>
        <w:tc>
          <w:tcPr>
            <w:tcW w:w="1213" w:type="dxa"/>
            <w:shd w:val="clear" w:color="auto" w:fill="D6EAF6" w:themeFill="accent2" w:themeFillTint="33"/>
            <w:vAlign w:val="top"/>
          </w:tcPr>
          <w:p w14:paraId="1375F482"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15</w:t>
            </w:r>
          </w:p>
        </w:tc>
        <w:tc>
          <w:tcPr>
            <w:tcW w:w="8364" w:type="dxa"/>
            <w:shd w:val="clear" w:color="auto" w:fill="D6EAF6" w:themeFill="accent2" w:themeFillTint="33"/>
            <w:vAlign w:val="top"/>
          </w:tcPr>
          <w:p w14:paraId="2F31C8D0"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Trading on behalf of a Client (all Client Advising Participants)</w:t>
            </w:r>
          </w:p>
        </w:tc>
        <w:tc>
          <w:tcPr>
            <w:tcW w:w="1122" w:type="dxa"/>
            <w:shd w:val="clear" w:color="auto" w:fill="D6EAF6" w:themeFill="accent2" w:themeFillTint="33"/>
            <w:vAlign w:val="top"/>
          </w:tcPr>
          <w:p w14:paraId="23F1A623"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087F46A3"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22D5AA51" w14:textId="77777777" w:rsidTr="00DE6DD5">
        <w:trPr>
          <w:trHeight w:val="302"/>
        </w:trPr>
        <w:tc>
          <w:tcPr>
            <w:tcW w:w="1213" w:type="dxa"/>
            <w:vAlign w:val="top"/>
          </w:tcPr>
          <w:p w14:paraId="5958B2F1"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15.16.1</w:t>
            </w:r>
          </w:p>
        </w:tc>
        <w:tc>
          <w:tcPr>
            <w:tcW w:w="8364" w:type="dxa"/>
            <w:vAlign w:val="top"/>
          </w:tcPr>
          <w:p w14:paraId="3AD5B5FF" w14:textId="7329D07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all contract notes were made available to Clients as per Rule 15.16 and within the required timeframe.</w:t>
            </w:r>
          </w:p>
        </w:tc>
        <w:tc>
          <w:tcPr>
            <w:tcW w:w="1122" w:type="dxa"/>
            <w:vAlign w:val="top"/>
          </w:tcPr>
          <w:p w14:paraId="33B3C770"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12F6D853"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0066E89D" w14:textId="77777777" w:rsidTr="00DE6DD5">
        <w:trPr>
          <w:trHeight w:val="221"/>
        </w:trPr>
        <w:tc>
          <w:tcPr>
            <w:tcW w:w="1213" w:type="dxa"/>
            <w:shd w:val="clear" w:color="auto" w:fill="D6EAF6" w:themeFill="accent2" w:themeFillTint="33"/>
            <w:vAlign w:val="top"/>
          </w:tcPr>
          <w:p w14:paraId="79F3A7CF"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18</w:t>
            </w:r>
          </w:p>
        </w:tc>
        <w:tc>
          <w:tcPr>
            <w:tcW w:w="8364" w:type="dxa"/>
            <w:shd w:val="clear" w:color="auto" w:fill="D6EAF6" w:themeFill="accent2" w:themeFillTint="33"/>
            <w:vAlign w:val="top"/>
          </w:tcPr>
          <w:p w14:paraId="1379ADDB"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Client Assets (all Market Participants Accepting Client Assets)</w:t>
            </w:r>
          </w:p>
        </w:tc>
        <w:tc>
          <w:tcPr>
            <w:tcW w:w="1122" w:type="dxa"/>
            <w:shd w:val="clear" w:color="auto" w:fill="D6EAF6" w:themeFill="accent2" w:themeFillTint="33"/>
            <w:vAlign w:val="top"/>
          </w:tcPr>
          <w:p w14:paraId="3E0F7590"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721DE855"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6398262F" w14:textId="77777777" w:rsidTr="00DE6DD5">
        <w:trPr>
          <w:trHeight w:val="506"/>
        </w:trPr>
        <w:tc>
          <w:tcPr>
            <w:tcW w:w="1213" w:type="dxa"/>
            <w:vAlign w:val="top"/>
          </w:tcPr>
          <w:p w14:paraId="06F67986"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18.4.1</w:t>
            </w:r>
          </w:p>
        </w:tc>
        <w:tc>
          <w:tcPr>
            <w:tcW w:w="8364" w:type="dxa"/>
            <w:vAlign w:val="top"/>
          </w:tcPr>
          <w:p w14:paraId="38A0BCC8" w14:textId="262E8014" w:rsidR="007D4085" w:rsidRPr="007D4085" w:rsidRDefault="007D4085" w:rsidP="007D4085">
            <w:pPr>
              <w:spacing w:after="200" w:line="240" w:lineRule="atLeast"/>
              <w:jc w:val="both"/>
              <w:rPr>
                <w:rFonts w:asciiTheme="minorHAnsi" w:hAnsiTheme="minorHAnsi" w:cs="Arial"/>
                <w:b/>
                <w:sz w:val="22"/>
                <w:szCs w:val="20"/>
              </w:rPr>
            </w:pPr>
            <w:r w:rsidRPr="007D4085">
              <w:rPr>
                <w:rFonts w:asciiTheme="minorHAnsi" w:hAnsiTheme="minorHAnsi" w:cs="Arial"/>
                <w:sz w:val="22"/>
                <w:szCs w:val="20"/>
              </w:rPr>
              <w:t xml:space="preserve">The Market Participant </w:t>
            </w:r>
            <w:proofErr w:type="gramStart"/>
            <w:r w:rsidRPr="007D4085">
              <w:rPr>
                <w:rFonts w:asciiTheme="minorHAnsi" w:hAnsiTheme="minorHAnsi" w:cs="Arial"/>
                <w:sz w:val="22"/>
                <w:szCs w:val="20"/>
              </w:rPr>
              <w:t>has at all times</w:t>
            </w:r>
            <w:proofErr w:type="gramEnd"/>
            <w:r w:rsidRPr="007D4085">
              <w:rPr>
                <w:rFonts w:asciiTheme="minorHAnsi" w:hAnsiTheme="minorHAnsi" w:cs="Arial"/>
                <w:sz w:val="22"/>
                <w:szCs w:val="20"/>
              </w:rPr>
              <w:t xml:space="preserve"> during this </w:t>
            </w:r>
            <w:r>
              <w:rPr>
                <w:rFonts w:asciiTheme="minorHAnsi" w:hAnsiTheme="minorHAnsi" w:cs="Arial"/>
                <w:sz w:val="22"/>
                <w:szCs w:val="20"/>
              </w:rPr>
              <w:t>quarter</w:t>
            </w:r>
            <w:r w:rsidRPr="007D4085">
              <w:rPr>
                <w:rFonts w:asciiTheme="minorHAnsi" w:hAnsiTheme="minorHAnsi" w:cs="Arial"/>
                <w:sz w:val="22"/>
                <w:szCs w:val="20"/>
              </w:rPr>
              <w:t xml:space="preserve"> ensured that the Total Client Assets held (including any Buffer) equalled or exceeded the total Outstanding Obligations.</w:t>
            </w:r>
          </w:p>
        </w:tc>
        <w:tc>
          <w:tcPr>
            <w:tcW w:w="1122" w:type="dxa"/>
            <w:vAlign w:val="top"/>
          </w:tcPr>
          <w:p w14:paraId="0977283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3B4F12FC"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00AF128" w14:textId="77777777" w:rsidTr="00DE6DD5">
        <w:trPr>
          <w:trHeight w:val="506"/>
        </w:trPr>
        <w:tc>
          <w:tcPr>
            <w:tcW w:w="1213" w:type="dxa"/>
            <w:vAlign w:val="top"/>
          </w:tcPr>
          <w:p w14:paraId="5EFDD4B4"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18.4.2</w:t>
            </w:r>
          </w:p>
        </w:tc>
        <w:tc>
          <w:tcPr>
            <w:tcW w:w="8364" w:type="dxa"/>
            <w:vAlign w:val="top"/>
          </w:tcPr>
          <w:p w14:paraId="4AD5F25A" w14:textId="60F45103" w:rsidR="007D4085" w:rsidRPr="007D4085" w:rsidDel="00463E71"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The Market Participant has at the end of each Business Day during this </w:t>
            </w:r>
            <w:r>
              <w:rPr>
                <w:rFonts w:asciiTheme="minorHAnsi" w:hAnsiTheme="minorHAnsi" w:cs="Arial"/>
                <w:sz w:val="22"/>
                <w:szCs w:val="20"/>
              </w:rPr>
              <w:t>quarter</w:t>
            </w:r>
            <w:r w:rsidRPr="007D4085">
              <w:rPr>
                <w:rFonts w:asciiTheme="minorHAnsi" w:hAnsiTheme="minorHAnsi" w:cs="Arial"/>
                <w:sz w:val="22"/>
                <w:szCs w:val="20"/>
              </w:rPr>
              <w:t xml:space="preserve"> ensured that the Total Client Assets held (excluding any Buffer) equalled the total Outstanding Obligations.</w:t>
            </w:r>
          </w:p>
        </w:tc>
        <w:tc>
          <w:tcPr>
            <w:tcW w:w="1122" w:type="dxa"/>
            <w:vAlign w:val="top"/>
          </w:tcPr>
          <w:p w14:paraId="0CBF554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2337D59F"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5800DB58" w14:textId="77777777" w:rsidTr="00DE6DD5">
        <w:trPr>
          <w:trHeight w:val="177"/>
        </w:trPr>
        <w:tc>
          <w:tcPr>
            <w:tcW w:w="1213" w:type="dxa"/>
            <w:vAlign w:val="top"/>
          </w:tcPr>
          <w:p w14:paraId="2ED24E72"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18.6.1 (a)</w:t>
            </w:r>
          </w:p>
        </w:tc>
        <w:tc>
          <w:tcPr>
            <w:tcW w:w="8364" w:type="dxa"/>
            <w:vAlign w:val="top"/>
          </w:tcPr>
          <w:p w14:paraId="551826C2" w14:textId="77777777"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In respect of all Client Funds Accounts (not being Depository Accounts), the Market Participant holds a written acknowledgement from the Bank in relation to the trust status of the account and confirming that the words “Client Funds Account” appear in the Client Funds Account name.</w:t>
            </w:r>
          </w:p>
        </w:tc>
        <w:tc>
          <w:tcPr>
            <w:tcW w:w="1122" w:type="dxa"/>
            <w:vAlign w:val="top"/>
          </w:tcPr>
          <w:p w14:paraId="1A93B4EC"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2F909069"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23AA9255" w14:textId="77777777" w:rsidTr="00DE6DD5">
        <w:trPr>
          <w:trHeight w:val="487"/>
        </w:trPr>
        <w:tc>
          <w:tcPr>
            <w:tcW w:w="1213" w:type="dxa"/>
            <w:vAlign w:val="top"/>
          </w:tcPr>
          <w:p w14:paraId="33EB9896"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18.6.1(b)</w:t>
            </w:r>
          </w:p>
        </w:tc>
        <w:tc>
          <w:tcPr>
            <w:tcW w:w="8364" w:type="dxa"/>
            <w:vAlign w:val="top"/>
          </w:tcPr>
          <w:p w14:paraId="70496F42" w14:textId="17D4C073" w:rsidR="007D4085" w:rsidRPr="007D4085" w:rsidRDefault="007D4085" w:rsidP="007D4085">
            <w:pPr>
              <w:spacing w:after="200" w:line="240" w:lineRule="atLeast"/>
              <w:jc w:val="both"/>
              <w:rPr>
                <w:rFonts w:ascii="Tahoma" w:hAnsi="Tahoma" w:cs="Arial"/>
                <w:sz w:val="16"/>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did not deposit Client Funds into an account which was not a designated Client Funds Account.</w:t>
            </w:r>
          </w:p>
        </w:tc>
        <w:tc>
          <w:tcPr>
            <w:tcW w:w="1122" w:type="dxa"/>
            <w:vAlign w:val="top"/>
          </w:tcPr>
          <w:p w14:paraId="4C3E1CBB"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05E0FF30"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89DF4A2" w14:textId="77777777" w:rsidTr="00DE6DD5">
        <w:trPr>
          <w:trHeight w:val="524"/>
        </w:trPr>
        <w:tc>
          <w:tcPr>
            <w:tcW w:w="1213" w:type="dxa"/>
            <w:vAlign w:val="top"/>
          </w:tcPr>
          <w:p w14:paraId="61BC7BB4" w14:textId="77777777" w:rsidR="007D4085" w:rsidRPr="007D4085" w:rsidRDefault="007D4085" w:rsidP="007D4085">
            <w:pPr>
              <w:spacing w:after="200" w:line="240" w:lineRule="atLeast"/>
              <w:jc w:val="center"/>
              <w:rPr>
                <w:rFonts w:asciiTheme="minorHAnsi" w:hAnsiTheme="minorHAnsi" w:cs="Tahoma"/>
                <w:sz w:val="22"/>
                <w:szCs w:val="20"/>
              </w:rPr>
            </w:pPr>
            <w:r w:rsidRPr="007D4085">
              <w:rPr>
                <w:rFonts w:asciiTheme="minorHAnsi" w:hAnsiTheme="minorHAnsi"/>
                <w:sz w:val="22"/>
                <w:szCs w:val="20"/>
              </w:rPr>
              <w:lastRenderedPageBreak/>
              <w:t>18.6.1(c)</w:t>
            </w:r>
          </w:p>
        </w:tc>
        <w:tc>
          <w:tcPr>
            <w:tcW w:w="8364" w:type="dxa"/>
            <w:vAlign w:val="top"/>
          </w:tcPr>
          <w:p w14:paraId="16E28468" w14:textId="57E7C5E1"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the Market Participant notified NZX immediately of any changes to any of its Client Funds Accounts.</w:t>
            </w:r>
          </w:p>
        </w:tc>
        <w:tc>
          <w:tcPr>
            <w:tcW w:w="1122" w:type="dxa"/>
            <w:vAlign w:val="top"/>
          </w:tcPr>
          <w:p w14:paraId="0AFE3F5C"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6D15B07"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1E697BAB" w14:textId="77777777" w:rsidTr="00DE6DD5">
        <w:trPr>
          <w:trHeight w:val="524"/>
        </w:trPr>
        <w:tc>
          <w:tcPr>
            <w:tcW w:w="1213" w:type="dxa"/>
            <w:vAlign w:val="top"/>
          </w:tcPr>
          <w:p w14:paraId="1EBEC392"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18.6.1 (e)</w:t>
            </w:r>
          </w:p>
        </w:tc>
        <w:tc>
          <w:tcPr>
            <w:tcW w:w="8364" w:type="dxa"/>
            <w:vAlign w:val="top"/>
          </w:tcPr>
          <w:p w14:paraId="17616DEA" w14:textId="719F3B3A"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each Client Funds Account held by the Market Participant was not overdrawn at any time in either the general ledger bank book or the physical Bank account.</w:t>
            </w:r>
          </w:p>
        </w:tc>
        <w:tc>
          <w:tcPr>
            <w:tcW w:w="1122" w:type="dxa"/>
            <w:vAlign w:val="top"/>
          </w:tcPr>
          <w:p w14:paraId="0FC2747D"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31FBA804"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3D877BF9" w14:textId="77777777" w:rsidTr="00DE6DD5">
        <w:trPr>
          <w:trHeight w:val="636"/>
        </w:trPr>
        <w:tc>
          <w:tcPr>
            <w:tcW w:w="1213" w:type="dxa"/>
            <w:vAlign w:val="top"/>
          </w:tcPr>
          <w:p w14:paraId="4FBA1D45"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18.6.1 (g)</w:t>
            </w:r>
          </w:p>
        </w:tc>
        <w:tc>
          <w:tcPr>
            <w:tcW w:w="8364" w:type="dxa"/>
            <w:vAlign w:val="top"/>
          </w:tcPr>
          <w:p w14:paraId="3201CB37" w14:textId="04B00EE5"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Market Participant reconciled the records for each Client Funds Account held by the Market Participant with the records of CDO or the Bank holding the Client Funds Account in all currencies </w:t>
            </w:r>
            <w:proofErr w:type="gramStart"/>
            <w:r w:rsidRPr="007D4085">
              <w:rPr>
                <w:rFonts w:asciiTheme="minorHAnsi" w:hAnsiTheme="minorHAnsi" w:cs="Arial"/>
                <w:sz w:val="22"/>
                <w:szCs w:val="20"/>
              </w:rPr>
              <w:t xml:space="preserve">on a </w:t>
            </w:r>
            <w:r w:rsidRPr="007D4085">
              <w:rPr>
                <w:rFonts w:asciiTheme="minorHAnsi" w:hAnsiTheme="minorHAnsi" w:cs="Arial"/>
                <w:b/>
                <w:sz w:val="22"/>
                <w:szCs w:val="20"/>
              </w:rPr>
              <w:t>daily</w:t>
            </w:r>
            <w:r w:rsidRPr="007D4085">
              <w:rPr>
                <w:rFonts w:asciiTheme="minorHAnsi" w:hAnsiTheme="minorHAnsi" w:cs="Arial"/>
                <w:sz w:val="22"/>
                <w:szCs w:val="20"/>
              </w:rPr>
              <w:t xml:space="preserve"> basis</w:t>
            </w:r>
            <w:proofErr w:type="gramEnd"/>
            <w:r w:rsidRPr="007D4085">
              <w:rPr>
                <w:rFonts w:asciiTheme="minorHAnsi" w:hAnsiTheme="minorHAnsi" w:cs="Arial"/>
                <w:sz w:val="22"/>
                <w:szCs w:val="20"/>
              </w:rPr>
              <w:t>.</w:t>
            </w:r>
          </w:p>
        </w:tc>
        <w:tc>
          <w:tcPr>
            <w:tcW w:w="1122" w:type="dxa"/>
            <w:vAlign w:val="top"/>
          </w:tcPr>
          <w:p w14:paraId="09DDCD15"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1D1158C7"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0B77CAB5" w14:textId="77777777" w:rsidTr="00DE6DD5">
        <w:trPr>
          <w:trHeight w:val="395"/>
        </w:trPr>
        <w:tc>
          <w:tcPr>
            <w:tcW w:w="1213" w:type="dxa"/>
            <w:vAlign w:val="top"/>
          </w:tcPr>
          <w:p w14:paraId="11ABC358"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18.6.1 (</w:t>
            </w:r>
            <w:proofErr w:type="spellStart"/>
            <w:r w:rsidRPr="007D4085">
              <w:rPr>
                <w:rFonts w:asciiTheme="minorHAnsi" w:hAnsiTheme="minorHAnsi"/>
                <w:sz w:val="22"/>
                <w:szCs w:val="20"/>
              </w:rPr>
              <w:t>i</w:t>
            </w:r>
            <w:proofErr w:type="spellEnd"/>
            <w:r w:rsidRPr="007D4085">
              <w:rPr>
                <w:rFonts w:asciiTheme="minorHAnsi" w:hAnsiTheme="minorHAnsi"/>
                <w:sz w:val="22"/>
                <w:szCs w:val="20"/>
              </w:rPr>
              <w:t>)</w:t>
            </w:r>
          </w:p>
        </w:tc>
        <w:tc>
          <w:tcPr>
            <w:tcW w:w="8364" w:type="dxa"/>
            <w:vAlign w:val="top"/>
          </w:tcPr>
          <w:p w14:paraId="0571D02D" w14:textId="71380D2D"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Market Participant immediately notified NZX if, for any reason, the Market Participant was unable to perform a </w:t>
            </w:r>
            <w:r w:rsidRPr="007D4085">
              <w:rPr>
                <w:rFonts w:asciiTheme="minorHAnsi" w:hAnsiTheme="minorHAnsi" w:cs="Arial"/>
                <w:b/>
                <w:sz w:val="22"/>
                <w:szCs w:val="20"/>
              </w:rPr>
              <w:t>daily</w:t>
            </w:r>
            <w:r w:rsidRPr="007D4085">
              <w:rPr>
                <w:rFonts w:asciiTheme="minorHAnsi" w:hAnsiTheme="minorHAnsi" w:cs="Arial"/>
                <w:sz w:val="22"/>
                <w:szCs w:val="20"/>
              </w:rPr>
              <w:t xml:space="preserve"> reconciliation.</w:t>
            </w:r>
          </w:p>
        </w:tc>
        <w:tc>
          <w:tcPr>
            <w:tcW w:w="1122" w:type="dxa"/>
            <w:vAlign w:val="top"/>
          </w:tcPr>
          <w:p w14:paraId="7A4C1394"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3980EAC" w14:textId="77777777" w:rsidR="007D4085" w:rsidRPr="007D4085" w:rsidRDefault="007D4085" w:rsidP="007D4085">
            <w:pPr>
              <w:spacing w:after="200" w:line="240" w:lineRule="atLeast"/>
              <w:jc w:val="both"/>
              <w:rPr>
                <w:rFonts w:asciiTheme="minorHAnsi" w:hAnsiTheme="minorHAnsi"/>
                <w:sz w:val="22"/>
                <w:szCs w:val="20"/>
              </w:rPr>
            </w:pPr>
          </w:p>
        </w:tc>
      </w:tr>
      <w:tr w:rsidR="007D4085" w:rsidRPr="007D4085" w14:paraId="0AC68500" w14:textId="77777777" w:rsidTr="00DE6DD5">
        <w:trPr>
          <w:trHeight w:val="223"/>
        </w:trPr>
        <w:tc>
          <w:tcPr>
            <w:tcW w:w="1213" w:type="dxa"/>
            <w:vAlign w:val="top"/>
          </w:tcPr>
          <w:p w14:paraId="0DA83CA7"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18.6.2</w:t>
            </w:r>
          </w:p>
        </w:tc>
        <w:tc>
          <w:tcPr>
            <w:tcW w:w="8364" w:type="dxa"/>
            <w:vAlign w:val="top"/>
          </w:tcPr>
          <w:p w14:paraId="0A2B7D4E" w14:textId="0E5E7B13"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the Market Participant immediately notified NZX if: </w:t>
            </w:r>
          </w:p>
          <w:p w14:paraId="4172DA60" w14:textId="77777777" w:rsidR="007D4085" w:rsidRPr="007D4085" w:rsidRDefault="007D4085" w:rsidP="007D4085">
            <w:pPr>
              <w:numPr>
                <w:ilvl w:val="0"/>
                <w:numId w:val="21"/>
              </w:numPr>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 xml:space="preserve">its bank ledger balance, Depository Account balance, or physical Bank account balance, in relation to any Client Funds Account became overdrawn for any </w:t>
            </w:r>
            <w:proofErr w:type="gramStart"/>
            <w:r w:rsidRPr="007D4085">
              <w:rPr>
                <w:rFonts w:asciiTheme="minorHAnsi" w:hAnsiTheme="minorHAnsi" w:cs="Arial"/>
                <w:sz w:val="22"/>
                <w:szCs w:val="20"/>
              </w:rPr>
              <w:t>reason;</w:t>
            </w:r>
            <w:proofErr w:type="gramEnd"/>
          </w:p>
          <w:p w14:paraId="6E3061D3" w14:textId="77777777" w:rsidR="007D4085" w:rsidRPr="007D4085" w:rsidRDefault="007D4085" w:rsidP="007D4085">
            <w:pPr>
              <w:numPr>
                <w:ilvl w:val="0"/>
                <w:numId w:val="21"/>
              </w:numPr>
              <w:spacing w:after="200" w:line="240" w:lineRule="atLeast"/>
              <w:ind w:left="404"/>
              <w:contextualSpacing/>
              <w:jc w:val="both"/>
              <w:rPr>
                <w:rFonts w:asciiTheme="minorHAnsi" w:hAnsiTheme="minorHAnsi" w:cs="Arial"/>
                <w:sz w:val="22"/>
                <w:szCs w:val="20"/>
              </w:rPr>
            </w:pPr>
            <w:r w:rsidRPr="007D4085">
              <w:rPr>
                <w:rFonts w:asciiTheme="minorHAnsi" w:hAnsiTheme="minorHAnsi" w:cs="Arial"/>
                <w:sz w:val="22"/>
                <w:szCs w:val="20"/>
              </w:rPr>
              <w:t xml:space="preserve">any reconciliation performed under Rule 18.6.1(h) reveals any non-compliance with Rule </w:t>
            </w:r>
            <w:proofErr w:type="gramStart"/>
            <w:r w:rsidRPr="007D4085">
              <w:rPr>
                <w:rFonts w:asciiTheme="minorHAnsi" w:hAnsiTheme="minorHAnsi" w:cs="Arial"/>
                <w:sz w:val="22"/>
                <w:szCs w:val="20"/>
              </w:rPr>
              <w:t>18.4.2;</w:t>
            </w:r>
            <w:proofErr w:type="gramEnd"/>
          </w:p>
          <w:p w14:paraId="5125CA65" w14:textId="77777777" w:rsidR="007D4085" w:rsidRPr="007D4085" w:rsidRDefault="007D4085" w:rsidP="007D4085">
            <w:pPr>
              <w:numPr>
                <w:ilvl w:val="0"/>
                <w:numId w:val="21"/>
              </w:numPr>
              <w:spacing w:after="200" w:line="240" w:lineRule="atLeast"/>
              <w:ind w:left="404"/>
              <w:contextualSpacing/>
              <w:jc w:val="both"/>
              <w:rPr>
                <w:rFonts w:asciiTheme="minorHAnsi" w:hAnsiTheme="minorHAnsi" w:cs="Arial"/>
                <w:sz w:val="22"/>
                <w:szCs w:val="20"/>
              </w:rPr>
            </w:pPr>
            <w:r w:rsidRPr="007D4085">
              <w:rPr>
                <w:rFonts w:asciiTheme="minorHAnsi" w:eastAsia="Arial" w:hAnsiTheme="minorHAnsi"/>
                <w:sz w:val="22"/>
              </w:rPr>
              <w:t>there has been a breach of Rule 18.6.1(b); or</w:t>
            </w:r>
          </w:p>
          <w:p w14:paraId="31D27084" w14:textId="77777777" w:rsidR="007D4085" w:rsidRPr="007D4085" w:rsidRDefault="007D4085" w:rsidP="007D4085">
            <w:pPr>
              <w:numPr>
                <w:ilvl w:val="0"/>
                <w:numId w:val="21"/>
              </w:numPr>
              <w:spacing w:after="200" w:line="240" w:lineRule="atLeast"/>
              <w:ind w:left="404"/>
              <w:contextualSpacing/>
              <w:jc w:val="both"/>
              <w:rPr>
                <w:rFonts w:asciiTheme="minorHAnsi" w:hAnsiTheme="minorHAnsi" w:cs="Arial"/>
                <w:sz w:val="22"/>
                <w:szCs w:val="20"/>
              </w:rPr>
            </w:pPr>
            <w:r w:rsidRPr="007D4085">
              <w:rPr>
                <w:rFonts w:asciiTheme="minorHAnsi" w:eastAsia="Arial" w:hAnsiTheme="minorHAnsi"/>
                <w:sz w:val="22"/>
              </w:rPr>
              <w:t>there has been a breach of Rule 18.4.1</w:t>
            </w:r>
          </w:p>
        </w:tc>
        <w:tc>
          <w:tcPr>
            <w:tcW w:w="1122" w:type="dxa"/>
            <w:vAlign w:val="top"/>
          </w:tcPr>
          <w:p w14:paraId="71333A0A"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5546736A" w14:textId="77777777" w:rsidR="007D4085" w:rsidRPr="007D4085" w:rsidRDefault="007D4085" w:rsidP="007D4085">
            <w:pPr>
              <w:spacing w:after="200" w:line="240" w:lineRule="atLeast"/>
              <w:jc w:val="both"/>
              <w:rPr>
                <w:rFonts w:asciiTheme="minorHAnsi" w:hAnsiTheme="minorHAnsi"/>
                <w:i/>
                <w:sz w:val="22"/>
                <w:szCs w:val="20"/>
              </w:rPr>
            </w:pPr>
            <w:r w:rsidRPr="007D4085">
              <w:rPr>
                <w:rFonts w:asciiTheme="minorHAnsi" w:hAnsiTheme="minorHAnsi"/>
                <w:i/>
                <w:sz w:val="22"/>
                <w:szCs w:val="20"/>
              </w:rPr>
              <w:t>Please list all overdraw instances.</w:t>
            </w:r>
          </w:p>
        </w:tc>
      </w:tr>
      <w:tr w:rsidR="007D4085" w:rsidRPr="007D4085" w14:paraId="2627143C" w14:textId="77777777" w:rsidTr="00DE6DD5">
        <w:trPr>
          <w:trHeight w:val="636"/>
        </w:trPr>
        <w:tc>
          <w:tcPr>
            <w:tcW w:w="1213" w:type="dxa"/>
            <w:vAlign w:val="top"/>
          </w:tcPr>
          <w:p w14:paraId="7CE8FC28"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18.7.1</w:t>
            </w:r>
          </w:p>
        </w:tc>
        <w:tc>
          <w:tcPr>
            <w:tcW w:w="8364" w:type="dxa"/>
            <w:vAlign w:val="top"/>
          </w:tcPr>
          <w:p w14:paraId="111E7C5A" w14:textId="59A447F7"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rPr>
              <w:t xml:space="preserve">During this </w:t>
            </w:r>
            <w:r>
              <w:rPr>
                <w:rFonts w:asciiTheme="minorHAnsi" w:hAnsiTheme="minorHAnsi" w:cs="Arial"/>
                <w:sz w:val="22"/>
                <w:szCs w:val="20"/>
              </w:rPr>
              <w:t>quarter</w:t>
            </w:r>
            <w:r w:rsidRPr="007D4085">
              <w:rPr>
                <w:rFonts w:asciiTheme="minorHAnsi" w:hAnsiTheme="minorHAnsi" w:cs="Arial"/>
                <w:sz w:val="22"/>
                <w:szCs w:val="20"/>
              </w:rPr>
              <w:t xml:space="preserve">, all payments of funds to the Market Participant for Securities bought on behalf of all clients were made directly into the Market Participant’s designated Client Funds Account. </w:t>
            </w:r>
          </w:p>
        </w:tc>
        <w:tc>
          <w:tcPr>
            <w:tcW w:w="1122" w:type="dxa"/>
            <w:vAlign w:val="top"/>
          </w:tcPr>
          <w:p w14:paraId="599538DF"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4CB3BB59" w14:textId="77777777" w:rsidR="007D4085" w:rsidRPr="007D4085" w:rsidRDefault="007D4085" w:rsidP="007D4085">
            <w:pPr>
              <w:spacing w:after="200" w:line="240" w:lineRule="atLeast"/>
              <w:jc w:val="both"/>
              <w:rPr>
                <w:rFonts w:asciiTheme="minorHAnsi" w:hAnsiTheme="minorHAnsi"/>
                <w:sz w:val="22"/>
                <w:szCs w:val="20"/>
              </w:rPr>
            </w:pPr>
            <w:r w:rsidRPr="007D4085">
              <w:rPr>
                <w:rFonts w:asciiTheme="minorHAnsi" w:hAnsiTheme="minorHAnsi" w:cs="Arial"/>
                <w:i/>
                <w:sz w:val="22"/>
                <w:szCs w:val="20"/>
              </w:rPr>
              <w:t>Please provide details if this was not performed.</w:t>
            </w:r>
          </w:p>
        </w:tc>
      </w:tr>
      <w:tr w:rsidR="007D4085" w:rsidRPr="007D4085" w14:paraId="7C0DF865" w14:textId="77777777" w:rsidTr="00DE6DD5">
        <w:trPr>
          <w:trHeight w:val="106"/>
        </w:trPr>
        <w:tc>
          <w:tcPr>
            <w:tcW w:w="1213" w:type="dxa"/>
            <w:shd w:val="clear" w:color="auto" w:fill="D6EAF6" w:themeFill="accent2" w:themeFillTint="33"/>
            <w:vAlign w:val="top"/>
          </w:tcPr>
          <w:p w14:paraId="443FFF8A"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r w:rsidRPr="007D4085">
              <w:rPr>
                <w:rFonts w:asciiTheme="minorHAnsi" w:hAnsiTheme="minorHAnsi" w:cs="Arial"/>
                <w:b/>
                <w:bCs/>
                <w:color w:val="000000"/>
                <w:szCs w:val="20"/>
                <w:lang w:val="en-GB"/>
              </w:rPr>
              <w:t>Section 21</w:t>
            </w:r>
          </w:p>
        </w:tc>
        <w:tc>
          <w:tcPr>
            <w:tcW w:w="8364" w:type="dxa"/>
            <w:shd w:val="clear" w:color="auto" w:fill="D6EAF6" w:themeFill="accent2" w:themeFillTint="33"/>
            <w:vAlign w:val="top"/>
          </w:tcPr>
          <w:p w14:paraId="663B1E62" w14:textId="77777777" w:rsidR="007D4085" w:rsidRPr="007D4085" w:rsidRDefault="007D4085" w:rsidP="007D4085">
            <w:pPr>
              <w:autoSpaceDE w:val="0"/>
              <w:autoSpaceDN w:val="0"/>
              <w:adjustRightInd w:val="0"/>
              <w:jc w:val="both"/>
              <w:textAlignment w:val="center"/>
              <w:rPr>
                <w:rFonts w:ascii="Tahoma" w:hAnsi="Tahoma" w:cs="Arial"/>
                <w:b/>
                <w:bCs/>
                <w:color w:val="000000"/>
                <w:szCs w:val="20"/>
                <w:lang w:val="en-GB"/>
              </w:rPr>
            </w:pPr>
            <w:r w:rsidRPr="007D4085">
              <w:rPr>
                <w:rFonts w:asciiTheme="minorHAnsi" w:hAnsiTheme="minorHAnsi" w:cs="Arial"/>
                <w:b/>
                <w:bCs/>
                <w:color w:val="000000"/>
                <w:szCs w:val="20"/>
                <w:lang w:val="en-GB"/>
              </w:rPr>
              <w:t>NZX Powers (all Market Participants)</w:t>
            </w:r>
          </w:p>
        </w:tc>
        <w:tc>
          <w:tcPr>
            <w:tcW w:w="1122" w:type="dxa"/>
            <w:shd w:val="clear" w:color="auto" w:fill="D6EAF6" w:themeFill="accent2" w:themeFillTint="33"/>
            <w:vAlign w:val="top"/>
          </w:tcPr>
          <w:p w14:paraId="050979DC" w14:textId="77777777" w:rsidR="007D4085" w:rsidRPr="007D4085" w:rsidRDefault="007D4085" w:rsidP="007D4085">
            <w:pPr>
              <w:autoSpaceDE w:val="0"/>
              <w:autoSpaceDN w:val="0"/>
              <w:adjustRightInd w:val="0"/>
              <w:jc w:val="center"/>
              <w:textAlignment w:val="center"/>
              <w:rPr>
                <w:rFonts w:asciiTheme="minorHAnsi" w:hAnsiTheme="minorHAnsi" w:cs="Arial"/>
                <w:b/>
                <w:bCs/>
                <w:color w:val="000000"/>
                <w:szCs w:val="20"/>
                <w:lang w:val="en-GB"/>
              </w:rPr>
            </w:pPr>
          </w:p>
        </w:tc>
        <w:tc>
          <w:tcPr>
            <w:tcW w:w="3272" w:type="dxa"/>
            <w:shd w:val="clear" w:color="auto" w:fill="D6EAF6" w:themeFill="accent2" w:themeFillTint="33"/>
            <w:vAlign w:val="top"/>
          </w:tcPr>
          <w:p w14:paraId="5794A1BF" w14:textId="77777777" w:rsidR="007D4085" w:rsidRPr="007D4085" w:rsidRDefault="007D4085" w:rsidP="007D4085">
            <w:pPr>
              <w:autoSpaceDE w:val="0"/>
              <w:autoSpaceDN w:val="0"/>
              <w:adjustRightInd w:val="0"/>
              <w:jc w:val="both"/>
              <w:textAlignment w:val="center"/>
              <w:rPr>
                <w:rFonts w:asciiTheme="minorHAnsi" w:hAnsiTheme="minorHAnsi" w:cs="Arial"/>
                <w:b/>
                <w:bCs/>
                <w:color w:val="000000"/>
                <w:szCs w:val="20"/>
                <w:lang w:val="en-GB"/>
              </w:rPr>
            </w:pPr>
          </w:p>
        </w:tc>
      </w:tr>
      <w:tr w:rsidR="007D4085" w:rsidRPr="007D4085" w14:paraId="43696531" w14:textId="77777777" w:rsidTr="00DE6DD5">
        <w:trPr>
          <w:trHeight w:val="636"/>
        </w:trPr>
        <w:tc>
          <w:tcPr>
            <w:tcW w:w="1213" w:type="dxa"/>
            <w:vAlign w:val="top"/>
          </w:tcPr>
          <w:p w14:paraId="3EFF3CFE" w14:textId="77777777" w:rsidR="007D4085" w:rsidRPr="007D4085" w:rsidRDefault="007D4085" w:rsidP="007D4085">
            <w:pPr>
              <w:spacing w:after="200" w:line="240" w:lineRule="atLeast"/>
              <w:jc w:val="center"/>
              <w:rPr>
                <w:rFonts w:asciiTheme="minorHAnsi" w:hAnsiTheme="minorHAnsi"/>
                <w:sz w:val="22"/>
                <w:szCs w:val="20"/>
              </w:rPr>
            </w:pPr>
            <w:r w:rsidRPr="007D4085">
              <w:rPr>
                <w:rFonts w:asciiTheme="minorHAnsi" w:hAnsiTheme="minorHAnsi"/>
                <w:sz w:val="22"/>
                <w:szCs w:val="20"/>
              </w:rPr>
              <w:t>21.7.1</w:t>
            </w:r>
          </w:p>
        </w:tc>
        <w:tc>
          <w:tcPr>
            <w:tcW w:w="8364" w:type="dxa"/>
            <w:vAlign w:val="top"/>
          </w:tcPr>
          <w:p w14:paraId="60D3B151" w14:textId="796BB9E6" w:rsidR="007D4085" w:rsidRPr="007D4085" w:rsidRDefault="007D4085" w:rsidP="007D4085">
            <w:pPr>
              <w:spacing w:after="200" w:line="240" w:lineRule="atLeast"/>
              <w:jc w:val="both"/>
              <w:rPr>
                <w:rFonts w:asciiTheme="minorHAnsi" w:hAnsiTheme="minorHAnsi" w:cs="Arial"/>
                <w:sz w:val="22"/>
                <w:szCs w:val="20"/>
              </w:rPr>
            </w:pPr>
            <w:r w:rsidRPr="007D4085">
              <w:rPr>
                <w:rFonts w:asciiTheme="minorHAnsi" w:hAnsiTheme="minorHAnsi" w:cs="Arial"/>
                <w:sz w:val="22"/>
                <w:szCs w:val="20"/>
                <w:lang w:val="en-AU"/>
              </w:rPr>
              <w:t xml:space="preserve">During this </w:t>
            </w:r>
            <w:r>
              <w:rPr>
                <w:rFonts w:asciiTheme="minorHAnsi" w:hAnsiTheme="minorHAnsi" w:cs="Arial"/>
                <w:sz w:val="22"/>
                <w:szCs w:val="20"/>
                <w:lang w:val="en-AU"/>
              </w:rPr>
              <w:t>quarter</w:t>
            </w:r>
            <w:r w:rsidRPr="007D4085">
              <w:rPr>
                <w:rFonts w:asciiTheme="minorHAnsi" w:hAnsiTheme="minorHAnsi" w:cs="Arial"/>
                <w:sz w:val="22"/>
                <w:szCs w:val="20"/>
                <w:lang w:val="en-AU"/>
              </w:rPr>
              <w:t>, the Market Participant promptly notified NZX in writing, where it became aware that it or another Market Participant breached or was likely to breach any of its obligations under the Rules and that breach or likely breach was significant.</w:t>
            </w:r>
          </w:p>
        </w:tc>
        <w:tc>
          <w:tcPr>
            <w:tcW w:w="1122" w:type="dxa"/>
            <w:vAlign w:val="top"/>
          </w:tcPr>
          <w:p w14:paraId="3446507C" w14:textId="77777777" w:rsidR="007D4085" w:rsidRPr="007D4085" w:rsidRDefault="007D4085" w:rsidP="007D4085">
            <w:pPr>
              <w:spacing w:after="200" w:line="240" w:lineRule="atLeast"/>
              <w:jc w:val="center"/>
              <w:rPr>
                <w:rFonts w:asciiTheme="minorHAnsi" w:hAnsiTheme="minorHAnsi"/>
                <w:sz w:val="22"/>
                <w:szCs w:val="20"/>
              </w:rPr>
            </w:pPr>
          </w:p>
        </w:tc>
        <w:tc>
          <w:tcPr>
            <w:tcW w:w="3272" w:type="dxa"/>
            <w:vAlign w:val="top"/>
          </w:tcPr>
          <w:p w14:paraId="088A79A5" w14:textId="77777777" w:rsidR="007D4085" w:rsidRPr="007D4085" w:rsidRDefault="007D4085" w:rsidP="007D4085">
            <w:pPr>
              <w:spacing w:after="200" w:line="240" w:lineRule="atLeast"/>
              <w:jc w:val="both"/>
              <w:rPr>
                <w:rFonts w:asciiTheme="minorHAnsi" w:hAnsiTheme="minorHAnsi"/>
                <w:sz w:val="22"/>
                <w:szCs w:val="20"/>
              </w:rPr>
            </w:pPr>
          </w:p>
        </w:tc>
      </w:tr>
    </w:tbl>
    <w:p w14:paraId="30B4519A" w14:textId="3004FC75" w:rsidR="007D4085" w:rsidRPr="007D4085" w:rsidRDefault="007D4085" w:rsidP="007D4085">
      <w:pPr>
        <w:rPr>
          <w:rFonts w:ascii="Arial" w:hAnsi="Arial" w:cs="Arial"/>
        </w:rPr>
      </w:pPr>
      <w:r w:rsidRPr="007D4085">
        <w:rPr>
          <w:rFonts w:cs="Arial"/>
          <w:color w:val="3397D3"/>
          <w:sz w:val="36"/>
          <w:szCs w:val="40"/>
          <w:lang w:val="en-GB"/>
        </w:rPr>
        <w:lastRenderedPageBreak/>
        <w:t>CONFIRMATION</w:t>
      </w:r>
    </w:p>
    <w:p w14:paraId="10AB5A6A" w14:textId="77777777" w:rsidR="007D4085" w:rsidRPr="007D4085" w:rsidRDefault="007D4085" w:rsidP="007D4085">
      <w:pPr>
        <w:spacing w:after="0"/>
        <w:rPr>
          <w:rFonts w:ascii="Arial" w:hAnsi="Arial" w:cs="Arial"/>
          <w:lang w:val="en-AU"/>
        </w:rPr>
      </w:pPr>
    </w:p>
    <w:p w14:paraId="18B84357" w14:textId="34C79322" w:rsidR="007D4085" w:rsidRPr="007D4085" w:rsidRDefault="007D4085" w:rsidP="007D4085">
      <w:pPr>
        <w:spacing w:after="0" w:line="240" w:lineRule="auto"/>
        <w:jc w:val="both"/>
        <w:rPr>
          <w:rFonts w:ascii="Arial" w:hAnsi="Arial" w:cs="Arial"/>
          <w:lang w:val="en-AU"/>
        </w:rPr>
      </w:pPr>
      <w:r w:rsidRPr="007D4085">
        <w:rPr>
          <w:rFonts w:ascii="Arial" w:hAnsi="Arial" w:cs="Arial"/>
          <w:lang w:val="en-AU"/>
        </w:rPr>
        <w:t>The Market Participant’s Managing Principal confirms that the responses provided in the Internal Control Checklist are true and correct.</w:t>
      </w:r>
    </w:p>
    <w:p w14:paraId="6FFC283C" w14:textId="77777777" w:rsidR="007D4085" w:rsidRPr="007D4085" w:rsidRDefault="007D4085" w:rsidP="007D4085">
      <w:pPr>
        <w:spacing w:after="480"/>
        <w:rPr>
          <w:rFonts w:ascii="Arial" w:hAnsi="Arial" w:cs="Arial"/>
        </w:rPr>
      </w:pPr>
    </w:p>
    <w:p w14:paraId="0622B723" w14:textId="67644C73" w:rsidR="007D4085" w:rsidRDefault="007D4085" w:rsidP="00E52B65">
      <w:pPr>
        <w:rPr>
          <w:color w:val="808080" w:themeColor="accent3"/>
          <w:sz w:val="14"/>
          <w:szCs w:val="14"/>
        </w:rPr>
      </w:pPr>
      <w:r w:rsidRPr="007D4085">
        <w:rPr>
          <w:rFonts w:cs="Arial"/>
          <w:b/>
        </w:rPr>
        <w:t xml:space="preserve">Managing Principal/Responsible Executive Signature </w:t>
      </w:r>
      <w:r w:rsidRPr="007D4085">
        <w:rPr>
          <w:rFonts w:cs="Arial"/>
        </w:rPr>
        <w:t>__________________________________________</w:t>
      </w:r>
      <w:proofErr w:type="gramStart"/>
      <w:r w:rsidRPr="007D4085">
        <w:rPr>
          <w:rFonts w:cs="Arial"/>
        </w:rPr>
        <w:t>_</w:t>
      </w:r>
      <w:r w:rsidRPr="007D4085">
        <w:rPr>
          <w:rFonts w:cs="Arial"/>
          <w:b/>
        </w:rPr>
        <w:t xml:space="preserve">  Date</w:t>
      </w:r>
      <w:proofErr w:type="gramEnd"/>
      <w:r w:rsidRPr="007D4085">
        <w:rPr>
          <w:rFonts w:cs="Arial"/>
          <w:b/>
        </w:rPr>
        <w:t xml:space="preserve"> </w:t>
      </w:r>
      <w:r w:rsidRPr="007D4085">
        <w:rPr>
          <w:rFonts w:cs="Arial"/>
        </w:rPr>
        <w:t>___________________</w:t>
      </w:r>
    </w:p>
    <w:sectPr w:rsidR="007D4085" w:rsidSect="007411DE">
      <w:headerReference w:type="default" r:id="rId10"/>
      <w:footerReference w:type="default" r:id="rId11"/>
      <w:headerReference w:type="first" r:id="rId12"/>
      <w:pgSz w:w="16838" w:h="11906" w:orient="landscape" w:code="9"/>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94A95" w14:textId="77777777" w:rsidR="00EC6416" w:rsidRDefault="00EC6416" w:rsidP="00541A8C">
      <w:pPr>
        <w:spacing w:after="0" w:line="240" w:lineRule="auto"/>
      </w:pPr>
      <w:r>
        <w:separator/>
      </w:r>
    </w:p>
    <w:p w14:paraId="360EECD4" w14:textId="77777777" w:rsidR="00EC6416" w:rsidRDefault="00EC6416"/>
  </w:endnote>
  <w:endnote w:type="continuationSeparator" w:id="0">
    <w:p w14:paraId="217A2FE0" w14:textId="77777777" w:rsidR="00EC6416" w:rsidRDefault="00EC6416" w:rsidP="00541A8C">
      <w:pPr>
        <w:spacing w:after="0" w:line="240" w:lineRule="auto"/>
      </w:pPr>
      <w:r>
        <w:continuationSeparator/>
      </w:r>
    </w:p>
    <w:p w14:paraId="678B5C58" w14:textId="77777777" w:rsidR="00EC6416" w:rsidRDefault="00EC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Caslon Bold">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1037" w14:textId="5850A267" w:rsidR="003D736A" w:rsidRDefault="002844DE">
    <w:pPr>
      <w:pStyle w:val="FooterText"/>
      <w:tabs>
        <w:tab w:val="clear" w:pos="9743"/>
        <w:tab w:val="right" w:pos="13750"/>
      </w:tabs>
    </w:pPr>
    <w:r>
      <w:rPr>
        <w:caps/>
        <w:noProof/>
        <w:lang w:val="en-NZ" w:eastAsia="en-NZ"/>
      </w:rPr>
      <mc:AlternateContent>
        <mc:Choice Requires="wps">
          <w:drawing>
            <wp:anchor distT="0" distB="0" distL="114300" distR="114300" simplePos="0" relativeHeight="251673600" behindDoc="0" locked="0" layoutInCell="1" allowOverlap="1" wp14:anchorId="74CF85A1" wp14:editId="5846548B">
              <wp:simplePos x="0" y="0"/>
              <wp:positionH relativeFrom="column">
                <wp:posOffset>8845550</wp:posOffset>
              </wp:positionH>
              <wp:positionV relativeFrom="paragraph">
                <wp:posOffset>27940</wp:posOffset>
              </wp:positionV>
              <wp:extent cx="195580" cy="19558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chemeClr val="accent2">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FAA4"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696.5pt;margin-top:2.2pt;width:15.4pt;height:15.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" fillcolor="#3397d3 [3205]" stroked="f"/>
          </w:pict>
        </mc:Fallback>
      </mc:AlternateContent>
    </w:r>
    <w:r w:rsidR="00630350">
      <w:rPr>
        <w:caps/>
        <w:noProof/>
        <w:lang w:val="en-US"/>
      </w:rPr>
      <w:t xml:space="preserve">appendix </w:t>
    </w:r>
    <w:r w:rsidR="007D4085">
      <w:rPr>
        <w:caps/>
        <w:noProof/>
        <w:lang w:val="en-US"/>
      </w:rPr>
      <w:t>B</w:t>
    </w:r>
    <w:r w:rsidR="003D736A">
      <w:rPr>
        <w:caps/>
        <w:noProof/>
        <w:lang w:val="en-US"/>
      </w:rPr>
      <w:t xml:space="preserve"> – INTERNAL CONTROL CHECKLIST</w:t>
    </w:r>
    <w:r w:rsidR="007C1F03">
      <w:rPr>
        <w:caps/>
        <w:noProof/>
        <w:lang w:val="en-US"/>
      </w:rPr>
      <w:t xml:space="preserve"> – nzx participant rules</w:t>
    </w:r>
    <w:r w:rsidR="003D736A">
      <w:tab/>
    </w:r>
    <w:r w:rsidR="003D736A" w:rsidRPr="00A84B39">
      <w:rPr>
        <w:color w:val="3397D3" w:themeColor="accent2"/>
      </w:rPr>
      <w:fldChar w:fldCharType="begin"/>
    </w:r>
    <w:r w:rsidR="003D736A" w:rsidRPr="00A84B39">
      <w:rPr>
        <w:color w:val="3397D3" w:themeColor="accent2"/>
      </w:rPr>
      <w:instrText xml:space="preserve"> PAGE   \* MERGEFORMAT </w:instrText>
    </w:r>
    <w:r w:rsidR="003D736A" w:rsidRPr="00A84B39">
      <w:rPr>
        <w:color w:val="3397D3" w:themeColor="accent2"/>
      </w:rPr>
      <w:fldChar w:fldCharType="separate"/>
    </w:r>
    <w:r w:rsidR="00306E6C">
      <w:rPr>
        <w:noProof/>
        <w:color w:val="3397D3" w:themeColor="accent2"/>
      </w:rPr>
      <w:t>9</w:t>
    </w:r>
    <w:r w:rsidR="003D736A" w:rsidRPr="00A84B39">
      <w:rPr>
        <w:color w:val="3397D3" w:themeColor="accent2"/>
      </w:rPr>
      <w:fldChar w:fldCharType="end"/>
    </w:r>
    <w:r w:rsidR="003D736A">
      <w:rPr>
        <w:color w:val="3397D3" w:themeColor="accent2"/>
      </w:rPr>
      <w:t xml:space="preserve"> </w:t>
    </w:r>
    <w:r w:rsidR="003D736A" w:rsidRPr="00A84B39">
      <w:t xml:space="preserve">of </w:t>
    </w:r>
    <w:r w:rsidR="0053308D">
      <w:fldChar w:fldCharType="begin"/>
    </w:r>
    <w:r w:rsidR="0053308D">
      <w:instrText xml:space="preserve"> NUMPAGES  \# "0"  \* MERGEFORMAT </w:instrText>
    </w:r>
    <w:r w:rsidR="0053308D">
      <w:fldChar w:fldCharType="separate"/>
    </w:r>
    <w:r w:rsidR="00306E6C">
      <w:rPr>
        <w:noProof/>
      </w:rPr>
      <w:t>9</w:t>
    </w:r>
    <w:r w:rsidR="005330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A250" w14:textId="77777777" w:rsidR="00EC6416" w:rsidRDefault="00EC6416"/>
  </w:footnote>
  <w:footnote w:type="continuationSeparator" w:id="0">
    <w:p w14:paraId="31358506" w14:textId="77777777" w:rsidR="00EC6416" w:rsidRDefault="00EC6416" w:rsidP="00541A8C">
      <w:pPr>
        <w:spacing w:after="0" w:line="240" w:lineRule="auto"/>
      </w:pPr>
      <w:r>
        <w:continuationSeparator/>
      </w:r>
    </w:p>
    <w:p w14:paraId="6D3D1297" w14:textId="77777777" w:rsidR="00EC6416" w:rsidRDefault="00EC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4A7B" w14:textId="77777777" w:rsidR="003D736A" w:rsidRDefault="0053308D">
    <w:pPr>
      <w:pStyle w:val="Header"/>
    </w:pPr>
    <w:r>
      <w:rPr>
        <w:noProof/>
        <w:lang w:eastAsia="en-NZ"/>
      </w:rPr>
      <w:drawing>
        <wp:anchor distT="0" distB="0" distL="114300" distR="114300" simplePos="0" relativeHeight="251675648" behindDoc="0" locked="0" layoutInCell="1" allowOverlap="1" wp14:anchorId="48A71D9E" wp14:editId="4E2822E5">
          <wp:simplePos x="0" y="0"/>
          <wp:positionH relativeFrom="page">
            <wp:posOffset>900430</wp:posOffset>
          </wp:positionH>
          <wp:positionV relativeFrom="page">
            <wp:posOffset>449580</wp:posOffset>
          </wp:positionV>
          <wp:extent cx="1269365" cy="348615"/>
          <wp:effectExtent l="19050" t="0" r="6985" b="0"/>
          <wp:wrapNone/>
          <wp:docPr id="3"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p w14:paraId="1F190F07" w14:textId="77777777" w:rsidR="003D736A" w:rsidRDefault="003D73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2FAD" w14:textId="77777777" w:rsidR="003D736A" w:rsidRDefault="003D736A">
    <w:pPr>
      <w:pStyle w:val="Header"/>
    </w:pPr>
    <w:r>
      <w:rPr>
        <w:noProof/>
        <w:lang w:eastAsia="en-NZ"/>
      </w:rPr>
      <w:drawing>
        <wp:anchor distT="0" distB="0" distL="114300" distR="114300" simplePos="0" relativeHeight="251664384" behindDoc="1" locked="0" layoutInCell="1" allowOverlap="1" wp14:anchorId="1D26376F" wp14:editId="5E29561E">
          <wp:simplePos x="0" y="0"/>
          <wp:positionH relativeFrom="page">
            <wp:posOffset>2043430</wp:posOffset>
          </wp:positionH>
          <wp:positionV relativeFrom="page">
            <wp:posOffset>5189855</wp:posOffset>
          </wp:positionV>
          <wp:extent cx="5518150" cy="5512435"/>
          <wp:effectExtent l="19050" t="0" r="6350"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1"/>
                  <a:stretch>
                    <a:fillRect/>
                  </a:stretch>
                </pic:blipFill>
                <pic:spPr>
                  <a:xfrm>
                    <a:off x="0" y="0"/>
                    <a:ext cx="5518150" cy="5512435"/>
                  </a:xfrm>
                  <a:prstGeom prst="rect">
                    <a:avLst/>
                  </a:prstGeom>
                </pic:spPr>
              </pic:pic>
            </a:graphicData>
          </a:graphic>
        </wp:anchor>
      </w:drawing>
    </w:r>
    <w:r>
      <w:rPr>
        <w:noProof/>
        <w:lang w:eastAsia="en-NZ"/>
      </w:rPr>
      <w:drawing>
        <wp:anchor distT="0" distB="0" distL="114300" distR="114300" simplePos="0" relativeHeight="251665408" behindDoc="1" locked="0" layoutInCell="1" allowOverlap="1" wp14:anchorId="72D9B0F6" wp14:editId="2466B512">
          <wp:simplePos x="0" y="0"/>
          <wp:positionH relativeFrom="page">
            <wp:posOffset>810260</wp:posOffset>
          </wp:positionH>
          <wp:positionV relativeFrom="page">
            <wp:posOffset>635330</wp:posOffset>
          </wp:positionV>
          <wp:extent cx="1720685" cy="475013"/>
          <wp:effectExtent l="0" t="0" r="6985" b="7620"/>
          <wp:wrapNone/>
          <wp:docPr id="1" name="Picture 0"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2"/>
                  <a:stretch>
                    <a:fillRect/>
                  </a:stretch>
                </pic:blipFill>
                <pic:spPr>
                  <a:xfrm>
                    <a:off x="0" y="0"/>
                    <a:ext cx="1720685" cy="475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618"/>
    <w:multiLevelType w:val="hybridMultilevel"/>
    <w:tmpl w:val="1B12CDD4"/>
    <w:lvl w:ilvl="0" w:tplc="E952B69C">
      <w:numFmt w:val="bullet"/>
      <w:pStyle w:val="Bullet"/>
      <w:lvlText w:val="•"/>
      <w:lvlJc w:val="left"/>
      <w:pPr>
        <w:ind w:left="720" w:hanging="360"/>
      </w:pPr>
      <w:rPr>
        <w:rFonts w:ascii="Arial" w:eastAsiaTheme="minorHAnsi" w:hAnsi="Arial" w:cs="Arial" w:hint="default"/>
      </w:rPr>
    </w:lvl>
    <w:lvl w:ilvl="1" w:tplc="790C1F82">
      <w:start w:val="1"/>
      <w:numFmt w:val="bullet"/>
      <w:pStyle w:val="Sub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E12411"/>
    <w:multiLevelType w:val="hybridMultilevel"/>
    <w:tmpl w:val="ED4E7AFA"/>
    <w:lvl w:ilvl="0" w:tplc="DAE06D4E">
      <w:start w:val="1"/>
      <w:numFmt w:val="bullet"/>
      <w:pStyle w:val="MERWlvl2"/>
      <w:lvlText w:val="-"/>
      <w:lvlJc w:val="left"/>
      <w:pPr>
        <w:tabs>
          <w:tab w:val="num" w:pos="720"/>
        </w:tabs>
        <w:ind w:left="720" w:hanging="360"/>
      </w:pPr>
      <w:rPr>
        <w:rFonts w:ascii="Arial Narrow" w:eastAsia="Times New Roman" w:hAnsi="Arial Narrow" w:cs="Times New Roman" w:hint="default"/>
      </w:rPr>
    </w:lvl>
    <w:lvl w:ilvl="1" w:tplc="14090003">
      <w:start w:val="1"/>
      <w:numFmt w:val="bullet"/>
      <w:pStyle w:val="StyleSectionheadingoneCharCharCharCharCharCharCharCharCharCharCharCharCharChar"/>
      <w:lvlText w:val="o"/>
      <w:lvlJc w:val="left"/>
      <w:pPr>
        <w:tabs>
          <w:tab w:val="num" w:pos="1440"/>
        </w:tabs>
        <w:ind w:left="1440" w:hanging="360"/>
      </w:pPr>
      <w:rPr>
        <w:rFonts w:ascii="Courier New" w:hAnsi="Courier New" w:cs="Arial Narro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Narro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Narro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54391"/>
    <w:multiLevelType w:val="hybridMultilevel"/>
    <w:tmpl w:val="CC1248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3233B0C"/>
    <w:multiLevelType w:val="multilevel"/>
    <w:tmpl w:val="F738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E2317"/>
    <w:multiLevelType w:val="hybridMultilevel"/>
    <w:tmpl w:val="86C4A8BA"/>
    <w:lvl w:ilvl="0" w:tplc="BFFE1DFE">
      <w:start w:val="1"/>
      <w:numFmt w:val="lowerLetter"/>
      <w:lvlText w:val="(%1)"/>
      <w:lvlJc w:val="left"/>
      <w:pPr>
        <w:ind w:left="667" w:hanging="360"/>
      </w:pPr>
      <w:rPr>
        <w:rFonts w:hint="default"/>
      </w:rPr>
    </w:lvl>
    <w:lvl w:ilvl="1" w:tplc="14090019" w:tentative="1">
      <w:start w:val="1"/>
      <w:numFmt w:val="lowerLetter"/>
      <w:lvlText w:val="%2."/>
      <w:lvlJc w:val="left"/>
      <w:pPr>
        <w:ind w:left="1387" w:hanging="360"/>
      </w:pPr>
    </w:lvl>
    <w:lvl w:ilvl="2" w:tplc="1409001B" w:tentative="1">
      <w:start w:val="1"/>
      <w:numFmt w:val="lowerRoman"/>
      <w:lvlText w:val="%3."/>
      <w:lvlJc w:val="right"/>
      <w:pPr>
        <w:ind w:left="2107" w:hanging="180"/>
      </w:pPr>
    </w:lvl>
    <w:lvl w:ilvl="3" w:tplc="1409000F" w:tentative="1">
      <w:start w:val="1"/>
      <w:numFmt w:val="decimal"/>
      <w:lvlText w:val="%4."/>
      <w:lvlJc w:val="left"/>
      <w:pPr>
        <w:ind w:left="2827" w:hanging="360"/>
      </w:pPr>
    </w:lvl>
    <w:lvl w:ilvl="4" w:tplc="14090019" w:tentative="1">
      <w:start w:val="1"/>
      <w:numFmt w:val="lowerLetter"/>
      <w:lvlText w:val="%5."/>
      <w:lvlJc w:val="left"/>
      <w:pPr>
        <w:ind w:left="3547" w:hanging="360"/>
      </w:pPr>
    </w:lvl>
    <w:lvl w:ilvl="5" w:tplc="1409001B" w:tentative="1">
      <w:start w:val="1"/>
      <w:numFmt w:val="lowerRoman"/>
      <w:lvlText w:val="%6."/>
      <w:lvlJc w:val="right"/>
      <w:pPr>
        <w:ind w:left="4267" w:hanging="180"/>
      </w:pPr>
    </w:lvl>
    <w:lvl w:ilvl="6" w:tplc="1409000F" w:tentative="1">
      <w:start w:val="1"/>
      <w:numFmt w:val="decimal"/>
      <w:lvlText w:val="%7."/>
      <w:lvlJc w:val="left"/>
      <w:pPr>
        <w:ind w:left="4987" w:hanging="360"/>
      </w:pPr>
    </w:lvl>
    <w:lvl w:ilvl="7" w:tplc="14090019" w:tentative="1">
      <w:start w:val="1"/>
      <w:numFmt w:val="lowerLetter"/>
      <w:lvlText w:val="%8."/>
      <w:lvlJc w:val="left"/>
      <w:pPr>
        <w:ind w:left="5707" w:hanging="360"/>
      </w:pPr>
    </w:lvl>
    <w:lvl w:ilvl="8" w:tplc="1409001B" w:tentative="1">
      <w:start w:val="1"/>
      <w:numFmt w:val="lowerRoman"/>
      <w:lvlText w:val="%9."/>
      <w:lvlJc w:val="right"/>
      <w:pPr>
        <w:ind w:left="6427" w:hanging="180"/>
      </w:pPr>
    </w:lvl>
  </w:abstractNum>
  <w:abstractNum w:abstractNumId="5" w15:restartNumberingAfterBreak="0">
    <w:nsid w:val="34090D04"/>
    <w:multiLevelType w:val="hybridMultilevel"/>
    <w:tmpl w:val="694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1CA"/>
    <w:multiLevelType w:val="hybridMultilevel"/>
    <w:tmpl w:val="5C20A294"/>
    <w:lvl w:ilvl="0" w:tplc="BFFE1D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89429E"/>
    <w:multiLevelType w:val="hybridMultilevel"/>
    <w:tmpl w:val="B1F6AD42"/>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5100FC"/>
    <w:multiLevelType w:val="hybridMultilevel"/>
    <w:tmpl w:val="F71EF9B6"/>
    <w:lvl w:ilvl="0" w:tplc="BC3CCBDE">
      <w:start w:val="1"/>
      <w:numFmt w:val="lowerLetter"/>
      <w:lvlText w:val="(%1)"/>
      <w:lvlJc w:val="left"/>
      <w:pPr>
        <w:ind w:left="1080" w:hanging="360"/>
      </w:pPr>
      <w:rPr>
        <w:rFonts w:hint="default"/>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1560FE1"/>
    <w:multiLevelType w:val="hybridMultilevel"/>
    <w:tmpl w:val="5AAABDD2"/>
    <w:lvl w:ilvl="0" w:tplc="C888858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49761AB"/>
    <w:multiLevelType w:val="hybridMultilevel"/>
    <w:tmpl w:val="36165AE4"/>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C161B4"/>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5DE30C8C"/>
    <w:multiLevelType w:val="hybridMultilevel"/>
    <w:tmpl w:val="911C7C50"/>
    <w:lvl w:ilvl="0" w:tplc="9BE0599A">
      <w:start w:val="1"/>
      <w:numFmt w:val="lowerLetter"/>
      <w:lvlText w:val="%1)"/>
      <w:lvlJc w:val="left"/>
      <w:pPr>
        <w:ind w:left="1080" w:hanging="360"/>
      </w:pPr>
      <w:rPr>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601B48C1"/>
    <w:multiLevelType w:val="hybridMultilevel"/>
    <w:tmpl w:val="00E6C41A"/>
    <w:lvl w:ilvl="0" w:tplc="AAC24624">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1E31302"/>
    <w:multiLevelType w:val="hybridMultilevel"/>
    <w:tmpl w:val="E7DA26F6"/>
    <w:lvl w:ilvl="0" w:tplc="BC3CCBD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16" w15:restartNumberingAfterBreak="0">
    <w:nsid w:val="6D830CC3"/>
    <w:multiLevelType w:val="hybridMultilevel"/>
    <w:tmpl w:val="9C34F728"/>
    <w:lvl w:ilvl="0" w:tplc="7F0A2256">
      <w:start w:val="1"/>
      <w:numFmt w:val="low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6571317">
    <w:abstractNumId w:val="0"/>
  </w:num>
  <w:num w:numId="2" w16cid:durableId="1713385258">
    <w:abstractNumId w:val="15"/>
  </w:num>
  <w:num w:numId="3" w16cid:durableId="482620079">
    <w:abstractNumId w:val="1"/>
  </w:num>
  <w:num w:numId="4" w16cid:durableId="1889799729">
    <w:abstractNumId w:val="5"/>
  </w:num>
  <w:num w:numId="5" w16cid:durableId="1950427821">
    <w:abstractNumId w:val="6"/>
  </w:num>
  <w:num w:numId="6" w16cid:durableId="468786813">
    <w:abstractNumId w:val="4"/>
  </w:num>
  <w:num w:numId="7" w16cid:durableId="1670787288">
    <w:abstractNumId w:val="11"/>
  </w:num>
  <w:num w:numId="8" w16cid:durableId="1153761845">
    <w:abstractNumId w:val="12"/>
  </w:num>
  <w:num w:numId="9" w16cid:durableId="740711794">
    <w:abstractNumId w:val="16"/>
  </w:num>
  <w:num w:numId="10" w16cid:durableId="1403867003">
    <w:abstractNumId w:val="3"/>
  </w:num>
  <w:num w:numId="11" w16cid:durableId="2006543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349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678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446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844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470583">
    <w:abstractNumId w:val="2"/>
  </w:num>
  <w:num w:numId="17" w16cid:durableId="964701737">
    <w:abstractNumId w:val="13"/>
  </w:num>
  <w:num w:numId="18" w16cid:durableId="644314681">
    <w:abstractNumId w:val="9"/>
  </w:num>
  <w:num w:numId="19" w16cid:durableId="1655404575">
    <w:abstractNumId w:val="10"/>
  </w:num>
  <w:num w:numId="20" w16cid:durableId="40567943">
    <w:abstractNumId w:val="8"/>
  </w:num>
  <w:num w:numId="21" w16cid:durableId="934901420">
    <w:abstractNumId w:val="14"/>
  </w:num>
  <w:num w:numId="22" w16cid:durableId="43910439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Formatting/>
  <w:defaultTabStop w:val="720"/>
  <w:defaultTableStyle w:val="NZX"/>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2FA"/>
    <w:rsid w:val="0000372B"/>
    <w:rsid w:val="00025892"/>
    <w:rsid w:val="00030088"/>
    <w:rsid w:val="00031317"/>
    <w:rsid w:val="00043EB2"/>
    <w:rsid w:val="000503C6"/>
    <w:rsid w:val="00064FCD"/>
    <w:rsid w:val="00075AD6"/>
    <w:rsid w:val="000C70A2"/>
    <w:rsid w:val="000F54C1"/>
    <w:rsid w:val="000F6023"/>
    <w:rsid w:val="00127B9F"/>
    <w:rsid w:val="00135BE8"/>
    <w:rsid w:val="00152FEB"/>
    <w:rsid w:val="001570D2"/>
    <w:rsid w:val="0016462D"/>
    <w:rsid w:val="00193FC8"/>
    <w:rsid w:val="001A369E"/>
    <w:rsid w:val="001A77E2"/>
    <w:rsid w:val="001D2063"/>
    <w:rsid w:val="001D7E53"/>
    <w:rsid w:val="001F57E6"/>
    <w:rsid w:val="00205857"/>
    <w:rsid w:val="00206580"/>
    <w:rsid w:val="002122FD"/>
    <w:rsid w:val="00222819"/>
    <w:rsid w:val="00225083"/>
    <w:rsid w:val="00244FCD"/>
    <w:rsid w:val="00245A29"/>
    <w:rsid w:val="00265916"/>
    <w:rsid w:val="00271749"/>
    <w:rsid w:val="002766E3"/>
    <w:rsid w:val="0028092A"/>
    <w:rsid w:val="002844DE"/>
    <w:rsid w:val="0029048F"/>
    <w:rsid w:val="00295C05"/>
    <w:rsid w:val="00296CF4"/>
    <w:rsid w:val="002A4651"/>
    <w:rsid w:val="002A552C"/>
    <w:rsid w:val="002F041A"/>
    <w:rsid w:val="002F17A9"/>
    <w:rsid w:val="00301617"/>
    <w:rsid w:val="00306E6C"/>
    <w:rsid w:val="00333D05"/>
    <w:rsid w:val="00353F04"/>
    <w:rsid w:val="0035425A"/>
    <w:rsid w:val="00360EED"/>
    <w:rsid w:val="0037094A"/>
    <w:rsid w:val="00372494"/>
    <w:rsid w:val="003748EF"/>
    <w:rsid w:val="003812C9"/>
    <w:rsid w:val="00383829"/>
    <w:rsid w:val="003A36FB"/>
    <w:rsid w:val="003A4AE4"/>
    <w:rsid w:val="003B2EEC"/>
    <w:rsid w:val="003C5BBC"/>
    <w:rsid w:val="003C7365"/>
    <w:rsid w:val="003C73D0"/>
    <w:rsid w:val="003D0240"/>
    <w:rsid w:val="003D6179"/>
    <w:rsid w:val="003D736A"/>
    <w:rsid w:val="00401600"/>
    <w:rsid w:val="00402194"/>
    <w:rsid w:val="00406A5A"/>
    <w:rsid w:val="00414EEB"/>
    <w:rsid w:val="004201B6"/>
    <w:rsid w:val="00424F6F"/>
    <w:rsid w:val="0043169B"/>
    <w:rsid w:val="004405F9"/>
    <w:rsid w:val="00463E71"/>
    <w:rsid w:val="00470DD6"/>
    <w:rsid w:val="00480D70"/>
    <w:rsid w:val="004823C6"/>
    <w:rsid w:val="00486159"/>
    <w:rsid w:val="004908D0"/>
    <w:rsid w:val="00490C4B"/>
    <w:rsid w:val="00494125"/>
    <w:rsid w:val="004959D4"/>
    <w:rsid w:val="004B2A54"/>
    <w:rsid w:val="004C3EF8"/>
    <w:rsid w:val="004C65C1"/>
    <w:rsid w:val="004D643E"/>
    <w:rsid w:val="004F7C76"/>
    <w:rsid w:val="0052406D"/>
    <w:rsid w:val="0052499D"/>
    <w:rsid w:val="0053308D"/>
    <w:rsid w:val="00541A8C"/>
    <w:rsid w:val="00545F12"/>
    <w:rsid w:val="00552135"/>
    <w:rsid w:val="00552D5D"/>
    <w:rsid w:val="00556D1F"/>
    <w:rsid w:val="00565510"/>
    <w:rsid w:val="0056784D"/>
    <w:rsid w:val="005952BD"/>
    <w:rsid w:val="005B00C4"/>
    <w:rsid w:val="005B7B0A"/>
    <w:rsid w:val="005B7B8C"/>
    <w:rsid w:val="005C2B7B"/>
    <w:rsid w:val="005D2EFE"/>
    <w:rsid w:val="005E5A8D"/>
    <w:rsid w:val="005F16D5"/>
    <w:rsid w:val="005F7EB0"/>
    <w:rsid w:val="006073F3"/>
    <w:rsid w:val="0061150C"/>
    <w:rsid w:val="00612321"/>
    <w:rsid w:val="00616B21"/>
    <w:rsid w:val="00630350"/>
    <w:rsid w:val="00631D92"/>
    <w:rsid w:val="00643F38"/>
    <w:rsid w:val="00651639"/>
    <w:rsid w:val="00651B1E"/>
    <w:rsid w:val="00651F3F"/>
    <w:rsid w:val="00653D1F"/>
    <w:rsid w:val="0066277B"/>
    <w:rsid w:val="00665116"/>
    <w:rsid w:val="00680097"/>
    <w:rsid w:val="00690BB7"/>
    <w:rsid w:val="006A76F7"/>
    <w:rsid w:val="006B332B"/>
    <w:rsid w:val="006B6D4A"/>
    <w:rsid w:val="006C32F3"/>
    <w:rsid w:val="006C5791"/>
    <w:rsid w:val="006D1697"/>
    <w:rsid w:val="006E4D7C"/>
    <w:rsid w:val="006E61B8"/>
    <w:rsid w:val="007056EE"/>
    <w:rsid w:val="007255E9"/>
    <w:rsid w:val="007310C2"/>
    <w:rsid w:val="0073679A"/>
    <w:rsid w:val="007411DE"/>
    <w:rsid w:val="00743690"/>
    <w:rsid w:val="00747EDF"/>
    <w:rsid w:val="00752185"/>
    <w:rsid w:val="0076025E"/>
    <w:rsid w:val="00763AB0"/>
    <w:rsid w:val="0079577D"/>
    <w:rsid w:val="007976C6"/>
    <w:rsid w:val="007A17FC"/>
    <w:rsid w:val="007A32D8"/>
    <w:rsid w:val="007A6618"/>
    <w:rsid w:val="007B022B"/>
    <w:rsid w:val="007C1F03"/>
    <w:rsid w:val="007C2153"/>
    <w:rsid w:val="007C21F2"/>
    <w:rsid w:val="007C33F5"/>
    <w:rsid w:val="007D4085"/>
    <w:rsid w:val="007E190C"/>
    <w:rsid w:val="007E58E5"/>
    <w:rsid w:val="007F0FDF"/>
    <w:rsid w:val="007F1E09"/>
    <w:rsid w:val="007F23EE"/>
    <w:rsid w:val="00825C14"/>
    <w:rsid w:val="008271D9"/>
    <w:rsid w:val="00830210"/>
    <w:rsid w:val="00836DC0"/>
    <w:rsid w:val="00846020"/>
    <w:rsid w:val="008676BD"/>
    <w:rsid w:val="0087018E"/>
    <w:rsid w:val="00875C43"/>
    <w:rsid w:val="00880719"/>
    <w:rsid w:val="00881D64"/>
    <w:rsid w:val="00890ECC"/>
    <w:rsid w:val="00890EDB"/>
    <w:rsid w:val="00892082"/>
    <w:rsid w:val="00892A23"/>
    <w:rsid w:val="008953C8"/>
    <w:rsid w:val="008E69A6"/>
    <w:rsid w:val="008F5D4A"/>
    <w:rsid w:val="008F7216"/>
    <w:rsid w:val="0090231E"/>
    <w:rsid w:val="00917F4D"/>
    <w:rsid w:val="00921429"/>
    <w:rsid w:val="009255A6"/>
    <w:rsid w:val="00936C0F"/>
    <w:rsid w:val="00944CD6"/>
    <w:rsid w:val="009605E7"/>
    <w:rsid w:val="00965288"/>
    <w:rsid w:val="00965C44"/>
    <w:rsid w:val="009B6494"/>
    <w:rsid w:val="009D2633"/>
    <w:rsid w:val="009E3C78"/>
    <w:rsid w:val="009E5FB4"/>
    <w:rsid w:val="009F23FC"/>
    <w:rsid w:val="00A123CA"/>
    <w:rsid w:val="00A15883"/>
    <w:rsid w:val="00A35B2E"/>
    <w:rsid w:val="00A4289E"/>
    <w:rsid w:val="00A65525"/>
    <w:rsid w:val="00A84B39"/>
    <w:rsid w:val="00A87023"/>
    <w:rsid w:val="00A93347"/>
    <w:rsid w:val="00AA59CE"/>
    <w:rsid w:val="00AC0965"/>
    <w:rsid w:val="00AC1BF4"/>
    <w:rsid w:val="00AD28B9"/>
    <w:rsid w:val="00AE0694"/>
    <w:rsid w:val="00AE65F2"/>
    <w:rsid w:val="00AF5826"/>
    <w:rsid w:val="00B07782"/>
    <w:rsid w:val="00B10148"/>
    <w:rsid w:val="00B14585"/>
    <w:rsid w:val="00B24814"/>
    <w:rsid w:val="00B362B5"/>
    <w:rsid w:val="00B442EF"/>
    <w:rsid w:val="00B5388B"/>
    <w:rsid w:val="00B538D0"/>
    <w:rsid w:val="00B67DFC"/>
    <w:rsid w:val="00B70580"/>
    <w:rsid w:val="00B725B2"/>
    <w:rsid w:val="00B7459B"/>
    <w:rsid w:val="00B92414"/>
    <w:rsid w:val="00BA762F"/>
    <w:rsid w:val="00BC655E"/>
    <w:rsid w:val="00BF7A45"/>
    <w:rsid w:val="00C00162"/>
    <w:rsid w:val="00C07211"/>
    <w:rsid w:val="00C20824"/>
    <w:rsid w:val="00C255FB"/>
    <w:rsid w:val="00C27879"/>
    <w:rsid w:val="00C41B38"/>
    <w:rsid w:val="00C47515"/>
    <w:rsid w:val="00C52793"/>
    <w:rsid w:val="00C62A5C"/>
    <w:rsid w:val="00C64A23"/>
    <w:rsid w:val="00C839C7"/>
    <w:rsid w:val="00C91B94"/>
    <w:rsid w:val="00CC5692"/>
    <w:rsid w:val="00D02D4A"/>
    <w:rsid w:val="00D06E2E"/>
    <w:rsid w:val="00D2650A"/>
    <w:rsid w:val="00D312B8"/>
    <w:rsid w:val="00D32AE3"/>
    <w:rsid w:val="00D33D9D"/>
    <w:rsid w:val="00D3582F"/>
    <w:rsid w:val="00D377C9"/>
    <w:rsid w:val="00D6311C"/>
    <w:rsid w:val="00D63B89"/>
    <w:rsid w:val="00D67B96"/>
    <w:rsid w:val="00D73AAA"/>
    <w:rsid w:val="00D95AB7"/>
    <w:rsid w:val="00D979B7"/>
    <w:rsid w:val="00DB14C8"/>
    <w:rsid w:val="00DB2CE6"/>
    <w:rsid w:val="00DF0F67"/>
    <w:rsid w:val="00DF4EFA"/>
    <w:rsid w:val="00E04870"/>
    <w:rsid w:val="00E06101"/>
    <w:rsid w:val="00E16CB8"/>
    <w:rsid w:val="00E34B59"/>
    <w:rsid w:val="00E44D1D"/>
    <w:rsid w:val="00E4592A"/>
    <w:rsid w:val="00E460DE"/>
    <w:rsid w:val="00E51B6B"/>
    <w:rsid w:val="00E52B65"/>
    <w:rsid w:val="00E62EBF"/>
    <w:rsid w:val="00E82918"/>
    <w:rsid w:val="00EA5B4D"/>
    <w:rsid w:val="00EA7C98"/>
    <w:rsid w:val="00EC6416"/>
    <w:rsid w:val="00EE4D18"/>
    <w:rsid w:val="00EF2BCE"/>
    <w:rsid w:val="00EF62D6"/>
    <w:rsid w:val="00F12E1D"/>
    <w:rsid w:val="00F22E06"/>
    <w:rsid w:val="00F37A5C"/>
    <w:rsid w:val="00F574BB"/>
    <w:rsid w:val="00F62034"/>
    <w:rsid w:val="00F73853"/>
    <w:rsid w:val="00F73AFD"/>
    <w:rsid w:val="00F9020B"/>
    <w:rsid w:val="00F916E3"/>
    <w:rsid w:val="00F933DF"/>
    <w:rsid w:val="00FA57F9"/>
    <w:rsid w:val="00FD1327"/>
    <w:rsid w:val="00FD57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E4D7C43"/>
  <w15:docId w15:val="{F33BC130-F933-4E89-ACDD-B323451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612321"/>
  </w:style>
  <w:style w:type="paragraph" w:styleId="Heading1">
    <w:name w:val="heading 1"/>
    <w:aliases w:val="Testomg"/>
    <w:basedOn w:val="BasicParagraph"/>
    <w:next w:val="Normal"/>
    <w:link w:val="Heading1Char"/>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C655E"/>
    <w:pPr>
      <w:keepNext/>
      <w:keepLines/>
      <w:spacing w:before="200" w:after="0"/>
      <w:outlineLvl w:val="3"/>
    </w:pPr>
    <w:rPr>
      <w:rFonts w:asciiTheme="majorHAnsi" w:eastAsiaTheme="majorEastAsia" w:hAnsiTheme="majorHAnsi" w:cstheme="majorBidi"/>
      <w:bCs/>
      <w:iCs/>
      <w:color w:val="0061A2" w:themeColor="text2"/>
    </w:rPr>
  </w:style>
  <w:style w:type="paragraph" w:styleId="Heading5">
    <w:name w:val="heading 5"/>
    <w:basedOn w:val="Normal"/>
    <w:next w:val="Normal"/>
    <w:link w:val="Heading5Char"/>
    <w:qFormat/>
    <w:rsid w:val="00D312B8"/>
    <w:pPr>
      <w:keepNext/>
      <w:keepLines/>
      <w:spacing w:before="200" w:after="0"/>
      <w:outlineLvl w:val="4"/>
    </w:pPr>
    <w:rPr>
      <w:rFonts w:asciiTheme="majorHAnsi" w:eastAsiaTheme="majorEastAsia" w:hAnsiTheme="majorHAnsi" w:cstheme="majorBidi"/>
      <w:color w:val="003050" w:themeColor="accent1" w:themeShade="7F"/>
    </w:rPr>
  </w:style>
  <w:style w:type="paragraph" w:styleId="Heading6">
    <w:name w:val="heading 6"/>
    <w:basedOn w:val="Normal"/>
    <w:next w:val="Normal"/>
    <w:link w:val="Heading6Char"/>
    <w:qFormat/>
    <w:rsid w:val="00D312B8"/>
    <w:pPr>
      <w:keepNext/>
      <w:keepLines/>
      <w:spacing w:before="200" w:after="0"/>
      <w:outlineLvl w:val="5"/>
    </w:pPr>
    <w:rPr>
      <w:rFonts w:asciiTheme="majorHAnsi" w:eastAsiaTheme="majorEastAsia" w:hAnsiTheme="majorHAnsi" w:cstheme="majorBidi"/>
      <w:i/>
      <w:iCs/>
      <w:color w:val="0030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rsid w:val="002A552C"/>
  </w:style>
  <w:style w:type="paragraph" w:customStyle="1" w:styleId="BasicParagraph">
    <w:name w:val="[Basic Paragraph]"/>
    <w:basedOn w:val="Normal"/>
    <w:uiPriority w:val="99"/>
    <w:unhideWhenUsed/>
    <w:rsid w:val="00612321"/>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aliases w:val="Testomg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6E4D7C"/>
    <w:pPr>
      <w:tabs>
        <w:tab w:val="left" w:leader="dot" w:pos="9214"/>
      </w:tabs>
      <w:spacing w:after="227"/>
      <w:ind w:right="134"/>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rmalWeb">
    <w:name w:val="Normal (Web)"/>
    <w:basedOn w:val="Normal"/>
    <w:uiPriority w:val="99"/>
    <w:semiHidden/>
    <w:unhideWhenUsed/>
    <w:rsid w:val="00612321"/>
    <w:rPr>
      <w:rFonts w:cs="Times New Roman"/>
      <w:sz w:val="24"/>
      <w:szCs w:val="24"/>
    </w:rPr>
  </w:style>
  <w:style w:type="paragraph" w:styleId="NormalIndent">
    <w:name w:val="Normal Indent"/>
    <w:basedOn w:val="Normal"/>
    <w:uiPriority w:val="99"/>
    <w:semiHidden/>
    <w:unhideWhenUsed/>
    <w:rsid w:val="00612321"/>
    <w:pPr>
      <w:ind w:left="720"/>
    </w:pPr>
  </w:style>
  <w:style w:type="paragraph" w:customStyle="1" w:styleId="NZXRuleNormal">
    <w:name w:val="NZX Rule Normal"/>
    <w:link w:val="NZXRuleNormalChar"/>
    <w:rsid w:val="00B70580"/>
    <w:pPr>
      <w:spacing w:before="120" w:after="120" w:line="240" w:lineRule="auto"/>
    </w:pPr>
    <w:rPr>
      <w:rFonts w:ascii="Arial" w:eastAsia="Times New Roman" w:hAnsi="Arial" w:cs="Arial"/>
      <w:bCs/>
      <w:sz w:val="24"/>
      <w:szCs w:val="24"/>
    </w:rPr>
  </w:style>
  <w:style w:type="character" w:customStyle="1" w:styleId="NZXRuleNormalChar">
    <w:name w:val="NZX Rule Normal Char"/>
    <w:link w:val="NZXRuleNormal"/>
    <w:rsid w:val="00B70580"/>
    <w:rPr>
      <w:rFonts w:ascii="Arial" w:eastAsia="Times New Roman" w:hAnsi="Arial" w:cs="Arial"/>
      <w:bCs/>
      <w:sz w:val="24"/>
      <w:szCs w:val="24"/>
    </w:rPr>
  </w:style>
  <w:style w:type="paragraph" w:customStyle="1" w:styleId="NZXSectionHeading">
    <w:name w:val="NZX Section Heading"/>
    <w:basedOn w:val="Normal"/>
    <w:qFormat/>
    <w:rsid w:val="00B70580"/>
    <w:pPr>
      <w:spacing w:before="120" w:after="120" w:line="240" w:lineRule="auto"/>
      <w:jc w:val="center"/>
      <w:outlineLvl w:val="0"/>
    </w:pPr>
    <w:rPr>
      <w:rFonts w:ascii="Arial" w:eastAsia="Times New Roman" w:hAnsi="Arial" w:cs="Arial"/>
      <w:b/>
      <w:bCs/>
      <w:sz w:val="28"/>
      <w:szCs w:val="24"/>
    </w:rPr>
  </w:style>
  <w:style w:type="paragraph" w:customStyle="1" w:styleId="MERWlvl2">
    <w:name w:val="MERW lvl2"/>
    <w:basedOn w:val="Normal"/>
    <w:semiHidden/>
    <w:rsid w:val="00B70580"/>
    <w:pPr>
      <w:numPr>
        <w:numId w:val="3"/>
      </w:numPr>
      <w:tabs>
        <w:tab w:val="clear" w:pos="720"/>
        <w:tab w:val="num" w:pos="1440"/>
      </w:tabs>
      <w:spacing w:after="240" w:line="240" w:lineRule="auto"/>
      <w:ind w:left="1440"/>
      <w:jc w:val="both"/>
      <w:outlineLvl w:val="1"/>
    </w:pPr>
    <w:rPr>
      <w:rFonts w:ascii="Arial" w:eastAsia="Times New Roman" w:hAnsi="Arial" w:cs="Times New Roman"/>
      <w:szCs w:val="24"/>
      <w:lang w:eastAsia="en-NZ"/>
    </w:rPr>
  </w:style>
  <w:style w:type="paragraph" w:customStyle="1" w:styleId="StyleSectionheadingoneCharCharCharCharCharCharCharCharCharCharCharCharCharChar">
    <w:name w:val="Style Section head ing one + Char Char Char Char Char Char Char Char Char Char Char Char Char Char"/>
    <w:basedOn w:val="Normal"/>
    <w:rsid w:val="00B70580"/>
    <w:pPr>
      <w:widowControl w:val="0"/>
      <w:numPr>
        <w:ilvl w:val="1"/>
        <w:numId w:val="3"/>
      </w:numPr>
      <w:tabs>
        <w:tab w:val="clear" w:pos="1440"/>
      </w:tabs>
      <w:spacing w:after="0" w:line="240" w:lineRule="auto"/>
      <w:ind w:left="0" w:firstLine="0"/>
    </w:pPr>
    <w:rPr>
      <w:rFonts w:ascii="ACaslon Bold" w:eastAsia="Times New Roman" w:hAnsi="ACaslon Bold" w:cs="Times New Roman"/>
      <w:caps/>
      <w:snapToGrid w:val="0"/>
      <w:sz w:val="20"/>
      <w:szCs w:val="20"/>
    </w:rPr>
  </w:style>
  <w:style w:type="paragraph" w:customStyle="1" w:styleId="NZXRuleNumberIndent">
    <w:name w:val="NZX Rule Number Indent"/>
    <w:basedOn w:val="Heading3"/>
    <w:qFormat/>
    <w:rsid w:val="00B70580"/>
    <w:pPr>
      <w:keepNext w:val="0"/>
      <w:keepLines w:val="0"/>
      <w:widowControl w:val="0"/>
      <w:spacing w:before="120" w:after="120" w:line="240" w:lineRule="auto"/>
      <w:ind w:left="720" w:hanging="720"/>
    </w:pPr>
    <w:rPr>
      <w:rFonts w:ascii="Arial" w:eastAsia="Times New Roman" w:hAnsi="Arial" w:cs="Times New Roman"/>
      <w:b w:val="0"/>
      <w:bCs w:val="0"/>
      <w:i/>
      <w:sz w:val="24"/>
      <w:szCs w:val="24"/>
      <w:lang w:val="en-GB" w:eastAsia="en-NZ"/>
    </w:rPr>
  </w:style>
  <w:style w:type="paragraph" w:customStyle="1" w:styleId="NZXRuleIndent2">
    <w:name w:val="NZX Rule Indent 2"/>
    <w:basedOn w:val="NZXRuleNumberIndent"/>
    <w:qFormat/>
    <w:rsid w:val="00B70580"/>
    <w:pPr>
      <w:ind w:left="1287" w:hanging="567"/>
    </w:pPr>
  </w:style>
  <w:style w:type="paragraph" w:customStyle="1" w:styleId="SectionANumbering">
    <w:name w:val="Section A Numbering"/>
    <w:basedOn w:val="NZXRuleNumberIndent"/>
    <w:qFormat/>
    <w:rsid w:val="00B70580"/>
    <w:rPr>
      <w:i w:val="0"/>
    </w:rPr>
  </w:style>
  <w:style w:type="paragraph" w:customStyle="1" w:styleId="SectionIndent1CharCharCharCharCharCharCharCharCharCharCharCharCharCharCharCharCharChar">
    <w:name w:val="Section Indent 1 Char Char Char Char Char Char Char Char Char Char Char Char Char Char Char Char Char Char"/>
    <w:basedOn w:val="Normal"/>
    <w:link w:val="SectionIndent1CharCharCharCharCharCharCharCharCharCharCharCharCharCharCharCharCharCharChar"/>
    <w:rsid w:val="00B70580"/>
    <w:pPr>
      <w:widowControl w:val="0"/>
      <w:spacing w:after="0" w:line="240" w:lineRule="auto"/>
      <w:ind w:left="567" w:hanging="567"/>
    </w:pPr>
    <w:rPr>
      <w:rFonts w:ascii="ACaslon Bold" w:eastAsia="Times New Roman" w:hAnsi="ACaslon Bold" w:cs="Times New Roman"/>
      <w:snapToGrid w:val="0"/>
      <w:color w:val="C0C0C0"/>
      <w:sz w:val="24"/>
      <w:szCs w:val="24"/>
      <w:lang w:val="en-US"/>
    </w:rPr>
  </w:style>
  <w:style w:type="character" w:customStyle="1" w:styleId="SectionIndent1CharCharCharCharCharCharCharCharCharCharCharCharCharCharCharCharCharCharChar">
    <w:name w:val="Section Indent 1 Char Char Char Char Char Char Char Char Char Char Char Char Char Char Char Char Char Char Char"/>
    <w:link w:val="SectionIndent1CharCharCharCharCharCharCharCharCharCharCharCharCharCharCharCharCharChar"/>
    <w:rsid w:val="00B70580"/>
    <w:rPr>
      <w:rFonts w:ascii="ACaslon Bold" w:eastAsia="Times New Roman" w:hAnsi="ACaslon Bold" w:cs="Times New Roman"/>
      <w:snapToGrid w:val="0"/>
      <w:color w:val="C0C0C0"/>
      <w:sz w:val="24"/>
      <w:szCs w:val="24"/>
      <w:lang w:val="en-US"/>
    </w:rPr>
  </w:style>
  <w:style w:type="character" w:customStyle="1" w:styleId="Heading5Char">
    <w:name w:val="Heading 5 Char"/>
    <w:basedOn w:val="DefaultParagraphFont"/>
    <w:link w:val="Heading5"/>
    <w:uiPriority w:val="99"/>
    <w:semiHidden/>
    <w:rsid w:val="00D312B8"/>
    <w:rPr>
      <w:rFonts w:asciiTheme="majorHAnsi" w:eastAsiaTheme="majorEastAsia" w:hAnsiTheme="majorHAnsi" w:cstheme="majorBidi"/>
      <w:color w:val="003050" w:themeColor="accent1" w:themeShade="7F"/>
    </w:rPr>
  </w:style>
  <w:style w:type="character" w:customStyle="1" w:styleId="Heading6Char">
    <w:name w:val="Heading 6 Char"/>
    <w:basedOn w:val="DefaultParagraphFont"/>
    <w:link w:val="Heading6"/>
    <w:rsid w:val="00D312B8"/>
    <w:rPr>
      <w:rFonts w:asciiTheme="majorHAnsi" w:eastAsiaTheme="majorEastAsia" w:hAnsiTheme="majorHAnsi" w:cstheme="majorBidi"/>
      <w:i/>
      <w:iCs/>
      <w:color w:val="003050" w:themeColor="accent1" w:themeShade="7F"/>
    </w:rPr>
  </w:style>
  <w:style w:type="paragraph" w:styleId="ListParagraph">
    <w:name w:val="List Paragraph"/>
    <w:basedOn w:val="Normal"/>
    <w:uiPriority w:val="99"/>
    <w:unhideWhenUsed/>
    <w:qFormat/>
    <w:rsid w:val="00225083"/>
    <w:pPr>
      <w:ind w:left="720"/>
      <w:contextualSpacing/>
    </w:pPr>
  </w:style>
  <w:style w:type="paragraph" w:styleId="CommentText">
    <w:name w:val="annotation text"/>
    <w:basedOn w:val="Normal"/>
    <w:link w:val="CommentTextChar"/>
    <w:rsid w:val="004C65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65C1"/>
    <w:rPr>
      <w:rFonts w:ascii="Times New Roman" w:eastAsia="Times New Roman" w:hAnsi="Times New Roman" w:cs="Times New Roman"/>
      <w:sz w:val="20"/>
      <w:szCs w:val="20"/>
    </w:rPr>
  </w:style>
  <w:style w:type="character" w:styleId="PageNumber">
    <w:name w:val="page number"/>
    <w:basedOn w:val="DefaultParagraphFont"/>
    <w:rsid w:val="004C65C1"/>
  </w:style>
  <w:style w:type="character" w:styleId="Hyperlink">
    <w:name w:val="Hyperlink"/>
    <w:uiPriority w:val="99"/>
    <w:unhideWhenUsed/>
    <w:rsid w:val="00CC5692"/>
    <w:rPr>
      <w:color w:val="0000FF"/>
      <w:u w:val="single"/>
    </w:rPr>
  </w:style>
  <w:style w:type="character" w:styleId="CommentReference">
    <w:name w:val="annotation reference"/>
    <w:basedOn w:val="DefaultParagraphFont"/>
    <w:uiPriority w:val="99"/>
    <w:semiHidden/>
    <w:unhideWhenUsed/>
    <w:rsid w:val="00836DC0"/>
    <w:rPr>
      <w:sz w:val="16"/>
      <w:szCs w:val="16"/>
    </w:rPr>
  </w:style>
  <w:style w:type="paragraph" w:styleId="CommentSubject">
    <w:name w:val="annotation subject"/>
    <w:basedOn w:val="CommentText"/>
    <w:next w:val="CommentText"/>
    <w:link w:val="CommentSubjectChar"/>
    <w:uiPriority w:val="99"/>
    <w:semiHidden/>
    <w:unhideWhenUsed/>
    <w:rsid w:val="00836D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6DC0"/>
    <w:rPr>
      <w:rFonts w:ascii="Times New Roman" w:eastAsia="Times New Roman" w:hAnsi="Times New Roman" w:cs="Times New Roman"/>
      <w:b/>
      <w:bCs/>
      <w:sz w:val="20"/>
      <w:szCs w:val="20"/>
    </w:rPr>
  </w:style>
  <w:style w:type="paragraph" w:styleId="Revision">
    <w:name w:val="Revision"/>
    <w:hidden/>
    <w:uiPriority w:val="99"/>
    <w:semiHidden/>
    <w:rsid w:val="007D4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nz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nz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F33A4-81D3-4D01-B008-96B3C08A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Taylor</dc:creator>
  <cp:lastModifiedBy>Jody Taylor</cp:lastModifiedBy>
  <cp:revision>3</cp:revision>
  <cp:lastPrinted>2024-12-20T02:08:00Z</cp:lastPrinted>
  <dcterms:created xsi:type="dcterms:W3CDTF">2025-01-06T23:24:00Z</dcterms:created>
  <dcterms:modified xsi:type="dcterms:W3CDTF">2025-01-06T23:25:00Z</dcterms:modified>
</cp:coreProperties>
</file>