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0368" w14:textId="77777777" w:rsidR="00F46564" w:rsidRDefault="00F46564" w:rsidP="00F46564">
      <w:pPr>
        <w:pBdr>
          <w:bottom w:val="single" w:sz="4" w:space="1" w:color="auto"/>
        </w:pBdr>
        <w:spacing w:after="200"/>
        <w:rPr>
          <w:b/>
          <w:sz w:val="22"/>
        </w:rPr>
      </w:pPr>
      <w:r>
        <w:rPr>
          <w:b/>
          <w:sz w:val="22"/>
        </w:rPr>
        <w:t>Template for Notice of Meeting Practice Note</w:t>
      </w:r>
    </w:p>
    <w:p w14:paraId="3F237A42" w14:textId="77777777" w:rsidR="00F46564" w:rsidRDefault="00F46564" w:rsidP="00F46564">
      <w:pPr>
        <w:spacing w:after="200"/>
        <w:rPr>
          <w:rFonts w:eastAsiaTheme="majorEastAsia" w:cstheme="majorBidi"/>
          <w:b/>
          <w:i/>
          <w:color w:val="323E4F" w:themeColor="text2" w:themeShade="BF"/>
          <w:spacing w:val="5"/>
          <w:kern w:val="28"/>
        </w:rPr>
      </w:pPr>
      <w:r>
        <w:rPr>
          <w:b/>
          <w:sz w:val="22"/>
        </w:rPr>
        <w:t>Standard Notice of Meeting Checklist</w:t>
      </w:r>
    </w:p>
    <w:p w14:paraId="4F1608C6" w14:textId="77777777" w:rsidR="00F46564" w:rsidRPr="00115A1D" w:rsidRDefault="00F46564" w:rsidP="00F46564">
      <w:pPr>
        <w:rPr>
          <w:sz w:val="22"/>
        </w:rPr>
      </w:pPr>
      <w:r w:rsidRPr="009B72F0">
        <w:rPr>
          <w:sz w:val="22"/>
        </w:rPr>
        <w:t>The following information should be considered, or included, in all notice</w:t>
      </w:r>
      <w:r>
        <w:rPr>
          <w:sz w:val="22"/>
        </w:rPr>
        <w:t>s</w:t>
      </w:r>
      <w:r w:rsidRPr="009B72F0">
        <w:rPr>
          <w:sz w:val="22"/>
        </w:rPr>
        <w:t xml:space="preserve"> of meeting submitted to </w:t>
      </w:r>
      <w:r>
        <w:rPr>
          <w:sz w:val="22"/>
        </w:rPr>
        <w:t>NZX</w:t>
      </w:r>
      <w:r w:rsidRPr="009B72F0">
        <w:rPr>
          <w:sz w:val="22"/>
        </w:rPr>
        <w:t xml:space="preserve"> for </w:t>
      </w:r>
      <w:r>
        <w:rPr>
          <w:sz w:val="22"/>
        </w:rPr>
        <w:t>review</w:t>
      </w:r>
      <w:r w:rsidRPr="009B72F0">
        <w:rPr>
          <w:sz w:val="22"/>
        </w:rPr>
        <w:t>.</w:t>
      </w:r>
      <w:r>
        <w:rPr>
          <w:sz w:val="22"/>
        </w:rPr>
        <w:t xml:space="preserve"> </w:t>
      </w:r>
    </w:p>
    <w:p w14:paraId="1B5B62C2" w14:textId="77777777" w:rsidR="00F46564" w:rsidRPr="00115A1D" w:rsidRDefault="00F46564" w:rsidP="00F46564">
      <w:pPr>
        <w:rPr>
          <w:sz w:val="22"/>
        </w:rPr>
      </w:pPr>
      <w:r w:rsidRPr="009B72F0">
        <w:rPr>
          <w:sz w:val="22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8"/>
        <w:gridCol w:w="1380"/>
      </w:tblGrid>
      <w:tr w:rsidR="00F46564" w:rsidRPr="00115A1D" w14:paraId="1D453AA5" w14:textId="77777777" w:rsidTr="0003542C">
        <w:tc>
          <w:tcPr>
            <w:tcW w:w="8708" w:type="dxa"/>
            <w:shd w:val="clear" w:color="auto" w:fill="44546A" w:themeFill="text2"/>
          </w:tcPr>
          <w:p w14:paraId="1BE86340" w14:textId="77777777" w:rsidR="00F46564" w:rsidRPr="00115A1D" w:rsidRDefault="00F46564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 xml:space="preserve">Standard </w:t>
            </w:r>
            <w:r>
              <w:rPr>
                <w:b/>
                <w:color w:val="FFFFFF" w:themeColor="background1"/>
                <w:sz w:val="22"/>
              </w:rPr>
              <w:t>contents for a Notice of Meeting</w:t>
            </w:r>
          </w:p>
        </w:tc>
        <w:tc>
          <w:tcPr>
            <w:tcW w:w="1380" w:type="dxa"/>
            <w:shd w:val="clear" w:color="auto" w:fill="44546A" w:themeFill="text2"/>
          </w:tcPr>
          <w:p w14:paraId="3D345F9F" w14:textId="77777777" w:rsidR="00F46564" w:rsidRPr="00624A2E" w:rsidRDefault="00F46564" w:rsidP="0003542C">
            <w:pPr>
              <w:spacing w:before="60" w:after="60"/>
              <w:rPr>
                <w:b/>
                <w:color w:val="FFFFFF" w:themeColor="background1"/>
                <w:sz w:val="20"/>
                <w:szCs w:val="20"/>
              </w:rPr>
            </w:pPr>
            <w:r w:rsidRPr="00624A2E">
              <w:rPr>
                <w:b/>
                <w:color w:val="FFFFFF" w:themeColor="background1"/>
                <w:sz w:val="20"/>
                <w:szCs w:val="20"/>
              </w:rPr>
              <w:t>Page number(s)</w:t>
            </w:r>
          </w:p>
        </w:tc>
      </w:tr>
      <w:tr w:rsidR="00F46564" w:rsidRPr="00115A1D" w14:paraId="775F79C7" w14:textId="77777777" w:rsidTr="0003542C">
        <w:tc>
          <w:tcPr>
            <w:tcW w:w="8708" w:type="dxa"/>
          </w:tcPr>
          <w:p w14:paraId="03E7844B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 w:rsidRPr="00982BF9">
              <w:rPr>
                <w:sz w:val="22"/>
              </w:rPr>
              <w:t xml:space="preserve">Include the name of the </w:t>
            </w:r>
            <w:r>
              <w:rPr>
                <w:sz w:val="22"/>
              </w:rPr>
              <w:t>i</w:t>
            </w:r>
            <w:r w:rsidRPr="00982BF9">
              <w:rPr>
                <w:sz w:val="22"/>
              </w:rPr>
              <w:t>ssuer, and the date, time and venue of the meeting</w:t>
            </w:r>
          </w:p>
        </w:tc>
        <w:tc>
          <w:tcPr>
            <w:tcW w:w="1380" w:type="dxa"/>
          </w:tcPr>
          <w:p w14:paraId="63CAD523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23F35BDB" w14:textId="77777777" w:rsidTr="0003542C">
        <w:tc>
          <w:tcPr>
            <w:tcW w:w="8708" w:type="dxa"/>
          </w:tcPr>
          <w:p w14:paraId="24CFADDF" w14:textId="77777777" w:rsidR="00F46564" w:rsidRPr="00982BF9" w:rsidRDefault="00F46564" w:rsidP="0003542C">
            <w:pPr>
              <w:spacing w:before="60" w:after="60"/>
              <w:rPr>
                <w:sz w:val="22"/>
              </w:rPr>
            </w:pPr>
            <w:r w:rsidRPr="00982BF9">
              <w:rPr>
                <w:sz w:val="22"/>
              </w:rPr>
              <w:t>Include the agenda of the meeting</w:t>
            </w:r>
          </w:p>
        </w:tc>
        <w:tc>
          <w:tcPr>
            <w:tcW w:w="1380" w:type="dxa"/>
          </w:tcPr>
          <w:p w14:paraId="4E4E111D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2D8E5EF2" w14:textId="77777777" w:rsidTr="0003542C">
        <w:trPr>
          <w:trHeight w:val="765"/>
        </w:trPr>
        <w:tc>
          <w:tcPr>
            <w:tcW w:w="8708" w:type="dxa"/>
          </w:tcPr>
          <w:p w14:paraId="4A179DA0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 w:rsidRPr="00982BF9">
              <w:rPr>
                <w:sz w:val="22"/>
              </w:rPr>
              <w:t>State the exact text of each resolution, and indicate whether these are special or ordinary resolutions</w:t>
            </w:r>
          </w:p>
        </w:tc>
        <w:tc>
          <w:tcPr>
            <w:tcW w:w="1380" w:type="dxa"/>
          </w:tcPr>
          <w:p w14:paraId="0706DE64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6026115C" w14:textId="77777777" w:rsidTr="0003542C">
        <w:trPr>
          <w:trHeight w:val="404"/>
        </w:trPr>
        <w:tc>
          <w:tcPr>
            <w:tcW w:w="8708" w:type="dxa"/>
          </w:tcPr>
          <w:p w14:paraId="49DD41BB" w14:textId="77777777" w:rsidR="00F46564" w:rsidRPr="00982BF9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If practicable, resolutions should be framed in a manner that facilitates binary voting instructions (for or against) for proxy holders</w:t>
            </w:r>
          </w:p>
        </w:tc>
        <w:tc>
          <w:tcPr>
            <w:tcW w:w="1380" w:type="dxa"/>
          </w:tcPr>
          <w:p w14:paraId="482F7847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285A5C35" w14:textId="77777777" w:rsidTr="0003542C">
        <w:tc>
          <w:tcPr>
            <w:tcW w:w="8708" w:type="dxa"/>
          </w:tcPr>
          <w:p w14:paraId="2F74E0E5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 w:rsidRPr="00982BF9">
              <w:rPr>
                <w:sz w:val="22"/>
              </w:rPr>
              <w:t>Include a description of</w:t>
            </w:r>
            <w:r>
              <w:rPr>
                <w:sz w:val="22"/>
              </w:rPr>
              <w:t xml:space="preserve"> the requirements of an</w:t>
            </w:r>
            <w:r w:rsidRPr="00982BF9">
              <w:rPr>
                <w:sz w:val="22"/>
              </w:rPr>
              <w:t xml:space="preserve"> “ordinary resolution” and “special resolution”</w:t>
            </w:r>
            <w:r>
              <w:rPr>
                <w:sz w:val="22"/>
              </w:rPr>
              <w:t xml:space="preserve"> (as applicable)</w:t>
            </w:r>
            <w:r w:rsidRPr="00982BF9">
              <w:rPr>
                <w:sz w:val="22"/>
              </w:rPr>
              <w:t>, so s</w:t>
            </w:r>
            <w:r>
              <w:rPr>
                <w:sz w:val="22"/>
              </w:rPr>
              <w:t>ecurity holders</w:t>
            </w:r>
            <w:r w:rsidRPr="00982BF9">
              <w:rPr>
                <w:sz w:val="22"/>
              </w:rPr>
              <w:t xml:space="preserve"> know how </w:t>
            </w:r>
            <w:r>
              <w:rPr>
                <w:sz w:val="22"/>
              </w:rPr>
              <w:t xml:space="preserve">such </w:t>
            </w:r>
            <w:r w:rsidRPr="00982BF9">
              <w:rPr>
                <w:sz w:val="22"/>
              </w:rPr>
              <w:t>resolutions</w:t>
            </w:r>
            <w:r>
              <w:rPr>
                <w:sz w:val="22"/>
              </w:rPr>
              <w:t xml:space="preserve"> are passed</w:t>
            </w:r>
          </w:p>
        </w:tc>
        <w:tc>
          <w:tcPr>
            <w:tcW w:w="1380" w:type="dxa"/>
          </w:tcPr>
          <w:p w14:paraId="31E48F4D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3EE1E4E8" w14:textId="77777777" w:rsidTr="0003542C">
        <w:tc>
          <w:tcPr>
            <w:tcW w:w="8708" w:type="dxa"/>
          </w:tcPr>
          <w:p w14:paraId="2D9031ED" w14:textId="77777777" w:rsidR="00F46564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Include or be accompanied by sufficient information to enable a </w:t>
            </w:r>
            <w:r w:rsidRPr="00982BF9">
              <w:rPr>
                <w:sz w:val="22"/>
              </w:rPr>
              <w:t xml:space="preserve">reasonable person </w:t>
            </w:r>
            <w:r>
              <w:rPr>
                <w:sz w:val="22"/>
              </w:rPr>
              <w:t xml:space="preserve">to </w:t>
            </w:r>
            <w:r w:rsidRPr="00982BF9">
              <w:rPr>
                <w:sz w:val="22"/>
              </w:rPr>
              <w:t>understand the effect of the resolutions proposed</w:t>
            </w:r>
            <w:r>
              <w:rPr>
                <w:sz w:val="22"/>
              </w:rPr>
              <w:t>, including:</w:t>
            </w:r>
          </w:p>
          <w:p w14:paraId="0FD80E51" w14:textId="77777777" w:rsidR="00F46564" w:rsidRDefault="00F46564" w:rsidP="00F46564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The consequences if the resolution is not passed; and</w:t>
            </w:r>
          </w:p>
          <w:p w14:paraId="6EA9FC42" w14:textId="77777777" w:rsidR="00F46564" w:rsidRPr="00C23B25" w:rsidRDefault="00F46564" w:rsidP="00F46564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A statement outlining who is subject to voting restrictions in relation to each resolution</w:t>
            </w:r>
          </w:p>
        </w:tc>
        <w:tc>
          <w:tcPr>
            <w:tcW w:w="1380" w:type="dxa"/>
          </w:tcPr>
          <w:p w14:paraId="0A3F7115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43D7CEF5" w14:textId="77777777" w:rsidTr="0003542C">
        <w:trPr>
          <w:trHeight w:val="614"/>
        </w:trPr>
        <w:tc>
          <w:tcPr>
            <w:tcW w:w="8708" w:type="dxa"/>
          </w:tcPr>
          <w:p w14:paraId="7B176D8C" w14:textId="77777777" w:rsidR="00F46564" w:rsidRPr="00982BF9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Consider whether a summary of salient points section should be included</w:t>
            </w:r>
          </w:p>
        </w:tc>
        <w:tc>
          <w:tcPr>
            <w:tcW w:w="1380" w:type="dxa"/>
          </w:tcPr>
          <w:p w14:paraId="4CD288D2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3CDFBE9D" w14:textId="77777777" w:rsidTr="0003542C">
        <w:trPr>
          <w:trHeight w:val="654"/>
        </w:trPr>
        <w:tc>
          <w:tcPr>
            <w:tcW w:w="8708" w:type="dxa"/>
          </w:tcPr>
          <w:p w14:paraId="492B71B5" w14:textId="77777777" w:rsidR="00F46564" w:rsidRPr="00982BF9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Consider, where applicable, pinpointing or cross referencing to explanatory note(s) or any appraisal report</w:t>
            </w:r>
          </w:p>
        </w:tc>
        <w:tc>
          <w:tcPr>
            <w:tcW w:w="1380" w:type="dxa"/>
          </w:tcPr>
          <w:p w14:paraId="22B60B64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1947FC" w:rsidRPr="00115A1D" w14:paraId="01291EC2" w14:textId="77777777" w:rsidTr="0003542C">
        <w:trPr>
          <w:trHeight w:val="654"/>
        </w:trPr>
        <w:tc>
          <w:tcPr>
            <w:tcW w:w="8708" w:type="dxa"/>
          </w:tcPr>
          <w:p w14:paraId="294E5F59" w14:textId="662D7A7E" w:rsidR="001947FC" w:rsidRDefault="001947FC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The notice of meeting must also include information on any voting exclusions that apply (Rule 6.3.1)</w:t>
            </w:r>
          </w:p>
        </w:tc>
        <w:tc>
          <w:tcPr>
            <w:tcW w:w="1380" w:type="dxa"/>
          </w:tcPr>
          <w:p w14:paraId="3EACAB01" w14:textId="77777777" w:rsidR="001947FC" w:rsidRPr="00115A1D" w:rsidRDefault="001947FC" w:rsidP="0003542C">
            <w:pPr>
              <w:spacing w:before="60" w:after="60"/>
              <w:rPr>
                <w:sz w:val="22"/>
              </w:rPr>
            </w:pPr>
          </w:p>
        </w:tc>
      </w:tr>
    </w:tbl>
    <w:p w14:paraId="6EA06B38" w14:textId="77777777" w:rsidR="00F46564" w:rsidRPr="00982BF9" w:rsidRDefault="00F46564" w:rsidP="00F46564">
      <w:pPr>
        <w:rPr>
          <w:b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8"/>
        <w:gridCol w:w="1380"/>
      </w:tblGrid>
      <w:tr w:rsidR="00F46564" w:rsidRPr="00115A1D" w14:paraId="599869BC" w14:textId="77777777" w:rsidTr="0003542C">
        <w:tc>
          <w:tcPr>
            <w:tcW w:w="8931" w:type="dxa"/>
            <w:shd w:val="clear" w:color="auto" w:fill="44546A" w:themeFill="text2"/>
          </w:tcPr>
          <w:p w14:paraId="1B3E298C" w14:textId="77777777" w:rsidR="00F46564" w:rsidRPr="00115A1D" w:rsidRDefault="00F46564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 w:rsidRPr="00982BF9">
              <w:rPr>
                <w:b/>
                <w:color w:val="FFFFFF" w:themeColor="background1"/>
                <w:sz w:val="22"/>
              </w:rPr>
              <w:t>Voting and proxy information in the notice of meeting</w:t>
            </w:r>
          </w:p>
        </w:tc>
        <w:tc>
          <w:tcPr>
            <w:tcW w:w="1383" w:type="dxa"/>
            <w:shd w:val="clear" w:color="auto" w:fill="44546A" w:themeFill="text2"/>
          </w:tcPr>
          <w:p w14:paraId="3ACCB068" w14:textId="77777777" w:rsidR="00F46564" w:rsidRPr="00115A1D" w:rsidRDefault="00F46564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>Page number</w:t>
            </w:r>
            <w:r>
              <w:rPr>
                <w:b/>
                <w:color w:val="FFFFFF" w:themeColor="background1"/>
                <w:sz w:val="22"/>
              </w:rPr>
              <w:t>(s)</w:t>
            </w:r>
          </w:p>
        </w:tc>
      </w:tr>
      <w:tr w:rsidR="00F46564" w:rsidRPr="00115A1D" w14:paraId="22269D15" w14:textId="77777777" w:rsidTr="0003542C">
        <w:tc>
          <w:tcPr>
            <w:tcW w:w="8931" w:type="dxa"/>
          </w:tcPr>
          <w:p w14:paraId="471D36F9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State that security holders </w:t>
            </w:r>
            <w:r w:rsidRPr="00982BF9">
              <w:rPr>
                <w:sz w:val="22"/>
              </w:rPr>
              <w:t>may attend the meeting and vote, or may appoint a proxy to attend and vote in their place</w:t>
            </w:r>
          </w:p>
        </w:tc>
        <w:tc>
          <w:tcPr>
            <w:tcW w:w="1383" w:type="dxa"/>
          </w:tcPr>
          <w:p w14:paraId="46D2DAF4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02F1E3A1" w14:textId="77777777" w:rsidTr="0003542C">
        <w:tc>
          <w:tcPr>
            <w:tcW w:w="8931" w:type="dxa"/>
          </w:tcPr>
          <w:p w14:paraId="3E64EB52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 w:rsidRPr="00982BF9">
              <w:rPr>
                <w:sz w:val="22"/>
              </w:rPr>
              <w:t xml:space="preserve">Provide that if a </w:t>
            </w:r>
            <w:r>
              <w:rPr>
                <w:sz w:val="22"/>
              </w:rPr>
              <w:t>security holder</w:t>
            </w:r>
            <w:r w:rsidRPr="00982BF9">
              <w:rPr>
                <w:sz w:val="22"/>
              </w:rPr>
              <w:t xml:space="preserve"> wishes to appoint a proxy that they should complete the proxy form enclosed</w:t>
            </w:r>
          </w:p>
        </w:tc>
        <w:tc>
          <w:tcPr>
            <w:tcW w:w="1383" w:type="dxa"/>
          </w:tcPr>
          <w:p w14:paraId="40A48793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09495880" w14:textId="77777777" w:rsidTr="0003542C">
        <w:tc>
          <w:tcPr>
            <w:tcW w:w="8931" w:type="dxa"/>
          </w:tcPr>
          <w:p w14:paraId="14B64712" w14:textId="77777777" w:rsidR="00F46564" w:rsidRPr="00982BF9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P</w:t>
            </w:r>
            <w:r w:rsidRPr="00982BF9">
              <w:rPr>
                <w:sz w:val="22"/>
              </w:rPr>
              <w:t>rovide the date, place and time by which the proxy form must be received</w:t>
            </w:r>
          </w:p>
        </w:tc>
        <w:tc>
          <w:tcPr>
            <w:tcW w:w="1383" w:type="dxa"/>
          </w:tcPr>
          <w:p w14:paraId="2FD13E22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53CD56C9" w14:textId="77777777" w:rsidTr="0003542C">
        <w:tc>
          <w:tcPr>
            <w:tcW w:w="8931" w:type="dxa"/>
          </w:tcPr>
          <w:p w14:paraId="5DD4D82D" w14:textId="77777777" w:rsidR="00F46564" w:rsidRPr="00982BF9" w:rsidRDefault="00F46564" w:rsidP="0003542C">
            <w:pPr>
              <w:spacing w:before="60" w:after="60"/>
              <w:rPr>
                <w:sz w:val="22"/>
              </w:rPr>
            </w:pPr>
            <w:r w:rsidRPr="009B72F0">
              <w:rPr>
                <w:sz w:val="22"/>
              </w:rPr>
              <w:lastRenderedPageBreak/>
              <w:t xml:space="preserve">Where there are multiple methods of returning the form, </w:t>
            </w:r>
            <w:r>
              <w:rPr>
                <w:sz w:val="22"/>
              </w:rPr>
              <w:t>(</w:t>
            </w:r>
            <w:r w:rsidRPr="009B72F0">
              <w:rPr>
                <w:sz w:val="22"/>
              </w:rPr>
              <w:t>for example mail, delivery, email or fax</w:t>
            </w:r>
            <w:r>
              <w:rPr>
                <w:sz w:val="22"/>
              </w:rPr>
              <w:t>)</w:t>
            </w:r>
            <w:r w:rsidRPr="009B72F0">
              <w:rPr>
                <w:sz w:val="22"/>
              </w:rPr>
              <w:t xml:space="preserve">, please include </w:t>
            </w:r>
            <w:proofErr w:type="gramStart"/>
            <w:r w:rsidRPr="009B72F0">
              <w:rPr>
                <w:sz w:val="22"/>
              </w:rPr>
              <w:t>all of</w:t>
            </w:r>
            <w:proofErr w:type="gramEnd"/>
            <w:r w:rsidRPr="009B72F0">
              <w:rPr>
                <w:sz w:val="22"/>
              </w:rPr>
              <w:t xml:space="preserve"> these methods and ensure that they correspond with the proxy form</w:t>
            </w:r>
          </w:p>
        </w:tc>
        <w:tc>
          <w:tcPr>
            <w:tcW w:w="1383" w:type="dxa"/>
          </w:tcPr>
          <w:p w14:paraId="49762099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63D313B2" w14:textId="77777777" w:rsidTr="0003542C">
        <w:tc>
          <w:tcPr>
            <w:tcW w:w="8931" w:type="dxa"/>
          </w:tcPr>
          <w:p w14:paraId="0787489F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 w:rsidRPr="00982BF9">
              <w:rPr>
                <w:sz w:val="22"/>
              </w:rPr>
              <w:t xml:space="preserve">State that the appointed proxy need not be a </w:t>
            </w:r>
            <w:r>
              <w:rPr>
                <w:sz w:val="22"/>
              </w:rPr>
              <w:t xml:space="preserve">security holder </w:t>
            </w:r>
            <w:r w:rsidRPr="00982BF9">
              <w:rPr>
                <w:sz w:val="22"/>
              </w:rPr>
              <w:t xml:space="preserve">of the </w:t>
            </w:r>
            <w:r>
              <w:rPr>
                <w:sz w:val="22"/>
              </w:rPr>
              <w:t>i</w:t>
            </w:r>
            <w:r w:rsidRPr="00982BF9">
              <w:rPr>
                <w:sz w:val="22"/>
              </w:rPr>
              <w:t>ssuer and</w:t>
            </w:r>
            <w:r>
              <w:rPr>
                <w:sz w:val="22"/>
              </w:rPr>
              <w:t xml:space="preserve"> state whether the chair of the meeting is available to act as proxy</w:t>
            </w:r>
          </w:p>
        </w:tc>
        <w:tc>
          <w:tcPr>
            <w:tcW w:w="1383" w:type="dxa"/>
          </w:tcPr>
          <w:p w14:paraId="6BF9A8F1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2A941349" w14:textId="77777777" w:rsidTr="0003542C">
        <w:tc>
          <w:tcPr>
            <w:tcW w:w="8931" w:type="dxa"/>
          </w:tcPr>
          <w:p w14:paraId="33A76E1B" w14:textId="77777777" w:rsidR="00F46564" w:rsidRPr="00982BF9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State how the chair of the meeting will vote if they are appointed as a discretionary proxy</w:t>
            </w:r>
          </w:p>
        </w:tc>
        <w:tc>
          <w:tcPr>
            <w:tcW w:w="1383" w:type="dxa"/>
          </w:tcPr>
          <w:p w14:paraId="3937BE80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03745F60" w14:textId="77777777" w:rsidTr="0003542C">
        <w:tc>
          <w:tcPr>
            <w:tcW w:w="8931" w:type="dxa"/>
          </w:tcPr>
          <w:p w14:paraId="0DB4A8BF" w14:textId="77777777" w:rsidR="00F46564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If</w:t>
            </w:r>
            <w:r w:rsidRPr="009B72F0">
              <w:rPr>
                <w:sz w:val="22"/>
              </w:rPr>
              <w:t xml:space="preserve"> applicable</w:t>
            </w:r>
            <w:r>
              <w:rPr>
                <w:sz w:val="22"/>
              </w:rPr>
              <w:t>:</w:t>
            </w:r>
            <w:r w:rsidRPr="009B72F0">
              <w:rPr>
                <w:sz w:val="22"/>
              </w:rPr>
              <w:t xml:space="preserve"> </w:t>
            </w:r>
          </w:p>
          <w:p w14:paraId="66BA56F7" w14:textId="77777777" w:rsidR="00F46564" w:rsidRDefault="00F46564" w:rsidP="00F4656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Indicate which persons are</w:t>
            </w:r>
            <w:r w:rsidRPr="00C864DF">
              <w:rPr>
                <w:sz w:val="22"/>
              </w:rPr>
              <w:t xml:space="preserve"> </w:t>
            </w:r>
            <w:r>
              <w:rPr>
                <w:sz w:val="22"/>
              </w:rPr>
              <w:t>disqualified</w:t>
            </w:r>
            <w:r w:rsidRPr="00C864DF">
              <w:rPr>
                <w:sz w:val="22"/>
              </w:rPr>
              <w:t xml:space="preserve"> from voting on a resolution, or acting as a discretionary proxy, as set out in Rule </w:t>
            </w:r>
            <w:r>
              <w:rPr>
                <w:sz w:val="22"/>
              </w:rPr>
              <w:t>6.3.1;</w:t>
            </w:r>
            <w:r w:rsidRPr="00C864DF">
              <w:rPr>
                <w:sz w:val="22"/>
              </w:rPr>
              <w:t xml:space="preserve"> and</w:t>
            </w:r>
          </w:p>
          <w:p w14:paraId="15A728AF" w14:textId="77777777" w:rsidR="00F46564" w:rsidRPr="00C864DF" w:rsidRDefault="00F46564" w:rsidP="00F4656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 xml:space="preserve">State </w:t>
            </w:r>
            <w:r w:rsidRPr="00C864DF">
              <w:rPr>
                <w:sz w:val="22"/>
              </w:rPr>
              <w:t xml:space="preserve">that discretionary proxies given to persons </w:t>
            </w:r>
            <w:r>
              <w:rPr>
                <w:sz w:val="22"/>
              </w:rPr>
              <w:t>disqualified</w:t>
            </w:r>
            <w:r w:rsidRPr="00C864DF">
              <w:rPr>
                <w:sz w:val="22"/>
              </w:rPr>
              <w:t xml:space="preserve"> from voting will not be valid</w:t>
            </w:r>
          </w:p>
        </w:tc>
        <w:tc>
          <w:tcPr>
            <w:tcW w:w="1383" w:type="dxa"/>
          </w:tcPr>
          <w:p w14:paraId="48D08B14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6E736FCB" w14:textId="77777777" w:rsidTr="0003542C">
        <w:tc>
          <w:tcPr>
            <w:tcW w:w="8931" w:type="dxa"/>
          </w:tcPr>
          <w:p w14:paraId="227BA8F0" w14:textId="77777777" w:rsidR="00F46564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If</w:t>
            </w:r>
            <w:r w:rsidRPr="00982BF9">
              <w:rPr>
                <w:sz w:val="22"/>
              </w:rPr>
              <w:t xml:space="preserve"> applicable</w:t>
            </w:r>
            <w:r>
              <w:rPr>
                <w:sz w:val="22"/>
              </w:rPr>
              <w:t>,</w:t>
            </w:r>
            <w:r w:rsidRPr="00982BF9">
              <w:rPr>
                <w:sz w:val="22"/>
              </w:rPr>
              <w:t xml:space="preserve"> </w:t>
            </w:r>
            <w:r>
              <w:rPr>
                <w:sz w:val="22"/>
              </w:rPr>
              <w:t>indicate</w:t>
            </w:r>
            <w:r w:rsidRPr="00982BF9">
              <w:rPr>
                <w:sz w:val="22"/>
              </w:rPr>
              <w:t xml:space="preserve"> that </w:t>
            </w:r>
            <w:r>
              <w:rPr>
                <w:sz w:val="22"/>
              </w:rPr>
              <w:t xml:space="preserve">if </w:t>
            </w:r>
            <w:r w:rsidRPr="00982BF9">
              <w:rPr>
                <w:sz w:val="22"/>
              </w:rPr>
              <w:t xml:space="preserve">a person is </w:t>
            </w:r>
            <w:r>
              <w:rPr>
                <w:sz w:val="22"/>
              </w:rPr>
              <w:t xml:space="preserve">disqualified </w:t>
            </w:r>
            <w:r w:rsidRPr="00982BF9">
              <w:rPr>
                <w:sz w:val="22"/>
              </w:rPr>
              <w:t>from voting</w:t>
            </w:r>
            <w:r>
              <w:rPr>
                <w:sz w:val="22"/>
              </w:rPr>
              <w:t>,</w:t>
            </w:r>
            <w:r w:rsidRPr="00982BF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but </w:t>
            </w:r>
            <w:r w:rsidRPr="00982BF9">
              <w:rPr>
                <w:sz w:val="22"/>
              </w:rPr>
              <w:t>is</w:t>
            </w:r>
            <w:r>
              <w:rPr>
                <w:sz w:val="22"/>
              </w:rPr>
              <w:t xml:space="preserve"> </w:t>
            </w:r>
            <w:r w:rsidRPr="00982BF9">
              <w:rPr>
                <w:sz w:val="22"/>
              </w:rPr>
              <w:t>appointed as a discretionary proxy</w:t>
            </w:r>
            <w:r>
              <w:rPr>
                <w:sz w:val="22"/>
              </w:rPr>
              <w:t>,</w:t>
            </w:r>
            <w:r w:rsidRPr="00982BF9">
              <w:rPr>
                <w:sz w:val="22"/>
              </w:rPr>
              <w:t xml:space="preserve"> they will be ineligible to vote on motions from the floor</w:t>
            </w:r>
            <w:r>
              <w:rPr>
                <w:sz w:val="22"/>
              </w:rPr>
              <w:t xml:space="preserve"> as the discretionary proxies are not valid. </w:t>
            </w:r>
          </w:p>
        </w:tc>
        <w:tc>
          <w:tcPr>
            <w:tcW w:w="1383" w:type="dxa"/>
          </w:tcPr>
          <w:p w14:paraId="7D0CC877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</w:tbl>
    <w:p w14:paraId="5D94B49B" w14:textId="77777777" w:rsidR="00F46564" w:rsidRDefault="00F46564" w:rsidP="00F46564">
      <w:pPr>
        <w:spacing w:after="200"/>
        <w:rPr>
          <w:b/>
          <w:sz w:val="22"/>
        </w:rPr>
      </w:pPr>
    </w:p>
    <w:p w14:paraId="2CE193DF" w14:textId="77777777" w:rsidR="00F46564" w:rsidRDefault="00F46564" w:rsidP="00F46564">
      <w:pPr>
        <w:spacing w:after="200"/>
        <w:rPr>
          <w:b/>
          <w:sz w:val="22"/>
        </w:rPr>
      </w:pPr>
    </w:p>
    <w:p w14:paraId="64F2ABA0" w14:textId="77777777" w:rsidR="00F46564" w:rsidRPr="00115A1D" w:rsidRDefault="00F46564" w:rsidP="00F46564">
      <w:pPr>
        <w:spacing w:after="200"/>
        <w:rPr>
          <w:b/>
          <w:sz w:val="22"/>
        </w:rPr>
      </w:pPr>
      <w:r w:rsidRPr="009B72F0">
        <w:rPr>
          <w:b/>
          <w:sz w:val="22"/>
        </w:rPr>
        <w:t>Providing a proxy form</w:t>
      </w:r>
    </w:p>
    <w:p w14:paraId="4CAEFC41" w14:textId="77777777" w:rsidR="00F46564" w:rsidRPr="00115A1D" w:rsidRDefault="00F46564" w:rsidP="00F46564">
      <w:pPr>
        <w:rPr>
          <w:sz w:val="22"/>
        </w:rPr>
      </w:pPr>
      <w:r w:rsidRPr="009B72F0">
        <w:rPr>
          <w:sz w:val="22"/>
        </w:rPr>
        <w:t xml:space="preserve">A notice of meeting must be accompanied by a proxy form, for </w:t>
      </w:r>
      <w:r>
        <w:rPr>
          <w:sz w:val="22"/>
        </w:rPr>
        <w:t>NZX</w:t>
      </w:r>
      <w:r w:rsidRPr="009B72F0">
        <w:rPr>
          <w:sz w:val="22"/>
        </w:rPr>
        <w:t>’s review.  The proxy form should include the following details.</w:t>
      </w:r>
    </w:p>
    <w:p w14:paraId="70102F5D" w14:textId="77777777" w:rsidR="00F46564" w:rsidRPr="00115A1D" w:rsidRDefault="00F46564" w:rsidP="00F46564">
      <w:pPr>
        <w:rPr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08"/>
        <w:gridCol w:w="1380"/>
      </w:tblGrid>
      <w:tr w:rsidR="00F46564" w:rsidRPr="00115A1D" w14:paraId="57353CFA" w14:textId="77777777" w:rsidTr="0003542C">
        <w:tc>
          <w:tcPr>
            <w:tcW w:w="8708" w:type="dxa"/>
            <w:shd w:val="clear" w:color="auto" w:fill="44546A" w:themeFill="text2"/>
          </w:tcPr>
          <w:p w14:paraId="37F5F640" w14:textId="77777777" w:rsidR="00F46564" w:rsidRPr="00115A1D" w:rsidRDefault="00F46564" w:rsidP="0003542C">
            <w:pPr>
              <w:rPr>
                <w:b/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>Proxy form requirements</w:t>
            </w:r>
          </w:p>
        </w:tc>
        <w:tc>
          <w:tcPr>
            <w:tcW w:w="1380" w:type="dxa"/>
            <w:shd w:val="clear" w:color="auto" w:fill="44546A" w:themeFill="text2"/>
          </w:tcPr>
          <w:p w14:paraId="71F4CBA4" w14:textId="77777777" w:rsidR="00F46564" w:rsidRPr="00115A1D" w:rsidRDefault="00F46564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>Page number</w:t>
            </w:r>
            <w:r>
              <w:rPr>
                <w:b/>
                <w:color w:val="FFFFFF" w:themeColor="background1"/>
                <w:sz w:val="22"/>
              </w:rPr>
              <w:t>(s)</w:t>
            </w:r>
          </w:p>
        </w:tc>
      </w:tr>
      <w:tr w:rsidR="00F46564" w:rsidRPr="00115A1D" w14:paraId="0DFCEE81" w14:textId="77777777" w:rsidTr="0003542C">
        <w:tc>
          <w:tcPr>
            <w:tcW w:w="8708" w:type="dxa"/>
          </w:tcPr>
          <w:p w14:paraId="307119F7" w14:textId="77777777" w:rsidR="00F46564" w:rsidRPr="00982BF9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State</w:t>
            </w:r>
            <w:r w:rsidRPr="00982BF9">
              <w:rPr>
                <w:sz w:val="22"/>
              </w:rPr>
              <w:t xml:space="preserve"> the date, time and venue for the meeting </w:t>
            </w:r>
          </w:p>
        </w:tc>
        <w:tc>
          <w:tcPr>
            <w:tcW w:w="1380" w:type="dxa"/>
          </w:tcPr>
          <w:p w14:paraId="7DFDD5B8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6AE29AB8" w14:textId="77777777" w:rsidTr="0003542C">
        <w:tc>
          <w:tcPr>
            <w:tcW w:w="8708" w:type="dxa"/>
          </w:tcPr>
          <w:p w14:paraId="3B568BAD" w14:textId="77777777" w:rsidR="00F46564" w:rsidRPr="00982BF9" w:rsidRDefault="00F46564" w:rsidP="0003542C">
            <w:pPr>
              <w:spacing w:before="60" w:after="60"/>
              <w:rPr>
                <w:sz w:val="22"/>
              </w:rPr>
            </w:pPr>
            <w:r w:rsidRPr="00982BF9">
              <w:rPr>
                <w:sz w:val="22"/>
              </w:rPr>
              <w:t xml:space="preserve">Include all resolutions to be voted on </w:t>
            </w:r>
            <w:r>
              <w:rPr>
                <w:sz w:val="22"/>
              </w:rPr>
              <w:t>at</w:t>
            </w:r>
            <w:r w:rsidRPr="00982BF9">
              <w:rPr>
                <w:sz w:val="22"/>
              </w:rPr>
              <w:t xml:space="preserve"> the meeting</w:t>
            </w:r>
            <w:r>
              <w:rPr>
                <w:sz w:val="22"/>
              </w:rPr>
              <w:t>, as set out in the notice of meeting</w:t>
            </w:r>
          </w:p>
        </w:tc>
        <w:tc>
          <w:tcPr>
            <w:tcW w:w="1380" w:type="dxa"/>
          </w:tcPr>
          <w:p w14:paraId="02394A43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21E8AD10" w14:textId="77777777" w:rsidTr="0003542C">
        <w:trPr>
          <w:trHeight w:val="660"/>
        </w:trPr>
        <w:tc>
          <w:tcPr>
            <w:tcW w:w="8708" w:type="dxa"/>
          </w:tcPr>
          <w:p w14:paraId="12566F66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 w:rsidRPr="00982BF9">
              <w:rPr>
                <w:sz w:val="22"/>
              </w:rPr>
              <w:t xml:space="preserve">Provide for at least two-way voting (for or against) on each resolution, noting that </w:t>
            </w:r>
            <w:proofErr w:type="gramStart"/>
            <w:r w:rsidRPr="00982BF9">
              <w:rPr>
                <w:sz w:val="22"/>
              </w:rPr>
              <w:t>four way</w:t>
            </w:r>
            <w:proofErr w:type="gramEnd"/>
            <w:r w:rsidRPr="00982BF9">
              <w:rPr>
                <w:sz w:val="22"/>
              </w:rPr>
              <w:t xml:space="preserve"> voting is best practice</w:t>
            </w:r>
            <w:r>
              <w:rPr>
                <w:sz w:val="22"/>
              </w:rPr>
              <w:t xml:space="preserve"> (for, against, abstain or proxy discretionary)</w:t>
            </w:r>
          </w:p>
        </w:tc>
        <w:tc>
          <w:tcPr>
            <w:tcW w:w="1380" w:type="dxa"/>
          </w:tcPr>
          <w:p w14:paraId="18FC4B7D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196386F5" w14:textId="77777777" w:rsidTr="0003542C">
        <w:trPr>
          <w:trHeight w:val="603"/>
        </w:trPr>
        <w:tc>
          <w:tcPr>
            <w:tcW w:w="8708" w:type="dxa"/>
          </w:tcPr>
          <w:p w14:paraId="7644108E" w14:textId="77777777" w:rsidR="00F46564" w:rsidRPr="00982BF9" w:rsidRDefault="00F46564" w:rsidP="0003542C">
            <w:pPr>
              <w:spacing w:before="60" w:after="60"/>
              <w:rPr>
                <w:sz w:val="22"/>
              </w:rPr>
            </w:pPr>
            <w:r w:rsidRPr="00982BF9">
              <w:rPr>
                <w:sz w:val="22"/>
              </w:rPr>
              <w:t xml:space="preserve">Enable a </w:t>
            </w:r>
            <w:r>
              <w:rPr>
                <w:sz w:val="22"/>
              </w:rPr>
              <w:t>security holder</w:t>
            </w:r>
            <w:r w:rsidRPr="00982BF9">
              <w:rPr>
                <w:sz w:val="22"/>
              </w:rPr>
              <w:t xml:space="preserve"> to appoint a proxy to cast their vote on their behalf</w:t>
            </w:r>
            <w:r>
              <w:rPr>
                <w:sz w:val="22"/>
              </w:rPr>
              <w:t xml:space="preserve"> (see below). The proxy form must not be sent with the name or office of the proxy holder filled in</w:t>
            </w:r>
          </w:p>
        </w:tc>
        <w:tc>
          <w:tcPr>
            <w:tcW w:w="1380" w:type="dxa"/>
          </w:tcPr>
          <w:p w14:paraId="2C3C1E4F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0077D220" w14:textId="77777777" w:rsidTr="0003542C">
        <w:trPr>
          <w:trHeight w:val="603"/>
        </w:trPr>
        <w:tc>
          <w:tcPr>
            <w:tcW w:w="8708" w:type="dxa"/>
          </w:tcPr>
          <w:p w14:paraId="1A3D18B5" w14:textId="556CFF38" w:rsidR="00F46564" w:rsidRPr="00982BF9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Contain a statement outlining who is subject to voting restrictions in relation to each resolution</w:t>
            </w:r>
            <w:r w:rsidR="001947FC">
              <w:rPr>
                <w:sz w:val="22"/>
              </w:rPr>
              <w:t xml:space="preserve"> (Rule 6.3.1)</w:t>
            </w:r>
          </w:p>
        </w:tc>
        <w:tc>
          <w:tcPr>
            <w:tcW w:w="1380" w:type="dxa"/>
          </w:tcPr>
          <w:p w14:paraId="34E997F8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3DB2C719" w14:textId="77777777" w:rsidTr="0003542C">
        <w:tc>
          <w:tcPr>
            <w:tcW w:w="8708" w:type="dxa"/>
          </w:tcPr>
          <w:p w14:paraId="0FC4BE9D" w14:textId="77777777" w:rsidR="00F46564" w:rsidRPr="00982BF9" w:rsidRDefault="00F46564" w:rsidP="0003542C">
            <w:pPr>
              <w:spacing w:before="60" w:after="60"/>
              <w:rPr>
                <w:sz w:val="22"/>
              </w:rPr>
            </w:pPr>
            <w:r w:rsidRPr="00982BF9">
              <w:rPr>
                <w:sz w:val="22"/>
              </w:rPr>
              <w:t>State th</w:t>
            </w:r>
            <w:r>
              <w:rPr>
                <w:sz w:val="22"/>
              </w:rPr>
              <w:t xml:space="preserve">e date, place and time by which the proxy form must be received (not less than </w:t>
            </w:r>
            <w:r w:rsidRPr="00982BF9">
              <w:rPr>
                <w:sz w:val="22"/>
              </w:rPr>
              <w:t>48 hours before the meeting</w:t>
            </w:r>
            <w:r>
              <w:rPr>
                <w:sz w:val="22"/>
              </w:rPr>
              <w:t xml:space="preserve"> commences)</w:t>
            </w:r>
          </w:p>
        </w:tc>
        <w:tc>
          <w:tcPr>
            <w:tcW w:w="1380" w:type="dxa"/>
          </w:tcPr>
          <w:p w14:paraId="09D14E3A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66394A5C" w14:textId="77777777" w:rsidTr="0003542C">
        <w:tc>
          <w:tcPr>
            <w:tcW w:w="8708" w:type="dxa"/>
          </w:tcPr>
          <w:p w14:paraId="0E8CD8DF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 w:rsidRPr="00982BF9">
              <w:rPr>
                <w:sz w:val="22"/>
              </w:rPr>
              <w:t>Clarif</w:t>
            </w:r>
            <w:r>
              <w:rPr>
                <w:sz w:val="22"/>
              </w:rPr>
              <w:t>y</w:t>
            </w:r>
            <w:r w:rsidRPr="00982BF9">
              <w:rPr>
                <w:sz w:val="22"/>
              </w:rPr>
              <w:t xml:space="preserve"> whether amendments or resolutions from the floor can be voted on by appointed proxies</w:t>
            </w:r>
          </w:p>
        </w:tc>
        <w:tc>
          <w:tcPr>
            <w:tcW w:w="1380" w:type="dxa"/>
          </w:tcPr>
          <w:p w14:paraId="4C68A972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69584E1A" w14:textId="77777777" w:rsidTr="0003542C">
        <w:tc>
          <w:tcPr>
            <w:tcW w:w="8708" w:type="dxa"/>
          </w:tcPr>
          <w:p w14:paraId="3EE6A45B" w14:textId="77777777" w:rsidR="00F46564" w:rsidRPr="00982BF9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lastRenderedPageBreak/>
              <w:t>If the meeting will include a virtual element, include a statement that security holders can still attend, even if they have appointed a proxy (although they will not be able to vote if proxy has been appointed)</w:t>
            </w:r>
          </w:p>
        </w:tc>
        <w:tc>
          <w:tcPr>
            <w:tcW w:w="1380" w:type="dxa"/>
          </w:tcPr>
          <w:p w14:paraId="313C1758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</w:tbl>
    <w:p w14:paraId="7BB9320E" w14:textId="77777777" w:rsidR="00F46564" w:rsidRPr="00982BF9" w:rsidRDefault="00F46564" w:rsidP="00F46564">
      <w:pPr>
        <w:rPr>
          <w:b/>
          <w:sz w:val="22"/>
        </w:rPr>
      </w:pPr>
    </w:p>
    <w:p w14:paraId="0AC23189" w14:textId="77777777" w:rsidR="00F46564" w:rsidRDefault="00F46564" w:rsidP="00F46564">
      <w:pPr>
        <w:rPr>
          <w:sz w:val="22"/>
        </w:rPr>
      </w:pPr>
      <w:r>
        <w:rPr>
          <w:sz w:val="22"/>
        </w:rPr>
        <w:t>There are two circumstances where an issuer may provide that a named person or named office will act as a person’s proxy:</w:t>
      </w:r>
    </w:p>
    <w:p w14:paraId="56F2FE5B" w14:textId="77777777" w:rsidR="00F46564" w:rsidRDefault="00F46564" w:rsidP="00F46564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The person has not named a person as their proxy, but has otherwise completed the proxy form in full; or</w:t>
      </w:r>
    </w:p>
    <w:p w14:paraId="4314BBA1" w14:textId="77777777" w:rsidR="00F46564" w:rsidRDefault="00F46564" w:rsidP="00F46564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The person’s named proxy does not attend the meeting. </w:t>
      </w:r>
    </w:p>
    <w:p w14:paraId="0D6EEFC6" w14:textId="77777777" w:rsidR="00F46564" w:rsidRDefault="00F46564" w:rsidP="00F46564">
      <w:pPr>
        <w:rPr>
          <w:sz w:val="22"/>
        </w:rPr>
      </w:pPr>
    </w:p>
    <w:p w14:paraId="73F14210" w14:textId="77777777" w:rsidR="00F46564" w:rsidRDefault="00F46564" w:rsidP="00F46564">
      <w:pPr>
        <w:rPr>
          <w:sz w:val="22"/>
        </w:rPr>
      </w:pPr>
      <w:r>
        <w:rPr>
          <w:sz w:val="22"/>
        </w:rPr>
        <w:t>In that case, the proxy form and notice of meeting must:</w:t>
      </w:r>
    </w:p>
    <w:p w14:paraId="0980566D" w14:textId="77777777" w:rsidR="00F46564" w:rsidRDefault="00F46564" w:rsidP="00F46564">
      <w:pPr>
        <w:pStyle w:val="ListParagraph"/>
        <w:numPr>
          <w:ilvl w:val="0"/>
          <w:numId w:val="5"/>
        </w:numPr>
        <w:rPr>
          <w:sz w:val="22"/>
        </w:rPr>
      </w:pPr>
      <w:r w:rsidRPr="00C23B25">
        <w:rPr>
          <w:sz w:val="22"/>
        </w:rPr>
        <w:t xml:space="preserve">Clearly and prominently disclose the intention to appoint a </w:t>
      </w:r>
      <w:r w:rsidRPr="00F65B74">
        <w:rPr>
          <w:sz w:val="22"/>
        </w:rPr>
        <w:t xml:space="preserve">named person or office; and </w:t>
      </w:r>
    </w:p>
    <w:p w14:paraId="1B805BC2" w14:textId="77777777" w:rsidR="00F46564" w:rsidRDefault="00F46564" w:rsidP="00F46564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State that the named person or office must only act in accordance with the express directions of the quoted financial product </w:t>
      </w:r>
      <w:proofErr w:type="gramStart"/>
      <w:r>
        <w:rPr>
          <w:sz w:val="22"/>
        </w:rPr>
        <w:t>holder, and</w:t>
      </w:r>
      <w:proofErr w:type="gramEnd"/>
      <w:r>
        <w:rPr>
          <w:sz w:val="22"/>
        </w:rPr>
        <w:t xml:space="preserve"> will not vote a discretionary proxy on a resolution if they are subject to a voting restriction on said resolution. </w:t>
      </w:r>
    </w:p>
    <w:p w14:paraId="264CD1E2" w14:textId="77777777" w:rsidR="00F46564" w:rsidRPr="00115A1D" w:rsidRDefault="00F46564" w:rsidP="00F46564"/>
    <w:p w14:paraId="6C1C8B9D" w14:textId="77777777" w:rsidR="00F46564" w:rsidRDefault="00F46564" w:rsidP="00F46564">
      <w:pPr>
        <w:spacing w:after="200"/>
        <w:rPr>
          <w:b/>
          <w:sz w:val="22"/>
        </w:rPr>
      </w:pPr>
      <w:r>
        <w:rPr>
          <w:b/>
          <w:sz w:val="22"/>
        </w:rPr>
        <w:br w:type="page"/>
      </w:r>
    </w:p>
    <w:p w14:paraId="1E24EEF0" w14:textId="77777777" w:rsidR="00F46564" w:rsidRDefault="00F46564" w:rsidP="00F46564">
      <w:pPr>
        <w:spacing w:after="200" w:line="240" w:lineRule="auto"/>
        <w:rPr>
          <w:b/>
          <w:sz w:val="22"/>
        </w:rPr>
      </w:pPr>
      <w:r w:rsidRPr="009B72F0">
        <w:rPr>
          <w:b/>
          <w:sz w:val="22"/>
        </w:rPr>
        <w:lastRenderedPageBreak/>
        <w:t xml:space="preserve">Appendix 2 – </w:t>
      </w:r>
      <w:r>
        <w:rPr>
          <w:b/>
          <w:sz w:val="22"/>
        </w:rPr>
        <w:t>E</w:t>
      </w:r>
      <w:r w:rsidRPr="009B72F0">
        <w:rPr>
          <w:b/>
          <w:sz w:val="22"/>
        </w:rPr>
        <w:t>lection / re-election of Directors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8897"/>
        <w:gridCol w:w="1417"/>
      </w:tblGrid>
      <w:tr w:rsidR="00F46564" w:rsidRPr="00115A1D" w14:paraId="585793BB" w14:textId="77777777" w:rsidTr="000206AF">
        <w:tc>
          <w:tcPr>
            <w:tcW w:w="8897" w:type="dxa"/>
            <w:shd w:val="clear" w:color="auto" w:fill="44546A" w:themeFill="text2"/>
          </w:tcPr>
          <w:p w14:paraId="09EF2C0E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>Listing Rule</w:t>
            </w:r>
            <w:r>
              <w:rPr>
                <w:b/>
                <w:color w:val="FFFFFF" w:themeColor="background1"/>
                <w:sz w:val="22"/>
              </w:rPr>
              <w:t xml:space="preserve"> 7.8.3: </w:t>
            </w:r>
            <w:r w:rsidRPr="009B72F0">
              <w:rPr>
                <w:b/>
                <w:color w:val="FFFFFF" w:themeColor="background1"/>
                <w:sz w:val="22"/>
              </w:rPr>
              <w:t xml:space="preserve">Election / re-election of directors </w:t>
            </w:r>
          </w:p>
        </w:tc>
        <w:tc>
          <w:tcPr>
            <w:tcW w:w="1417" w:type="dxa"/>
            <w:shd w:val="clear" w:color="auto" w:fill="44546A" w:themeFill="text2"/>
          </w:tcPr>
          <w:p w14:paraId="3779D7C6" w14:textId="77777777" w:rsidR="00F46564" w:rsidRPr="00115A1D" w:rsidRDefault="00F46564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>Page Number</w:t>
            </w:r>
            <w:r>
              <w:rPr>
                <w:b/>
                <w:color w:val="FFFFFF" w:themeColor="background1"/>
                <w:sz w:val="22"/>
              </w:rPr>
              <w:t>(s)</w:t>
            </w:r>
          </w:p>
        </w:tc>
      </w:tr>
      <w:tr w:rsidR="00F46564" w:rsidRPr="00115A1D" w14:paraId="15F0FDAA" w14:textId="77777777" w:rsidTr="0003542C">
        <w:trPr>
          <w:trHeight w:val="1240"/>
        </w:trPr>
        <w:tc>
          <w:tcPr>
            <w:tcW w:w="8897" w:type="dxa"/>
          </w:tcPr>
          <w:p w14:paraId="32CB4DBE" w14:textId="77777777" w:rsidR="00F46564" w:rsidRDefault="00F46564" w:rsidP="0003542C">
            <w:pPr>
              <w:spacing w:before="60" w:after="60"/>
              <w:rPr>
                <w:sz w:val="22"/>
              </w:rPr>
            </w:pPr>
            <w:r w:rsidRPr="00982BF9">
              <w:rPr>
                <w:sz w:val="22"/>
              </w:rPr>
              <w:t>Resolutions relating to the appointment of directors sh</w:t>
            </w:r>
            <w:r w:rsidRPr="009B72F0">
              <w:rPr>
                <w:sz w:val="22"/>
              </w:rPr>
              <w:t xml:space="preserve">ould </w:t>
            </w:r>
            <w:r>
              <w:rPr>
                <w:sz w:val="22"/>
              </w:rPr>
              <w:t>be either:</w:t>
            </w:r>
          </w:p>
          <w:p w14:paraId="3C723F93" w14:textId="77777777" w:rsidR="00F46564" w:rsidRPr="00466ED2" w:rsidRDefault="00F46564" w:rsidP="00F4656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</w:rPr>
            </w:pPr>
            <w:r w:rsidRPr="009E06D8">
              <w:rPr>
                <w:sz w:val="22"/>
              </w:rPr>
              <w:t>a separate resolution</w:t>
            </w:r>
            <w:r>
              <w:rPr>
                <w:sz w:val="22"/>
              </w:rPr>
              <w:t xml:space="preserve"> for each director; or</w:t>
            </w:r>
          </w:p>
          <w:p w14:paraId="05FDC42C" w14:textId="77777777" w:rsidR="00F46564" w:rsidRPr="00466ED2" w:rsidRDefault="00F46564" w:rsidP="00F4656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 xml:space="preserve">a </w:t>
            </w:r>
            <w:r w:rsidRPr="00194566">
              <w:rPr>
                <w:sz w:val="22"/>
              </w:rPr>
              <w:t>separate resolution that a single resolution for the appointment of two or more directors is voted on, with a further resolution for t</w:t>
            </w:r>
            <w:r>
              <w:rPr>
                <w:sz w:val="22"/>
              </w:rPr>
              <w:t>he appointment of the directors</w:t>
            </w:r>
          </w:p>
        </w:tc>
        <w:tc>
          <w:tcPr>
            <w:tcW w:w="1417" w:type="dxa"/>
          </w:tcPr>
          <w:p w14:paraId="735B7052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0E959FF3" w14:textId="77777777" w:rsidTr="0003542C">
        <w:trPr>
          <w:trHeight w:val="113"/>
        </w:trPr>
        <w:tc>
          <w:tcPr>
            <w:tcW w:w="10314" w:type="dxa"/>
            <w:gridSpan w:val="2"/>
            <w:vAlign w:val="center"/>
          </w:tcPr>
          <w:p w14:paraId="5940309B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The notice of meeting should include the following information on each candidate:</w:t>
            </w:r>
          </w:p>
        </w:tc>
      </w:tr>
      <w:tr w:rsidR="00F46564" w:rsidRPr="00115A1D" w14:paraId="6940BB91" w14:textId="77777777" w:rsidTr="0003542C">
        <w:trPr>
          <w:trHeight w:val="113"/>
        </w:trPr>
        <w:tc>
          <w:tcPr>
            <w:tcW w:w="8897" w:type="dxa"/>
            <w:vAlign w:val="center"/>
          </w:tcPr>
          <w:p w14:paraId="1D25E780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E06D8">
              <w:rPr>
                <w:sz w:val="22"/>
              </w:rPr>
              <w:t>Clearly state the name of each director candidate</w:t>
            </w:r>
          </w:p>
        </w:tc>
        <w:tc>
          <w:tcPr>
            <w:tcW w:w="1417" w:type="dxa"/>
          </w:tcPr>
          <w:p w14:paraId="522ED225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629C4955" w14:textId="77777777" w:rsidTr="0003542C">
        <w:trPr>
          <w:trHeight w:val="113"/>
        </w:trPr>
        <w:tc>
          <w:tcPr>
            <w:tcW w:w="8897" w:type="dxa"/>
            <w:vAlign w:val="center"/>
          </w:tcPr>
          <w:p w14:paraId="7368999E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 xml:space="preserve">State the board’s view on </w:t>
            </w:r>
            <w:proofErr w:type="gramStart"/>
            <w:r w:rsidRPr="00982BF9">
              <w:rPr>
                <w:sz w:val="22"/>
              </w:rPr>
              <w:t>whether or not</w:t>
            </w:r>
            <w:proofErr w:type="gramEnd"/>
            <w:r w:rsidRPr="00982BF9">
              <w:rPr>
                <w:sz w:val="22"/>
              </w:rPr>
              <w:t xml:space="preserve"> each </w:t>
            </w:r>
            <w:r>
              <w:rPr>
                <w:sz w:val="22"/>
              </w:rPr>
              <w:t xml:space="preserve">director candidate </w:t>
            </w:r>
            <w:r w:rsidRPr="00982BF9">
              <w:rPr>
                <w:sz w:val="22"/>
              </w:rPr>
              <w:t xml:space="preserve">would qualify as an </w:t>
            </w:r>
            <w:r>
              <w:rPr>
                <w:sz w:val="22"/>
              </w:rPr>
              <w:t>I</w:t>
            </w:r>
            <w:r w:rsidRPr="009B72F0">
              <w:rPr>
                <w:sz w:val="22"/>
              </w:rPr>
              <w:t xml:space="preserve">ndependent </w:t>
            </w:r>
            <w:r>
              <w:rPr>
                <w:sz w:val="22"/>
              </w:rPr>
              <w:t>D</w:t>
            </w:r>
            <w:r w:rsidRPr="009B72F0">
              <w:rPr>
                <w:sz w:val="22"/>
              </w:rPr>
              <w:t>irector</w:t>
            </w:r>
            <w:r>
              <w:rPr>
                <w:sz w:val="22"/>
              </w:rPr>
              <w:t xml:space="preserve"> (or, if the Board cannot make such an assessment due to a lack of information regarding a candidate nominated by an Equity Security holder, a statement to that effect)</w:t>
            </w:r>
          </w:p>
        </w:tc>
        <w:tc>
          <w:tcPr>
            <w:tcW w:w="1417" w:type="dxa"/>
          </w:tcPr>
          <w:p w14:paraId="0EDA2A7A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544A0D" w:rsidRPr="00115A1D" w14:paraId="41C01C06" w14:textId="77777777" w:rsidTr="0003542C">
        <w:trPr>
          <w:trHeight w:val="113"/>
        </w:trPr>
        <w:tc>
          <w:tcPr>
            <w:tcW w:w="8897" w:type="dxa"/>
            <w:vAlign w:val="center"/>
          </w:tcPr>
          <w:p w14:paraId="0C343189" w14:textId="77777777" w:rsidR="00544A0D" w:rsidRDefault="00544A0D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Where the Board has expressed</w:t>
            </w:r>
            <w:r w:rsidR="00B9017F">
              <w:rPr>
                <w:sz w:val="22"/>
              </w:rPr>
              <w:t xml:space="preserve"> a view that a candidate is an Independent Director where one of the factors in table 2.4 of the NZX Corporate Governance Code applies to the candidate, the notice must include a description of:</w:t>
            </w:r>
          </w:p>
          <w:p w14:paraId="1A80367D" w14:textId="77777777" w:rsidR="00B9017F" w:rsidRDefault="00B9017F" w:rsidP="00B9017F">
            <w:pPr>
              <w:pStyle w:val="ListParagraph"/>
              <w:numPr>
                <w:ilvl w:val="1"/>
                <w:numId w:val="2"/>
              </w:num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The basis upon which the relevant factor is triggered; and</w:t>
            </w:r>
          </w:p>
          <w:p w14:paraId="1BA8EA82" w14:textId="10A31D22" w:rsidR="00B9017F" w:rsidRPr="00982BF9" w:rsidRDefault="00B9017F" w:rsidP="00AC7A82">
            <w:pPr>
              <w:pStyle w:val="ListParagraph"/>
              <w:numPr>
                <w:ilvl w:val="1"/>
                <w:numId w:val="2"/>
              </w:num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Why the Board considers that the application of the factor does not cause the candidate to have a Disqualifying Relationship.</w:t>
            </w:r>
          </w:p>
        </w:tc>
        <w:tc>
          <w:tcPr>
            <w:tcW w:w="1417" w:type="dxa"/>
          </w:tcPr>
          <w:p w14:paraId="3A3942B0" w14:textId="77777777" w:rsidR="00544A0D" w:rsidRPr="00115A1D" w:rsidRDefault="00544A0D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4E8E0FCF" w14:textId="77777777" w:rsidTr="0003542C">
        <w:trPr>
          <w:trHeight w:val="113"/>
        </w:trPr>
        <w:tc>
          <w:tcPr>
            <w:tcW w:w="8897" w:type="dxa"/>
            <w:vAlign w:val="center"/>
          </w:tcPr>
          <w:p w14:paraId="20B638DE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82BF9">
              <w:rPr>
                <w:sz w:val="22"/>
              </w:rPr>
              <w:t xml:space="preserve">Provide an outline </w:t>
            </w:r>
            <w:r>
              <w:rPr>
                <w:sz w:val="22"/>
              </w:rPr>
              <w:t xml:space="preserve">of </w:t>
            </w:r>
            <w:r w:rsidRPr="00982BF9">
              <w:rPr>
                <w:sz w:val="22"/>
              </w:rPr>
              <w:t>the experience</w:t>
            </w:r>
            <w:r>
              <w:rPr>
                <w:sz w:val="22"/>
              </w:rPr>
              <w:t xml:space="preserve"> (</w:t>
            </w:r>
            <w:r w:rsidRPr="00982BF9">
              <w:rPr>
                <w:sz w:val="22"/>
              </w:rPr>
              <w:t>including specific details of relevant roles and organisations</w:t>
            </w:r>
            <w:r>
              <w:rPr>
                <w:sz w:val="22"/>
              </w:rPr>
              <w:t>)</w:t>
            </w:r>
            <w:r w:rsidRPr="00982BF9">
              <w:rPr>
                <w:sz w:val="22"/>
              </w:rPr>
              <w:t>,</w:t>
            </w:r>
            <w:r w:rsidRPr="009B72F0">
              <w:rPr>
                <w:sz w:val="22"/>
              </w:rPr>
              <w:t xml:space="preserve"> and where relevant, the qualifications, of each director</w:t>
            </w:r>
            <w:r>
              <w:rPr>
                <w:sz w:val="22"/>
              </w:rPr>
              <w:t xml:space="preserve"> candidate and any other information that may be useful or prudent to a security holder </w:t>
            </w:r>
          </w:p>
        </w:tc>
        <w:tc>
          <w:tcPr>
            <w:tcW w:w="1417" w:type="dxa"/>
          </w:tcPr>
          <w:p w14:paraId="09B06136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544A0D" w:rsidRPr="00115A1D" w14:paraId="5642018B" w14:textId="77777777" w:rsidTr="0003542C">
        <w:trPr>
          <w:trHeight w:val="113"/>
        </w:trPr>
        <w:tc>
          <w:tcPr>
            <w:tcW w:w="8897" w:type="dxa"/>
            <w:vAlign w:val="center"/>
          </w:tcPr>
          <w:p w14:paraId="575FF521" w14:textId="18E0ED87" w:rsidR="00544A0D" w:rsidRDefault="00544A0D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Where the candidate has been nominated by a holder of Equity Securities, the name of that holder of Equity Securities</w:t>
            </w:r>
          </w:p>
        </w:tc>
        <w:tc>
          <w:tcPr>
            <w:tcW w:w="1417" w:type="dxa"/>
          </w:tcPr>
          <w:p w14:paraId="174BE94E" w14:textId="77777777" w:rsidR="00544A0D" w:rsidRPr="00115A1D" w:rsidRDefault="00544A0D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74C268F3" w14:textId="77777777" w:rsidTr="0003542C">
        <w:trPr>
          <w:trHeight w:val="113"/>
        </w:trPr>
        <w:tc>
          <w:tcPr>
            <w:tcW w:w="8897" w:type="dxa"/>
            <w:vAlign w:val="center"/>
          </w:tcPr>
          <w:p w14:paraId="3B016512" w14:textId="77777777" w:rsidR="00F46564" w:rsidRPr="00982BF9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Any other information that the Board considers may be useful to provide to a Financial Product holder</w:t>
            </w:r>
          </w:p>
        </w:tc>
        <w:tc>
          <w:tcPr>
            <w:tcW w:w="1417" w:type="dxa"/>
          </w:tcPr>
          <w:p w14:paraId="3F8F3A75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1947FC" w:rsidRPr="00115A1D" w14:paraId="52604CF2" w14:textId="77777777" w:rsidTr="0003542C">
        <w:trPr>
          <w:trHeight w:val="113"/>
        </w:trPr>
        <w:tc>
          <w:tcPr>
            <w:tcW w:w="8897" w:type="dxa"/>
            <w:vAlign w:val="center"/>
          </w:tcPr>
          <w:p w14:paraId="229C5020" w14:textId="10516FD0" w:rsidR="001947FC" w:rsidRPr="00AC7A82" w:rsidRDefault="001947FC" w:rsidP="00AC7A82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The notice of meeting must also include information on any voting exclusions that apply (Rule 6.3.1)</w:t>
            </w:r>
          </w:p>
        </w:tc>
        <w:tc>
          <w:tcPr>
            <w:tcW w:w="1417" w:type="dxa"/>
          </w:tcPr>
          <w:p w14:paraId="61BAB28A" w14:textId="77777777" w:rsidR="001947FC" w:rsidRPr="00115A1D" w:rsidRDefault="001947FC" w:rsidP="0003542C">
            <w:pPr>
              <w:spacing w:before="60" w:after="60"/>
              <w:rPr>
                <w:sz w:val="22"/>
              </w:rPr>
            </w:pPr>
          </w:p>
        </w:tc>
      </w:tr>
    </w:tbl>
    <w:p w14:paraId="6141394C" w14:textId="77777777" w:rsidR="00F46564" w:rsidRPr="00982BF9" w:rsidRDefault="00F46564" w:rsidP="00F46564">
      <w:pPr>
        <w:rPr>
          <w:sz w:val="22"/>
        </w:rPr>
      </w:pPr>
    </w:p>
    <w:p w14:paraId="1E3FFEBD" w14:textId="77777777" w:rsidR="00F46564" w:rsidRPr="00FC375C" w:rsidRDefault="00F46564" w:rsidP="00F46564">
      <w:pPr>
        <w:spacing w:after="200" w:line="240" w:lineRule="auto"/>
        <w:rPr>
          <w:i/>
          <w:sz w:val="22"/>
        </w:rPr>
      </w:pPr>
      <w:r>
        <w:rPr>
          <w:sz w:val="22"/>
        </w:rPr>
        <w:t xml:space="preserve">Further information relating to the election and re-election of directors can be found in NZX’s </w:t>
      </w:r>
      <w:r w:rsidRPr="0006098F">
        <w:rPr>
          <w:sz w:val="22"/>
        </w:rPr>
        <w:t xml:space="preserve">Guidance Note </w:t>
      </w:r>
      <w:hyperlink r:id="rId7" w:history="1">
        <w:r w:rsidRPr="0006098F">
          <w:rPr>
            <w:rStyle w:val="Hyperlink"/>
            <w:i/>
            <w:sz w:val="22"/>
          </w:rPr>
          <w:t>Governance</w:t>
        </w:r>
      </w:hyperlink>
      <w:r>
        <w:rPr>
          <w:i/>
          <w:sz w:val="22"/>
        </w:rPr>
        <w:t>.</w:t>
      </w:r>
    </w:p>
    <w:p w14:paraId="181C623E" w14:textId="77777777" w:rsidR="00F46564" w:rsidRPr="00115A1D" w:rsidRDefault="00F46564" w:rsidP="00F46564">
      <w:pPr>
        <w:spacing w:after="200" w:line="240" w:lineRule="auto"/>
        <w:rPr>
          <w:b/>
          <w:sz w:val="22"/>
        </w:rPr>
      </w:pPr>
      <w:r w:rsidRPr="00FC375C">
        <w:rPr>
          <w:sz w:val="22"/>
        </w:rPr>
        <w:br w:type="column"/>
      </w:r>
      <w:r w:rsidRPr="009B72F0">
        <w:rPr>
          <w:b/>
          <w:sz w:val="22"/>
        </w:rPr>
        <w:lastRenderedPageBreak/>
        <w:t xml:space="preserve">Appendix 3 – </w:t>
      </w:r>
      <w:r>
        <w:rPr>
          <w:b/>
          <w:sz w:val="22"/>
        </w:rPr>
        <w:t>D</w:t>
      </w:r>
      <w:r w:rsidRPr="009B72F0">
        <w:rPr>
          <w:b/>
          <w:sz w:val="22"/>
        </w:rPr>
        <w:t>irector remuneration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1381"/>
      </w:tblGrid>
      <w:tr w:rsidR="00F46564" w:rsidRPr="00115A1D" w14:paraId="1BFF7C1A" w14:textId="77777777" w:rsidTr="000206AF">
        <w:tc>
          <w:tcPr>
            <w:tcW w:w="9039" w:type="dxa"/>
            <w:shd w:val="clear" w:color="auto" w:fill="44546A" w:themeFill="text2"/>
          </w:tcPr>
          <w:p w14:paraId="13F1A63D" w14:textId="77777777" w:rsidR="00F46564" w:rsidRDefault="00F46564" w:rsidP="0003542C">
            <w:pPr>
              <w:spacing w:before="60" w:after="60"/>
              <w:rPr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 xml:space="preserve">Listing Rule </w:t>
            </w:r>
            <w:r>
              <w:rPr>
                <w:b/>
                <w:color w:val="FFFFFF" w:themeColor="background1"/>
                <w:sz w:val="22"/>
              </w:rPr>
              <w:t>2.11</w:t>
            </w:r>
            <w:r w:rsidRPr="009B72F0">
              <w:rPr>
                <w:b/>
                <w:color w:val="FFFFFF" w:themeColor="background1"/>
                <w:sz w:val="22"/>
              </w:rPr>
              <w:t>: Director remuneration</w:t>
            </w:r>
          </w:p>
        </w:tc>
        <w:tc>
          <w:tcPr>
            <w:tcW w:w="1383" w:type="dxa"/>
            <w:shd w:val="clear" w:color="auto" w:fill="44546A" w:themeFill="text2"/>
          </w:tcPr>
          <w:p w14:paraId="3883311A" w14:textId="77777777" w:rsidR="00F46564" w:rsidRPr="00115A1D" w:rsidRDefault="00F46564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>Page Number</w:t>
            </w:r>
            <w:r>
              <w:rPr>
                <w:b/>
                <w:color w:val="FFFFFF" w:themeColor="background1"/>
                <w:sz w:val="22"/>
              </w:rPr>
              <w:t>(s)</w:t>
            </w:r>
          </w:p>
        </w:tc>
      </w:tr>
      <w:tr w:rsidR="00F46564" w:rsidRPr="00115A1D" w14:paraId="404BFCCC" w14:textId="77777777" w:rsidTr="0003542C">
        <w:trPr>
          <w:trHeight w:val="234"/>
        </w:trPr>
        <w:tc>
          <w:tcPr>
            <w:tcW w:w="9039" w:type="dxa"/>
            <w:vAlign w:val="center"/>
          </w:tcPr>
          <w:p w14:paraId="3348BA20" w14:textId="77777777" w:rsidR="00F46564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A resolution regarding directors’ remuneration must be expressed as either:</w:t>
            </w:r>
          </w:p>
          <w:p w14:paraId="08193ED0" w14:textId="77777777" w:rsidR="00F46564" w:rsidRDefault="00F46564" w:rsidP="00F46564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A monetary sum per annum payable to all directors of the issuer taken together; or</w:t>
            </w:r>
          </w:p>
          <w:p w14:paraId="4B8B553A" w14:textId="77777777" w:rsidR="00F46564" w:rsidRDefault="00F46564" w:rsidP="00F46564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A monetary sum per annum payable to any person who from time to time holds office as a director of the issuer</w:t>
            </w:r>
          </w:p>
        </w:tc>
        <w:tc>
          <w:tcPr>
            <w:tcW w:w="1383" w:type="dxa"/>
          </w:tcPr>
          <w:p w14:paraId="3B517D98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02774F02" w14:textId="77777777" w:rsidTr="0003542C">
        <w:trPr>
          <w:trHeight w:val="234"/>
        </w:trPr>
        <w:tc>
          <w:tcPr>
            <w:tcW w:w="10422" w:type="dxa"/>
            <w:gridSpan w:val="2"/>
            <w:vAlign w:val="center"/>
          </w:tcPr>
          <w:p w14:paraId="3E2DEA03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The notice of meeting should:</w:t>
            </w:r>
          </w:p>
        </w:tc>
      </w:tr>
      <w:tr w:rsidR="00F46564" w:rsidRPr="00115A1D" w14:paraId="51A21D74" w14:textId="77777777" w:rsidTr="0003542C">
        <w:trPr>
          <w:trHeight w:val="234"/>
        </w:trPr>
        <w:tc>
          <w:tcPr>
            <w:tcW w:w="9039" w:type="dxa"/>
            <w:vAlign w:val="center"/>
          </w:tcPr>
          <w:p w14:paraId="361EB201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State t</w:t>
            </w:r>
            <w:r w:rsidRPr="00982BF9">
              <w:rPr>
                <w:sz w:val="22"/>
              </w:rPr>
              <w:t>he</w:t>
            </w:r>
            <w:r>
              <w:rPr>
                <w:sz w:val="22"/>
              </w:rPr>
              <w:t xml:space="preserve"> proposed</w:t>
            </w:r>
            <w:r w:rsidRPr="00982BF9">
              <w:rPr>
                <w:sz w:val="22"/>
              </w:rPr>
              <w:t xml:space="preserve"> amount of </w:t>
            </w:r>
            <w:r>
              <w:rPr>
                <w:sz w:val="22"/>
              </w:rPr>
              <w:t xml:space="preserve">the </w:t>
            </w:r>
            <w:r w:rsidRPr="00982BF9">
              <w:rPr>
                <w:sz w:val="22"/>
              </w:rPr>
              <w:t>increase</w:t>
            </w:r>
            <w:r>
              <w:rPr>
                <w:sz w:val="22"/>
              </w:rPr>
              <w:t xml:space="preserve"> in the director’s remuneration,</w:t>
            </w:r>
            <w:r w:rsidRPr="00982BF9">
              <w:rPr>
                <w:sz w:val="22"/>
              </w:rPr>
              <w:t xml:space="preserve"> including the previous figure/amount and the proposed amount/figure</w:t>
            </w:r>
          </w:p>
        </w:tc>
        <w:tc>
          <w:tcPr>
            <w:tcW w:w="1383" w:type="dxa"/>
          </w:tcPr>
          <w:p w14:paraId="529FA5A2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72DA0BE4" w14:textId="77777777" w:rsidTr="0003542C">
        <w:tc>
          <w:tcPr>
            <w:tcW w:w="9039" w:type="dxa"/>
            <w:vAlign w:val="center"/>
          </w:tcPr>
          <w:p w14:paraId="5350D0AB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Explain why</w:t>
            </w:r>
            <w:r w:rsidRPr="00982BF9">
              <w:rPr>
                <w:sz w:val="22"/>
              </w:rPr>
              <w:t xml:space="preserve"> the increase </w:t>
            </w:r>
            <w:r>
              <w:rPr>
                <w:sz w:val="22"/>
              </w:rPr>
              <w:t>has been</w:t>
            </w:r>
            <w:r w:rsidRPr="00982BF9">
              <w:rPr>
                <w:sz w:val="22"/>
              </w:rPr>
              <w:t xml:space="preserve"> proposed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83" w:type="dxa"/>
          </w:tcPr>
          <w:p w14:paraId="5E620EAE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0BB56AC9" w14:textId="77777777" w:rsidTr="0003542C">
        <w:tc>
          <w:tcPr>
            <w:tcW w:w="9039" w:type="dxa"/>
            <w:vAlign w:val="center"/>
          </w:tcPr>
          <w:p w14:paraId="32070C23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 xml:space="preserve">If applicable, state </w:t>
            </w:r>
            <w:r w:rsidRPr="00982BF9">
              <w:rPr>
                <w:sz w:val="22"/>
              </w:rPr>
              <w:t xml:space="preserve">whether that remuneration is payable </w:t>
            </w:r>
            <w:r>
              <w:rPr>
                <w:sz w:val="22"/>
              </w:rPr>
              <w:t>(in part or fully) through</w:t>
            </w:r>
            <w:r w:rsidRPr="00982BF9">
              <w:rPr>
                <w:sz w:val="22"/>
              </w:rPr>
              <w:t xml:space="preserve"> the issue of equity securities</w:t>
            </w:r>
            <w:r>
              <w:rPr>
                <w:sz w:val="22"/>
              </w:rPr>
              <w:t xml:space="preserve"> or securities convertible into equity securities</w:t>
            </w:r>
          </w:p>
        </w:tc>
        <w:tc>
          <w:tcPr>
            <w:tcW w:w="1383" w:type="dxa"/>
          </w:tcPr>
          <w:p w14:paraId="53695A2E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1947FC" w:rsidRPr="00115A1D" w14:paraId="6FF2133B" w14:textId="77777777" w:rsidTr="0003542C">
        <w:tc>
          <w:tcPr>
            <w:tcW w:w="9039" w:type="dxa"/>
            <w:vAlign w:val="center"/>
          </w:tcPr>
          <w:p w14:paraId="75E38B67" w14:textId="03805213" w:rsidR="001947FC" w:rsidRPr="00AC7A82" w:rsidRDefault="001947FC" w:rsidP="00AC7A82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The notice of meeting must also include information on any voting exclusions that apply (Rule 6.3.1)</w:t>
            </w:r>
          </w:p>
        </w:tc>
        <w:tc>
          <w:tcPr>
            <w:tcW w:w="1383" w:type="dxa"/>
          </w:tcPr>
          <w:p w14:paraId="3567F36B" w14:textId="77777777" w:rsidR="001947FC" w:rsidRPr="00115A1D" w:rsidRDefault="001947FC" w:rsidP="0003542C">
            <w:pPr>
              <w:spacing w:before="60" w:after="60"/>
              <w:rPr>
                <w:sz w:val="22"/>
              </w:rPr>
            </w:pPr>
          </w:p>
        </w:tc>
      </w:tr>
    </w:tbl>
    <w:p w14:paraId="49CE4CDA" w14:textId="77777777" w:rsidR="00F46564" w:rsidRPr="00982BF9" w:rsidRDefault="00F46564" w:rsidP="00F46564">
      <w:pPr>
        <w:rPr>
          <w:sz w:val="22"/>
        </w:rPr>
      </w:pPr>
    </w:p>
    <w:p w14:paraId="0A672B01" w14:textId="77777777" w:rsidR="00F46564" w:rsidRPr="00FC375C" w:rsidRDefault="00F46564" w:rsidP="00F46564">
      <w:pPr>
        <w:spacing w:after="200" w:line="240" w:lineRule="auto"/>
        <w:rPr>
          <w:i/>
          <w:sz w:val="22"/>
        </w:rPr>
      </w:pPr>
      <w:r>
        <w:rPr>
          <w:sz w:val="22"/>
        </w:rPr>
        <w:t xml:space="preserve">Further information relating to director remuneration can be found in NZX’s </w:t>
      </w:r>
      <w:r w:rsidRPr="0006098F">
        <w:rPr>
          <w:sz w:val="22"/>
        </w:rPr>
        <w:t xml:space="preserve">Guidance Note </w:t>
      </w:r>
      <w:hyperlink r:id="rId8" w:history="1">
        <w:r w:rsidRPr="0006098F">
          <w:rPr>
            <w:rStyle w:val="Hyperlink"/>
            <w:i/>
            <w:sz w:val="22"/>
          </w:rPr>
          <w:t>Governance</w:t>
        </w:r>
      </w:hyperlink>
      <w:r>
        <w:rPr>
          <w:i/>
          <w:sz w:val="22"/>
        </w:rPr>
        <w:t>.</w:t>
      </w:r>
    </w:p>
    <w:p w14:paraId="32E976BE" w14:textId="77777777" w:rsidR="00F46564" w:rsidRDefault="00F46564" w:rsidP="00F46564">
      <w:pPr>
        <w:spacing w:after="200" w:line="240" w:lineRule="auto"/>
        <w:rPr>
          <w:sz w:val="22"/>
        </w:rPr>
      </w:pPr>
    </w:p>
    <w:p w14:paraId="417D2566" w14:textId="77777777" w:rsidR="00F46564" w:rsidRPr="00115A1D" w:rsidRDefault="00F46564" w:rsidP="00F46564">
      <w:pPr>
        <w:spacing w:after="200" w:line="240" w:lineRule="auto"/>
        <w:rPr>
          <w:b/>
          <w:sz w:val="22"/>
        </w:rPr>
      </w:pPr>
      <w:r w:rsidRPr="00FC375C">
        <w:rPr>
          <w:sz w:val="22"/>
        </w:rPr>
        <w:br w:type="column"/>
      </w:r>
      <w:r w:rsidRPr="009B72F0">
        <w:rPr>
          <w:b/>
          <w:sz w:val="22"/>
        </w:rPr>
        <w:lastRenderedPageBreak/>
        <w:t xml:space="preserve">Appendix 4 – </w:t>
      </w:r>
      <w:r>
        <w:rPr>
          <w:b/>
          <w:sz w:val="22"/>
        </w:rPr>
        <w:t>M</w:t>
      </w:r>
      <w:r w:rsidRPr="009B72F0">
        <w:rPr>
          <w:b/>
          <w:sz w:val="22"/>
        </w:rPr>
        <w:t>ajor transactions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6"/>
        <w:gridCol w:w="1380"/>
      </w:tblGrid>
      <w:tr w:rsidR="00F46564" w:rsidRPr="00115A1D" w14:paraId="1556E8E5" w14:textId="77777777" w:rsidTr="000206AF">
        <w:tc>
          <w:tcPr>
            <w:tcW w:w="8816" w:type="dxa"/>
            <w:shd w:val="clear" w:color="auto" w:fill="44546A" w:themeFill="text2"/>
          </w:tcPr>
          <w:p w14:paraId="791093BE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 xml:space="preserve">Listing Rule </w:t>
            </w:r>
            <w:r>
              <w:rPr>
                <w:b/>
                <w:color w:val="FFFFFF" w:themeColor="background1"/>
                <w:sz w:val="22"/>
              </w:rPr>
              <w:t>5.1</w:t>
            </w:r>
            <w:r w:rsidRPr="009B72F0">
              <w:rPr>
                <w:color w:val="FFFFFF" w:themeColor="background1"/>
                <w:sz w:val="22"/>
              </w:rPr>
              <w:t xml:space="preserve">: </w:t>
            </w:r>
            <w:r w:rsidRPr="009B72F0">
              <w:rPr>
                <w:b/>
                <w:color w:val="FFFFFF" w:themeColor="background1"/>
                <w:sz w:val="22"/>
              </w:rPr>
              <w:t>Major transactions</w:t>
            </w:r>
          </w:p>
        </w:tc>
        <w:tc>
          <w:tcPr>
            <w:tcW w:w="1380" w:type="dxa"/>
            <w:shd w:val="clear" w:color="auto" w:fill="44546A" w:themeFill="text2"/>
          </w:tcPr>
          <w:p w14:paraId="0C00CA20" w14:textId="77777777" w:rsidR="00F46564" w:rsidRPr="00115A1D" w:rsidRDefault="00F46564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>Page number</w:t>
            </w:r>
            <w:r>
              <w:rPr>
                <w:b/>
                <w:color w:val="FFFFFF" w:themeColor="background1"/>
                <w:sz w:val="22"/>
              </w:rPr>
              <w:t>(s)</w:t>
            </w:r>
          </w:p>
        </w:tc>
      </w:tr>
      <w:tr w:rsidR="00F46564" w:rsidRPr="00115A1D" w14:paraId="7C3C80EA" w14:textId="77777777" w:rsidTr="0003542C">
        <w:trPr>
          <w:trHeight w:val="20"/>
        </w:trPr>
        <w:tc>
          <w:tcPr>
            <w:tcW w:w="10196" w:type="dxa"/>
            <w:gridSpan w:val="2"/>
            <w:vAlign w:val="center"/>
          </w:tcPr>
          <w:p w14:paraId="423166AB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The notice of meeting should:</w:t>
            </w:r>
          </w:p>
        </w:tc>
      </w:tr>
      <w:tr w:rsidR="00F46564" w:rsidRPr="00115A1D" w14:paraId="6F50A058" w14:textId="77777777" w:rsidTr="0003542C">
        <w:trPr>
          <w:trHeight w:val="20"/>
        </w:trPr>
        <w:tc>
          <w:tcPr>
            <w:tcW w:w="8816" w:type="dxa"/>
            <w:vAlign w:val="center"/>
          </w:tcPr>
          <w:p w14:paraId="382A8632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Provide a</w:t>
            </w:r>
            <w:r w:rsidRPr="00982BF9">
              <w:rPr>
                <w:sz w:val="22"/>
              </w:rPr>
              <w:t xml:space="preserve"> summary of the transaction </w:t>
            </w:r>
            <w:r>
              <w:rPr>
                <w:sz w:val="22"/>
              </w:rPr>
              <w:t>or series of related transactions, including an explanation of why this is a transaction that requires approval under Rule 5.1.1</w:t>
            </w:r>
          </w:p>
        </w:tc>
        <w:tc>
          <w:tcPr>
            <w:tcW w:w="1380" w:type="dxa"/>
          </w:tcPr>
          <w:p w14:paraId="526B094D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ED1990" w:rsidRPr="00115A1D" w14:paraId="36FAFC39" w14:textId="77777777" w:rsidTr="0003542C">
        <w:trPr>
          <w:trHeight w:val="20"/>
        </w:trPr>
        <w:tc>
          <w:tcPr>
            <w:tcW w:w="8816" w:type="dxa"/>
            <w:vAlign w:val="center"/>
          </w:tcPr>
          <w:p w14:paraId="00BEE59D" w14:textId="4BF9732D" w:rsidR="00ED1990" w:rsidRDefault="00ED1990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Provide information on the reason for the transaction and the impact on the issuer of the transaction</w:t>
            </w:r>
          </w:p>
        </w:tc>
        <w:tc>
          <w:tcPr>
            <w:tcW w:w="1380" w:type="dxa"/>
          </w:tcPr>
          <w:p w14:paraId="367B65BE" w14:textId="77777777" w:rsidR="00ED1990" w:rsidRPr="00115A1D" w:rsidRDefault="00ED1990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7566809F" w14:textId="77777777" w:rsidTr="0003542C">
        <w:trPr>
          <w:trHeight w:val="20"/>
        </w:trPr>
        <w:tc>
          <w:tcPr>
            <w:tcW w:w="8816" w:type="dxa"/>
            <w:vAlign w:val="center"/>
          </w:tcPr>
          <w:p w14:paraId="032433DA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State the</w:t>
            </w:r>
            <w:r w:rsidRPr="00982BF9">
              <w:rPr>
                <w:sz w:val="22"/>
              </w:rPr>
              <w:t xml:space="preserve"> consequences if the resolution is not passed</w:t>
            </w:r>
            <w:r w:rsidRPr="009B72F0">
              <w:rPr>
                <w:sz w:val="22"/>
              </w:rPr>
              <w:t xml:space="preserve"> and any other alternatives</w:t>
            </w:r>
          </w:p>
        </w:tc>
        <w:tc>
          <w:tcPr>
            <w:tcW w:w="1380" w:type="dxa"/>
          </w:tcPr>
          <w:p w14:paraId="1EE5EA9E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78DB46B8" w14:textId="77777777" w:rsidTr="0003542C">
        <w:trPr>
          <w:trHeight w:val="20"/>
        </w:trPr>
        <w:tc>
          <w:tcPr>
            <w:tcW w:w="8816" w:type="dxa"/>
            <w:vAlign w:val="center"/>
          </w:tcPr>
          <w:p w14:paraId="786140B4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State the</w:t>
            </w:r>
            <w:r w:rsidRPr="00982BF9">
              <w:rPr>
                <w:sz w:val="22"/>
              </w:rPr>
              <w:t xml:space="preserve"> implication</w:t>
            </w:r>
            <w:r>
              <w:rPr>
                <w:sz w:val="22"/>
              </w:rPr>
              <w:t>s</w:t>
            </w:r>
            <w:r w:rsidRPr="00982BF9">
              <w:rPr>
                <w:sz w:val="22"/>
              </w:rPr>
              <w:t xml:space="preserve"> of the transaction</w:t>
            </w:r>
            <w:r w:rsidRPr="009B72F0">
              <w:rPr>
                <w:sz w:val="22"/>
              </w:rPr>
              <w:t>(s) for the issuer, including details of the risks</w:t>
            </w:r>
            <w:r>
              <w:rPr>
                <w:sz w:val="22"/>
              </w:rPr>
              <w:t>, any steps taken to mitigate these risks and the likelihood of these risks occurring</w:t>
            </w:r>
          </w:p>
        </w:tc>
        <w:tc>
          <w:tcPr>
            <w:tcW w:w="1380" w:type="dxa"/>
          </w:tcPr>
          <w:p w14:paraId="45FC3DCA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73ECA866" w14:textId="77777777" w:rsidTr="0003542C">
        <w:trPr>
          <w:trHeight w:val="20"/>
        </w:trPr>
        <w:tc>
          <w:tcPr>
            <w:tcW w:w="8816" w:type="dxa"/>
            <w:vAlign w:val="center"/>
          </w:tcPr>
          <w:p w14:paraId="0F3506F8" w14:textId="77777777" w:rsidR="00F46564" w:rsidRPr="00982BF9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Provide details of the consideration for the transaction(s) e.g. break fees</w:t>
            </w:r>
          </w:p>
        </w:tc>
        <w:tc>
          <w:tcPr>
            <w:tcW w:w="1380" w:type="dxa"/>
          </w:tcPr>
          <w:p w14:paraId="005910F8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0755D881" w14:textId="77777777" w:rsidTr="0003542C">
        <w:trPr>
          <w:trHeight w:val="20"/>
        </w:trPr>
        <w:tc>
          <w:tcPr>
            <w:tcW w:w="8816" w:type="dxa"/>
            <w:vAlign w:val="center"/>
          </w:tcPr>
          <w:p w14:paraId="590534A2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82BF9">
              <w:rPr>
                <w:sz w:val="22"/>
              </w:rPr>
              <w:t xml:space="preserve">If a valuation was conducted, </w:t>
            </w:r>
            <w:r>
              <w:rPr>
                <w:sz w:val="22"/>
              </w:rPr>
              <w:t xml:space="preserve">state whether </w:t>
            </w:r>
            <w:r w:rsidRPr="00982BF9">
              <w:rPr>
                <w:sz w:val="22"/>
              </w:rPr>
              <w:t>it was conducted by an independent valuer</w:t>
            </w:r>
          </w:p>
        </w:tc>
        <w:tc>
          <w:tcPr>
            <w:tcW w:w="1380" w:type="dxa"/>
          </w:tcPr>
          <w:p w14:paraId="37C12283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227B2F10" w14:textId="77777777" w:rsidTr="0003542C">
        <w:trPr>
          <w:trHeight w:val="20"/>
        </w:trPr>
        <w:tc>
          <w:tcPr>
            <w:tcW w:w="8816" w:type="dxa"/>
            <w:vAlign w:val="center"/>
          </w:tcPr>
          <w:p w14:paraId="035F8956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82BF9">
              <w:rPr>
                <w:sz w:val="22"/>
              </w:rPr>
              <w:t xml:space="preserve">Include a reference to any additional </w:t>
            </w:r>
            <w:r>
              <w:rPr>
                <w:sz w:val="22"/>
              </w:rPr>
              <w:t xml:space="preserve">information, </w:t>
            </w:r>
            <w:r w:rsidRPr="00982BF9">
              <w:rPr>
                <w:sz w:val="22"/>
              </w:rPr>
              <w:t>reports</w:t>
            </w:r>
            <w:r>
              <w:rPr>
                <w:sz w:val="22"/>
              </w:rPr>
              <w:t>, contracts, valuations or</w:t>
            </w:r>
            <w:r w:rsidRPr="00982BF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material </w:t>
            </w:r>
            <w:r w:rsidRPr="00982BF9">
              <w:rPr>
                <w:sz w:val="22"/>
              </w:rPr>
              <w:t>being provided with the notice of meeting and, if appropriate, a summary of the key outcomes of these documents</w:t>
            </w:r>
          </w:p>
        </w:tc>
        <w:tc>
          <w:tcPr>
            <w:tcW w:w="1380" w:type="dxa"/>
          </w:tcPr>
          <w:p w14:paraId="03244BC3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64897EC4" w14:textId="77777777" w:rsidTr="0003542C">
        <w:trPr>
          <w:trHeight w:val="20"/>
        </w:trPr>
        <w:tc>
          <w:tcPr>
            <w:tcW w:w="8816" w:type="dxa"/>
            <w:vAlign w:val="center"/>
          </w:tcPr>
          <w:p w14:paraId="6AC94DA2" w14:textId="77777777" w:rsidR="00F46564" w:rsidRPr="00982BF9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If the transaction involves an acquisition, consider including a table outlining the market capitalisation and debt pre and post transaction</w:t>
            </w:r>
          </w:p>
        </w:tc>
        <w:tc>
          <w:tcPr>
            <w:tcW w:w="1380" w:type="dxa"/>
          </w:tcPr>
          <w:p w14:paraId="47B42202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</w:tbl>
    <w:p w14:paraId="09D10F74" w14:textId="77777777" w:rsidR="00F46564" w:rsidRDefault="00F46564" w:rsidP="00F46564">
      <w:pPr>
        <w:rPr>
          <w:sz w:val="22"/>
        </w:rPr>
      </w:pPr>
    </w:p>
    <w:p w14:paraId="344A9E59" w14:textId="77777777" w:rsidR="00F46564" w:rsidRPr="00115A1D" w:rsidRDefault="00F46564" w:rsidP="00F46564">
      <w:pPr>
        <w:spacing w:after="200" w:line="240" w:lineRule="auto"/>
        <w:rPr>
          <w:b/>
          <w:sz w:val="22"/>
        </w:rPr>
      </w:pPr>
      <w:r w:rsidRPr="009B72F0">
        <w:rPr>
          <w:sz w:val="22"/>
        </w:rPr>
        <w:br w:type="column"/>
      </w:r>
      <w:r w:rsidRPr="009B72F0">
        <w:rPr>
          <w:b/>
          <w:sz w:val="22"/>
        </w:rPr>
        <w:lastRenderedPageBreak/>
        <w:t xml:space="preserve">Appendix 5 – </w:t>
      </w:r>
      <w:r>
        <w:rPr>
          <w:b/>
          <w:sz w:val="22"/>
        </w:rPr>
        <w:t>T</w:t>
      </w:r>
      <w:r w:rsidRPr="009B72F0">
        <w:rPr>
          <w:b/>
          <w:sz w:val="22"/>
        </w:rPr>
        <w:t>ransactions with related parties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6"/>
        <w:gridCol w:w="1380"/>
      </w:tblGrid>
      <w:tr w:rsidR="00F46564" w:rsidRPr="00115A1D" w14:paraId="550A317D" w14:textId="77777777" w:rsidTr="000206AF">
        <w:tc>
          <w:tcPr>
            <w:tcW w:w="8816" w:type="dxa"/>
            <w:shd w:val="clear" w:color="auto" w:fill="44546A" w:themeFill="text2"/>
          </w:tcPr>
          <w:p w14:paraId="2DA98191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 xml:space="preserve">Listing Rule </w:t>
            </w:r>
            <w:r>
              <w:rPr>
                <w:b/>
                <w:color w:val="FFFFFF" w:themeColor="background1"/>
                <w:sz w:val="22"/>
              </w:rPr>
              <w:t>5</w:t>
            </w:r>
            <w:r w:rsidRPr="009B72F0">
              <w:rPr>
                <w:b/>
                <w:color w:val="FFFFFF" w:themeColor="background1"/>
                <w:sz w:val="22"/>
              </w:rPr>
              <w:t>.2</w:t>
            </w:r>
            <w:r w:rsidRPr="009B72F0">
              <w:rPr>
                <w:color w:val="FFFFFF" w:themeColor="background1"/>
                <w:sz w:val="22"/>
              </w:rPr>
              <w:t xml:space="preserve">: </w:t>
            </w:r>
            <w:r w:rsidRPr="009B72F0">
              <w:rPr>
                <w:b/>
                <w:color w:val="FFFFFF" w:themeColor="background1"/>
                <w:sz w:val="22"/>
              </w:rPr>
              <w:t>Transactions with related parties</w:t>
            </w:r>
            <w:r w:rsidRPr="009B72F0">
              <w:rPr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1380" w:type="dxa"/>
            <w:shd w:val="clear" w:color="auto" w:fill="44546A" w:themeFill="text2"/>
          </w:tcPr>
          <w:p w14:paraId="5ADC6B38" w14:textId="77777777" w:rsidR="00F46564" w:rsidRPr="00115A1D" w:rsidRDefault="00F46564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>Page number</w:t>
            </w:r>
            <w:r>
              <w:rPr>
                <w:b/>
                <w:color w:val="FFFFFF" w:themeColor="background1"/>
                <w:sz w:val="22"/>
              </w:rPr>
              <w:t>(s)</w:t>
            </w:r>
          </w:p>
        </w:tc>
      </w:tr>
      <w:tr w:rsidR="00F46564" w:rsidRPr="00115A1D" w14:paraId="7FEC4224" w14:textId="77777777" w:rsidTr="0003542C">
        <w:trPr>
          <w:trHeight w:val="301"/>
        </w:trPr>
        <w:tc>
          <w:tcPr>
            <w:tcW w:w="10196" w:type="dxa"/>
            <w:gridSpan w:val="2"/>
            <w:vAlign w:val="center"/>
          </w:tcPr>
          <w:p w14:paraId="031962B4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The explanatory memorandum should:</w:t>
            </w:r>
          </w:p>
        </w:tc>
      </w:tr>
      <w:tr w:rsidR="00F46564" w:rsidRPr="00115A1D" w14:paraId="71CCC975" w14:textId="77777777" w:rsidTr="0003542C">
        <w:trPr>
          <w:trHeight w:val="301"/>
        </w:trPr>
        <w:tc>
          <w:tcPr>
            <w:tcW w:w="8816" w:type="dxa"/>
            <w:vAlign w:val="center"/>
          </w:tcPr>
          <w:p w14:paraId="25B26C79" w14:textId="233C831C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Provide a</w:t>
            </w:r>
            <w:r w:rsidRPr="00982BF9">
              <w:rPr>
                <w:sz w:val="22"/>
              </w:rPr>
              <w:t xml:space="preserve"> summary of the transaction</w:t>
            </w:r>
            <w:r>
              <w:rPr>
                <w:sz w:val="22"/>
              </w:rPr>
              <w:t xml:space="preserve"> </w:t>
            </w:r>
            <w:r w:rsidRPr="00982BF9">
              <w:rPr>
                <w:sz w:val="22"/>
              </w:rPr>
              <w:t xml:space="preserve">or series of </w:t>
            </w:r>
            <w:r>
              <w:rPr>
                <w:sz w:val="22"/>
              </w:rPr>
              <w:t xml:space="preserve">related </w:t>
            </w:r>
            <w:r w:rsidRPr="00982BF9">
              <w:rPr>
                <w:sz w:val="22"/>
              </w:rPr>
              <w:t>transactions</w:t>
            </w:r>
            <w:r>
              <w:rPr>
                <w:sz w:val="22"/>
              </w:rPr>
              <w:t>, including an explanation of why this is a transaction that requires approval under Rule 5.2.1</w:t>
            </w:r>
            <w:r w:rsidR="009064BB">
              <w:rPr>
                <w:sz w:val="22"/>
              </w:rPr>
              <w:t xml:space="preserve"> (including confirming what the Material Transaction is)</w:t>
            </w:r>
          </w:p>
        </w:tc>
        <w:tc>
          <w:tcPr>
            <w:tcW w:w="1380" w:type="dxa"/>
          </w:tcPr>
          <w:p w14:paraId="48F81F12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059A305A" w14:textId="77777777" w:rsidTr="0003542C">
        <w:tc>
          <w:tcPr>
            <w:tcW w:w="8816" w:type="dxa"/>
            <w:vAlign w:val="center"/>
          </w:tcPr>
          <w:p w14:paraId="58597820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State the</w:t>
            </w:r>
            <w:r w:rsidRPr="00982BF9">
              <w:rPr>
                <w:sz w:val="22"/>
              </w:rPr>
              <w:t xml:space="preserve"> implication</w:t>
            </w:r>
            <w:r>
              <w:rPr>
                <w:sz w:val="22"/>
              </w:rPr>
              <w:t>s</w:t>
            </w:r>
            <w:r w:rsidRPr="00982BF9">
              <w:rPr>
                <w:sz w:val="22"/>
              </w:rPr>
              <w:t xml:space="preserve"> of the transaction</w:t>
            </w:r>
            <w:r w:rsidRPr="009B72F0">
              <w:rPr>
                <w:sz w:val="22"/>
              </w:rPr>
              <w:t>(s) for the issuer, including details of the risks</w:t>
            </w:r>
            <w:r>
              <w:rPr>
                <w:sz w:val="22"/>
              </w:rPr>
              <w:t>, any steps taken to mitigate these risks and the likelihood of these risks occurring</w:t>
            </w:r>
          </w:p>
        </w:tc>
        <w:tc>
          <w:tcPr>
            <w:tcW w:w="1380" w:type="dxa"/>
          </w:tcPr>
          <w:p w14:paraId="7B624FBE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227D77AB" w14:textId="77777777" w:rsidTr="0003542C">
        <w:tc>
          <w:tcPr>
            <w:tcW w:w="8816" w:type="dxa"/>
            <w:vAlign w:val="center"/>
          </w:tcPr>
          <w:p w14:paraId="073D97C8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Provide d</w:t>
            </w:r>
            <w:r w:rsidRPr="00982BF9">
              <w:rPr>
                <w:sz w:val="22"/>
              </w:rPr>
              <w:t>etails of the consideration for the transaction</w:t>
            </w:r>
            <w:r>
              <w:rPr>
                <w:sz w:val="22"/>
              </w:rPr>
              <w:t>(s)</w:t>
            </w:r>
          </w:p>
        </w:tc>
        <w:tc>
          <w:tcPr>
            <w:tcW w:w="1380" w:type="dxa"/>
          </w:tcPr>
          <w:p w14:paraId="60F49824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30344838" w14:textId="77777777" w:rsidTr="0003542C">
        <w:tc>
          <w:tcPr>
            <w:tcW w:w="8816" w:type="dxa"/>
            <w:vAlign w:val="center"/>
          </w:tcPr>
          <w:p w14:paraId="4264A5C0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Outline t</w:t>
            </w:r>
            <w:r w:rsidRPr="00982BF9">
              <w:rPr>
                <w:sz w:val="22"/>
              </w:rPr>
              <w:t>he consequences to the issuer if the resolution is not passed</w:t>
            </w:r>
            <w:r w:rsidRPr="009B72F0">
              <w:rPr>
                <w:sz w:val="22"/>
              </w:rPr>
              <w:t>, and any other alternatives</w:t>
            </w:r>
          </w:p>
        </w:tc>
        <w:tc>
          <w:tcPr>
            <w:tcW w:w="1380" w:type="dxa"/>
          </w:tcPr>
          <w:p w14:paraId="2A378D4B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559916BD" w14:textId="77777777" w:rsidTr="0003542C">
        <w:tc>
          <w:tcPr>
            <w:tcW w:w="8816" w:type="dxa"/>
            <w:vAlign w:val="center"/>
          </w:tcPr>
          <w:p w14:paraId="60C35B3E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82BF9">
              <w:rPr>
                <w:sz w:val="22"/>
              </w:rPr>
              <w:t xml:space="preserve">Clearly name the related </w:t>
            </w:r>
            <w:r w:rsidRPr="009B72F0">
              <w:rPr>
                <w:sz w:val="22"/>
              </w:rPr>
              <w:t>party or parties to the transaction</w:t>
            </w:r>
            <w:r>
              <w:rPr>
                <w:sz w:val="22"/>
              </w:rPr>
              <w:t>(s)</w:t>
            </w:r>
            <w:r w:rsidRPr="009B72F0">
              <w:rPr>
                <w:sz w:val="22"/>
              </w:rPr>
              <w:t xml:space="preserve"> and include a description of how they are a related party</w:t>
            </w:r>
          </w:p>
        </w:tc>
        <w:tc>
          <w:tcPr>
            <w:tcW w:w="1380" w:type="dxa"/>
          </w:tcPr>
          <w:p w14:paraId="41903DA1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09EBEA41" w14:textId="77777777" w:rsidTr="0003542C">
        <w:tc>
          <w:tcPr>
            <w:tcW w:w="8816" w:type="dxa"/>
            <w:vAlign w:val="center"/>
          </w:tcPr>
          <w:p w14:paraId="6D0A34E9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82BF9">
              <w:rPr>
                <w:sz w:val="22"/>
              </w:rPr>
              <w:t>State that the notice is accompanied by an appraisal r</w:t>
            </w:r>
            <w:r w:rsidRPr="009B72F0">
              <w:rPr>
                <w:sz w:val="22"/>
              </w:rPr>
              <w:t xml:space="preserve">eport </w:t>
            </w:r>
          </w:p>
        </w:tc>
        <w:tc>
          <w:tcPr>
            <w:tcW w:w="1380" w:type="dxa"/>
          </w:tcPr>
          <w:p w14:paraId="3B9CD032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7CCDF1B3" w14:textId="77777777" w:rsidTr="0003542C">
        <w:tc>
          <w:tcPr>
            <w:tcW w:w="8816" w:type="dxa"/>
            <w:vAlign w:val="center"/>
          </w:tcPr>
          <w:p w14:paraId="3A867C28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82BF9">
              <w:rPr>
                <w:sz w:val="22"/>
              </w:rPr>
              <w:t>Include a summary of any key findings of the a</w:t>
            </w:r>
            <w:r w:rsidRPr="009B72F0">
              <w:rPr>
                <w:sz w:val="22"/>
              </w:rPr>
              <w:t xml:space="preserve">ppraisal report </w:t>
            </w:r>
            <w:r>
              <w:rPr>
                <w:sz w:val="22"/>
              </w:rPr>
              <w:t>and</w:t>
            </w:r>
            <w:r w:rsidRPr="00982BF9">
              <w:rPr>
                <w:sz w:val="22"/>
              </w:rPr>
              <w:t xml:space="preserve"> applicable cross references</w:t>
            </w:r>
          </w:p>
        </w:tc>
        <w:tc>
          <w:tcPr>
            <w:tcW w:w="1380" w:type="dxa"/>
          </w:tcPr>
          <w:p w14:paraId="5455DB61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1153E4DA" w14:textId="77777777" w:rsidTr="0003542C">
        <w:tc>
          <w:tcPr>
            <w:tcW w:w="8816" w:type="dxa"/>
            <w:vAlign w:val="center"/>
          </w:tcPr>
          <w:p w14:paraId="03BE5B97" w14:textId="77777777" w:rsidR="00F46564" w:rsidRPr="00982BF9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Provide details of the consideration for the transaction(s) e.g. break fees</w:t>
            </w:r>
          </w:p>
        </w:tc>
        <w:tc>
          <w:tcPr>
            <w:tcW w:w="1380" w:type="dxa"/>
          </w:tcPr>
          <w:p w14:paraId="38CC5133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043D02CD" w14:textId="77777777" w:rsidTr="0003542C">
        <w:tc>
          <w:tcPr>
            <w:tcW w:w="8816" w:type="dxa"/>
            <w:vAlign w:val="center"/>
          </w:tcPr>
          <w:p w14:paraId="5A7F3212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If applicable, state</w:t>
            </w:r>
            <w:r w:rsidRPr="009C5500">
              <w:rPr>
                <w:sz w:val="22"/>
              </w:rPr>
              <w:t xml:space="preserve"> any dilutionary impact of the issue, including a worked example where relevant</w:t>
            </w:r>
            <w:r>
              <w:rPr>
                <w:sz w:val="22"/>
              </w:rPr>
              <w:t>.  Where the transaction will result in material changes to significant security holdings, consider including a table outlining these holdings pre and post transaction</w:t>
            </w:r>
          </w:p>
        </w:tc>
        <w:tc>
          <w:tcPr>
            <w:tcW w:w="1380" w:type="dxa"/>
          </w:tcPr>
          <w:p w14:paraId="5CB0C330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680A16FC" w14:textId="77777777" w:rsidTr="0003542C">
        <w:tc>
          <w:tcPr>
            <w:tcW w:w="8816" w:type="dxa"/>
            <w:vAlign w:val="center"/>
          </w:tcPr>
          <w:p w14:paraId="33A11757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 xml:space="preserve">Be accompanied by an appraisal report </w:t>
            </w:r>
          </w:p>
        </w:tc>
        <w:tc>
          <w:tcPr>
            <w:tcW w:w="1380" w:type="dxa"/>
          </w:tcPr>
          <w:p w14:paraId="4609262B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59AF9436" w14:textId="77777777" w:rsidTr="0003542C">
        <w:tc>
          <w:tcPr>
            <w:tcW w:w="8816" w:type="dxa"/>
            <w:vAlign w:val="center"/>
          </w:tcPr>
          <w:p w14:paraId="6620B9CE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 xml:space="preserve">Contain such other material as is necessary to enable the holders of financial products entitled to vote to decide whether the transaction price and terms are fair. </w:t>
            </w:r>
          </w:p>
        </w:tc>
        <w:tc>
          <w:tcPr>
            <w:tcW w:w="1380" w:type="dxa"/>
          </w:tcPr>
          <w:p w14:paraId="10850222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</w:tbl>
    <w:p w14:paraId="3FD5CEDB" w14:textId="77777777" w:rsidR="00F46564" w:rsidRPr="00982BF9" w:rsidRDefault="00F46564" w:rsidP="00F46564">
      <w:pPr>
        <w:rPr>
          <w:sz w:val="22"/>
        </w:rPr>
      </w:pPr>
    </w:p>
    <w:p w14:paraId="086D8F57" w14:textId="77777777" w:rsidR="00F46564" w:rsidRPr="00FC375C" w:rsidRDefault="00F46564" w:rsidP="00F46564">
      <w:pPr>
        <w:spacing w:after="200" w:line="240" w:lineRule="auto"/>
        <w:rPr>
          <w:i/>
          <w:sz w:val="22"/>
        </w:rPr>
      </w:pPr>
      <w:r>
        <w:rPr>
          <w:sz w:val="22"/>
        </w:rPr>
        <w:t xml:space="preserve">For further information relating to transactions with related parties, please refer to NZX’s </w:t>
      </w:r>
      <w:r w:rsidRPr="0006098F">
        <w:rPr>
          <w:sz w:val="22"/>
        </w:rPr>
        <w:t xml:space="preserve">Guidance Note </w:t>
      </w:r>
      <w:hyperlink r:id="rId9" w:history="1">
        <w:r w:rsidRPr="0006098F">
          <w:rPr>
            <w:rStyle w:val="Hyperlink"/>
            <w:i/>
            <w:sz w:val="22"/>
          </w:rPr>
          <w:t>Major and Related Party Transactions</w:t>
        </w:r>
      </w:hyperlink>
      <w:r w:rsidRPr="0006098F">
        <w:rPr>
          <w:i/>
          <w:sz w:val="22"/>
        </w:rPr>
        <w:t>.</w:t>
      </w:r>
    </w:p>
    <w:p w14:paraId="6E209FAB" w14:textId="77777777" w:rsidR="00F46564" w:rsidRPr="00982BF9" w:rsidRDefault="00F46564" w:rsidP="00F46564">
      <w:pPr>
        <w:spacing w:after="200" w:line="240" w:lineRule="auto"/>
        <w:rPr>
          <w:sz w:val="22"/>
        </w:rPr>
      </w:pPr>
      <w:r w:rsidRPr="00FC375C">
        <w:rPr>
          <w:sz w:val="22"/>
        </w:rPr>
        <w:br w:type="column"/>
      </w:r>
      <w:r w:rsidRPr="009B72F0" w:rsidDel="004223B5">
        <w:rPr>
          <w:b/>
          <w:sz w:val="22"/>
        </w:rPr>
        <w:lastRenderedPageBreak/>
        <w:t xml:space="preserve"> </w:t>
      </w:r>
    </w:p>
    <w:p w14:paraId="749A639F" w14:textId="77777777" w:rsidR="00F46564" w:rsidRPr="00115A1D" w:rsidRDefault="00F46564" w:rsidP="00F46564">
      <w:pPr>
        <w:spacing w:after="200" w:line="240" w:lineRule="auto"/>
        <w:rPr>
          <w:b/>
          <w:sz w:val="22"/>
        </w:rPr>
      </w:pPr>
      <w:r w:rsidRPr="009B72F0">
        <w:rPr>
          <w:b/>
          <w:sz w:val="22"/>
        </w:rPr>
        <w:t xml:space="preserve">Appendix </w:t>
      </w:r>
      <w:r>
        <w:rPr>
          <w:b/>
          <w:sz w:val="22"/>
        </w:rPr>
        <w:t>6</w:t>
      </w:r>
      <w:r w:rsidRPr="009B72F0">
        <w:rPr>
          <w:b/>
          <w:sz w:val="22"/>
        </w:rPr>
        <w:t xml:space="preserve"> - </w:t>
      </w:r>
      <w:r>
        <w:rPr>
          <w:b/>
          <w:sz w:val="22"/>
        </w:rPr>
        <w:t>I</w:t>
      </w:r>
      <w:r w:rsidRPr="009B72F0">
        <w:rPr>
          <w:b/>
          <w:sz w:val="22"/>
        </w:rPr>
        <w:t>ssues, ratifications of issues, or buybacks of securities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6"/>
        <w:gridCol w:w="1380"/>
      </w:tblGrid>
      <w:tr w:rsidR="00F46564" w:rsidRPr="00115A1D" w14:paraId="7916261D" w14:textId="77777777" w:rsidTr="000206AF">
        <w:tc>
          <w:tcPr>
            <w:tcW w:w="8816" w:type="dxa"/>
            <w:shd w:val="clear" w:color="auto" w:fill="44546A" w:themeFill="text2"/>
          </w:tcPr>
          <w:p w14:paraId="61ECB861" w14:textId="77777777" w:rsidR="00F46564" w:rsidRPr="00115A1D" w:rsidRDefault="00F46564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 xml:space="preserve">Listing Rule </w:t>
            </w:r>
            <w:r>
              <w:rPr>
                <w:b/>
                <w:color w:val="FFFFFF" w:themeColor="background1"/>
                <w:sz w:val="22"/>
              </w:rPr>
              <w:t>4.1.1</w:t>
            </w:r>
            <w:r w:rsidRPr="009B72F0">
              <w:rPr>
                <w:b/>
                <w:color w:val="FFFFFF" w:themeColor="background1"/>
                <w:sz w:val="22"/>
              </w:rPr>
              <w:t xml:space="preserve"> – Issue of equity securities </w:t>
            </w:r>
          </w:p>
          <w:p w14:paraId="516A578D" w14:textId="77777777" w:rsidR="00F46564" w:rsidRPr="00115A1D" w:rsidRDefault="00F46564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 xml:space="preserve">Listing Rule </w:t>
            </w:r>
            <w:r>
              <w:rPr>
                <w:b/>
                <w:color w:val="FFFFFF" w:themeColor="background1"/>
                <w:sz w:val="22"/>
              </w:rPr>
              <w:t>4.5.1</w:t>
            </w:r>
            <w:r w:rsidRPr="009B72F0">
              <w:rPr>
                <w:b/>
                <w:color w:val="FFFFFF" w:themeColor="background1"/>
                <w:sz w:val="22"/>
              </w:rPr>
              <w:t xml:space="preserve">(c) – Ratification of Equity Securities previously issued under Listing Rule </w:t>
            </w:r>
            <w:r>
              <w:rPr>
                <w:b/>
                <w:color w:val="FFFFFF" w:themeColor="background1"/>
                <w:sz w:val="22"/>
              </w:rPr>
              <w:t>4.5.1</w:t>
            </w:r>
          </w:p>
          <w:p w14:paraId="77AD8ECA" w14:textId="77777777" w:rsidR="00F46564" w:rsidRPr="00115A1D" w:rsidRDefault="00F46564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 xml:space="preserve">Listing Rule </w:t>
            </w:r>
            <w:r>
              <w:rPr>
                <w:b/>
                <w:color w:val="FFFFFF" w:themeColor="background1"/>
                <w:sz w:val="22"/>
              </w:rPr>
              <w:t>4.13</w:t>
            </w:r>
            <w:r w:rsidRPr="009B72F0">
              <w:rPr>
                <w:b/>
                <w:color w:val="FFFFFF" w:themeColor="background1"/>
                <w:sz w:val="22"/>
              </w:rPr>
              <w:t xml:space="preserve"> – Issues and Buyback of Securities affecting control</w:t>
            </w:r>
          </w:p>
          <w:p w14:paraId="53DBFA0D" w14:textId="77777777" w:rsidR="00F46564" w:rsidRDefault="00F46564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 xml:space="preserve">Listing Rule </w:t>
            </w:r>
            <w:r>
              <w:rPr>
                <w:b/>
                <w:color w:val="FFFFFF" w:themeColor="background1"/>
                <w:sz w:val="22"/>
              </w:rPr>
              <w:t>4.16</w:t>
            </w:r>
            <w:r w:rsidRPr="009B72F0">
              <w:rPr>
                <w:b/>
                <w:color w:val="FFFFFF" w:themeColor="background1"/>
                <w:sz w:val="22"/>
              </w:rPr>
              <w:t xml:space="preserve"> – Acquisition or Redemption of Securities, or to provide financial assistance</w:t>
            </w:r>
          </w:p>
          <w:p w14:paraId="584BE207" w14:textId="24977822" w:rsidR="009064BB" w:rsidRPr="00115A1D" w:rsidRDefault="009064BB" w:rsidP="0003542C">
            <w:pPr>
              <w:spacing w:before="60" w:after="6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Ratification of Share Purchase Plan</w:t>
            </w:r>
          </w:p>
        </w:tc>
        <w:tc>
          <w:tcPr>
            <w:tcW w:w="1380" w:type="dxa"/>
            <w:shd w:val="clear" w:color="auto" w:fill="44546A" w:themeFill="text2"/>
          </w:tcPr>
          <w:p w14:paraId="722B101D" w14:textId="77777777" w:rsidR="00F46564" w:rsidRPr="00115A1D" w:rsidRDefault="00F46564" w:rsidP="0003542C">
            <w:pPr>
              <w:spacing w:before="60" w:after="60"/>
              <w:rPr>
                <w:color w:val="FFFFFF" w:themeColor="background1"/>
                <w:sz w:val="22"/>
              </w:rPr>
            </w:pPr>
            <w:r w:rsidRPr="009B72F0">
              <w:rPr>
                <w:b/>
                <w:color w:val="FFFFFF" w:themeColor="background1"/>
                <w:sz w:val="22"/>
              </w:rPr>
              <w:t>Page number</w:t>
            </w:r>
            <w:r>
              <w:rPr>
                <w:b/>
                <w:color w:val="FFFFFF" w:themeColor="background1"/>
                <w:sz w:val="22"/>
              </w:rPr>
              <w:t>(s)</w:t>
            </w:r>
          </w:p>
        </w:tc>
      </w:tr>
      <w:tr w:rsidR="00F46564" w:rsidRPr="00115A1D" w14:paraId="46B0982C" w14:textId="77777777" w:rsidTr="0003542C">
        <w:tc>
          <w:tcPr>
            <w:tcW w:w="10196" w:type="dxa"/>
            <w:gridSpan w:val="2"/>
            <w:vAlign w:val="center"/>
          </w:tcPr>
          <w:p w14:paraId="61C110DB" w14:textId="53817943" w:rsidR="00F46564" w:rsidRPr="00115A1D" w:rsidRDefault="00F46564" w:rsidP="0003542C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The notice of meeting should</w:t>
            </w:r>
            <w:r w:rsidR="009064BB">
              <w:rPr>
                <w:sz w:val="22"/>
              </w:rPr>
              <w:t xml:space="preserve"> include the following and include the information required by Rule 7.8.4</w:t>
            </w:r>
            <w:r>
              <w:rPr>
                <w:sz w:val="22"/>
              </w:rPr>
              <w:t>:</w:t>
            </w:r>
          </w:p>
        </w:tc>
      </w:tr>
      <w:tr w:rsidR="00F46564" w:rsidRPr="00115A1D" w14:paraId="0791A289" w14:textId="77777777" w:rsidTr="0003542C">
        <w:tc>
          <w:tcPr>
            <w:tcW w:w="8816" w:type="dxa"/>
            <w:vAlign w:val="center"/>
          </w:tcPr>
          <w:p w14:paraId="7FCA9810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82BF9">
              <w:rPr>
                <w:sz w:val="22"/>
              </w:rPr>
              <w:t>Include an overview statement of the proposal to issue, ratify the issue of, acquire or redeem the securities, or to provide financial assistance</w:t>
            </w:r>
          </w:p>
        </w:tc>
        <w:tc>
          <w:tcPr>
            <w:tcW w:w="1380" w:type="dxa"/>
          </w:tcPr>
          <w:p w14:paraId="1A3893FA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7DBC80CB" w14:textId="77777777" w:rsidTr="0003542C">
        <w:trPr>
          <w:trHeight w:val="259"/>
        </w:trPr>
        <w:tc>
          <w:tcPr>
            <w:tcW w:w="8816" w:type="dxa"/>
            <w:vAlign w:val="center"/>
          </w:tcPr>
          <w:p w14:paraId="79150488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82BF9">
              <w:rPr>
                <w:sz w:val="22"/>
              </w:rPr>
              <w:t xml:space="preserve">State </w:t>
            </w:r>
            <w:r>
              <w:rPr>
                <w:sz w:val="22"/>
              </w:rPr>
              <w:t xml:space="preserve">the </w:t>
            </w:r>
            <w:r w:rsidRPr="00982BF9">
              <w:rPr>
                <w:sz w:val="22"/>
              </w:rPr>
              <w:t>number of securities to be issued, acquired or redeemed. If the</w:t>
            </w:r>
            <w:r>
              <w:rPr>
                <w:sz w:val="22"/>
              </w:rPr>
              <w:t xml:space="preserve"> number is not known</w:t>
            </w:r>
            <w:r w:rsidRPr="00982BF9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state </w:t>
            </w:r>
            <w:r w:rsidRPr="00982BF9">
              <w:rPr>
                <w:sz w:val="22"/>
              </w:rPr>
              <w:t>the formula that will be used to determine the number of securities</w:t>
            </w:r>
            <w:r>
              <w:rPr>
                <w:sz w:val="22"/>
              </w:rPr>
              <w:t xml:space="preserve"> and the</w:t>
            </w:r>
            <w:r w:rsidRPr="00982BF9">
              <w:rPr>
                <w:sz w:val="22"/>
              </w:rPr>
              <w:t xml:space="preserve"> maximum number that </w:t>
            </w:r>
            <w:r>
              <w:rPr>
                <w:sz w:val="22"/>
              </w:rPr>
              <w:t>may</w:t>
            </w:r>
            <w:r w:rsidRPr="00982BF9">
              <w:rPr>
                <w:sz w:val="22"/>
              </w:rPr>
              <w:t xml:space="preserve"> be issued, acquired or redeemed </w:t>
            </w:r>
          </w:p>
        </w:tc>
        <w:tc>
          <w:tcPr>
            <w:tcW w:w="1380" w:type="dxa"/>
          </w:tcPr>
          <w:p w14:paraId="365BE066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538AAC23" w14:textId="77777777" w:rsidTr="0003542C">
        <w:trPr>
          <w:trHeight w:val="259"/>
        </w:trPr>
        <w:tc>
          <w:tcPr>
            <w:tcW w:w="8816" w:type="dxa"/>
            <w:vAlign w:val="center"/>
          </w:tcPr>
          <w:p w14:paraId="43A5E07C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82BF9">
              <w:rPr>
                <w:sz w:val="22"/>
              </w:rPr>
              <w:t xml:space="preserve">State the purpose of the </w:t>
            </w:r>
            <w:r>
              <w:rPr>
                <w:sz w:val="22"/>
              </w:rPr>
              <w:t>transaction</w:t>
            </w:r>
            <w:r w:rsidRPr="009B72F0">
              <w:rPr>
                <w:sz w:val="22"/>
              </w:rPr>
              <w:t xml:space="preserve">. Where there is more than one purpose, </w:t>
            </w:r>
            <w:r>
              <w:rPr>
                <w:sz w:val="22"/>
              </w:rPr>
              <w:t xml:space="preserve">the </w:t>
            </w:r>
            <w:r w:rsidRPr="009B72F0">
              <w:rPr>
                <w:sz w:val="22"/>
              </w:rPr>
              <w:t xml:space="preserve">use of </w:t>
            </w:r>
            <w:r>
              <w:rPr>
                <w:sz w:val="22"/>
              </w:rPr>
              <w:t>proceeds should be listed in order of priority</w:t>
            </w:r>
          </w:p>
        </w:tc>
        <w:tc>
          <w:tcPr>
            <w:tcW w:w="1380" w:type="dxa"/>
          </w:tcPr>
          <w:p w14:paraId="4DA1CEE3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318B8B06" w14:textId="77777777" w:rsidTr="0003542C">
        <w:trPr>
          <w:trHeight w:val="259"/>
        </w:trPr>
        <w:tc>
          <w:tcPr>
            <w:tcW w:w="8816" w:type="dxa"/>
            <w:vAlign w:val="center"/>
          </w:tcPr>
          <w:p w14:paraId="09FA941C" w14:textId="77777777" w:rsidR="00F46564" w:rsidRPr="00982BF9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 xml:space="preserve">In the case of an issue, state the consideration of the issue and, where that is cash, the specific purpose for raising the cash.  </w:t>
            </w:r>
            <w:r w:rsidRPr="009B72F0">
              <w:rPr>
                <w:sz w:val="22"/>
              </w:rPr>
              <w:t xml:space="preserve">Where there is more than one purpose, </w:t>
            </w:r>
            <w:r>
              <w:rPr>
                <w:sz w:val="22"/>
              </w:rPr>
              <w:t xml:space="preserve">the </w:t>
            </w:r>
            <w:r w:rsidRPr="009B72F0">
              <w:rPr>
                <w:sz w:val="22"/>
              </w:rPr>
              <w:t xml:space="preserve">use of </w:t>
            </w:r>
            <w:r>
              <w:rPr>
                <w:sz w:val="22"/>
              </w:rPr>
              <w:t>proceeds should be listed in order of priority</w:t>
            </w:r>
          </w:p>
        </w:tc>
        <w:tc>
          <w:tcPr>
            <w:tcW w:w="1380" w:type="dxa"/>
          </w:tcPr>
          <w:p w14:paraId="6D109E08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61D49CEA" w14:textId="77777777" w:rsidTr="0003542C">
        <w:tc>
          <w:tcPr>
            <w:tcW w:w="8816" w:type="dxa"/>
            <w:vAlign w:val="center"/>
          </w:tcPr>
          <w:p w14:paraId="5161313B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82BF9">
              <w:rPr>
                <w:sz w:val="22"/>
              </w:rPr>
              <w:t>State the issue, acquisition or redemption price. If the</w:t>
            </w:r>
            <w:r>
              <w:rPr>
                <w:sz w:val="22"/>
              </w:rPr>
              <w:t xml:space="preserve"> price is not known, </w:t>
            </w:r>
            <w:r w:rsidRPr="00982BF9">
              <w:rPr>
                <w:sz w:val="22"/>
              </w:rPr>
              <w:t>state the formula that will be used to determine the price</w:t>
            </w:r>
            <w:r>
              <w:rPr>
                <w:sz w:val="22"/>
              </w:rPr>
              <w:t xml:space="preserve"> and the relevant times for payment (with sufficient detail to enable financial product holders to ascertain the terms to or from any party) </w:t>
            </w:r>
          </w:p>
        </w:tc>
        <w:tc>
          <w:tcPr>
            <w:tcW w:w="1380" w:type="dxa"/>
          </w:tcPr>
          <w:p w14:paraId="18AA8C49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2F90E1DA" w14:textId="77777777" w:rsidTr="0003542C">
        <w:tc>
          <w:tcPr>
            <w:tcW w:w="8816" w:type="dxa"/>
            <w:vAlign w:val="center"/>
          </w:tcPr>
          <w:p w14:paraId="3494B964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State</w:t>
            </w:r>
            <w:r w:rsidRPr="00982BF9">
              <w:rPr>
                <w:sz w:val="22"/>
              </w:rPr>
              <w:t xml:space="preserve"> the parties </w:t>
            </w:r>
            <w:r w:rsidRPr="009B72F0">
              <w:rPr>
                <w:sz w:val="22"/>
              </w:rPr>
              <w:t>and/or any associated persons to whom the securities will be issued to</w:t>
            </w:r>
            <w:r>
              <w:rPr>
                <w:sz w:val="22"/>
              </w:rPr>
              <w:t>,</w:t>
            </w:r>
            <w:r w:rsidRPr="009B72F0">
              <w:rPr>
                <w:sz w:val="22"/>
              </w:rPr>
              <w:t xml:space="preserve"> or </w:t>
            </w:r>
            <w:r>
              <w:rPr>
                <w:sz w:val="22"/>
              </w:rPr>
              <w:t xml:space="preserve">redeemed or </w:t>
            </w:r>
            <w:r w:rsidRPr="009B72F0">
              <w:rPr>
                <w:sz w:val="22"/>
              </w:rPr>
              <w:t>acquired from</w:t>
            </w:r>
            <w:r>
              <w:rPr>
                <w:sz w:val="22"/>
              </w:rPr>
              <w:t>, and identify by name any such parties that are directors or associated persons of the issuer or any director</w:t>
            </w:r>
          </w:p>
        </w:tc>
        <w:tc>
          <w:tcPr>
            <w:tcW w:w="1380" w:type="dxa"/>
          </w:tcPr>
          <w:p w14:paraId="4898F8E2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2A5773C5" w14:textId="77777777" w:rsidTr="0003542C">
        <w:tc>
          <w:tcPr>
            <w:tcW w:w="8816" w:type="dxa"/>
            <w:vAlign w:val="center"/>
          </w:tcPr>
          <w:p w14:paraId="64352350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82BF9">
              <w:rPr>
                <w:sz w:val="22"/>
              </w:rPr>
              <w:t xml:space="preserve">State the </w:t>
            </w:r>
            <w:proofErr w:type="gramStart"/>
            <w:r w:rsidRPr="00982BF9">
              <w:rPr>
                <w:sz w:val="22"/>
              </w:rPr>
              <w:t>period of time</w:t>
            </w:r>
            <w:proofErr w:type="gramEnd"/>
            <w:r w:rsidRPr="00982BF9">
              <w:rPr>
                <w:sz w:val="22"/>
              </w:rPr>
              <w:t xml:space="preserve"> within </w:t>
            </w:r>
            <w:r w:rsidRPr="009B72F0">
              <w:rPr>
                <w:sz w:val="22"/>
              </w:rPr>
              <w:t>which the issue, acquisition or redemption will be made</w:t>
            </w:r>
          </w:p>
        </w:tc>
        <w:tc>
          <w:tcPr>
            <w:tcW w:w="1380" w:type="dxa"/>
          </w:tcPr>
          <w:p w14:paraId="659899F7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767F8BC5" w14:textId="77777777" w:rsidTr="0003542C">
        <w:tc>
          <w:tcPr>
            <w:tcW w:w="8816" w:type="dxa"/>
            <w:vAlign w:val="center"/>
          </w:tcPr>
          <w:p w14:paraId="78011AA3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In the case of an issue, s</w:t>
            </w:r>
            <w:r w:rsidRPr="009C5500">
              <w:rPr>
                <w:sz w:val="22"/>
              </w:rPr>
              <w:t>tate the ranking of the securities to be issued</w:t>
            </w:r>
            <w:r>
              <w:rPr>
                <w:sz w:val="22"/>
              </w:rPr>
              <w:t xml:space="preserve"> e.g. equally ranked (</w:t>
            </w:r>
            <w:proofErr w:type="spellStart"/>
            <w:r>
              <w:rPr>
                <w:sz w:val="22"/>
              </w:rPr>
              <w:t>pari</w:t>
            </w:r>
            <w:proofErr w:type="spellEnd"/>
            <w:r>
              <w:rPr>
                <w:sz w:val="22"/>
              </w:rPr>
              <w:t xml:space="preserve"> passu)</w:t>
            </w:r>
          </w:p>
        </w:tc>
        <w:tc>
          <w:tcPr>
            <w:tcW w:w="1380" w:type="dxa"/>
          </w:tcPr>
          <w:p w14:paraId="5D67E9C1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6DE62B2D" w14:textId="77777777" w:rsidTr="0003542C">
        <w:tc>
          <w:tcPr>
            <w:tcW w:w="8816" w:type="dxa"/>
            <w:vAlign w:val="center"/>
          </w:tcPr>
          <w:p w14:paraId="1621EBAC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C5500">
              <w:rPr>
                <w:sz w:val="22"/>
              </w:rPr>
              <w:t xml:space="preserve">If financial assistance is being proposed, </w:t>
            </w:r>
            <w:r>
              <w:rPr>
                <w:sz w:val="22"/>
              </w:rPr>
              <w:t>state</w:t>
            </w:r>
            <w:r w:rsidRPr="009C5500">
              <w:rPr>
                <w:sz w:val="22"/>
              </w:rPr>
              <w:t xml:space="preserve"> the amount and full terms of the financial assistance. Also, state the parties to whom the assistance will be given. If assistance will be given to any director and/or </w:t>
            </w:r>
            <w:r>
              <w:rPr>
                <w:sz w:val="22"/>
              </w:rPr>
              <w:t>associated person of a director</w:t>
            </w:r>
            <w:r w:rsidRPr="009C5500">
              <w:rPr>
                <w:sz w:val="22"/>
              </w:rPr>
              <w:t xml:space="preserve"> include the names of those persons</w:t>
            </w:r>
          </w:p>
        </w:tc>
        <w:tc>
          <w:tcPr>
            <w:tcW w:w="1380" w:type="dxa"/>
          </w:tcPr>
          <w:p w14:paraId="2E5AD690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5B725D98" w14:textId="77777777" w:rsidTr="0003542C">
        <w:tc>
          <w:tcPr>
            <w:tcW w:w="8816" w:type="dxa"/>
            <w:vAlign w:val="center"/>
          </w:tcPr>
          <w:p w14:paraId="32134786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State</w:t>
            </w:r>
            <w:r w:rsidRPr="009C5500">
              <w:rPr>
                <w:sz w:val="22"/>
              </w:rPr>
              <w:t xml:space="preserve"> any dilutionary impact of the issue, including a worked example where relevant</w:t>
            </w:r>
            <w:r>
              <w:rPr>
                <w:sz w:val="22"/>
              </w:rPr>
              <w:t>.  Where the transaction will result in material changes to significant security holdings, consider including a table outlining these holdings pre and post transaction</w:t>
            </w:r>
          </w:p>
        </w:tc>
        <w:tc>
          <w:tcPr>
            <w:tcW w:w="1380" w:type="dxa"/>
          </w:tcPr>
          <w:p w14:paraId="28ABA1FE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36031D6B" w14:textId="77777777" w:rsidTr="0003542C">
        <w:tc>
          <w:tcPr>
            <w:tcW w:w="8816" w:type="dxa"/>
            <w:vAlign w:val="center"/>
          </w:tcPr>
          <w:p w14:paraId="4D7D85A2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 w:rsidRPr="009C5500">
              <w:rPr>
                <w:sz w:val="22"/>
              </w:rPr>
              <w:lastRenderedPageBreak/>
              <w:t>If shares are being issued at a discount to the market rate, please include the percentage of the discount</w:t>
            </w:r>
          </w:p>
        </w:tc>
        <w:tc>
          <w:tcPr>
            <w:tcW w:w="1380" w:type="dxa"/>
          </w:tcPr>
          <w:p w14:paraId="637C6387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2C8C5677" w14:textId="77777777" w:rsidTr="0003542C">
        <w:tc>
          <w:tcPr>
            <w:tcW w:w="8816" w:type="dxa"/>
            <w:vAlign w:val="center"/>
          </w:tcPr>
          <w:p w14:paraId="308C5083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 xml:space="preserve">If applicable, state that </w:t>
            </w:r>
            <w:r w:rsidRPr="00982BF9">
              <w:rPr>
                <w:sz w:val="22"/>
              </w:rPr>
              <w:t>the notice is accompanied by an appraisal r</w:t>
            </w:r>
            <w:r w:rsidRPr="009B72F0">
              <w:rPr>
                <w:sz w:val="22"/>
              </w:rPr>
              <w:t>eport</w:t>
            </w:r>
          </w:p>
        </w:tc>
        <w:tc>
          <w:tcPr>
            <w:tcW w:w="1380" w:type="dxa"/>
          </w:tcPr>
          <w:p w14:paraId="11F985BD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F46564" w:rsidRPr="00115A1D" w14:paraId="31287576" w14:textId="77777777" w:rsidTr="0003542C">
        <w:tc>
          <w:tcPr>
            <w:tcW w:w="8816" w:type="dxa"/>
            <w:vAlign w:val="center"/>
          </w:tcPr>
          <w:p w14:paraId="1EDDCC8E" w14:textId="77777777" w:rsidR="00F46564" w:rsidRDefault="00F46564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Provide details of the consideration for the transaction(s) e.g. break fees</w:t>
            </w:r>
          </w:p>
        </w:tc>
        <w:tc>
          <w:tcPr>
            <w:tcW w:w="1380" w:type="dxa"/>
          </w:tcPr>
          <w:p w14:paraId="3DFD1557" w14:textId="77777777" w:rsidR="00F46564" w:rsidRPr="00115A1D" w:rsidRDefault="00F46564" w:rsidP="0003542C">
            <w:pPr>
              <w:spacing w:before="60" w:after="60"/>
              <w:rPr>
                <w:sz w:val="22"/>
              </w:rPr>
            </w:pPr>
          </w:p>
        </w:tc>
      </w:tr>
      <w:tr w:rsidR="001947FC" w:rsidRPr="00115A1D" w14:paraId="5E6EB544" w14:textId="77777777" w:rsidTr="0003542C">
        <w:tc>
          <w:tcPr>
            <w:tcW w:w="8816" w:type="dxa"/>
            <w:vAlign w:val="center"/>
          </w:tcPr>
          <w:p w14:paraId="2686F77F" w14:textId="14DDE1FB" w:rsidR="001947FC" w:rsidRDefault="001947FC" w:rsidP="00F4656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993" w:hanging="426"/>
              <w:rPr>
                <w:sz w:val="22"/>
              </w:rPr>
            </w:pPr>
            <w:r>
              <w:rPr>
                <w:sz w:val="22"/>
              </w:rPr>
              <w:t>Include information on any voting exclusions that apply (Rule 6.3.1)</w:t>
            </w:r>
          </w:p>
        </w:tc>
        <w:tc>
          <w:tcPr>
            <w:tcW w:w="1380" w:type="dxa"/>
          </w:tcPr>
          <w:p w14:paraId="22D19C87" w14:textId="77777777" w:rsidR="001947FC" w:rsidRPr="00115A1D" w:rsidRDefault="001947FC" w:rsidP="0003542C">
            <w:pPr>
              <w:spacing w:before="60" w:after="60"/>
              <w:rPr>
                <w:sz w:val="22"/>
              </w:rPr>
            </w:pPr>
          </w:p>
        </w:tc>
      </w:tr>
    </w:tbl>
    <w:p w14:paraId="782EF4F3" w14:textId="77777777" w:rsidR="00F46564" w:rsidRDefault="00F46564" w:rsidP="00F46564">
      <w:pPr>
        <w:rPr>
          <w:sz w:val="22"/>
        </w:rPr>
      </w:pPr>
    </w:p>
    <w:p w14:paraId="3C77FA40" w14:textId="4611DE17" w:rsidR="00F46564" w:rsidRPr="00982BF9" w:rsidRDefault="00F46564" w:rsidP="00F46564">
      <w:pPr>
        <w:rPr>
          <w:sz w:val="22"/>
        </w:rPr>
      </w:pPr>
      <w:r>
        <w:rPr>
          <w:sz w:val="22"/>
        </w:rPr>
        <w:t>A notice of meeting to consider a resolution to approve an issue, acquisition, or redemption of financial products, or provision of financial assistance, must be accompanied by an appraisal report i</w:t>
      </w:r>
      <w:r w:rsidR="00624A2E">
        <w:rPr>
          <w:sz w:val="22"/>
        </w:rPr>
        <w:t>f the transaction is captured by</w:t>
      </w:r>
      <w:r>
        <w:rPr>
          <w:sz w:val="22"/>
        </w:rPr>
        <w:t xml:space="preserve"> Rule 7.8.5. </w:t>
      </w:r>
    </w:p>
    <w:p w14:paraId="7488E2F7" w14:textId="77777777" w:rsidR="003008E0" w:rsidRDefault="003008E0"/>
    <w:sectPr w:rsidR="003008E0" w:rsidSect="007D21A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03" w:right="849" w:bottom="1418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0F20" w14:textId="77777777" w:rsidR="00F46564" w:rsidRDefault="00F46564" w:rsidP="00F46564">
      <w:pPr>
        <w:spacing w:line="240" w:lineRule="auto"/>
      </w:pPr>
      <w:r>
        <w:separator/>
      </w:r>
    </w:p>
  </w:endnote>
  <w:endnote w:type="continuationSeparator" w:id="0">
    <w:p w14:paraId="3A7F88BA" w14:textId="77777777" w:rsidR="00F46564" w:rsidRDefault="00F46564" w:rsidP="00F46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678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06F25" w14:textId="77777777" w:rsidR="000206AF" w:rsidRDefault="00F465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B4C8B0" w14:textId="77777777" w:rsidR="000206AF" w:rsidRDefault="00020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465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0DE8C" w14:textId="77777777" w:rsidR="000206AF" w:rsidRDefault="00F465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866DF6" w14:textId="77777777" w:rsidR="000206AF" w:rsidRDefault="00020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E872" w14:textId="77777777" w:rsidR="00F46564" w:rsidRDefault="00F46564" w:rsidP="00F46564">
      <w:pPr>
        <w:spacing w:line="240" w:lineRule="auto"/>
      </w:pPr>
      <w:r>
        <w:separator/>
      </w:r>
    </w:p>
  </w:footnote>
  <w:footnote w:type="continuationSeparator" w:id="0">
    <w:p w14:paraId="04CACAC4" w14:textId="77777777" w:rsidR="00F46564" w:rsidRDefault="00F46564" w:rsidP="00F465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3959" w14:textId="49DA4430" w:rsidR="000206AF" w:rsidRDefault="00F46564" w:rsidP="002C1C7E">
    <w:pPr>
      <w:spacing w:after="1400"/>
    </w:pPr>
    <w:r>
      <w:rPr>
        <w:noProof/>
        <w:lang w:eastAsia="en-NZ"/>
      </w:rPr>
      <w:drawing>
        <wp:anchor distT="0" distB="0" distL="114300" distR="114300" simplePos="0" relativeHeight="251661312" behindDoc="0" locked="0" layoutInCell="1" allowOverlap="1" wp14:anchorId="588D7B1B" wp14:editId="5576D348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2816860" cy="9144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8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BB34" w14:textId="77777777" w:rsidR="000206AF" w:rsidRDefault="000206AF" w:rsidP="00FF002B">
    <w:pPr>
      <w:pStyle w:val="Title"/>
      <w:ind w:left="4536" w:right="567"/>
      <w:jc w:val="right"/>
      <w:rPr>
        <w:color w:val="4472C4" w:themeColor="accent1"/>
      </w:rPr>
    </w:pPr>
  </w:p>
  <w:p w14:paraId="79DA8531" w14:textId="6991530D" w:rsidR="000206AF" w:rsidRPr="0013545F" w:rsidRDefault="00F46564" w:rsidP="00FF002B">
    <w:pPr>
      <w:pStyle w:val="Title"/>
      <w:ind w:left="4536" w:right="567"/>
      <w:jc w:val="right"/>
      <w:rPr>
        <w:color w:val="4472C4" w:themeColor="accent1"/>
      </w:rPr>
    </w:pPr>
    <w:r>
      <w:rPr>
        <w:noProof/>
        <w:color w:val="4472C4" w:themeColor="accent1"/>
        <w:lang w:eastAsia="en-NZ"/>
      </w:rPr>
      <w:drawing>
        <wp:anchor distT="0" distB="0" distL="114300" distR="114300" simplePos="0" relativeHeight="251660288" behindDoc="0" locked="0" layoutInCell="1" allowOverlap="1" wp14:anchorId="31E0B957" wp14:editId="1533100E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81686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8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472C4" w:themeColor="accent1"/>
      </w:rPr>
      <w:t>Checklist</w:t>
    </w:r>
  </w:p>
  <w:p w14:paraId="4F3497B2" w14:textId="77777777" w:rsidR="000206AF" w:rsidRPr="00863D36" w:rsidRDefault="00F46564" w:rsidP="00863D36">
    <w:pPr>
      <w:pStyle w:val="Title"/>
      <w:ind w:left="4536" w:right="567"/>
      <w:jc w:val="right"/>
      <w:rPr>
        <w:color w:val="4472C4" w:themeColor="accent1"/>
      </w:rPr>
    </w:pPr>
    <w:r>
      <w:rPr>
        <w:color w:val="4472C4" w:themeColor="accent1"/>
      </w:rPr>
      <w:t>Notice of Meeting</w:t>
    </w:r>
  </w:p>
  <w:p w14:paraId="2FAC5AE9" w14:textId="30D31A13" w:rsidR="000206AF" w:rsidRDefault="00F46564" w:rsidP="00F6605C">
    <w:pPr>
      <w:pStyle w:val="Website"/>
      <w:ind w:left="6663" w:right="567"/>
      <w:jc w:val="right"/>
    </w:pPr>
    <w:r>
      <w:t xml:space="preserve">Applies to Rules as at: </w:t>
    </w:r>
    <w:r w:rsidR="000206AF">
      <w:t>24 July 202</w:t>
    </w:r>
    <w:r w:rsidR="00544A0D">
      <w:t>5</w:t>
    </w:r>
  </w:p>
  <w:p w14:paraId="02286EEB" w14:textId="530D69F0" w:rsidR="000206AF" w:rsidRDefault="00F46564" w:rsidP="00F6605C">
    <w:pPr>
      <w:pStyle w:val="Website"/>
      <w:ind w:left="6663" w:right="567"/>
      <w:jc w:val="right"/>
    </w:pPr>
    <w:r>
      <w:t xml:space="preserve">Last updated </w:t>
    </w:r>
    <w:r w:rsidR="0020330C">
      <w:t>September 202</w:t>
    </w:r>
    <w:r w:rsidR="00544A0D">
      <w:t>5</w:t>
    </w:r>
  </w:p>
  <w:p w14:paraId="6433F1C7" w14:textId="77777777" w:rsidR="000206AF" w:rsidRPr="00C87F3B" w:rsidRDefault="000206AF" w:rsidP="00F6605C">
    <w:pPr>
      <w:pStyle w:val="Website"/>
      <w:ind w:left="6663" w:right="56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0F38"/>
    <w:multiLevelType w:val="hybridMultilevel"/>
    <w:tmpl w:val="87AC58A4"/>
    <w:lvl w:ilvl="0" w:tplc="F0E05F04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86F0E"/>
    <w:multiLevelType w:val="hybridMultilevel"/>
    <w:tmpl w:val="D22C8EB8"/>
    <w:lvl w:ilvl="0" w:tplc="80F48D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C36F2"/>
    <w:multiLevelType w:val="hybridMultilevel"/>
    <w:tmpl w:val="6458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844B8"/>
    <w:multiLevelType w:val="hybridMultilevel"/>
    <w:tmpl w:val="0254976E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64E55"/>
    <w:multiLevelType w:val="hybridMultilevel"/>
    <w:tmpl w:val="B62E86EA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BF66C2"/>
    <w:multiLevelType w:val="hybridMultilevel"/>
    <w:tmpl w:val="CB22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24459">
    <w:abstractNumId w:val="0"/>
  </w:num>
  <w:num w:numId="2" w16cid:durableId="2105999911">
    <w:abstractNumId w:val="4"/>
  </w:num>
  <w:num w:numId="3" w16cid:durableId="1235243547">
    <w:abstractNumId w:val="1"/>
  </w:num>
  <w:num w:numId="4" w16cid:durableId="270817319">
    <w:abstractNumId w:val="3"/>
  </w:num>
  <w:num w:numId="5" w16cid:durableId="1957641715">
    <w:abstractNumId w:val="2"/>
  </w:num>
  <w:num w:numId="6" w16cid:durableId="289753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9D"/>
    <w:rsid w:val="000206AF"/>
    <w:rsid w:val="000330D7"/>
    <w:rsid w:val="001947FC"/>
    <w:rsid w:val="0020330C"/>
    <w:rsid w:val="003008E0"/>
    <w:rsid w:val="00306999"/>
    <w:rsid w:val="00544A0D"/>
    <w:rsid w:val="00624A2E"/>
    <w:rsid w:val="0077129D"/>
    <w:rsid w:val="007D770B"/>
    <w:rsid w:val="008D6B10"/>
    <w:rsid w:val="009064BB"/>
    <w:rsid w:val="009266D4"/>
    <w:rsid w:val="009452A6"/>
    <w:rsid w:val="00AC7A82"/>
    <w:rsid w:val="00B9017F"/>
    <w:rsid w:val="00CF22C8"/>
    <w:rsid w:val="00ED1990"/>
    <w:rsid w:val="00F4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82E0A2"/>
  <w15:chartTrackingRefBased/>
  <w15:docId w15:val="{18FE2BA7-EEAB-425D-A48A-AD5E765D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564"/>
    <w:pPr>
      <w:spacing w:after="0" w:line="276" w:lineRule="auto"/>
    </w:pPr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65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564"/>
    <w:rPr>
      <w:rFonts w:ascii="Arial" w:hAnsi="Arial"/>
      <w:sz w:val="18"/>
    </w:rPr>
  </w:style>
  <w:style w:type="paragraph" w:customStyle="1" w:styleId="Website">
    <w:name w:val="Website"/>
    <w:basedOn w:val="Normal"/>
    <w:qFormat/>
    <w:rsid w:val="00F46564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96D6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4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46564"/>
    <w:pPr>
      <w:spacing w:line="288" w:lineRule="auto"/>
      <w:contextualSpacing/>
    </w:pPr>
    <w:rPr>
      <w:rFonts w:eastAsiaTheme="majorEastAsia" w:cstheme="majorBidi"/>
      <w:b/>
      <w:color w:val="323E4F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F46564"/>
    <w:rPr>
      <w:rFonts w:ascii="Arial" w:eastAsiaTheme="majorEastAsia" w:hAnsi="Arial" w:cstheme="majorBidi"/>
      <w:b/>
      <w:color w:val="323E4F" w:themeColor="text2" w:themeShade="BF"/>
      <w:spacing w:val="5"/>
      <w:kern w:val="28"/>
      <w:sz w:val="36"/>
      <w:szCs w:val="52"/>
    </w:rPr>
  </w:style>
  <w:style w:type="paragraph" w:styleId="ListParagraph">
    <w:name w:val="List Paragraph"/>
    <w:basedOn w:val="Normal"/>
    <w:uiPriority w:val="34"/>
    <w:qFormat/>
    <w:rsid w:val="00F46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5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65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564"/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0330C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zx.com/regulation/nzx-rules-guidance/nzx-mo-announcements/guidance-not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nzx.com/regulation/nzx-rules-guidance/nzx-mo-announcements/guidance-note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zx.com/regulation/nzx-rules-guidance/nzx-mo-announcements/guidance-not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Juchnowicz</dc:creator>
  <cp:keywords/>
  <dc:description/>
  <cp:lastModifiedBy>Hollie Ung</cp:lastModifiedBy>
  <cp:revision>11</cp:revision>
  <dcterms:created xsi:type="dcterms:W3CDTF">2023-08-17T22:00:00Z</dcterms:created>
  <dcterms:modified xsi:type="dcterms:W3CDTF">2025-09-17T02:11:00Z</dcterms:modified>
</cp:coreProperties>
</file>