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B33B" w14:textId="2E4EC22C" w:rsidR="00E51998" w:rsidRPr="00E51998" w:rsidRDefault="00E51998" w:rsidP="00E51998">
      <w:pPr>
        <w:pStyle w:val="Heading3"/>
        <w:rPr>
          <w:sz w:val="28"/>
          <w:szCs w:val="28"/>
        </w:rPr>
      </w:pPr>
      <w:r w:rsidRPr="00E35B59">
        <w:t xml:space="preserve">DETAILS OF DOCUMENTATION REQUIRED TO BECOME AN NZX TRADING AND ADVISING </w:t>
      </w:r>
      <w:r>
        <w:t>FIRM</w:t>
      </w:r>
      <w:r w:rsidRPr="00E35B59">
        <w:t xml:space="preserve">  </w:t>
      </w:r>
    </w:p>
    <w:p w14:paraId="67D1BF2A" w14:textId="1E7BEA07"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This document acts to assist an organisation applying for accreditation (the </w:t>
      </w:r>
      <w:r w:rsidRPr="006143E6">
        <w:rPr>
          <w:rFonts w:ascii="Arial" w:eastAsia="Times New Roman" w:hAnsi="Arial" w:cs="Arial"/>
          <w:b/>
          <w:sz w:val="18"/>
          <w:szCs w:val="18"/>
          <w:lang w:eastAsia="en-NZ"/>
        </w:rPr>
        <w:t>Applicant</w:t>
      </w:r>
      <w:r w:rsidRPr="00E51998">
        <w:rPr>
          <w:rFonts w:ascii="Arial" w:eastAsia="Times New Roman" w:hAnsi="Arial" w:cs="Arial"/>
          <w:sz w:val="18"/>
          <w:szCs w:val="18"/>
          <w:lang w:eastAsia="en-NZ"/>
        </w:rPr>
        <w:t xml:space="preserve">) as an NZX Trading and Advising Firm under the NZX Participant Rules (the </w:t>
      </w:r>
      <w:r w:rsidRPr="006143E6">
        <w:rPr>
          <w:rFonts w:ascii="Arial" w:eastAsia="Times New Roman" w:hAnsi="Arial" w:cs="Arial"/>
          <w:b/>
          <w:sz w:val="18"/>
          <w:szCs w:val="18"/>
          <w:lang w:eastAsia="en-NZ"/>
        </w:rPr>
        <w:t>Rules</w:t>
      </w:r>
      <w:r w:rsidRPr="00E51998">
        <w:rPr>
          <w:rFonts w:ascii="Arial" w:eastAsia="Times New Roman" w:hAnsi="Arial" w:cs="Arial"/>
          <w:sz w:val="18"/>
          <w:szCs w:val="18"/>
          <w:lang w:eastAsia="en-NZ"/>
        </w:rPr>
        <w:t>). The below table details the information required to complete the applications process, setting out the applicable Rules, relevant Appendices to be completed and supporting information to be provided (in addition to any information or documentation requested within the relevant Appendices).</w:t>
      </w:r>
    </w:p>
    <w:p w14:paraId="749F9B33"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2A11F7C7" w14:textId="77777777"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The table will also act as a working document for the Applicant and </w:t>
      </w:r>
      <w:r w:rsidR="00EB643D">
        <w:rPr>
          <w:rFonts w:ascii="Arial" w:eastAsia="Times New Roman" w:hAnsi="Arial" w:cs="Arial"/>
          <w:sz w:val="18"/>
          <w:szCs w:val="18"/>
          <w:lang w:eastAsia="en-NZ"/>
        </w:rPr>
        <w:t>NZ RegCo</w:t>
      </w:r>
      <w:r w:rsidRPr="00E51998">
        <w:rPr>
          <w:rFonts w:ascii="Arial" w:eastAsia="Times New Roman" w:hAnsi="Arial" w:cs="Arial"/>
          <w:sz w:val="18"/>
          <w:szCs w:val="18"/>
          <w:lang w:eastAsia="en-NZ"/>
        </w:rPr>
        <w:t xml:space="preserve"> (</w:t>
      </w:r>
      <w:r w:rsidR="00EB643D" w:rsidRPr="00EB643D">
        <w:rPr>
          <w:rFonts w:ascii="Arial" w:eastAsia="Times New Roman" w:hAnsi="Arial" w:cs="Arial"/>
          <w:b/>
          <w:sz w:val="18"/>
          <w:szCs w:val="18"/>
          <w:lang w:eastAsia="en-NZ"/>
        </w:rPr>
        <w:t>RegCo</w:t>
      </w:r>
      <w:r w:rsidRPr="00E51998">
        <w:rPr>
          <w:rFonts w:ascii="Arial" w:eastAsia="Times New Roman" w:hAnsi="Arial" w:cs="Arial"/>
          <w:sz w:val="18"/>
          <w:szCs w:val="18"/>
          <w:lang w:eastAsia="en-NZ"/>
        </w:rPr>
        <w:t xml:space="preserve">) to communicate the specific files that satisfy each requirement, which items have been satisfied and those that remain outstanding. Accordingly </w:t>
      </w:r>
      <w:r w:rsidR="00EB643D">
        <w:rPr>
          <w:rFonts w:ascii="Arial" w:eastAsia="Times New Roman" w:hAnsi="Arial" w:cs="Arial"/>
          <w:sz w:val="18"/>
          <w:szCs w:val="18"/>
          <w:lang w:eastAsia="en-NZ"/>
        </w:rPr>
        <w:t>RegCo</w:t>
      </w:r>
      <w:r w:rsidR="00EB643D" w:rsidRPr="00E51998">
        <w:rPr>
          <w:rFonts w:ascii="Arial" w:eastAsia="Times New Roman" w:hAnsi="Arial" w:cs="Arial"/>
          <w:sz w:val="18"/>
          <w:szCs w:val="18"/>
          <w:lang w:eastAsia="en-NZ"/>
        </w:rPr>
        <w:t xml:space="preserve"> </w:t>
      </w:r>
      <w:r w:rsidRPr="00E51998">
        <w:rPr>
          <w:rFonts w:ascii="Arial" w:eastAsia="Times New Roman" w:hAnsi="Arial" w:cs="Arial"/>
          <w:sz w:val="18"/>
          <w:szCs w:val="18"/>
          <w:lang w:eastAsia="en-NZ"/>
        </w:rPr>
        <w:t>asks that the Applicant clearly details within the ‘Applicant Comments’ column the document name, and relevant section/chapter if necessary, that is intended to meet each requirement.</w:t>
      </w:r>
    </w:p>
    <w:p w14:paraId="0E5B57B3"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61402FAA" w14:textId="2DB776C4"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Please note </w:t>
      </w:r>
      <w:r w:rsidR="00EB643D" w:rsidRPr="00EB643D">
        <w:rPr>
          <w:rFonts w:ascii="Arial" w:eastAsia="Times New Roman" w:hAnsi="Arial" w:cs="Arial"/>
          <w:sz w:val="18"/>
          <w:szCs w:val="18"/>
          <w:lang w:eastAsia="en-NZ"/>
        </w:rPr>
        <w:t xml:space="preserve">RegCo </w:t>
      </w:r>
      <w:r w:rsidRPr="00E51998">
        <w:rPr>
          <w:rFonts w:ascii="Arial" w:eastAsia="Times New Roman" w:hAnsi="Arial" w:cs="Arial"/>
          <w:sz w:val="18"/>
          <w:szCs w:val="18"/>
          <w:lang w:eastAsia="en-NZ"/>
        </w:rPr>
        <w:t xml:space="preserve">will not commence reviewing any application before the Applicant has paid the relevant application fee detailed under section </w:t>
      </w:r>
      <w:r w:rsidR="003C08F1">
        <w:rPr>
          <w:rFonts w:ascii="Arial" w:eastAsia="Times New Roman" w:hAnsi="Arial" w:cs="Arial"/>
          <w:sz w:val="18"/>
          <w:szCs w:val="18"/>
          <w:lang w:eastAsia="en-NZ"/>
        </w:rPr>
        <w:t>4</w:t>
      </w:r>
      <w:r w:rsidRPr="00E51998">
        <w:rPr>
          <w:rFonts w:ascii="Arial" w:eastAsia="Times New Roman" w:hAnsi="Arial" w:cs="Arial"/>
          <w:sz w:val="18"/>
          <w:szCs w:val="18"/>
          <w:lang w:eastAsia="en-NZ"/>
        </w:rPr>
        <w:t xml:space="preserve">.1 of the NZX Participant Fee Schedule. The full Schedule can be found </w:t>
      </w:r>
      <w:hyperlink r:id="rId11" w:history="1">
        <w:r w:rsidRPr="00E51998">
          <w:rPr>
            <w:rFonts w:ascii="Arial" w:eastAsia="Times New Roman" w:hAnsi="Arial" w:cs="Arial"/>
            <w:sz w:val="18"/>
            <w:szCs w:val="18"/>
            <w:lang w:eastAsia="en-NZ"/>
          </w:rPr>
          <w:t>here</w:t>
        </w:r>
      </w:hyperlink>
      <w:r w:rsidRPr="00E51998">
        <w:rPr>
          <w:rFonts w:ascii="Arial" w:eastAsia="Times New Roman" w:hAnsi="Arial" w:cs="Arial"/>
          <w:sz w:val="18"/>
          <w:szCs w:val="18"/>
          <w:lang w:eastAsia="en-NZ"/>
        </w:rPr>
        <w:t>, which includes specifics of the ongoing membership and recovery fees.</w:t>
      </w:r>
    </w:p>
    <w:p w14:paraId="76716B17" w14:textId="77777777" w:rsidR="00E51998" w:rsidRPr="00E35B59" w:rsidRDefault="00E51998" w:rsidP="00E51998">
      <w:pPr>
        <w:tabs>
          <w:tab w:val="left" w:pos="-720"/>
        </w:tabs>
        <w:suppressAutoHyphens/>
        <w:ind w:left="993"/>
        <w:rPr>
          <w:rFonts w:ascii="Arial" w:hAnsi="Arial" w:cs="Arial"/>
          <w:b/>
          <w:sz w:val="18"/>
          <w:szCs w:val="18"/>
        </w:rPr>
      </w:pPr>
    </w:p>
    <w:tbl>
      <w:tblPr>
        <w:tblStyle w:val="GridTable4-Accent2"/>
        <w:tblW w:w="14742" w:type="dxa"/>
        <w:tblLook w:val="04A0" w:firstRow="1" w:lastRow="0" w:firstColumn="1" w:lastColumn="0" w:noHBand="0" w:noVBand="1"/>
      </w:tblPr>
      <w:tblGrid>
        <w:gridCol w:w="2268"/>
        <w:gridCol w:w="5812"/>
        <w:gridCol w:w="3402"/>
        <w:gridCol w:w="3260"/>
      </w:tblGrid>
      <w:tr w:rsidR="00E51998" w:rsidRPr="00644955" w14:paraId="4D87E534" w14:textId="77777777" w:rsidTr="001F6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826457E" w14:textId="77777777" w:rsidR="00E51998" w:rsidRPr="00E51998" w:rsidRDefault="00E51998" w:rsidP="00CE5DAF">
            <w:pPr>
              <w:tabs>
                <w:tab w:val="left" w:pos="-720"/>
              </w:tabs>
              <w:suppressAutoHyphens/>
              <w:jc w:val="center"/>
              <w:rPr>
                <w:rFonts w:ascii="Arial" w:hAnsi="Arial" w:cs="Arial"/>
                <w:bCs w:val="0"/>
                <w:color w:val="FFFFFF"/>
                <w:sz w:val="19"/>
                <w:szCs w:val="19"/>
              </w:rPr>
            </w:pPr>
            <w:r w:rsidRPr="00E51998">
              <w:rPr>
                <w:rFonts w:ascii="Arial" w:hAnsi="Arial" w:cs="Arial"/>
                <w:bCs w:val="0"/>
                <w:color w:val="FFFFFF"/>
                <w:sz w:val="19"/>
                <w:szCs w:val="19"/>
              </w:rPr>
              <w:t xml:space="preserve">REQUIREMENT </w:t>
            </w:r>
          </w:p>
        </w:tc>
        <w:tc>
          <w:tcPr>
            <w:tcW w:w="5812" w:type="dxa"/>
          </w:tcPr>
          <w:p w14:paraId="6F44E197" w14:textId="77777777" w:rsidR="00E51998" w:rsidRPr="00E51998" w:rsidRDefault="00E51998" w:rsidP="00CE5DAF">
            <w:pPr>
              <w:tabs>
                <w:tab w:val="left" w:pos="-720"/>
              </w:tabs>
              <w:suppressAutoHyphens/>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DOCUMENTATION </w:t>
            </w:r>
          </w:p>
        </w:tc>
        <w:tc>
          <w:tcPr>
            <w:tcW w:w="3402" w:type="dxa"/>
          </w:tcPr>
          <w:p w14:paraId="408F5092" w14:textId="77777777" w:rsidR="00E51998" w:rsidRPr="00E51998" w:rsidRDefault="00E51998"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APPLICANT COMMENTS </w:t>
            </w:r>
          </w:p>
        </w:tc>
        <w:tc>
          <w:tcPr>
            <w:tcW w:w="3260" w:type="dxa"/>
          </w:tcPr>
          <w:p w14:paraId="5512CE79" w14:textId="77777777" w:rsidR="00E51998" w:rsidRPr="00E51998" w:rsidRDefault="00EB643D"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Pr>
                <w:rFonts w:ascii="Arial" w:hAnsi="Arial" w:cs="Arial"/>
                <w:bCs w:val="0"/>
                <w:color w:val="FFFFFF"/>
                <w:sz w:val="19"/>
                <w:szCs w:val="19"/>
              </w:rPr>
              <w:t>REGCO</w:t>
            </w:r>
            <w:r w:rsidR="00E51998" w:rsidRPr="00E51998">
              <w:rPr>
                <w:rFonts w:ascii="Arial" w:hAnsi="Arial" w:cs="Arial"/>
                <w:bCs w:val="0"/>
                <w:color w:val="FFFFFF"/>
                <w:sz w:val="19"/>
                <w:szCs w:val="19"/>
              </w:rPr>
              <w:t xml:space="preserve"> COMMENTS</w:t>
            </w:r>
          </w:p>
        </w:tc>
      </w:tr>
      <w:tr w:rsidR="00E51998" w:rsidRPr="007C2F47" w14:paraId="1362535D"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70CF48"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Application Form:</w:t>
            </w:r>
          </w:p>
        </w:tc>
        <w:tc>
          <w:tcPr>
            <w:tcW w:w="5812" w:type="dxa"/>
          </w:tcPr>
          <w:p w14:paraId="0FCD03BB" w14:textId="77777777" w:rsidR="00E51998" w:rsidRPr="007C2F47" w:rsidRDefault="00E51998" w:rsidP="005D129C">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Market Participant Application Form (Appendix 1) including:</w:t>
            </w:r>
          </w:p>
          <w:p w14:paraId="4714D91A" w14:textId="77777777" w:rsidR="00E51998" w:rsidRPr="007C2F47" w:rsidRDefault="00E51998" w:rsidP="005D129C">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Schedule 2 – NZX Trading and Advising Firm;</w:t>
            </w:r>
          </w:p>
          <w:p w14:paraId="05D98ED2" w14:textId="748A1F81" w:rsidR="00E51998" w:rsidRPr="007C2F47" w:rsidRDefault="00E51998" w:rsidP="005D129C">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Schedule 4 – Trading Participant;  </w:t>
            </w:r>
          </w:p>
          <w:p w14:paraId="43AF11E5" w14:textId="77777777" w:rsidR="00CC61BC" w:rsidRDefault="00E51998" w:rsidP="005D129C">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Schedule 5 – Client Advising Participant</w:t>
            </w:r>
            <w:r w:rsidR="00CC61BC">
              <w:rPr>
                <w:rFonts w:ascii="Arial" w:hAnsi="Arial" w:cs="Arial"/>
                <w:sz w:val="18"/>
                <w:szCs w:val="18"/>
              </w:rPr>
              <w:t>: and</w:t>
            </w:r>
          </w:p>
          <w:p w14:paraId="0648AFA3" w14:textId="2CCB4D0E" w:rsidR="00E51998" w:rsidRPr="007C2F47" w:rsidRDefault="00CC61BC" w:rsidP="005D129C">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Schedule 1 – Overseas Applicants (if applicable)</w:t>
            </w:r>
          </w:p>
        </w:tc>
        <w:tc>
          <w:tcPr>
            <w:tcW w:w="3402" w:type="dxa"/>
          </w:tcPr>
          <w:p w14:paraId="2D86AD2C"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22AE4A3A"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7C2F47" w14:paraId="569CC59D"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3E24C46B"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Managing Principal: </w:t>
            </w:r>
            <w:r w:rsidRPr="00E51998">
              <w:rPr>
                <w:rFonts w:ascii="Arial" w:hAnsi="Arial" w:cs="Arial"/>
                <w:bCs w:val="0"/>
                <w:sz w:val="18"/>
                <w:szCs w:val="18"/>
                <w:lang w:val="en-NZ"/>
              </w:rPr>
              <w:br/>
            </w:r>
            <w:r w:rsidRPr="00E51998">
              <w:rPr>
                <w:rFonts w:ascii="Arial" w:hAnsi="Arial" w:cs="Arial"/>
                <w:bCs w:val="0"/>
                <w:i/>
                <w:sz w:val="18"/>
                <w:szCs w:val="18"/>
                <w:lang w:val="en-NZ"/>
              </w:rPr>
              <w:t>(Rule 3.3)</w:t>
            </w:r>
          </w:p>
        </w:tc>
        <w:tc>
          <w:tcPr>
            <w:tcW w:w="5812" w:type="dxa"/>
          </w:tcPr>
          <w:p w14:paraId="2390081A" w14:textId="77777777" w:rsidR="00E51998" w:rsidRPr="00E77457" w:rsidRDefault="00E51998" w:rsidP="005D129C">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Managing Principal</w:t>
            </w:r>
            <w:r w:rsidRPr="007C2F47">
              <w:rPr>
                <w:rFonts w:ascii="Arial" w:hAnsi="Arial" w:cs="Arial"/>
                <w:sz w:val="18"/>
                <w:szCs w:val="18"/>
              </w:rPr>
              <w:t xml:space="preserve"> Undertaking (Appendix </w:t>
            </w:r>
            <w:r>
              <w:rPr>
                <w:rFonts w:ascii="Arial" w:hAnsi="Arial" w:cs="Arial"/>
                <w:sz w:val="18"/>
                <w:szCs w:val="18"/>
              </w:rPr>
              <w:t>2</w:t>
            </w:r>
            <w:r w:rsidRPr="007C2F47">
              <w:rPr>
                <w:rFonts w:ascii="Arial" w:hAnsi="Arial" w:cs="Arial"/>
                <w:sz w:val="18"/>
                <w:szCs w:val="18"/>
              </w:rPr>
              <w:t>)</w:t>
            </w:r>
            <w:r>
              <w:rPr>
                <w:rFonts w:ascii="Arial" w:hAnsi="Arial" w:cs="Arial"/>
                <w:sz w:val="18"/>
                <w:szCs w:val="18"/>
              </w:rPr>
              <w:t>.</w:t>
            </w:r>
          </w:p>
        </w:tc>
        <w:tc>
          <w:tcPr>
            <w:tcW w:w="3402" w:type="dxa"/>
          </w:tcPr>
          <w:p w14:paraId="67938F01"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22E21718"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7C2F47" w14:paraId="3F55924F"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7560654"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Directors / Partners Details:</w:t>
            </w:r>
            <w:r w:rsidRPr="00E51998">
              <w:rPr>
                <w:rFonts w:ascii="Arial" w:hAnsi="Arial" w:cs="Arial"/>
                <w:bCs w:val="0"/>
                <w:sz w:val="18"/>
                <w:szCs w:val="18"/>
                <w:lang w:val="en-NZ"/>
              </w:rPr>
              <w:br/>
            </w:r>
            <w:r w:rsidRPr="00E51998">
              <w:rPr>
                <w:rFonts w:ascii="Arial" w:hAnsi="Arial" w:cs="Arial"/>
                <w:bCs w:val="0"/>
                <w:i/>
                <w:sz w:val="18"/>
                <w:szCs w:val="18"/>
                <w:lang w:val="en-NZ"/>
              </w:rPr>
              <w:t>(Rules 3.5 / 3.6)</w:t>
            </w:r>
          </w:p>
        </w:tc>
        <w:tc>
          <w:tcPr>
            <w:tcW w:w="5812" w:type="dxa"/>
          </w:tcPr>
          <w:p w14:paraId="1A3DACBE" w14:textId="77777777" w:rsidR="00E51998" w:rsidRPr="007C2F47" w:rsidRDefault="00E51998" w:rsidP="005D129C">
            <w:p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Undertaking for Directors or Partners (Appendix 4).</w:t>
            </w:r>
          </w:p>
        </w:tc>
        <w:tc>
          <w:tcPr>
            <w:tcW w:w="3402" w:type="dxa"/>
          </w:tcPr>
          <w:p w14:paraId="4B18C1E6"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0FD37C55"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7C2F47" w14:paraId="3C837448"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50DABAD6"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Compliance Manager:</w:t>
            </w:r>
            <w:r w:rsidRPr="00E51998">
              <w:rPr>
                <w:rFonts w:ascii="Arial" w:hAnsi="Arial" w:cs="Arial"/>
                <w:bCs w:val="0"/>
                <w:sz w:val="18"/>
                <w:szCs w:val="18"/>
                <w:lang w:val="en-NZ"/>
              </w:rPr>
              <w:br/>
            </w:r>
            <w:r w:rsidRPr="00E51998">
              <w:rPr>
                <w:rFonts w:ascii="Arial" w:hAnsi="Arial" w:cs="Arial"/>
                <w:bCs w:val="0"/>
                <w:i/>
                <w:sz w:val="18"/>
                <w:szCs w:val="18"/>
                <w:lang w:val="en-NZ"/>
              </w:rPr>
              <w:t>(Rule 3.11)</w:t>
            </w:r>
          </w:p>
        </w:tc>
        <w:tc>
          <w:tcPr>
            <w:tcW w:w="5812" w:type="dxa"/>
          </w:tcPr>
          <w:p w14:paraId="723E9149" w14:textId="77777777" w:rsidR="00E51998" w:rsidRDefault="00E51998" w:rsidP="005D129C">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Compliance Manager Undertaking (Appendix 5)</w:t>
            </w:r>
            <w:r>
              <w:rPr>
                <w:rFonts w:ascii="Arial" w:hAnsi="Arial" w:cs="Arial"/>
                <w:sz w:val="18"/>
                <w:szCs w:val="18"/>
              </w:rPr>
              <w:t>.</w:t>
            </w:r>
          </w:p>
          <w:p w14:paraId="65588CC9" w14:textId="5E9202C7" w:rsidR="00E51998" w:rsidRPr="00E51998" w:rsidRDefault="00E51998" w:rsidP="005D129C">
            <w:pPr>
              <w:tabs>
                <w:tab w:val="left" w:pos="394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402" w:type="dxa"/>
          </w:tcPr>
          <w:p w14:paraId="111DF12F"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44BA5CB5"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A47229" w14:paraId="7537DC62"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A10B08C" w14:textId="7A6E8422"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 xml:space="preserve">Surveillance </w:t>
            </w:r>
            <w:r w:rsidR="00776460">
              <w:rPr>
                <w:rFonts w:ascii="Arial" w:hAnsi="Arial" w:cs="Arial"/>
                <w:bCs w:val="0"/>
                <w:sz w:val="18"/>
                <w:szCs w:val="18"/>
                <w:lang w:val="en-NZ"/>
              </w:rPr>
              <w:t>Officer</w:t>
            </w:r>
            <w:r w:rsidRPr="00E51998">
              <w:rPr>
                <w:rFonts w:ascii="Arial" w:hAnsi="Arial" w:cs="Arial"/>
                <w:bCs w:val="0"/>
                <w:sz w:val="18"/>
                <w:szCs w:val="18"/>
                <w:lang w:val="en-NZ"/>
              </w:rPr>
              <w:t xml:space="preserve">: </w:t>
            </w:r>
            <w:r w:rsidRPr="00E51998">
              <w:rPr>
                <w:rFonts w:ascii="Arial" w:hAnsi="Arial" w:cs="Arial"/>
                <w:bCs w:val="0"/>
                <w:sz w:val="18"/>
                <w:szCs w:val="18"/>
                <w:lang w:val="en-NZ"/>
              </w:rPr>
              <w:br/>
            </w:r>
            <w:r w:rsidRPr="00E51998">
              <w:rPr>
                <w:rFonts w:ascii="Arial" w:hAnsi="Arial" w:cs="Arial"/>
                <w:bCs w:val="0"/>
                <w:i/>
                <w:sz w:val="18"/>
                <w:szCs w:val="18"/>
                <w:lang w:val="en-NZ"/>
              </w:rPr>
              <w:t>(Rule 3.11.6)</w:t>
            </w:r>
          </w:p>
        </w:tc>
        <w:tc>
          <w:tcPr>
            <w:tcW w:w="5812" w:type="dxa"/>
          </w:tcPr>
          <w:p w14:paraId="0D519BCA" w14:textId="722FAF98" w:rsidR="00E51998" w:rsidRPr="00E35B59"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Surveillance </w:t>
            </w:r>
            <w:r w:rsidR="00776460">
              <w:rPr>
                <w:rFonts w:ascii="Arial" w:hAnsi="Arial" w:cs="Arial"/>
                <w:sz w:val="18"/>
                <w:szCs w:val="18"/>
              </w:rPr>
              <w:t>Officer</w:t>
            </w:r>
            <w:r w:rsidR="00776460" w:rsidRPr="007C2F47">
              <w:rPr>
                <w:rFonts w:ascii="Arial" w:hAnsi="Arial" w:cs="Arial"/>
                <w:sz w:val="18"/>
                <w:szCs w:val="18"/>
              </w:rPr>
              <w:t xml:space="preserve"> </w:t>
            </w:r>
            <w:r w:rsidRPr="007C2F47">
              <w:rPr>
                <w:rFonts w:ascii="Arial" w:hAnsi="Arial" w:cs="Arial"/>
                <w:sz w:val="18"/>
                <w:szCs w:val="18"/>
              </w:rPr>
              <w:t>Undertaking (Appendix 6)</w:t>
            </w:r>
            <w:r>
              <w:rPr>
                <w:rFonts w:ascii="Arial" w:hAnsi="Arial" w:cs="Arial"/>
                <w:sz w:val="18"/>
                <w:szCs w:val="18"/>
              </w:rPr>
              <w:t xml:space="preserve"> - </w:t>
            </w:r>
            <w:r w:rsidRPr="007C2F47">
              <w:rPr>
                <w:rFonts w:ascii="Arial" w:hAnsi="Arial" w:cs="Arial"/>
                <w:sz w:val="18"/>
                <w:szCs w:val="18"/>
              </w:rPr>
              <w:t xml:space="preserve">only required if the </w:t>
            </w:r>
            <w:r>
              <w:rPr>
                <w:rFonts w:ascii="Arial" w:hAnsi="Arial" w:cs="Arial"/>
                <w:sz w:val="18"/>
                <w:szCs w:val="18"/>
              </w:rPr>
              <w:t>Applicant</w:t>
            </w:r>
            <w:r w:rsidRPr="007C2F47">
              <w:rPr>
                <w:rFonts w:ascii="Arial" w:hAnsi="Arial" w:cs="Arial"/>
                <w:sz w:val="18"/>
                <w:szCs w:val="18"/>
              </w:rPr>
              <w:t>’s Compliance Manager is</w:t>
            </w:r>
            <w:r>
              <w:rPr>
                <w:rFonts w:ascii="Arial" w:hAnsi="Arial" w:cs="Arial"/>
                <w:sz w:val="18"/>
                <w:szCs w:val="18"/>
              </w:rPr>
              <w:t xml:space="preserve"> to be located outside of New Zealand</w:t>
            </w:r>
            <w:r w:rsidRPr="007C2F47">
              <w:rPr>
                <w:rFonts w:ascii="Arial" w:hAnsi="Arial" w:cs="Arial"/>
                <w:sz w:val="18"/>
                <w:szCs w:val="18"/>
              </w:rPr>
              <w:t xml:space="preserve">. </w:t>
            </w:r>
          </w:p>
        </w:tc>
        <w:tc>
          <w:tcPr>
            <w:tcW w:w="3402" w:type="dxa"/>
          </w:tcPr>
          <w:p w14:paraId="0ED25F50"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379F4C1E"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7C2F47" w14:paraId="0C05476E"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21D007EB" w14:textId="7992354B" w:rsid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i/>
                <w:sz w:val="18"/>
                <w:szCs w:val="18"/>
                <w:lang w:val="en-NZ"/>
              </w:rPr>
            </w:pPr>
            <w:r w:rsidRPr="00E51998">
              <w:rPr>
                <w:rFonts w:ascii="Arial" w:hAnsi="Arial" w:cs="Arial"/>
                <w:bCs w:val="0"/>
                <w:sz w:val="18"/>
                <w:szCs w:val="18"/>
                <w:lang w:val="en-NZ"/>
              </w:rPr>
              <w:lastRenderedPageBreak/>
              <w:t>Company Details:</w:t>
            </w:r>
            <w:r w:rsidRPr="00E51998">
              <w:rPr>
                <w:rFonts w:ascii="Arial" w:hAnsi="Arial" w:cs="Arial"/>
                <w:bCs w:val="0"/>
                <w:sz w:val="18"/>
                <w:szCs w:val="18"/>
                <w:lang w:val="en-NZ"/>
              </w:rPr>
              <w:br/>
            </w:r>
            <w:r w:rsidRPr="00E51998">
              <w:rPr>
                <w:rFonts w:ascii="Arial" w:hAnsi="Arial" w:cs="Arial"/>
                <w:bCs w:val="0"/>
                <w:i/>
                <w:sz w:val="18"/>
                <w:szCs w:val="18"/>
                <w:lang w:val="en-NZ"/>
              </w:rPr>
              <w:t xml:space="preserve">(Rule </w:t>
            </w:r>
          </w:p>
          <w:p w14:paraId="7B0E925C" w14:textId="1DD42232" w:rsidR="00776460" w:rsidRPr="00E51998" w:rsidRDefault="00776460"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Pr>
                <w:rFonts w:ascii="Arial" w:hAnsi="Arial" w:cs="Arial"/>
                <w:bCs w:val="0"/>
                <w:i/>
                <w:sz w:val="18"/>
                <w:szCs w:val="18"/>
                <w:lang w:val="en-NZ"/>
              </w:rPr>
              <w:t>3.1.</w:t>
            </w:r>
            <w:r w:rsidR="00883CFC">
              <w:rPr>
                <w:rFonts w:ascii="Arial" w:hAnsi="Arial" w:cs="Arial"/>
                <w:bCs w:val="0"/>
                <w:i/>
                <w:sz w:val="18"/>
                <w:szCs w:val="18"/>
                <w:lang w:val="en-NZ"/>
              </w:rPr>
              <w:t xml:space="preserve"> and 3.8</w:t>
            </w:r>
            <w:r w:rsidR="00CC61BC">
              <w:rPr>
                <w:rFonts w:ascii="Arial" w:hAnsi="Arial" w:cs="Arial"/>
                <w:bCs w:val="0"/>
                <w:i/>
                <w:sz w:val="18"/>
                <w:szCs w:val="18"/>
                <w:lang w:val="en-NZ"/>
              </w:rPr>
              <w:t>)</w:t>
            </w:r>
          </w:p>
        </w:tc>
        <w:tc>
          <w:tcPr>
            <w:tcW w:w="5812" w:type="dxa"/>
          </w:tcPr>
          <w:p w14:paraId="7911CFE0" w14:textId="77777777" w:rsidR="00E51998" w:rsidRPr="00A47229"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the following documentation:</w:t>
            </w:r>
          </w:p>
          <w:p w14:paraId="3B60B957" w14:textId="77777777" w:rsidR="00E51998" w:rsidRDefault="00E51998"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Constitution that contains the provisions specified under Rule 3.7;</w:t>
            </w:r>
          </w:p>
          <w:p w14:paraId="08B306EA" w14:textId="77777777" w:rsidR="00E51998" w:rsidRPr="00A47229" w:rsidRDefault="00E51998"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Details of shareholders;</w:t>
            </w:r>
          </w:p>
          <w:p w14:paraId="571CFD59" w14:textId="77777777" w:rsidR="00E51998" w:rsidRPr="00A47229" w:rsidRDefault="00E51998"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Certificate of Incorporation (or equivalent document confirming establishment of the entity);</w:t>
            </w:r>
          </w:p>
          <w:p w14:paraId="0E301DF8" w14:textId="77777777" w:rsidR="00E51998" w:rsidRPr="00A47229" w:rsidRDefault="00E51998"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Company Number;</w:t>
            </w:r>
          </w:p>
          <w:p w14:paraId="66FA7661" w14:textId="77777777" w:rsidR="00E51998" w:rsidRPr="00A47229" w:rsidRDefault="00E51998"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Registered address of company if different to place of business;</w:t>
            </w:r>
          </w:p>
          <w:p w14:paraId="319C456D" w14:textId="77777777" w:rsidR="00E51998" w:rsidRDefault="00E51998"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Details of the type of Company and nature of its activities;</w:t>
            </w:r>
          </w:p>
          <w:p w14:paraId="455A75C2" w14:textId="014A12C6" w:rsidR="00C52EF5" w:rsidRPr="00A47229" w:rsidRDefault="00C52EF5"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Confirmation of (and details of) all licences/Registrations that the Applicant holds (or is required to hold); and</w:t>
            </w:r>
          </w:p>
          <w:p w14:paraId="53202670" w14:textId="77777777" w:rsidR="00E51998" w:rsidRPr="00AC264F" w:rsidRDefault="00E51998" w:rsidP="005D129C">
            <w:pPr>
              <w:numPr>
                <w:ilvl w:val="0"/>
                <w:numId w:val="8"/>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7891">
              <w:rPr>
                <w:rFonts w:ascii="Arial" w:hAnsi="Arial" w:cs="Arial"/>
                <w:sz w:val="18"/>
                <w:szCs w:val="18"/>
              </w:rPr>
              <w:t>Audited financial statements for the previous five years</w:t>
            </w:r>
            <w:r>
              <w:rPr>
                <w:rFonts w:ascii="Arial" w:hAnsi="Arial" w:cs="Arial"/>
                <w:sz w:val="18"/>
                <w:szCs w:val="18"/>
              </w:rPr>
              <w:t xml:space="preserve"> </w:t>
            </w:r>
            <w:r>
              <w:rPr>
                <w:rFonts w:ascii="Arial" w:hAnsi="Arial" w:cs="Arial"/>
                <w:noProof/>
                <w:sz w:val="18"/>
                <w:szCs w:val="18"/>
              </w:rPr>
              <w:t>(</w:t>
            </w:r>
            <w:r w:rsidRPr="00E14596">
              <w:rPr>
                <w:rFonts w:ascii="Arial" w:hAnsi="Arial" w:cs="Arial"/>
                <w:noProof/>
                <w:sz w:val="18"/>
                <w:szCs w:val="18"/>
              </w:rPr>
              <w:t>or such shorter period since the applicant’s incorporation</w:t>
            </w:r>
            <w:r>
              <w:rPr>
                <w:rFonts w:ascii="Arial" w:hAnsi="Arial" w:cs="Arial"/>
                <w:noProof/>
                <w:sz w:val="18"/>
                <w:szCs w:val="18"/>
              </w:rPr>
              <w:t>)</w:t>
            </w:r>
            <w:r>
              <w:rPr>
                <w:rFonts w:ascii="Arial" w:hAnsi="Arial" w:cs="Arial"/>
                <w:sz w:val="18"/>
                <w:szCs w:val="18"/>
              </w:rPr>
              <w:t xml:space="preserve">. </w:t>
            </w:r>
          </w:p>
        </w:tc>
        <w:tc>
          <w:tcPr>
            <w:tcW w:w="3402" w:type="dxa"/>
          </w:tcPr>
          <w:p w14:paraId="136F673D"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33D84CC1"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7C2F47" w14:paraId="5CB64F04"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1920D18"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Business Plan:</w:t>
            </w:r>
            <w:r w:rsidRPr="00E51998">
              <w:rPr>
                <w:rFonts w:ascii="Arial" w:hAnsi="Arial" w:cs="Arial"/>
                <w:bCs w:val="0"/>
                <w:sz w:val="18"/>
                <w:szCs w:val="18"/>
                <w:lang w:val="en-NZ"/>
              </w:rPr>
              <w:br/>
            </w:r>
            <w:r w:rsidRPr="00E51998">
              <w:rPr>
                <w:rFonts w:ascii="Arial" w:hAnsi="Arial" w:cs="Arial"/>
                <w:bCs w:val="0"/>
                <w:i/>
                <w:sz w:val="18"/>
                <w:szCs w:val="18"/>
                <w:lang w:val="en-NZ"/>
              </w:rPr>
              <w:t>(Rule 3.1.3(d))</w:t>
            </w:r>
          </w:p>
        </w:tc>
        <w:tc>
          <w:tcPr>
            <w:tcW w:w="5812" w:type="dxa"/>
          </w:tcPr>
          <w:p w14:paraId="1B0D2C29" w14:textId="77777777" w:rsidR="00E51998" w:rsidRPr="00A47229"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Summary </w:t>
            </w:r>
            <w:r w:rsidRPr="00A47229">
              <w:rPr>
                <w:rFonts w:ascii="Arial" w:hAnsi="Arial" w:cs="Arial"/>
                <w:sz w:val="18"/>
                <w:szCs w:val="18"/>
              </w:rPr>
              <w:t xml:space="preserve">regarding the </w:t>
            </w:r>
            <w:r>
              <w:rPr>
                <w:rFonts w:ascii="Arial" w:hAnsi="Arial" w:cs="Arial"/>
                <w:sz w:val="18"/>
                <w:szCs w:val="18"/>
              </w:rPr>
              <w:t xml:space="preserve">Applicant’s </w:t>
            </w:r>
            <w:r w:rsidRPr="00A47229">
              <w:rPr>
                <w:rFonts w:ascii="Arial" w:hAnsi="Arial" w:cs="Arial"/>
                <w:sz w:val="18"/>
                <w:szCs w:val="18"/>
              </w:rPr>
              <w:t xml:space="preserve">intentions and future direction of the business with specific reference to the </w:t>
            </w:r>
            <w:r>
              <w:rPr>
                <w:rFonts w:ascii="Arial" w:hAnsi="Arial" w:cs="Arial"/>
                <w:sz w:val="18"/>
                <w:szCs w:val="18"/>
              </w:rPr>
              <w:t>Applicant</w:t>
            </w:r>
            <w:r w:rsidRPr="00A47229">
              <w:rPr>
                <w:rFonts w:ascii="Arial" w:hAnsi="Arial" w:cs="Arial"/>
                <w:sz w:val="18"/>
                <w:szCs w:val="18"/>
              </w:rPr>
              <w:t>’s activity as an NZX Market Participant.</w:t>
            </w:r>
          </w:p>
        </w:tc>
        <w:tc>
          <w:tcPr>
            <w:tcW w:w="3402" w:type="dxa"/>
          </w:tcPr>
          <w:p w14:paraId="6363DD96"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0938A248"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CC61BC" w:rsidRPr="007C2F47" w14:paraId="0EFDDBBD"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517E5BCF" w14:textId="77777777" w:rsidR="00CC61BC" w:rsidRPr="00F90466" w:rsidRDefault="00CC61BC" w:rsidP="008630D8">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F90466">
              <w:rPr>
                <w:rFonts w:ascii="Arial" w:hAnsi="Arial" w:cs="Arial"/>
                <w:sz w:val="18"/>
                <w:szCs w:val="18"/>
                <w:lang w:val="en-NZ"/>
              </w:rPr>
              <w:t xml:space="preserve">Group Structure </w:t>
            </w:r>
          </w:p>
          <w:p w14:paraId="779502A4" w14:textId="77777777" w:rsidR="00CC61BC" w:rsidRPr="00924801" w:rsidRDefault="00CC61BC" w:rsidP="008630D8">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F90466">
              <w:rPr>
                <w:rFonts w:ascii="Arial" w:hAnsi="Arial" w:cs="Arial"/>
                <w:i/>
                <w:sz w:val="18"/>
                <w:szCs w:val="18"/>
                <w:lang w:val="en-NZ"/>
              </w:rPr>
              <w:t>(Rule 3.12)</w:t>
            </w:r>
          </w:p>
        </w:tc>
        <w:tc>
          <w:tcPr>
            <w:tcW w:w="5812" w:type="dxa"/>
          </w:tcPr>
          <w:p w14:paraId="2A9343BE" w14:textId="77777777" w:rsidR="00CC61BC" w:rsidRDefault="00CC61BC"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90466">
              <w:rPr>
                <w:rFonts w:ascii="Arial" w:hAnsi="Arial" w:cs="Arial"/>
                <w:sz w:val="18"/>
                <w:szCs w:val="18"/>
              </w:rPr>
              <w:t>Applicant’s Group structure (a graphical presentation where possible).</w:t>
            </w:r>
          </w:p>
          <w:p w14:paraId="6E9A94BB" w14:textId="45153C1A" w:rsidR="00CC61BC" w:rsidRDefault="00CC61BC"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Please advise </w:t>
            </w:r>
            <w:r w:rsidRPr="00F90466">
              <w:rPr>
                <w:rFonts w:ascii="Arial" w:hAnsi="Arial" w:cs="Arial"/>
                <w:sz w:val="18"/>
                <w:szCs w:val="18"/>
              </w:rPr>
              <w:t xml:space="preserve">details of all entities within </w:t>
            </w:r>
            <w:r w:rsidR="005D129C">
              <w:rPr>
                <w:rFonts w:ascii="Arial" w:hAnsi="Arial" w:cs="Arial"/>
                <w:sz w:val="18"/>
                <w:szCs w:val="18"/>
              </w:rPr>
              <w:t>the</w:t>
            </w:r>
            <w:r w:rsidRPr="00F90466">
              <w:rPr>
                <w:rFonts w:ascii="Arial" w:hAnsi="Arial" w:cs="Arial"/>
                <w:sz w:val="18"/>
                <w:szCs w:val="18"/>
              </w:rPr>
              <w:t xml:space="preserve"> Group to which Rule 3.12.1(a) </w:t>
            </w:r>
            <w:r>
              <w:rPr>
                <w:rFonts w:ascii="Arial" w:hAnsi="Arial" w:cs="Arial"/>
                <w:sz w:val="18"/>
                <w:szCs w:val="18"/>
              </w:rPr>
              <w:t>and/or</w:t>
            </w:r>
            <w:r w:rsidRPr="00F90466">
              <w:rPr>
                <w:rFonts w:ascii="Arial" w:hAnsi="Arial" w:cs="Arial"/>
                <w:sz w:val="18"/>
                <w:szCs w:val="18"/>
              </w:rPr>
              <w:t xml:space="preserve"> Rule 3.12.1(b) applies.</w:t>
            </w:r>
          </w:p>
        </w:tc>
        <w:tc>
          <w:tcPr>
            <w:tcW w:w="3402" w:type="dxa"/>
          </w:tcPr>
          <w:p w14:paraId="3B48B96D" w14:textId="77777777" w:rsidR="00CC61BC" w:rsidRPr="0052109B" w:rsidRDefault="00CC61BC" w:rsidP="008630D8">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6FFE6F39" w14:textId="77777777" w:rsidR="00CC61BC" w:rsidRPr="0052109B" w:rsidRDefault="00CC61BC" w:rsidP="008630D8">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A47229" w14:paraId="44E5AD8A"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9FDAF9F" w14:textId="77777777" w:rsid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sz w:val="18"/>
                <w:szCs w:val="18"/>
                <w:lang w:val="en-NZ"/>
              </w:rPr>
            </w:pPr>
            <w:r w:rsidRPr="00E51998">
              <w:rPr>
                <w:rFonts w:ascii="Arial" w:hAnsi="Arial" w:cs="Arial"/>
                <w:bCs w:val="0"/>
                <w:sz w:val="18"/>
                <w:szCs w:val="18"/>
                <w:lang w:val="en-NZ"/>
              </w:rPr>
              <w:t>Integrity, Reputation, Character:</w:t>
            </w:r>
          </w:p>
          <w:p w14:paraId="59022265" w14:textId="1143B5B4" w:rsidR="00776460" w:rsidRPr="005D129C" w:rsidRDefault="00CC61BC"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iCs/>
                <w:sz w:val="18"/>
                <w:szCs w:val="18"/>
                <w:lang w:val="en-NZ"/>
              </w:rPr>
            </w:pPr>
            <w:r w:rsidRPr="005D129C">
              <w:rPr>
                <w:rFonts w:ascii="Arial" w:hAnsi="Arial" w:cs="Arial"/>
                <w:i/>
                <w:iCs/>
                <w:sz w:val="18"/>
                <w:szCs w:val="18"/>
                <w:lang w:val="en-NZ"/>
              </w:rPr>
              <w:t xml:space="preserve">(Rule </w:t>
            </w:r>
            <w:r w:rsidR="00776460" w:rsidRPr="005D129C">
              <w:rPr>
                <w:rFonts w:ascii="Arial" w:hAnsi="Arial" w:cs="Arial"/>
                <w:i/>
                <w:iCs/>
                <w:sz w:val="18"/>
                <w:szCs w:val="18"/>
                <w:lang w:val="en-NZ"/>
              </w:rPr>
              <w:t>3.1</w:t>
            </w:r>
            <w:r w:rsidRPr="005D129C">
              <w:rPr>
                <w:rFonts w:ascii="Arial" w:hAnsi="Arial" w:cs="Arial"/>
                <w:i/>
                <w:iCs/>
                <w:sz w:val="18"/>
                <w:szCs w:val="18"/>
                <w:lang w:val="en-NZ"/>
              </w:rPr>
              <w:t>)</w:t>
            </w:r>
          </w:p>
        </w:tc>
        <w:tc>
          <w:tcPr>
            <w:tcW w:w="5812" w:type="dxa"/>
          </w:tcPr>
          <w:p w14:paraId="41EE63A5" w14:textId="77777777" w:rsidR="00E51998" w:rsidRPr="006B0676"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B0676">
              <w:rPr>
                <w:rFonts w:ascii="Arial" w:hAnsi="Arial" w:cs="Arial"/>
                <w:sz w:val="18"/>
                <w:szCs w:val="18"/>
              </w:rPr>
              <w:t>Please provide confirmation that the following are not applicable, or provide specific details if they are:</w:t>
            </w:r>
          </w:p>
          <w:p w14:paraId="71717A72" w14:textId="77777777" w:rsidR="00E51998" w:rsidRPr="006B0676" w:rsidRDefault="00E51998" w:rsidP="005D129C">
            <w:pPr>
              <w:numPr>
                <w:ilvl w:val="0"/>
                <w:numId w:val="9"/>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legal or arbitration proceedings active, threatened or pending against the </w:t>
            </w:r>
            <w:r>
              <w:rPr>
                <w:rFonts w:ascii="Arial" w:hAnsi="Arial" w:cs="Arial"/>
                <w:sz w:val="18"/>
                <w:szCs w:val="18"/>
              </w:rPr>
              <w:t>Applicant</w:t>
            </w:r>
            <w:r w:rsidRPr="006B0676">
              <w:rPr>
                <w:rFonts w:ascii="Arial" w:hAnsi="Arial" w:cs="Arial"/>
                <w:sz w:val="18"/>
                <w:szCs w:val="18"/>
              </w:rPr>
              <w:t xml:space="preserve"> or any member of its group which may have a significant impact on </w:t>
            </w:r>
            <w:r>
              <w:rPr>
                <w:rFonts w:ascii="Arial" w:hAnsi="Arial" w:cs="Arial"/>
                <w:sz w:val="18"/>
                <w:szCs w:val="18"/>
              </w:rPr>
              <w:t>its</w:t>
            </w:r>
            <w:r w:rsidRPr="006B0676">
              <w:rPr>
                <w:rFonts w:ascii="Arial" w:hAnsi="Arial" w:cs="Arial"/>
                <w:sz w:val="18"/>
                <w:szCs w:val="18"/>
              </w:rPr>
              <w:t xml:space="preserve"> reputation </w:t>
            </w:r>
            <w:r>
              <w:rPr>
                <w:rFonts w:ascii="Arial" w:hAnsi="Arial" w:cs="Arial"/>
                <w:sz w:val="18"/>
                <w:szCs w:val="18"/>
              </w:rPr>
              <w:t xml:space="preserve">as a </w:t>
            </w:r>
            <w:r w:rsidRPr="006B0676">
              <w:rPr>
                <w:rFonts w:ascii="Arial" w:hAnsi="Arial" w:cs="Arial"/>
                <w:sz w:val="18"/>
                <w:szCs w:val="18"/>
              </w:rPr>
              <w:t xml:space="preserve">Participant; and </w:t>
            </w:r>
          </w:p>
          <w:p w14:paraId="29734886" w14:textId="0A6E9DE0" w:rsidR="00E51998" w:rsidRPr="006B0676" w:rsidRDefault="00E51998" w:rsidP="005D129C">
            <w:pPr>
              <w:numPr>
                <w:ilvl w:val="0"/>
                <w:numId w:val="9"/>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adverse or potentially adverse matters </w:t>
            </w:r>
            <w:r>
              <w:rPr>
                <w:rFonts w:ascii="Arial" w:hAnsi="Arial" w:cs="Arial"/>
                <w:sz w:val="18"/>
                <w:szCs w:val="18"/>
              </w:rPr>
              <w:t xml:space="preserve">in respect of the Applicant </w:t>
            </w:r>
            <w:r w:rsidRPr="006B0676">
              <w:rPr>
                <w:rFonts w:ascii="Arial" w:hAnsi="Arial" w:cs="Arial"/>
                <w:sz w:val="18"/>
                <w:szCs w:val="18"/>
              </w:rPr>
              <w:t xml:space="preserve">which have been brought to the attention of any </w:t>
            </w:r>
            <w:r w:rsidRPr="006A0B9C">
              <w:rPr>
                <w:rFonts w:ascii="Arial" w:hAnsi="Arial" w:cs="Arial"/>
                <w:sz w:val="18"/>
                <w:szCs w:val="18"/>
              </w:rPr>
              <w:t xml:space="preserve">Alternative Regulator </w:t>
            </w:r>
            <w:r>
              <w:rPr>
                <w:rFonts w:ascii="Arial" w:hAnsi="Arial" w:cs="Arial"/>
                <w:sz w:val="18"/>
                <w:szCs w:val="18"/>
              </w:rPr>
              <w:t xml:space="preserve">or </w:t>
            </w:r>
            <w:r w:rsidRPr="006B0676">
              <w:rPr>
                <w:rFonts w:ascii="Arial" w:hAnsi="Arial" w:cs="Arial"/>
                <w:sz w:val="18"/>
                <w:szCs w:val="18"/>
              </w:rPr>
              <w:t>relevant regulatory authority during the last 6 years.</w:t>
            </w:r>
          </w:p>
        </w:tc>
        <w:tc>
          <w:tcPr>
            <w:tcW w:w="3402" w:type="dxa"/>
          </w:tcPr>
          <w:p w14:paraId="46B1FFBE"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35ACE54E"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A47229" w14:paraId="4C0D1485"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3A3F568F"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Insurance Details: </w:t>
            </w:r>
            <w:r w:rsidRPr="00E51998">
              <w:rPr>
                <w:rFonts w:ascii="Arial" w:hAnsi="Arial" w:cs="Arial"/>
                <w:bCs w:val="0"/>
                <w:sz w:val="18"/>
                <w:szCs w:val="18"/>
                <w:lang w:val="en-NZ"/>
              </w:rPr>
              <w:br/>
            </w:r>
            <w:r w:rsidRPr="00E51998">
              <w:rPr>
                <w:rFonts w:ascii="Arial" w:hAnsi="Arial" w:cs="Arial"/>
                <w:bCs w:val="0"/>
                <w:i/>
                <w:sz w:val="18"/>
                <w:szCs w:val="18"/>
                <w:lang w:val="en-NZ"/>
              </w:rPr>
              <w:t>(Rule 3.26)</w:t>
            </w:r>
          </w:p>
          <w:p w14:paraId="2AE8741B"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p>
        </w:tc>
        <w:tc>
          <w:tcPr>
            <w:tcW w:w="5812" w:type="dxa"/>
          </w:tcPr>
          <w:p w14:paraId="32BB0694" w14:textId="77777777" w:rsidR="00E51998" w:rsidRPr="00A47229"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a certificate of currency for each of the following:</w:t>
            </w:r>
          </w:p>
          <w:p w14:paraId="4BF81C47" w14:textId="77777777" w:rsidR="00E51998" w:rsidRPr="00A47229" w:rsidRDefault="00E51998" w:rsidP="005D129C">
            <w:pPr>
              <w:numPr>
                <w:ilvl w:val="0"/>
                <w:numId w:val="7"/>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 xml:space="preserve">Professional Indemnity Insurance; and </w:t>
            </w:r>
          </w:p>
          <w:p w14:paraId="0861B8B2" w14:textId="77777777" w:rsidR="00E51998" w:rsidRPr="00A47229" w:rsidRDefault="00E51998" w:rsidP="005D129C">
            <w:pPr>
              <w:numPr>
                <w:ilvl w:val="0"/>
                <w:numId w:val="7"/>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A47229">
              <w:rPr>
                <w:rFonts w:ascii="Arial" w:hAnsi="Arial" w:cs="Arial"/>
                <w:sz w:val="18"/>
                <w:szCs w:val="18"/>
              </w:rPr>
              <w:t>Directors and Officers Liability Insurance.</w:t>
            </w:r>
          </w:p>
        </w:tc>
        <w:tc>
          <w:tcPr>
            <w:tcW w:w="3402" w:type="dxa"/>
          </w:tcPr>
          <w:p w14:paraId="27F74388"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53E67B17"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A47229" w14:paraId="307A6485"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CD91320"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lastRenderedPageBreak/>
              <w:t>Technology:</w:t>
            </w:r>
            <w:r w:rsidRPr="00E51998">
              <w:rPr>
                <w:rFonts w:ascii="Arial" w:hAnsi="Arial" w:cs="Arial"/>
                <w:bCs w:val="0"/>
                <w:sz w:val="18"/>
                <w:szCs w:val="18"/>
                <w:lang w:val="en-NZ"/>
              </w:rPr>
              <w:br/>
            </w:r>
            <w:r w:rsidRPr="00E51998">
              <w:rPr>
                <w:rFonts w:ascii="Arial" w:hAnsi="Arial" w:cs="Arial"/>
                <w:bCs w:val="0"/>
                <w:i/>
                <w:sz w:val="18"/>
                <w:szCs w:val="18"/>
                <w:lang w:val="en-NZ"/>
              </w:rPr>
              <w:t>(Rule 3.1.3(d))</w:t>
            </w:r>
          </w:p>
        </w:tc>
        <w:tc>
          <w:tcPr>
            <w:tcW w:w="5812" w:type="dxa"/>
          </w:tcPr>
          <w:p w14:paraId="1EBF802E" w14:textId="77777777" w:rsidR="00E51998"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75F39">
              <w:rPr>
                <w:rFonts w:ascii="Arial" w:hAnsi="Arial" w:cs="Arial"/>
                <w:sz w:val="18"/>
                <w:szCs w:val="18"/>
              </w:rPr>
              <w:t>Details of the Applicant’s technology relevant to its Broking Business, including</w:t>
            </w:r>
            <w:r>
              <w:rPr>
                <w:rFonts w:ascii="Arial" w:hAnsi="Arial" w:cs="Arial"/>
                <w:sz w:val="18"/>
                <w:szCs w:val="18"/>
              </w:rPr>
              <w:t>:</w:t>
            </w:r>
          </w:p>
          <w:p w14:paraId="33A5181D" w14:textId="77777777" w:rsidR="00E51998" w:rsidRDefault="00E51998" w:rsidP="005D129C">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All order entry systems connecting to the Trading System;</w:t>
            </w:r>
          </w:p>
          <w:p w14:paraId="5F9ADB3D" w14:textId="77777777" w:rsidR="00E51998" w:rsidRDefault="00E51998" w:rsidP="005D129C">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Back office systems;</w:t>
            </w:r>
          </w:p>
          <w:p w14:paraId="52D990AB" w14:textId="77777777" w:rsidR="00E51998" w:rsidRDefault="00E51998" w:rsidP="005D129C">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w:t>
            </w:r>
            <w:r w:rsidRPr="006B0676">
              <w:rPr>
                <w:rFonts w:ascii="Arial" w:hAnsi="Arial" w:cs="Arial"/>
                <w:sz w:val="18"/>
                <w:szCs w:val="18"/>
              </w:rPr>
              <w:t xml:space="preserve">ayment and accounting </w:t>
            </w:r>
            <w:r>
              <w:rPr>
                <w:rFonts w:ascii="Arial" w:hAnsi="Arial" w:cs="Arial"/>
                <w:sz w:val="18"/>
                <w:szCs w:val="18"/>
              </w:rPr>
              <w:t>software for Capital Adequacy and Client Assets requirements; and</w:t>
            </w:r>
          </w:p>
          <w:p w14:paraId="7F8FE455" w14:textId="77777777" w:rsidR="00E51998" w:rsidRPr="00AC264F" w:rsidRDefault="00E51998" w:rsidP="005D129C">
            <w:pPr>
              <w:numPr>
                <w:ilvl w:val="0"/>
                <w:numId w:val="14"/>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Any software used for pre-trade filters and/or post-trade monitoring.</w:t>
            </w:r>
          </w:p>
        </w:tc>
        <w:tc>
          <w:tcPr>
            <w:tcW w:w="3402" w:type="dxa"/>
          </w:tcPr>
          <w:p w14:paraId="4E378684"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433056B0"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7C2F47" w14:paraId="06B5D07F"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626F2033"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NZX Advisers:</w:t>
            </w:r>
            <w:r w:rsidRPr="00E51998">
              <w:rPr>
                <w:rFonts w:ascii="Arial" w:hAnsi="Arial" w:cs="Arial"/>
                <w:bCs w:val="0"/>
                <w:sz w:val="18"/>
                <w:szCs w:val="18"/>
                <w:lang w:val="en-NZ"/>
              </w:rPr>
              <w:br/>
            </w:r>
            <w:r w:rsidRPr="00E51998">
              <w:rPr>
                <w:rFonts w:ascii="Arial" w:hAnsi="Arial" w:cs="Arial"/>
                <w:bCs w:val="0"/>
                <w:i/>
                <w:sz w:val="18"/>
                <w:szCs w:val="18"/>
                <w:lang w:val="en-NZ"/>
              </w:rPr>
              <w:t>(Rule 5.4)</w:t>
            </w:r>
          </w:p>
        </w:tc>
        <w:tc>
          <w:tcPr>
            <w:tcW w:w="5812" w:type="dxa"/>
          </w:tcPr>
          <w:p w14:paraId="5C333538" w14:textId="77777777" w:rsidR="00E51998"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NZX Adviser Application</w:t>
            </w:r>
            <w:r>
              <w:rPr>
                <w:rFonts w:ascii="Arial" w:hAnsi="Arial" w:cs="Arial"/>
                <w:sz w:val="18"/>
                <w:szCs w:val="18"/>
              </w:rPr>
              <w:t xml:space="preserve"> </w:t>
            </w:r>
            <w:r w:rsidRPr="007C2F47">
              <w:rPr>
                <w:rFonts w:ascii="Arial" w:hAnsi="Arial" w:cs="Arial"/>
                <w:sz w:val="18"/>
                <w:szCs w:val="18"/>
              </w:rPr>
              <w:t xml:space="preserve">in the form of Appendix 9 for each Employee </w:t>
            </w:r>
            <w:r>
              <w:rPr>
                <w:rFonts w:ascii="Arial" w:hAnsi="Arial" w:cs="Arial"/>
                <w:sz w:val="18"/>
                <w:szCs w:val="18"/>
              </w:rPr>
              <w:t>specified under Schedule 5 to Appendix 1</w:t>
            </w:r>
            <w:r w:rsidRPr="007C2F47">
              <w:rPr>
                <w:rFonts w:ascii="Arial" w:hAnsi="Arial" w:cs="Arial"/>
                <w:sz w:val="18"/>
                <w:szCs w:val="18"/>
              </w:rPr>
              <w:t>.</w:t>
            </w:r>
          </w:p>
          <w:p w14:paraId="338D8661" w14:textId="77777777" w:rsidR="00E51998" w:rsidRPr="007C2F47"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All applicants will be required to </w:t>
            </w:r>
            <w:r w:rsidRPr="00C92CF3">
              <w:rPr>
                <w:rFonts w:ascii="Arial" w:hAnsi="Arial" w:cs="Arial"/>
                <w:sz w:val="18"/>
                <w:szCs w:val="18"/>
              </w:rPr>
              <w:t>complete and pass an online NZ</w:t>
            </w:r>
            <w:r>
              <w:rPr>
                <w:rFonts w:ascii="Arial" w:hAnsi="Arial" w:cs="Arial"/>
                <w:sz w:val="18"/>
                <w:szCs w:val="18"/>
              </w:rPr>
              <w:t>X Rules test facilitated by NZX prior to being designated. NZX will arrange the test for each applicant.</w:t>
            </w:r>
          </w:p>
          <w:p w14:paraId="5768F354" w14:textId="33619147" w:rsidR="00E51998" w:rsidRPr="007C2F47"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w:t>
            </w:r>
            <w:r>
              <w:rPr>
                <w:rFonts w:ascii="Arial" w:hAnsi="Arial" w:cs="Arial"/>
                <w:sz w:val="18"/>
                <w:szCs w:val="18"/>
              </w:rPr>
              <w:t>consult</w:t>
            </w:r>
            <w:r w:rsidRPr="007C2F47">
              <w:rPr>
                <w:rFonts w:ascii="Arial" w:hAnsi="Arial" w:cs="Arial"/>
                <w:sz w:val="18"/>
                <w:szCs w:val="18"/>
              </w:rPr>
              <w:t xml:space="preserve"> the NZX Adviser </w:t>
            </w:r>
            <w:r w:rsidR="00580FE1">
              <w:rPr>
                <w:rFonts w:ascii="Arial" w:hAnsi="Arial" w:cs="Arial"/>
                <w:sz w:val="18"/>
                <w:szCs w:val="18"/>
              </w:rPr>
              <w:t xml:space="preserve">Designation </w:t>
            </w:r>
            <w:r w:rsidRPr="007C2F47">
              <w:rPr>
                <w:rFonts w:ascii="Arial" w:hAnsi="Arial" w:cs="Arial"/>
                <w:sz w:val="18"/>
                <w:szCs w:val="18"/>
              </w:rPr>
              <w:t>Guidance Note for further assistance and details of the supporting information to be supplied.</w:t>
            </w:r>
          </w:p>
        </w:tc>
        <w:tc>
          <w:tcPr>
            <w:tcW w:w="3402" w:type="dxa"/>
          </w:tcPr>
          <w:p w14:paraId="704BD147"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27A882FC"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7C2F47" w14:paraId="218F89B5"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0C4E8A"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Dealers:</w:t>
            </w:r>
            <w:r w:rsidRPr="00E51998">
              <w:rPr>
                <w:rFonts w:ascii="Arial" w:hAnsi="Arial" w:cs="Arial"/>
                <w:bCs w:val="0"/>
                <w:sz w:val="18"/>
                <w:szCs w:val="18"/>
                <w:lang w:val="en-NZ"/>
              </w:rPr>
              <w:br/>
            </w:r>
            <w:r w:rsidRPr="00E51998">
              <w:rPr>
                <w:rFonts w:ascii="Arial" w:hAnsi="Arial" w:cs="Arial"/>
                <w:bCs w:val="0"/>
                <w:i/>
                <w:sz w:val="18"/>
                <w:szCs w:val="18"/>
                <w:lang w:val="en-NZ"/>
              </w:rPr>
              <w:t>(Rule 4.4)</w:t>
            </w:r>
          </w:p>
        </w:tc>
        <w:tc>
          <w:tcPr>
            <w:tcW w:w="5812" w:type="dxa"/>
          </w:tcPr>
          <w:p w14:paraId="5B2DB2A9" w14:textId="77777777" w:rsidR="00E51998"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Dealer</w:t>
            </w:r>
            <w:r w:rsidRPr="007C2F47">
              <w:rPr>
                <w:rFonts w:ascii="Arial" w:hAnsi="Arial" w:cs="Arial"/>
                <w:sz w:val="18"/>
                <w:szCs w:val="18"/>
              </w:rPr>
              <w:t xml:space="preserve"> Application</w:t>
            </w:r>
            <w:r>
              <w:rPr>
                <w:rFonts w:ascii="Arial" w:hAnsi="Arial" w:cs="Arial"/>
                <w:sz w:val="18"/>
                <w:szCs w:val="18"/>
              </w:rPr>
              <w:t xml:space="preserve"> </w:t>
            </w:r>
            <w:r w:rsidRPr="007C2F47">
              <w:rPr>
                <w:rFonts w:ascii="Arial" w:hAnsi="Arial" w:cs="Arial"/>
                <w:sz w:val="18"/>
                <w:szCs w:val="18"/>
              </w:rPr>
              <w:t xml:space="preserve">in the form of Appendix </w:t>
            </w:r>
            <w:r>
              <w:rPr>
                <w:rFonts w:ascii="Arial" w:hAnsi="Arial" w:cs="Arial"/>
                <w:sz w:val="18"/>
                <w:szCs w:val="18"/>
              </w:rPr>
              <w:t>7</w:t>
            </w:r>
            <w:r w:rsidRPr="007C2F47">
              <w:rPr>
                <w:rFonts w:ascii="Arial" w:hAnsi="Arial" w:cs="Arial"/>
                <w:sz w:val="18"/>
                <w:szCs w:val="18"/>
              </w:rPr>
              <w:t xml:space="preserve"> for each Employee </w:t>
            </w:r>
            <w:r>
              <w:rPr>
                <w:rFonts w:ascii="Arial" w:hAnsi="Arial" w:cs="Arial"/>
                <w:sz w:val="18"/>
                <w:szCs w:val="18"/>
              </w:rPr>
              <w:t>specified under Schedule 4 to Appendix 1</w:t>
            </w:r>
            <w:r w:rsidRPr="007C2F47">
              <w:rPr>
                <w:rFonts w:ascii="Arial" w:hAnsi="Arial" w:cs="Arial"/>
                <w:sz w:val="18"/>
                <w:szCs w:val="18"/>
              </w:rPr>
              <w:t>.</w:t>
            </w:r>
          </w:p>
          <w:p w14:paraId="032BF5E2" w14:textId="77777777" w:rsidR="00E51998" w:rsidRPr="00E77457"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All applicants will be required to </w:t>
            </w:r>
            <w:r w:rsidRPr="00C92CF3">
              <w:rPr>
                <w:rFonts w:ascii="Arial" w:hAnsi="Arial" w:cs="Arial"/>
                <w:sz w:val="18"/>
                <w:szCs w:val="18"/>
              </w:rPr>
              <w:t>complete and pass an online NZ</w:t>
            </w:r>
            <w:r>
              <w:rPr>
                <w:rFonts w:ascii="Arial" w:hAnsi="Arial" w:cs="Arial"/>
                <w:sz w:val="18"/>
                <w:szCs w:val="18"/>
              </w:rPr>
              <w:t>X Rules test and over the phone Trading System test facilitated by NZX prior to being designated. NZX will arrange the tests for each applicant.</w:t>
            </w:r>
          </w:p>
        </w:tc>
        <w:tc>
          <w:tcPr>
            <w:tcW w:w="3402" w:type="dxa"/>
          </w:tcPr>
          <w:p w14:paraId="48849593"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216B0445"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90416A" w14:paraId="3E5EFFA3"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1AA2B8E7"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Direct Market Access (DMA)</w:t>
            </w:r>
            <w:r w:rsidRPr="00E51998">
              <w:rPr>
                <w:rFonts w:ascii="Arial" w:hAnsi="Arial" w:cs="Arial"/>
                <w:bCs w:val="0"/>
                <w:sz w:val="18"/>
                <w:szCs w:val="18"/>
                <w:lang w:val="en-NZ"/>
              </w:rPr>
              <w:br/>
            </w:r>
            <w:r w:rsidRPr="00E51998">
              <w:rPr>
                <w:rFonts w:ascii="Arial" w:hAnsi="Arial" w:cs="Arial"/>
                <w:bCs w:val="0"/>
                <w:i/>
                <w:sz w:val="18"/>
                <w:szCs w:val="18"/>
                <w:lang w:val="en-NZ"/>
              </w:rPr>
              <w:t>(Rule 10.8 – 10.10)</w:t>
            </w:r>
          </w:p>
        </w:tc>
        <w:tc>
          <w:tcPr>
            <w:tcW w:w="5812" w:type="dxa"/>
          </w:tcPr>
          <w:p w14:paraId="6F9C28B7" w14:textId="2ED2B2B3" w:rsidR="00E51998"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Where the Applicant wishes to access the Trading System via DMA, </w:t>
            </w:r>
            <w:r w:rsidR="0052109B">
              <w:rPr>
                <w:rFonts w:ascii="Arial" w:hAnsi="Arial" w:cs="Arial"/>
                <w:sz w:val="18"/>
                <w:szCs w:val="18"/>
              </w:rPr>
              <w:t xml:space="preserve">it will be necessary to complete the </w:t>
            </w:r>
            <w:r>
              <w:rPr>
                <w:rFonts w:ascii="Arial" w:hAnsi="Arial" w:cs="Arial"/>
                <w:sz w:val="18"/>
                <w:szCs w:val="18"/>
              </w:rPr>
              <w:t>Direct Market Access Application in the form of Appendix 12 for each proposed DMA order entry system</w:t>
            </w:r>
            <w:r w:rsidR="0052109B">
              <w:rPr>
                <w:rFonts w:ascii="Arial" w:hAnsi="Arial" w:cs="Arial"/>
                <w:sz w:val="18"/>
                <w:szCs w:val="18"/>
              </w:rPr>
              <w:t xml:space="preserve"> and to provide all information as set out in the DMA Participant &amp; System Application Information checklist</w:t>
            </w:r>
            <w:r>
              <w:rPr>
                <w:rFonts w:ascii="Arial" w:hAnsi="Arial" w:cs="Arial"/>
                <w:sz w:val="18"/>
                <w:szCs w:val="18"/>
              </w:rPr>
              <w:t>.</w:t>
            </w:r>
          </w:p>
          <w:p w14:paraId="24143917" w14:textId="7077EDC2" w:rsidR="00E51998" w:rsidRPr="0090416A" w:rsidRDefault="00E51998" w:rsidP="000C6750">
            <w:p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402" w:type="dxa"/>
          </w:tcPr>
          <w:p w14:paraId="36DEEC4A"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211BB0EC"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FA681E" w14:paraId="036045B7"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D81E901"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lastRenderedPageBreak/>
              <w:t xml:space="preserve">Compliance Manuals and Procedures: </w:t>
            </w:r>
          </w:p>
        </w:tc>
        <w:tc>
          <w:tcPr>
            <w:tcW w:w="5812" w:type="dxa"/>
          </w:tcPr>
          <w:p w14:paraId="5BD4AE91" w14:textId="77777777" w:rsidR="00E51998" w:rsidRPr="00A47229"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documents that provide information to the business on their compliance obligations and how to manage situations where a possible breach of the Rules has occurred.  These documents, should at a minimum, detail the following:</w:t>
            </w:r>
          </w:p>
          <w:p w14:paraId="0939DD67" w14:textId="7777777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Information Barriers</w:t>
            </w:r>
            <w:r w:rsidRPr="00FA681E">
              <w:rPr>
                <w:rFonts w:ascii="Arial" w:hAnsi="Arial" w:cs="Arial"/>
                <w:sz w:val="18"/>
                <w:szCs w:val="18"/>
              </w:rPr>
              <w:t xml:space="preserve"> – Rule 3.24;</w:t>
            </w:r>
          </w:p>
          <w:p w14:paraId="0BEF5B0A" w14:textId="34894EA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Conflict Management – Rule 15.1</w:t>
            </w:r>
            <w:r>
              <w:rPr>
                <w:rFonts w:ascii="Arial" w:hAnsi="Arial" w:cs="Arial"/>
                <w:sz w:val="18"/>
                <w:szCs w:val="18"/>
              </w:rPr>
              <w:t>0</w:t>
            </w:r>
            <w:r w:rsidRPr="00FA681E">
              <w:rPr>
                <w:rFonts w:ascii="Arial" w:hAnsi="Arial" w:cs="Arial"/>
                <w:sz w:val="18"/>
                <w:szCs w:val="18"/>
              </w:rPr>
              <w:t>;</w:t>
            </w:r>
            <w:r w:rsidR="00CC61BC">
              <w:rPr>
                <w:rFonts w:ascii="Arial" w:hAnsi="Arial" w:cs="Arial"/>
                <w:sz w:val="18"/>
                <w:szCs w:val="18"/>
              </w:rPr>
              <w:t xml:space="preserve"> Please also consult the Conflict Management Guidance Note for further information</w:t>
            </w:r>
          </w:p>
          <w:p w14:paraId="7394CA8C" w14:textId="77777777" w:rsidR="00CC61BC"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Employee </w:t>
            </w:r>
            <w:r>
              <w:rPr>
                <w:rFonts w:ascii="Arial" w:hAnsi="Arial" w:cs="Arial"/>
                <w:sz w:val="18"/>
                <w:szCs w:val="18"/>
              </w:rPr>
              <w:t xml:space="preserve">and Prescribed Person </w:t>
            </w:r>
            <w:r w:rsidRPr="00FA681E">
              <w:rPr>
                <w:rFonts w:ascii="Arial" w:hAnsi="Arial" w:cs="Arial"/>
                <w:sz w:val="18"/>
                <w:szCs w:val="18"/>
              </w:rPr>
              <w:t>Trading – Rule 10.5;</w:t>
            </w:r>
            <w:r w:rsidR="00CC61BC">
              <w:rPr>
                <w:rFonts w:ascii="Arial" w:hAnsi="Arial" w:cs="Arial"/>
                <w:sz w:val="18"/>
                <w:szCs w:val="18"/>
              </w:rPr>
              <w:t xml:space="preserve"> Please also consult the Prescribed Person Trading Guidance Note for further information</w:t>
            </w:r>
          </w:p>
          <w:p w14:paraId="04704348" w14:textId="7777777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Insider Trading – Rule 15.6;</w:t>
            </w:r>
          </w:p>
          <w:p w14:paraId="7384DB6A" w14:textId="77777777" w:rsidR="00CC61BC"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Voice Recording – Rule 15.1</w:t>
            </w:r>
            <w:r>
              <w:rPr>
                <w:rFonts w:ascii="Arial" w:hAnsi="Arial" w:cs="Arial"/>
                <w:sz w:val="18"/>
                <w:szCs w:val="18"/>
              </w:rPr>
              <w:t>1</w:t>
            </w:r>
            <w:r w:rsidRPr="00FA681E">
              <w:rPr>
                <w:rFonts w:ascii="Arial" w:hAnsi="Arial" w:cs="Arial"/>
                <w:sz w:val="18"/>
                <w:szCs w:val="18"/>
              </w:rPr>
              <w:t>;</w:t>
            </w:r>
            <w:r w:rsidR="00CC61BC">
              <w:rPr>
                <w:rFonts w:ascii="Arial" w:hAnsi="Arial" w:cs="Arial"/>
                <w:sz w:val="18"/>
                <w:szCs w:val="18"/>
              </w:rPr>
              <w:t xml:space="preserve"> Please also consult the Client Communication Recording Guidance Note for further information</w:t>
            </w:r>
          </w:p>
          <w:p w14:paraId="46F73DA1" w14:textId="7777777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Trading Conduct – Please consult the Trading Conduct Guidance Note for further information</w:t>
            </w:r>
            <w:r w:rsidRPr="00FA681E">
              <w:rPr>
                <w:rFonts w:ascii="Arial" w:hAnsi="Arial" w:cs="Arial"/>
                <w:sz w:val="18"/>
                <w:szCs w:val="18"/>
              </w:rPr>
              <w:t>;</w:t>
            </w:r>
          </w:p>
          <w:p w14:paraId="16043610" w14:textId="10FA7043"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Breaches</w:t>
            </w:r>
            <w:r>
              <w:rPr>
                <w:rFonts w:ascii="Arial" w:hAnsi="Arial" w:cs="Arial"/>
                <w:sz w:val="18"/>
                <w:szCs w:val="18"/>
              </w:rPr>
              <w:t xml:space="preserve"> Reporting and Recording</w:t>
            </w:r>
            <w:r w:rsidRPr="00FA681E">
              <w:rPr>
                <w:rFonts w:ascii="Arial" w:hAnsi="Arial" w:cs="Arial"/>
                <w:sz w:val="18"/>
                <w:szCs w:val="18"/>
              </w:rPr>
              <w:t xml:space="preserve"> – Rule</w:t>
            </w:r>
            <w:r w:rsidR="00CC61BC">
              <w:rPr>
                <w:rFonts w:ascii="Arial" w:hAnsi="Arial" w:cs="Arial"/>
                <w:sz w:val="18"/>
                <w:szCs w:val="18"/>
              </w:rPr>
              <w:t>s</w:t>
            </w:r>
            <w:r w:rsidRPr="00FA681E">
              <w:rPr>
                <w:rFonts w:ascii="Arial" w:hAnsi="Arial" w:cs="Arial"/>
                <w:sz w:val="18"/>
                <w:szCs w:val="18"/>
              </w:rPr>
              <w:t xml:space="preserve"> 21.7.1</w:t>
            </w:r>
            <w:r w:rsidR="00CC61BC">
              <w:rPr>
                <w:rFonts w:ascii="Arial" w:hAnsi="Arial" w:cs="Arial"/>
                <w:sz w:val="18"/>
                <w:szCs w:val="18"/>
              </w:rPr>
              <w:t xml:space="preserve"> and 8.1.1</w:t>
            </w:r>
            <w:r w:rsidRPr="00FA681E">
              <w:rPr>
                <w:rFonts w:ascii="Arial" w:hAnsi="Arial" w:cs="Arial"/>
                <w:sz w:val="18"/>
                <w:szCs w:val="18"/>
              </w:rPr>
              <w:t>;</w:t>
            </w:r>
          </w:p>
          <w:p w14:paraId="3A9ABEDB" w14:textId="7777777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Complaints – Rule 15.7;</w:t>
            </w:r>
          </w:p>
          <w:p w14:paraId="5D98B67E" w14:textId="7777777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Order Records – Rule 15.1</w:t>
            </w:r>
            <w:r>
              <w:rPr>
                <w:rFonts w:ascii="Arial" w:hAnsi="Arial" w:cs="Arial"/>
                <w:sz w:val="18"/>
                <w:szCs w:val="18"/>
              </w:rPr>
              <w:t>2</w:t>
            </w:r>
            <w:r w:rsidRPr="00FA681E">
              <w:rPr>
                <w:rFonts w:ascii="Arial" w:hAnsi="Arial" w:cs="Arial"/>
                <w:sz w:val="18"/>
                <w:szCs w:val="18"/>
              </w:rPr>
              <w:t>;</w:t>
            </w:r>
          </w:p>
          <w:p w14:paraId="469DDEEF" w14:textId="7777777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Order Trading / Placing – Section</w:t>
            </w:r>
            <w:r>
              <w:rPr>
                <w:rFonts w:ascii="Arial" w:hAnsi="Arial" w:cs="Arial"/>
                <w:sz w:val="18"/>
                <w:szCs w:val="18"/>
              </w:rPr>
              <w:t>s 10 to 15</w:t>
            </w:r>
            <w:r w:rsidRPr="00FA681E">
              <w:rPr>
                <w:rFonts w:ascii="Arial" w:hAnsi="Arial" w:cs="Arial"/>
                <w:sz w:val="18"/>
                <w:szCs w:val="18"/>
              </w:rPr>
              <w:t>;</w:t>
            </w:r>
          </w:p>
          <w:p w14:paraId="317E4487" w14:textId="77777777" w:rsidR="00E51998" w:rsidRPr="00FA681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Contract Notes – Rule 15.1</w:t>
            </w:r>
            <w:r>
              <w:rPr>
                <w:rFonts w:ascii="Arial" w:hAnsi="Arial" w:cs="Arial"/>
                <w:sz w:val="18"/>
                <w:szCs w:val="18"/>
              </w:rPr>
              <w:t>6</w:t>
            </w:r>
            <w:r w:rsidRPr="00FA681E">
              <w:rPr>
                <w:rFonts w:ascii="Arial" w:hAnsi="Arial" w:cs="Arial"/>
                <w:sz w:val="18"/>
                <w:szCs w:val="18"/>
              </w:rPr>
              <w:t>;</w:t>
            </w:r>
          </w:p>
          <w:p w14:paraId="5417B061" w14:textId="77777777" w:rsidR="00E51998" w:rsidRPr="0034243E" w:rsidRDefault="00E51998" w:rsidP="005D129C">
            <w:pPr>
              <w:numPr>
                <w:ilvl w:val="0"/>
                <w:numId w:val="10"/>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Client Maintenance – </w:t>
            </w:r>
            <w:r>
              <w:rPr>
                <w:rFonts w:ascii="Arial" w:hAnsi="Arial" w:cs="Arial"/>
                <w:sz w:val="18"/>
                <w:szCs w:val="18"/>
              </w:rPr>
              <w:t>Section 9</w:t>
            </w:r>
            <w:r w:rsidRPr="00FA681E">
              <w:rPr>
                <w:rFonts w:ascii="Arial" w:hAnsi="Arial" w:cs="Arial"/>
                <w:sz w:val="18"/>
                <w:szCs w:val="18"/>
              </w:rPr>
              <w:t>;</w:t>
            </w:r>
          </w:p>
        </w:tc>
        <w:tc>
          <w:tcPr>
            <w:tcW w:w="3402" w:type="dxa"/>
          </w:tcPr>
          <w:p w14:paraId="2BD66211"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5A7CDE12"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A47229" w14:paraId="1DF2EE6B"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1F5F238C"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Compliance Monitoring Programme (CMP)</w:t>
            </w:r>
          </w:p>
        </w:tc>
        <w:tc>
          <w:tcPr>
            <w:tcW w:w="5812" w:type="dxa"/>
          </w:tcPr>
          <w:p w14:paraId="1FE36FD4" w14:textId="77777777" w:rsidR="00E51998"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Please provide a </w:t>
            </w:r>
            <w:r>
              <w:rPr>
                <w:rFonts w:ascii="Arial" w:hAnsi="Arial" w:cs="Arial"/>
                <w:sz w:val="18"/>
                <w:szCs w:val="18"/>
              </w:rPr>
              <w:t xml:space="preserve">CMP </w:t>
            </w:r>
            <w:r w:rsidRPr="00FA681E">
              <w:rPr>
                <w:rFonts w:ascii="Arial" w:hAnsi="Arial" w:cs="Arial"/>
                <w:sz w:val="18"/>
                <w:szCs w:val="18"/>
              </w:rPr>
              <w:t>which includes a periodic review of your obligations and identifies key risks, together with establishing systems, procedures and controls to monitor and manage those risks.</w:t>
            </w:r>
          </w:p>
          <w:p w14:paraId="7345D3CE" w14:textId="77777777" w:rsidR="00E51998" w:rsidRPr="0034243E"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4243E">
              <w:rPr>
                <w:rFonts w:ascii="Arial" w:hAnsi="Arial" w:cs="Arial"/>
                <w:sz w:val="18"/>
                <w:szCs w:val="18"/>
              </w:rPr>
              <w:t xml:space="preserve">The CMP should detail all compliance monitoring tasks performed including each activity’s purpose, regulatory requirement and frequency (daily, weekly, monthly, quarterly and annual). Each compliance monitoring task should be backed by detailed procedures for carrying out the </w:t>
            </w:r>
            <w:r>
              <w:rPr>
                <w:rFonts w:ascii="Arial" w:hAnsi="Arial" w:cs="Arial"/>
                <w:sz w:val="18"/>
                <w:szCs w:val="18"/>
              </w:rPr>
              <w:t xml:space="preserve">monitoring </w:t>
            </w:r>
            <w:r w:rsidRPr="0034243E">
              <w:rPr>
                <w:rFonts w:ascii="Arial" w:hAnsi="Arial" w:cs="Arial"/>
                <w:sz w:val="18"/>
                <w:szCs w:val="18"/>
              </w:rPr>
              <w:t>process.</w:t>
            </w:r>
          </w:p>
          <w:p w14:paraId="58DB8417" w14:textId="77A639F3" w:rsidR="00E51998" w:rsidRPr="00D31577"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p>
        </w:tc>
        <w:tc>
          <w:tcPr>
            <w:tcW w:w="3402" w:type="dxa"/>
          </w:tcPr>
          <w:p w14:paraId="786742BD"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2C784B71"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7C2F47" w14:paraId="2AF5A370"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B13379" w14:textId="1FBA8CC4"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lastRenderedPageBreak/>
              <w:t>Business Continuity Plan</w:t>
            </w:r>
            <w:r w:rsidR="008F1CB9">
              <w:rPr>
                <w:rFonts w:ascii="Arial" w:hAnsi="Arial" w:cs="Arial"/>
                <w:bCs w:val="0"/>
                <w:sz w:val="18"/>
                <w:szCs w:val="18"/>
                <w:lang w:val="en-NZ"/>
              </w:rPr>
              <w:t xml:space="preserve"> and Disaster Recovery Arrangements</w:t>
            </w:r>
            <w:r w:rsidRPr="00E51998">
              <w:rPr>
                <w:rFonts w:ascii="Arial" w:hAnsi="Arial" w:cs="Arial"/>
                <w:bCs w:val="0"/>
                <w:sz w:val="18"/>
                <w:szCs w:val="18"/>
                <w:lang w:val="en-NZ"/>
              </w:rPr>
              <w:t>:</w:t>
            </w:r>
            <w:r w:rsidRPr="00E51998">
              <w:rPr>
                <w:rFonts w:ascii="Arial" w:hAnsi="Arial" w:cs="Arial"/>
                <w:bCs w:val="0"/>
                <w:sz w:val="18"/>
                <w:szCs w:val="18"/>
                <w:lang w:val="en-NZ"/>
              </w:rPr>
              <w:br/>
            </w:r>
            <w:r w:rsidRPr="00E51998">
              <w:rPr>
                <w:rFonts w:ascii="Arial" w:hAnsi="Arial" w:cs="Arial"/>
                <w:bCs w:val="0"/>
                <w:i/>
                <w:sz w:val="18"/>
                <w:szCs w:val="18"/>
                <w:lang w:val="en-NZ"/>
              </w:rPr>
              <w:t>(Rule 8.12.</w:t>
            </w:r>
            <w:r w:rsidR="008F1CB9">
              <w:rPr>
                <w:rFonts w:ascii="Arial" w:hAnsi="Arial" w:cs="Arial"/>
                <w:bCs w:val="0"/>
                <w:i/>
                <w:sz w:val="18"/>
                <w:szCs w:val="18"/>
                <w:lang w:val="en-NZ"/>
              </w:rPr>
              <w:t>3</w:t>
            </w:r>
            <w:r w:rsidRPr="00E51998">
              <w:rPr>
                <w:rFonts w:ascii="Arial" w:hAnsi="Arial" w:cs="Arial"/>
                <w:bCs w:val="0"/>
                <w:i/>
                <w:sz w:val="18"/>
                <w:szCs w:val="18"/>
                <w:lang w:val="en-NZ"/>
              </w:rPr>
              <w:t>)</w:t>
            </w:r>
          </w:p>
        </w:tc>
        <w:tc>
          <w:tcPr>
            <w:tcW w:w="5812" w:type="dxa"/>
          </w:tcPr>
          <w:p w14:paraId="28107011" w14:textId="3C382802" w:rsidR="00E51998" w:rsidRPr="007C2F47" w:rsidRDefault="00E51998" w:rsidP="00507F50">
            <w:pPr>
              <w:tabs>
                <w:tab w:val="left" w:pos="-720"/>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Please provide a BCP that has been developed to ensure that</w:t>
            </w:r>
            <w:r w:rsidR="008F1CB9">
              <w:rPr>
                <w:rFonts w:ascii="Arial" w:hAnsi="Arial" w:cs="Arial"/>
                <w:sz w:val="18"/>
                <w:szCs w:val="18"/>
              </w:rPr>
              <w:t xml:space="preserve"> the Applicant </w:t>
            </w:r>
            <w:r w:rsidRPr="007C2F47">
              <w:rPr>
                <w:rFonts w:ascii="Arial" w:hAnsi="Arial" w:cs="Arial"/>
                <w:sz w:val="18"/>
                <w:szCs w:val="18"/>
              </w:rPr>
              <w:t>at all times</w:t>
            </w:r>
            <w:r w:rsidR="0015375D">
              <w:rPr>
                <w:rFonts w:ascii="Arial" w:hAnsi="Arial" w:cs="Arial"/>
                <w:sz w:val="18"/>
                <w:szCs w:val="18"/>
              </w:rPr>
              <w:t xml:space="preserve"> maintains</w:t>
            </w:r>
            <w:r w:rsidRPr="007C2F47">
              <w:rPr>
                <w:rFonts w:ascii="Arial" w:hAnsi="Arial" w:cs="Arial"/>
                <w:sz w:val="18"/>
                <w:szCs w:val="18"/>
              </w:rPr>
              <w:t xml:space="preserve"> </w:t>
            </w:r>
            <w:r w:rsidR="008F1CB9">
              <w:rPr>
                <w:rFonts w:ascii="Arial" w:hAnsi="Arial" w:cs="Arial"/>
                <w:sz w:val="18"/>
                <w:szCs w:val="18"/>
              </w:rPr>
              <w:t>an</w:t>
            </w:r>
            <w:r w:rsidR="008F1CB9" w:rsidRPr="007C2F47">
              <w:rPr>
                <w:rFonts w:ascii="Arial" w:hAnsi="Arial" w:cs="Arial"/>
                <w:sz w:val="18"/>
                <w:szCs w:val="18"/>
              </w:rPr>
              <w:t xml:space="preserve"> </w:t>
            </w:r>
            <w:r w:rsidRPr="007C2F47">
              <w:rPr>
                <w:rFonts w:ascii="Arial" w:hAnsi="Arial" w:cs="Arial"/>
                <w:sz w:val="18"/>
                <w:szCs w:val="18"/>
              </w:rPr>
              <w:t>adequate</w:t>
            </w:r>
            <w:r w:rsidR="0015375D">
              <w:rPr>
                <w:rFonts w:ascii="Arial" w:hAnsi="Arial" w:cs="Arial"/>
                <w:sz w:val="18"/>
                <w:szCs w:val="18"/>
              </w:rPr>
              <w:t xml:space="preserve"> </w:t>
            </w:r>
            <w:r w:rsidR="008F1CB9">
              <w:rPr>
                <w:rFonts w:ascii="Arial" w:hAnsi="Arial" w:cs="Arial"/>
                <w:sz w:val="18"/>
                <w:szCs w:val="18"/>
              </w:rPr>
              <w:t>business continuity plan</w:t>
            </w:r>
            <w:r w:rsidRPr="007C2F47">
              <w:rPr>
                <w:rFonts w:ascii="Arial" w:hAnsi="Arial" w:cs="Arial"/>
                <w:sz w:val="18"/>
                <w:szCs w:val="18"/>
              </w:rPr>
              <w:t xml:space="preserve"> and </w:t>
            </w:r>
            <w:r w:rsidR="008F1CB9" w:rsidRPr="00C645DE">
              <w:rPr>
                <w:rFonts w:ascii="Arial" w:hAnsi="Arial" w:cs="Arial"/>
                <w:sz w:val="18"/>
                <w:szCs w:val="18"/>
              </w:rPr>
              <w:t>disaster recovery arrangements designed to ensure timely recovery and continuation of its usual operations that are relevant to its role as a Participant following any</w:t>
            </w:r>
            <w:r w:rsidR="008F1CB9" w:rsidRPr="007C2F47" w:rsidDel="008F1CB9">
              <w:rPr>
                <w:rFonts w:ascii="Arial" w:hAnsi="Arial" w:cs="Arial"/>
                <w:sz w:val="18"/>
                <w:szCs w:val="18"/>
              </w:rPr>
              <w:t xml:space="preserve"> </w:t>
            </w:r>
            <w:r w:rsidRPr="007C2F47">
              <w:rPr>
                <w:rFonts w:ascii="Arial" w:hAnsi="Arial" w:cs="Arial"/>
                <w:sz w:val="18"/>
                <w:szCs w:val="18"/>
              </w:rPr>
              <w:t>short, medium and long term disruption. At a minimum it should include:</w:t>
            </w:r>
          </w:p>
          <w:p w14:paraId="19A7FE1E" w14:textId="7AE44A10" w:rsidR="00E51998" w:rsidRPr="008F1CB9" w:rsidRDefault="00E51998" w:rsidP="005D129C">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The management framework for implement</w:t>
            </w:r>
            <w:r w:rsidR="008F1CB9">
              <w:rPr>
                <w:rFonts w:ascii="Arial" w:hAnsi="Arial" w:cs="Arial"/>
                <w:sz w:val="18"/>
                <w:szCs w:val="18"/>
              </w:rPr>
              <w:t>ing</w:t>
            </w:r>
            <w:r w:rsidRPr="007C2F47">
              <w:rPr>
                <w:rFonts w:ascii="Arial" w:hAnsi="Arial" w:cs="Arial"/>
                <w:sz w:val="18"/>
                <w:szCs w:val="18"/>
              </w:rPr>
              <w:t xml:space="preserve"> of the business continuity plan </w:t>
            </w:r>
            <w:r w:rsidR="008F1CB9" w:rsidRPr="00CD46E2">
              <w:rPr>
                <w:rFonts w:ascii="Arial" w:hAnsi="Arial" w:cs="Arial"/>
                <w:sz w:val="18"/>
                <w:szCs w:val="18"/>
              </w:rPr>
              <w:t xml:space="preserve">including defining the roles and responsibilities of </w:t>
            </w:r>
            <w:r w:rsidR="008F1CB9">
              <w:rPr>
                <w:rFonts w:ascii="Arial" w:hAnsi="Arial" w:cs="Arial"/>
                <w:sz w:val="18"/>
                <w:szCs w:val="18"/>
              </w:rPr>
              <w:t>your</w:t>
            </w:r>
            <w:r w:rsidR="008F1CB9" w:rsidRPr="00CD46E2">
              <w:rPr>
                <w:rFonts w:ascii="Arial" w:hAnsi="Arial" w:cs="Arial"/>
                <w:sz w:val="18"/>
                <w:szCs w:val="18"/>
              </w:rPr>
              <w:t xml:space="preserve"> board and senior management (as relevant) in relation to the design, implementation, functioning, and review of the plan, and</w:t>
            </w:r>
            <w:r w:rsidR="008F1CB9">
              <w:rPr>
                <w:rFonts w:ascii="Arial" w:hAnsi="Arial" w:cs="Arial"/>
                <w:sz w:val="18"/>
                <w:szCs w:val="18"/>
              </w:rPr>
              <w:t xml:space="preserve"> </w:t>
            </w:r>
            <w:r w:rsidR="008F1CB9" w:rsidRPr="00CD46E2">
              <w:rPr>
                <w:rFonts w:ascii="Arial" w:hAnsi="Arial" w:cs="Arial"/>
                <w:sz w:val="18"/>
                <w:szCs w:val="18"/>
              </w:rPr>
              <w:t>provide that the plan is subject to the oversight of the Compliance Manager, Responsible Executive or Managing Principal</w:t>
            </w:r>
            <w:r w:rsidRPr="007C2F47">
              <w:rPr>
                <w:rFonts w:ascii="Arial" w:hAnsi="Arial" w:cs="Arial"/>
                <w:sz w:val="18"/>
                <w:szCs w:val="18"/>
              </w:rPr>
              <w:t>;</w:t>
            </w:r>
          </w:p>
          <w:p w14:paraId="209CFCEA" w14:textId="58FC284D" w:rsidR="008F1CB9" w:rsidRPr="008F1CB9" w:rsidRDefault="008F1CB9" w:rsidP="008F1CB9">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01762">
              <w:rPr>
                <w:rFonts w:ascii="Arial" w:hAnsi="Arial" w:cs="Arial"/>
                <w:sz w:val="18"/>
                <w:szCs w:val="18"/>
              </w:rPr>
              <w:t>The services or functions to be maintained by the business continuity plan</w:t>
            </w:r>
            <w:r w:rsidRPr="009455AD">
              <w:rPr>
                <w:rFonts w:ascii="Arial" w:hAnsi="Arial" w:cs="Arial"/>
                <w:sz w:val="18"/>
                <w:szCs w:val="18"/>
                <w:u w:val="single"/>
              </w:rPr>
              <w:t>;</w:t>
            </w:r>
          </w:p>
          <w:p w14:paraId="5CCC7261" w14:textId="5E3FB61C" w:rsidR="00E51998" w:rsidRPr="007C2F47" w:rsidRDefault="00E51998" w:rsidP="005D129C">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 xml:space="preserve">The </w:t>
            </w:r>
            <w:r w:rsidR="008F1CB9" w:rsidRPr="00626CA8">
              <w:rPr>
                <w:rFonts w:ascii="Arial" w:hAnsi="Arial" w:cs="Arial"/>
                <w:sz w:val="18"/>
                <w:szCs w:val="18"/>
              </w:rPr>
              <w:t xml:space="preserve">processes, procedures, and resource requirements to enable the services and functions identified </w:t>
            </w:r>
            <w:r w:rsidR="008F1CB9">
              <w:rPr>
                <w:rFonts w:ascii="Arial" w:hAnsi="Arial" w:cs="Arial"/>
                <w:sz w:val="18"/>
                <w:szCs w:val="18"/>
              </w:rPr>
              <w:t>in</w:t>
            </w:r>
            <w:r w:rsidR="008F1CB9" w:rsidRPr="00626CA8">
              <w:rPr>
                <w:rFonts w:ascii="Arial" w:hAnsi="Arial" w:cs="Arial"/>
                <w:sz w:val="18"/>
                <w:szCs w:val="18"/>
              </w:rPr>
              <w:t xml:space="preserve"> (b) above to be performed</w:t>
            </w:r>
            <w:r w:rsidRPr="007C2F47">
              <w:rPr>
                <w:rFonts w:ascii="Arial" w:hAnsi="Arial" w:cs="Arial"/>
                <w:sz w:val="18"/>
                <w:szCs w:val="18"/>
              </w:rPr>
              <w:t>, including people, systems and other assets and arrangements for how these resources will be obtained</w:t>
            </w:r>
            <w:r w:rsidR="008F1CB9">
              <w:rPr>
                <w:rFonts w:ascii="Arial" w:hAnsi="Arial" w:cs="Arial"/>
                <w:sz w:val="18"/>
                <w:szCs w:val="18"/>
              </w:rPr>
              <w:t xml:space="preserve"> </w:t>
            </w:r>
            <w:r w:rsidR="008F1CB9" w:rsidRPr="00626CA8">
              <w:rPr>
                <w:rFonts w:ascii="Arial" w:hAnsi="Arial" w:cs="Arial"/>
                <w:sz w:val="18"/>
                <w:szCs w:val="18"/>
              </w:rPr>
              <w:t>during a disruption</w:t>
            </w:r>
            <w:r w:rsidRPr="007C2F47">
              <w:rPr>
                <w:rFonts w:ascii="Arial" w:hAnsi="Arial" w:cs="Arial"/>
                <w:sz w:val="18"/>
                <w:szCs w:val="18"/>
              </w:rPr>
              <w:t>;</w:t>
            </w:r>
          </w:p>
          <w:p w14:paraId="2A4CD6E5" w14:textId="7ED24BA7" w:rsidR="00E51998" w:rsidRPr="007C2F47" w:rsidRDefault="00E51998" w:rsidP="005D129C">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 xml:space="preserve">The recovery priorities for your </w:t>
            </w:r>
            <w:r w:rsidR="008F1CB9" w:rsidRPr="006A5C6E">
              <w:rPr>
                <w:rFonts w:ascii="Arial" w:hAnsi="Arial" w:cs="Arial"/>
                <w:sz w:val="18"/>
                <w:szCs w:val="18"/>
              </w:rPr>
              <w:t>services or functions</w:t>
            </w:r>
            <w:r w:rsidRPr="007C2F47">
              <w:rPr>
                <w:rFonts w:ascii="Arial" w:hAnsi="Arial" w:cs="Arial"/>
                <w:sz w:val="18"/>
                <w:szCs w:val="18"/>
              </w:rPr>
              <w:t xml:space="preserve"> affected by </w:t>
            </w:r>
            <w:r w:rsidR="008F1CB9">
              <w:rPr>
                <w:rFonts w:ascii="Arial" w:hAnsi="Arial" w:cs="Arial"/>
                <w:sz w:val="18"/>
                <w:szCs w:val="18"/>
              </w:rPr>
              <w:t xml:space="preserve">a </w:t>
            </w:r>
            <w:r w:rsidRPr="007C2F47">
              <w:rPr>
                <w:rFonts w:ascii="Arial" w:hAnsi="Arial" w:cs="Arial"/>
                <w:sz w:val="18"/>
                <w:szCs w:val="18"/>
              </w:rPr>
              <w:t>disruption;</w:t>
            </w:r>
          </w:p>
          <w:p w14:paraId="60DCD8FE" w14:textId="3747F7D6" w:rsidR="00E51998" w:rsidRPr="007C2F47" w:rsidRDefault="00E51998" w:rsidP="005D129C">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 xml:space="preserve">Communication arrangements in relation to </w:t>
            </w:r>
            <w:r w:rsidR="008F1CB9">
              <w:rPr>
                <w:rFonts w:ascii="Arial" w:hAnsi="Arial" w:cs="Arial"/>
                <w:sz w:val="18"/>
                <w:szCs w:val="18"/>
              </w:rPr>
              <w:t>a</w:t>
            </w:r>
            <w:r w:rsidR="008F1CB9" w:rsidRPr="007C2F47">
              <w:rPr>
                <w:rFonts w:ascii="Arial" w:hAnsi="Arial" w:cs="Arial"/>
                <w:sz w:val="18"/>
                <w:szCs w:val="18"/>
              </w:rPr>
              <w:t xml:space="preserve"> </w:t>
            </w:r>
            <w:r w:rsidRPr="007C2F47">
              <w:rPr>
                <w:rFonts w:ascii="Arial" w:hAnsi="Arial" w:cs="Arial"/>
                <w:sz w:val="18"/>
                <w:szCs w:val="18"/>
              </w:rPr>
              <w:t xml:space="preserve">disruption and how </w:t>
            </w:r>
            <w:r w:rsidR="008F1CB9" w:rsidRPr="0087580D">
              <w:rPr>
                <w:rFonts w:ascii="Arial" w:hAnsi="Arial" w:cs="Arial"/>
                <w:sz w:val="18"/>
                <w:szCs w:val="18"/>
              </w:rPr>
              <w:t>details of a disruption</w:t>
            </w:r>
            <w:r w:rsidR="00E34F77">
              <w:rPr>
                <w:rFonts w:ascii="Arial" w:hAnsi="Arial" w:cs="Arial"/>
                <w:sz w:val="18"/>
                <w:szCs w:val="18"/>
              </w:rPr>
              <w:t xml:space="preserve"> </w:t>
            </w:r>
            <w:r w:rsidRPr="007C2F47">
              <w:rPr>
                <w:rFonts w:ascii="Arial" w:hAnsi="Arial" w:cs="Arial"/>
                <w:sz w:val="18"/>
                <w:szCs w:val="18"/>
              </w:rPr>
              <w:t>will be communicated to internal and external parties;</w:t>
            </w:r>
          </w:p>
          <w:p w14:paraId="137D8542" w14:textId="61E9379B" w:rsidR="00E51998" w:rsidRPr="007C2F47" w:rsidRDefault="008F1CB9" w:rsidP="005D129C">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rPr>
              <w:t>P</w:t>
            </w:r>
            <w:r w:rsidR="00E51998" w:rsidRPr="007C2F47">
              <w:rPr>
                <w:rFonts w:ascii="Arial" w:hAnsi="Arial" w:cs="Arial"/>
                <w:sz w:val="18"/>
                <w:szCs w:val="18"/>
              </w:rPr>
              <w:t xml:space="preserve">rocesses for determining the integrity of </w:t>
            </w:r>
            <w:r>
              <w:rPr>
                <w:rFonts w:ascii="Arial" w:hAnsi="Arial" w:cs="Arial"/>
                <w:sz w:val="18"/>
                <w:szCs w:val="18"/>
              </w:rPr>
              <w:t>any</w:t>
            </w:r>
            <w:r w:rsidRPr="007C2F47">
              <w:rPr>
                <w:rFonts w:ascii="Arial" w:hAnsi="Arial" w:cs="Arial"/>
                <w:sz w:val="18"/>
                <w:szCs w:val="18"/>
              </w:rPr>
              <w:t xml:space="preserve"> </w:t>
            </w:r>
            <w:r w:rsidR="00E51998" w:rsidRPr="007C2F47">
              <w:rPr>
                <w:rFonts w:ascii="Arial" w:hAnsi="Arial" w:cs="Arial"/>
                <w:sz w:val="18"/>
                <w:szCs w:val="18"/>
              </w:rPr>
              <w:t>information</w:t>
            </w:r>
            <w:r>
              <w:rPr>
                <w:rFonts w:ascii="Arial" w:hAnsi="Arial" w:cs="Arial"/>
                <w:sz w:val="18"/>
                <w:szCs w:val="18"/>
              </w:rPr>
              <w:t xml:space="preserve"> </w:t>
            </w:r>
            <w:r w:rsidRPr="0087580D">
              <w:rPr>
                <w:rFonts w:ascii="Arial" w:hAnsi="Arial" w:cs="Arial"/>
                <w:sz w:val="18"/>
                <w:szCs w:val="18"/>
              </w:rPr>
              <w:t xml:space="preserve">relevant to </w:t>
            </w:r>
            <w:r>
              <w:rPr>
                <w:rFonts w:ascii="Arial" w:hAnsi="Arial" w:cs="Arial"/>
                <w:sz w:val="18"/>
                <w:szCs w:val="18"/>
              </w:rPr>
              <w:t>your</w:t>
            </w:r>
            <w:r w:rsidRPr="0087580D">
              <w:rPr>
                <w:rFonts w:ascii="Arial" w:hAnsi="Arial" w:cs="Arial"/>
                <w:sz w:val="18"/>
                <w:szCs w:val="18"/>
              </w:rPr>
              <w:t xml:space="preserve"> Broking Business</w:t>
            </w:r>
            <w:r w:rsidR="00E51998" w:rsidRPr="007C2F47">
              <w:rPr>
                <w:rFonts w:ascii="Arial" w:hAnsi="Arial" w:cs="Arial"/>
                <w:sz w:val="18"/>
                <w:szCs w:val="18"/>
              </w:rPr>
              <w:t xml:space="preserve"> affected by </w:t>
            </w:r>
            <w:r>
              <w:rPr>
                <w:rFonts w:ascii="Arial" w:hAnsi="Arial" w:cs="Arial"/>
                <w:sz w:val="18"/>
                <w:szCs w:val="18"/>
              </w:rPr>
              <w:t>a</w:t>
            </w:r>
            <w:r w:rsidRPr="007C2F47">
              <w:rPr>
                <w:rFonts w:ascii="Arial" w:hAnsi="Arial" w:cs="Arial"/>
                <w:sz w:val="18"/>
                <w:szCs w:val="18"/>
              </w:rPr>
              <w:t xml:space="preserve"> </w:t>
            </w:r>
            <w:r w:rsidR="00E51998" w:rsidRPr="007C2F47">
              <w:rPr>
                <w:rFonts w:ascii="Arial" w:hAnsi="Arial" w:cs="Arial"/>
                <w:sz w:val="18"/>
                <w:szCs w:val="18"/>
              </w:rPr>
              <w:t>disruption; and</w:t>
            </w:r>
          </w:p>
          <w:p w14:paraId="55EEE531" w14:textId="0E1CF2E6" w:rsidR="00E51998" w:rsidRPr="008F1CB9" w:rsidRDefault="00E51998" w:rsidP="005D129C">
            <w:pPr>
              <w:numPr>
                <w:ilvl w:val="0"/>
                <w:numId w:val="11"/>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7C2F47">
              <w:rPr>
                <w:rFonts w:ascii="Arial" w:hAnsi="Arial" w:cs="Arial"/>
                <w:sz w:val="18"/>
                <w:szCs w:val="18"/>
              </w:rPr>
              <w:t xml:space="preserve">Processes </w:t>
            </w:r>
            <w:r w:rsidR="008F1CB9" w:rsidRPr="0087580D">
              <w:rPr>
                <w:rFonts w:ascii="Arial" w:hAnsi="Arial" w:cs="Arial"/>
                <w:sz w:val="18"/>
                <w:szCs w:val="18"/>
              </w:rPr>
              <w:t>for undertaking periodic</w:t>
            </w:r>
            <w:r w:rsidR="008F1CB9" w:rsidRPr="007C2F47">
              <w:rPr>
                <w:rFonts w:ascii="Arial" w:hAnsi="Arial" w:cs="Arial"/>
                <w:sz w:val="18"/>
                <w:szCs w:val="18"/>
              </w:rPr>
              <w:t xml:space="preserve"> </w:t>
            </w:r>
            <w:r w:rsidRPr="007C2F47">
              <w:rPr>
                <w:rFonts w:ascii="Arial" w:hAnsi="Arial" w:cs="Arial"/>
                <w:sz w:val="18"/>
                <w:szCs w:val="18"/>
              </w:rPr>
              <w:t>test</w:t>
            </w:r>
            <w:r w:rsidR="008F1CB9">
              <w:rPr>
                <w:rFonts w:ascii="Arial" w:hAnsi="Arial" w:cs="Arial"/>
                <w:sz w:val="18"/>
                <w:szCs w:val="18"/>
              </w:rPr>
              <w:t>in</w:t>
            </w:r>
            <w:r w:rsidR="00E34F77">
              <w:rPr>
                <w:rFonts w:ascii="Arial" w:hAnsi="Arial" w:cs="Arial"/>
                <w:sz w:val="18"/>
                <w:szCs w:val="18"/>
              </w:rPr>
              <w:t>g</w:t>
            </w:r>
            <w:r w:rsidRPr="007C2F47">
              <w:rPr>
                <w:rFonts w:ascii="Arial" w:hAnsi="Arial" w:cs="Arial"/>
                <w:sz w:val="18"/>
                <w:szCs w:val="18"/>
              </w:rPr>
              <w:t xml:space="preserve"> </w:t>
            </w:r>
            <w:r w:rsidR="008F1CB9">
              <w:rPr>
                <w:rFonts w:ascii="Arial" w:hAnsi="Arial" w:cs="Arial"/>
                <w:sz w:val="18"/>
                <w:szCs w:val="18"/>
              </w:rPr>
              <w:t xml:space="preserve">of </w:t>
            </w:r>
            <w:r w:rsidRPr="007C2F47">
              <w:rPr>
                <w:rFonts w:ascii="Arial" w:hAnsi="Arial" w:cs="Arial"/>
                <w:sz w:val="18"/>
                <w:szCs w:val="18"/>
              </w:rPr>
              <w:t>the adequacy and effectiveness of the business continuity plan</w:t>
            </w:r>
            <w:r w:rsidR="008F1CB9">
              <w:rPr>
                <w:rFonts w:ascii="Arial" w:hAnsi="Arial" w:cs="Arial"/>
                <w:sz w:val="18"/>
                <w:szCs w:val="18"/>
              </w:rPr>
              <w:t>.</w:t>
            </w:r>
            <w:r w:rsidRPr="007C2F47">
              <w:rPr>
                <w:rFonts w:ascii="Arial" w:hAnsi="Arial" w:cs="Arial"/>
                <w:sz w:val="18"/>
                <w:szCs w:val="18"/>
              </w:rPr>
              <w:t xml:space="preserve"> </w:t>
            </w:r>
          </w:p>
          <w:p w14:paraId="516DE78D" w14:textId="191D9CC8" w:rsidR="008F1CB9" w:rsidRPr="007C2F47" w:rsidRDefault="008F1CB9" w:rsidP="008F1CB9">
            <w:p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CD46E2">
              <w:rPr>
                <w:rFonts w:ascii="Arial" w:hAnsi="Arial" w:cs="Arial"/>
                <w:sz w:val="18"/>
                <w:szCs w:val="18"/>
              </w:rPr>
              <w:t>Please consult the Business continuity and disaster recovery Guidance Note for further assistance and details of the supporting information to be supplied.</w:t>
            </w:r>
          </w:p>
        </w:tc>
        <w:tc>
          <w:tcPr>
            <w:tcW w:w="3402" w:type="dxa"/>
          </w:tcPr>
          <w:p w14:paraId="0058FD5E"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70FCBD43"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7C2F47" w14:paraId="10E696A7"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2C8BB75C" w14:textId="2F11FD5E"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Client Agreements:</w:t>
            </w:r>
            <w:r w:rsidRPr="00E51998">
              <w:rPr>
                <w:rFonts w:ascii="Arial" w:hAnsi="Arial" w:cs="Arial"/>
                <w:bCs w:val="0"/>
                <w:sz w:val="18"/>
                <w:szCs w:val="18"/>
                <w:lang w:val="en-NZ"/>
              </w:rPr>
              <w:br/>
            </w:r>
            <w:r w:rsidRPr="00E51998">
              <w:rPr>
                <w:rFonts w:ascii="Arial" w:hAnsi="Arial" w:cs="Arial"/>
                <w:bCs w:val="0"/>
                <w:i/>
                <w:sz w:val="18"/>
                <w:szCs w:val="18"/>
                <w:lang w:val="en-NZ"/>
              </w:rPr>
              <w:t>(Rule 9.10</w:t>
            </w:r>
            <w:r w:rsidR="00D445DE">
              <w:rPr>
                <w:rFonts w:ascii="Arial" w:hAnsi="Arial" w:cs="Arial"/>
                <w:bCs w:val="0"/>
                <w:i/>
                <w:sz w:val="18"/>
                <w:szCs w:val="18"/>
                <w:lang w:val="en-NZ"/>
              </w:rPr>
              <w:t xml:space="preserve"> and 15.2</w:t>
            </w:r>
            <w:r w:rsidRPr="00E51998">
              <w:rPr>
                <w:rFonts w:ascii="Arial" w:hAnsi="Arial" w:cs="Arial"/>
                <w:bCs w:val="0"/>
                <w:i/>
                <w:sz w:val="18"/>
                <w:szCs w:val="18"/>
                <w:lang w:val="en-NZ"/>
              </w:rPr>
              <w:t>)</w:t>
            </w:r>
          </w:p>
        </w:tc>
        <w:tc>
          <w:tcPr>
            <w:tcW w:w="5812" w:type="dxa"/>
          </w:tcPr>
          <w:p w14:paraId="07061CB1" w14:textId="3484ACC7" w:rsidR="00E51998" w:rsidRPr="00A47229"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provide </w:t>
            </w:r>
            <w:r>
              <w:rPr>
                <w:rFonts w:ascii="Arial" w:hAnsi="Arial" w:cs="Arial"/>
                <w:sz w:val="18"/>
                <w:szCs w:val="18"/>
              </w:rPr>
              <w:t xml:space="preserve">the </w:t>
            </w:r>
            <w:r w:rsidRPr="007C2F47">
              <w:rPr>
                <w:rFonts w:ascii="Arial" w:hAnsi="Arial" w:cs="Arial"/>
                <w:sz w:val="18"/>
                <w:szCs w:val="18"/>
              </w:rPr>
              <w:t xml:space="preserve">Client Agreement </w:t>
            </w:r>
            <w:r>
              <w:rPr>
                <w:rFonts w:ascii="Arial" w:hAnsi="Arial" w:cs="Arial"/>
                <w:sz w:val="18"/>
                <w:szCs w:val="18"/>
              </w:rPr>
              <w:t xml:space="preserve">the Applicant will enter </w:t>
            </w:r>
            <w:r w:rsidRPr="007C2F47">
              <w:rPr>
                <w:rFonts w:ascii="Arial" w:hAnsi="Arial" w:cs="Arial"/>
                <w:sz w:val="18"/>
                <w:szCs w:val="18"/>
              </w:rPr>
              <w:t xml:space="preserve">into with </w:t>
            </w:r>
            <w:r>
              <w:rPr>
                <w:rFonts w:ascii="Arial" w:hAnsi="Arial" w:cs="Arial"/>
                <w:sz w:val="18"/>
                <w:szCs w:val="18"/>
              </w:rPr>
              <w:t>its</w:t>
            </w:r>
            <w:r w:rsidRPr="007C2F47">
              <w:rPr>
                <w:rFonts w:ascii="Arial" w:hAnsi="Arial" w:cs="Arial"/>
                <w:sz w:val="18"/>
                <w:szCs w:val="18"/>
              </w:rPr>
              <w:t xml:space="preserve"> clients which outline</w:t>
            </w:r>
            <w:r w:rsidR="0050113B">
              <w:rPr>
                <w:rFonts w:ascii="Arial" w:hAnsi="Arial" w:cs="Arial"/>
                <w:sz w:val="18"/>
                <w:szCs w:val="18"/>
              </w:rPr>
              <w:t>s</w:t>
            </w:r>
            <w:r>
              <w:rPr>
                <w:rFonts w:ascii="Arial" w:hAnsi="Arial" w:cs="Arial"/>
                <w:sz w:val="18"/>
                <w:szCs w:val="18"/>
              </w:rPr>
              <w:t xml:space="preserve"> and account</w:t>
            </w:r>
            <w:r w:rsidR="0050113B">
              <w:rPr>
                <w:rFonts w:ascii="Arial" w:hAnsi="Arial" w:cs="Arial"/>
                <w:sz w:val="18"/>
                <w:szCs w:val="18"/>
              </w:rPr>
              <w:t>s</w:t>
            </w:r>
            <w:r w:rsidRPr="007C2F47">
              <w:rPr>
                <w:rFonts w:ascii="Arial" w:hAnsi="Arial" w:cs="Arial"/>
                <w:sz w:val="18"/>
                <w:szCs w:val="18"/>
              </w:rPr>
              <w:t xml:space="preserve"> </w:t>
            </w:r>
            <w:r>
              <w:rPr>
                <w:rFonts w:ascii="Arial" w:hAnsi="Arial" w:cs="Arial"/>
                <w:sz w:val="18"/>
                <w:szCs w:val="18"/>
              </w:rPr>
              <w:t xml:space="preserve">for, </w:t>
            </w:r>
            <w:r w:rsidRPr="007C2F47">
              <w:rPr>
                <w:rFonts w:ascii="Arial" w:hAnsi="Arial" w:cs="Arial"/>
                <w:sz w:val="18"/>
                <w:szCs w:val="18"/>
              </w:rPr>
              <w:t>without limitation</w:t>
            </w:r>
            <w:r>
              <w:rPr>
                <w:rFonts w:ascii="Arial" w:hAnsi="Arial" w:cs="Arial"/>
                <w:sz w:val="18"/>
                <w:szCs w:val="18"/>
              </w:rPr>
              <w:t>, the items detailed under Rule 9.10.1(a)-(f)</w:t>
            </w:r>
            <w:r w:rsidR="00D445DE">
              <w:rPr>
                <w:rFonts w:ascii="Arial" w:hAnsi="Arial" w:cs="Arial"/>
                <w:sz w:val="18"/>
                <w:szCs w:val="18"/>
              </w:rPr>
              <w:t xml:space="preserve"> and 15.2</w:t>
            </w:r>
            <w:r>
              <w:rPr>
                <w:rFonts w:ascii="Arial" w:hAnsi="Arial" w:cs="Arial"/>
                <w:sz w:val="18"/>
                <w:szCs w:val="18"/>
              </w:rPr>
              <w:t xml:space="preserve">. </w:t>
            </w:r>
          </w:p>
        </w:tc>
        <w:tc>
          <w:tcPr>
            <w:tcW w:w="3402" w:type="dxa"/>
          </w:tcPr>
          <w:p w14:paraId="108764BB"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353016C7"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A47229" w14:paraId="135EF316"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92E4DA5"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lastRenderedPageBreak/>
              <w:t>Trading Agreements:</w:t>
            </w:r>
            <w:r w:rsidRPr="00E51998">
              <w:rPr>
                <w:rFonts w:ascii="Arial" w:hAnsi="Arial" w:cs="Arial"/>
                <w:bCs w:val="0"/>
                <w:sz w:val="18"/>
                <w:szCs w:val="18"/>
                <w:lang w:val="en-NZ"/>
              </w:rPr>
              <w:br/>
            </w:r>
            <w:r w:rsidRPr="00E51998">
              <w:rPr>
                <w:rFonts w:ascii="Arial" w:hAnsi="Arial" w:cs="Arial"/>
                <w:bCs w:val="0"/>
                <w:i/>
                <w:sz w:val="18"/>
                <w:szCs w:val="18"/>
                <w:lang w:val="en-NZ"/>
              </w:rPr>
              <w:t>(Rule 5.11)</w:t>
            </w:r>
          </w:p>
        </w:tc>
        <w:tc>
          <w:tcPr>
            <w:tcW w:w="5812" w:type="dxa"/>
          </w:tcPr>
          <w:p w14:paraId="0065B000" w14:textId="77777777" w:rsidR="00E51998" w:rsidRPr="00A47229"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50FE6">
              <w:rPr>
                <w:rFonts w:ascii="Arial" w:hAnsi="Arial" w:cs="Arial"/>
                <w:sz w:val="18"/>
                <w:szCs w:val="18"/>
              </w:rPr>
              <w:t xml:space="preserve">If </w:t>
            </w:r>
            <w:r>
              <w:rPr>
                <w:rFonts w:ascii="Arial" w:hAnsi="Arial" w:cs="Arial"/>
                <w:sz w:val="18"/>
                <w:szCs w:val="18"/>
              </w:rPr>
              <w:t>the Applicant intends to</w:t>
            </w:r>
            <w:r w:rsidRPr="00050FE6">
              <w:rPr>
                <w:rFonts w:ascii="Arial" w:hAnsi="Arial" w:cs="Arial"/>
                <w:sz w:val="18"/>
                <w:szCs w:val="18"/>
              </w:rPr>
              <w:t xml:space="preserve"> enter into an agreement with an NZX Advising Firm, please provide a Trading Agreement with that NZX Advising Firm which include</w:t>
            </w:r>
            <w:r w:rsidRPr="00DC4264">
              <w:rPr>
                <w:rFonts w:ascii="Arial" w:hAnsi="Arial" w:cs="Arial"/>
                <w:sz w:val="18"/>
                <w:szCs w:val="18"/>
              </w:rPr>
              <w:t>s</w:t>
            </w:r>
            <w:r>
              <w:rPr>
                <w:rFonts w:ascii="Arial" w:hAnsi="Arial" w:cs="Arial"/>
                <w:sz w:val="18"/>
                <w:szCs w:val="18"/>
              </w:rPr>
              <w:t xml:space="preserve"> the items detailed under Rule 5.11.2.</w:t>
            </w:r>
          </w:p>
        </w:tc>
        <w:tc>
          <w:tcPr>
            <w:tcW w:w="3402" w:type="dxa"/>
          </w:tcPr>
          <w:p w14:paraId="581DA99E"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05010665"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AA2EC5" w14:paraId="05F4A0A7"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3CA054C8"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Clearing and Settlement Arrangements:</w:t>
            </w:r>
            <w:r w:rsidRPr="00E51998">
              <w:rPr>
                <w:rFonts w:ascii="Arial" w:hAnsi="Arial" w:cs="Arial"/>
                <w:bCs w:val="0"/>
                <w:sz w:val="18"/>
                <w:szCs w:val="18"/>
                <w:lang w:val="en-NZ"/>
              </w:rPr>
              <w:br/>
            </w:r>
            <w:r w:rsidRPr="00E51998">
              <w:rPr>
                <w:rFonts w:ascii="Arial" w:hAnsi="Arial" w:cs="Arial"/>
                <w:bCs w:val="0"/>
                <w:i/>
                <w:sz w:val="18"/>
                <w:szCs w:val="18"/>
                <w:lang w:val="en-NZ"/>
              </w:rPr>
              <w:t>(Section 6 of the Rules)</w:t>
            </w:r>
          </w:p>
        </w:tc>
        <w:tc>
          <w:tcPr>
            <w:tcW w:w="5812" w:type="dxa"/>
          </w:tcPr>
          <w:p w14:paraId="6DE14290" w14:textId="77777777" w:rsidR="00E51998" w:rsidRDefault="00E51998" w:rsidP="005D129C">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3268D">
              <w:rPr>
                <w:rFonts w:ascii="Arial" w:hAnsi="Arial" w:cs="Arial"/>
                <w:sz w:val="18"/>
                <w:szCs w:val="18"/>
              </w:rPr>
              <w:t xml:space="preserve">If </w:t>
            </w:r>
            <w:r>
              <w:rPr>
                <w:rFonts w:ascii="Arial" w:hAnsi="Arial" w:cs="Arial"/>
                <w:sz w:val="18"/>
                <w:szCs w:val="18"/>
              </w:rPr>
              <w:t xml:space="preserve">the Applicant is </w:t>
            </w:r>
            <w:r w:rsidRPr="0033268D">
              <w:rPr>
                <w:rFonts w:ascii="Arial" w:hAnsi="Arial" w:cs="Arial"/>
                <w:sz w:val="18"/>
                <w:szCs w:val="18"/>
              </w:rPr>
              <w:t xml:space="preserve">applying to be a Trading Participant, but </w:t>
            </w:r>
            <w:r w:rsidRPr="00A47229">
              <w:rPr>
                <w:rFonts w:ascii="Arial" w:hAnsi="Arial" w:cs="Arial"/>
                <w:sz w:val="18"/>
                <w:szCs w:val="18"/>
                <w:u w:val="single"/>
              </w:rPr>
              <w:t>not</w:t>
            </w:r>
            <w:r w:rsidRPr="003B20FE">
              <w:rPr>
                <w:rFonts w:ascii="Arial" w:hAnsi="Arial" w:cs="Arial"/>
                <w:sz w:val="18"/>
                <w:szCs w:val="18"/>
              </w:rPr>
              <w:t xml:space="preserve"> also applying to be a Clearing Participant</w:t>
            </w:r>
            <w:r>
              <w:rPr>
                <w:rFonts w:ascii="Arial" w:hAnsi="Arial" w:cs="Arial"/>
                <w:sz w:val="18"/>
                <w:szCs w:val="18"/>
              </w:rPr>
              <w:t>, it must</w:t>
            </w:r>
            <w:r w:rsidRPr="003B20FE">
              <w:rPr>
                <w:rFonts w:ascii="Arial" w:hAnsi="Arial" w:cs="Arial"/>
                <w:sz w:val="18"/>
                <w:szCs w:val="18"/>
              </w:rPr>
              <w:t>:</w:t>
            </w:r>
            <w:r>
              <w:rPr>
                <w:rFonts w:ascii="Arial" w:hAnsi="Arial" w:cs="Arial"/>
                <w:sz w:val="18"/>
                <w:szCs w:val="18"/>
              </w:rPr>
              <w:t xml:space="preserve"> </w:t>
            </w:r>
          </w:p>
          <w:p w14:paraId="75C37A35" w14:textId="77777777" w:rsidR="00E51998" w:rsidRPr="00203752" w:rsidRDefault="00E51998" w:rsidP="005D129C">
            <w:pPr>
              <w:numPr>
                <w:ilvl w:val="0"/>
                <w:numId w:val="1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H</w:t>
            </w:r>
            <w:r w:rsidRPr="00203752">
              <w:rPr>
                <w:rFonts w:ascii="Arial" w:hAnsi="Arial" w:cs="Arial"/>
                <w:sz w:val="18"/>
                <w:szCs w:val="18"/>
              </w:rPr>
              <w:t>ave third party clearing arrangement with at least one Clearing Participant;</w:t>
            </w:r>
          </w:p>
          <w:p w14:paraId="673432AC" w14:textId="77777777" w:rsidR="00E51998" w:rsidRPr="00203752" w:rsidRDefault="00E51998" w:rsidP="005D129C">
            <w:pPr>
              <w:numPr>
                <w:ilvl w:val="0"/>
                <w:numId w:val="1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03752">
              <w:rPr>
                <w:rFonts w:ascii="Arial" w:hAnsi="Arial" w:cs="Arial"/>
                <w:sz w:val="18"/>
                <w:szCs w:val="18"/>
              </w:rPr>
              <w:t>Be party to a C&amp;S Agreement with each Clearing Participant with whom that Trading Participant has third party clearing arrangements</w:t>
            </w:r>
            <w:r>
              <w:rPr>
                <w:rFonts w:ascii="Arial" w:hAnsi="Arial" w:cs="Arial"/>
                <w:sz w:val="18"/>
                <w:szCs w:val="18"/>
              </w:rPr>
              <w:t xml:space="preserve"> that complies with Rule 6.3</w:t>
            </w:r>
            <w:r w:rsidRPr="00203752">
              <w:rPr>
                <w:rFonts w:ascii="Arial" w:hAnsi="Arial" w:cs="Arial"/>
                <w:sz w:val="18"/>
                <w:szCs w:val="18"/>
              </w:rPr>
              <w:t>; and</w:t>
            </w:r>
          </w:p>
          <w:p w14:paraId="5888CE38" w14:textId="77777777" w:rsidR="00E51998" w:rsidRPr="00203752" w:rsidRDefault="00E51998" w:rsidP="005D129C">
            <w:pPr>
              <w:numPr>
                <w:ilvl w:val="0"/>
                <w:numId w:val="1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w:t>
            </w:r>
            <w:r w:rsidRPr="00203752">
              <w:rPr>
                <w:rFonts w:ascii="Arial" w:hAnsi="Arial" w:cs="Arial"/>
                <w:sz w:val="18"/>
                <w:szCs w:val="18"/>
              </w:rPr>
              <w:t>nsure that every third party clearing arrangement that it has with any Clearing Participant complies with </w:t>
            </w:r>
            <w:hyperlink r:id="rId12" w:history="1">
              <w:r w:rsidRPr="00E77457">
                <w:rPr>
                  <w:rFonts w:ascii="Arial" w:hAnsi="Arial" w:cs="Arial"/>
                  <w:sz w:val="18"/>
                  <w:szCs w:val="18"/>
                </w:rPr>
                <w:t>Rule 6.2</w:t>
              </w:r>
            </w:hyperlink>
            <w:r w:rsidRPr="00203752">
              <w:rPr>
                <w:rFonts w:ascii="Arial" w:hAnsi="Arial" w:cs="Arial"/>
                <w:sz w:val="18"/>
                <w:szCs w:val="18"/>
              </w:rPr>
              <w:t>.</w:t>
            </w:r>
          </w:p>
          <w:p w14:paraId="6D9CC65F" w14:textId="77777777" w:rsidR="00E51998" w:rsidRDefault="00E51998"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Please provide details of any such </w:t>
            </w:r>
            <w:r w:rsidRPr="00203752">
              <w:rPr>
                <w:rFonts w:ascii="Arial" w:hAnsi="Arial" w:cs="Arial"/>
                <w:sz w:val="18"/>
                <w:szCs w:val="18"/>
              </w:rPr>
              <w:t>third party clearing arrangement</w:t>
            </w:r>
            <w:r>
              <w:rPr>
                <w:rFonts w:ascii="Arial" w:hAnsi="Arial" w:cs="Arial"/>
                <w:sz w:val="18"/>
                <w:szCs w:val="18"/>
              </w:rPr>
              <w:t xml:space="preserve">s and copies of the applicable </w:t>
            </w:r>
            <w:r w:rsidRPr="00203752">
              <w:rPr>
                <w:rFonts w:ascii="Arial" w:hAnsi="Arial" w:cs="Arial"/>
                <w:sz w:val="18"/>
                <w:szCs w:val="18"/>
              </w:rPr>
              <w:t>C&amp;S Agreement</w:t>
            </w:r>
            <w:r>
              <w:rPr>
                <w:rFonts w:ascii="Arial" w:hAnsi="Arial" w:cs="Arial"/>
                <w:sz w:val="18"/>
                <w:szCs w:val="18"/>
              </w:rPr>
              <w:t>(s).</w:t>
            </w:r>
          </w:p>
          <w:p w14:paraId="135C1D1A" w14:textId="649621CB" w:rsidR="00ED3445" w:rsidRPr="0034243E" w:rsidRDefault="00ED3445" w:rsidP="005D129C">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3268D">
              <w:rPr>
                <w:rFonts w:ascii="Arial" w:hAnsi="Arial" w:cs="Arial"/>
                <w:sz w:val="18"/>
                <w:szCs w:val="18"/>
              </w:rPr>
              <w:t xml:space="preserve">If </w:t>
            </w:r>
            <w:r>
              <w:rPr>
                <w:rFonts w:ascii="Arial" w:hAnsi="Arial" w:cs="Arial"/>
                <w:sz w:val="18"/>
                <w:szCs w:val="18"/>
              </w:rPr>
              <w:t xml:space="preserve">the Applicant is </w:t>
            </w:r>
            <w:r w:rsidRPr="0033268D">
              <w:rPr>
                <w:rFonts w:ascii="Arial" w:hAnsi="Arial" w:cs="Arial"/>
                <w:sz w:val="18"/>
                <w:szCs w:val="18"/>
              </w:rPr>
              <w:t xml:space="preserve">applying to be a </w:t>
            </w:r>
            <w:r w:rsidRPr="003B20FE">
              <w:rPr>
                <w:rFonts w:ascii="Arial" w:hAnsi="Arial" w:cs="Arial"/>
                <w:sz w:val="18"/>
                <w:szCs w:val="18"/>
              </w:rPr>
              <w:t>Clearing Participant</w:t>
            </w:r>
            <w:r>
              <w:rPr>
                <w:rFonts w:ascii="Arial" w:hAnsi="Arial" w:cs="Arial"/>
                <w:sz w:val="18"/>
                <w:szCs w:val="18"/>
              </w:rPr>
              <w:t>, this should be noted here and the separate application made with all relevant information provided as per the Clearing Participant Application checklist.</w:t>
            </w:r>
          </w:p>
        </w:tc>
        <w:tc>
          <w:tcPr>
            <w:tcW w:w="3402" w:type="dxa"/>
          </w:tcPr>
          <w:p w14:paraId="4FD5315B"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40D351C4"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AA2EC5" w14:paraId="5480EFEC"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4C3CEFB"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Training Plan:</w:t>
            </w:r>
            <w:r w:rsidRPr="00E51998">
              <w:rPr>
                <w:rFonts w:ascii="Arial" w:hAnsi="Arial" w:cs="Arial"/>
                <w:bCs w:val="0"/>
                <w:sz w:val="18"/>
                <w:szCs w:val="18"/>
                <w:lang w:val="en-NZ"/>
              </w:rPr>
              <w:br/>
            </w:r>
            <w:r w:rsidRPr="00E51998">
              <w:rPr>
                <w:rFonts w:ascii="Arial" w:hAnsi="Arial" w:cs="Arial"/>
                <w:bCs w:val="0"/>
                <w:i/>
                <w:sz w:val="18"/>
                <w:szCs w:val="18"/>
                <w:lang w:val="en-NZ"/>
              </w:rPr>
              <w:t>(Rule 3.14)</w:t>
            </w:r>
          </w:p>
        </w:tc>
        <w:tc>
          <w:tcPr>
            <w:tcW w:w="5812" w:type="dxa"/>
          </w:tcPr>
          <w:p w14:paraId="36E84262" w14:textId="77777777" w:rsidR="00E51998" w:rsidRPr="00AA2EC5"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AA2EC5">
              <w:rPr>
                <w:rFonts w:ascii="Arial" w:hAnsi="Arial" w:cs="Arial"/>
                <w:sz w:val="18"/>
                <w:szCs w:val="18"/>
              </w:rPr>
              <w:t xml:space="preserve">Please provide </w:t>
            </w:r>
            <w:r>
              <w:rPr>
                <w:rFonts w:ascii="Arial" w:hAnsi="Arial" w:cs="Arial"/>
                <w:sz w:val="18"/>
                <w:szCs w:val="18"/>
              </w:rPr>
              <w:t>an Employee training plan that accounts for the requirements of Rule 3.14.</w:t>
            </w:r>
          </w:p>
        </w:tc>
        <w:tc>
          <w:tcPr>
            <w:tcW w:w="3402" w:type="dxa"/>
          </w:tcPr>
          <w:p w14:paraId="07478338"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260" w:type="dxa"/>
          </w:tcPr>
          <w:p w14:paraId="5D81B81C"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E51998" w:rsidRPr="00AC264F" w14:paraId="188001C7" w14:textId="77777777" w:rsidTr="001F6437">
        <w:tc>
          <w:tcPr>
            <w:cnfStyle w:val="001000000000" w:firstRow="0" w:lastRow="0" w:firstColumn="1" w:lastColumn="0" w:oddVBand="0" w:evenVBand="0" w:oddHBand="0" w:evenHBand="0" w:firstRowFirstColumn="0" w:firstRowLastColumn="0" w:lastRowFirstColumn="0" w:lastRowLastColumn="0"/>
            <w:tcW w:w="2268" w:type="dxa"/>
          </w:tcPr>
          <w:p w14:paraId="71812432"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Capital Adequacy</w:t>
            </w:r>
          </w:p>
          <w:p w14:paraId="02568ED9"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i/>
                <w:sz w:val="18"/>
                <w:szCs w:val="18"/>
                <w:lang w:val="en-NZ"/>
              </w:rPr>
              <w:t>(Section 19 of the Rules)</w:t>
            </w:r>
          </w:p>
        </w:tc>
        <w:tc>
          <w:tcPr>
            <w:tcW w:w="5812" w:type="dxa"/>
          </w:tcPr>
          <w:p w14:paraId="4DB2D7E6" w14:textId="77777777" w:rsidR="00E51998" w:rsidRPr="00AC264F" w:rsidRDefault="00E51998" w:rsidP="005D129C">
            <w:pPr>
              <w:tabs>
                <w:tab w:val="left" w:pos="-720"/>
              </w:tabs>
              <w:suppressAutoHyphens/>
              <w:spacing w:before="60" w:after="60"/>
              <w:ind w:left="720" w:hanging="7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264F">
              <w:rPr>
                <w:rFonts w:ascii="Arial" w:hAnsi="Arial" w:cs="Arial"/>
                <w:sz w:val="18"/>
                <w:szCs w:val="18"/>
              </w:rPr>
              <w:t>Please provide:</w:t>
            </w:r>
          </w:p>
          <w:p w14:paraId="61116DD1" w14:textId="77777777" w:rsidR="00E51998" w:rsidRPr="00AC264F" w:rsidRDefault="00E51998" w:rsidP="005D129C">
            <w:pPr>
              <w:numPr>
                <w:ilvl w:val="0"/>
                <w:numId w:val="12"/>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rPr>
              <w:t>Procedure manual for completing NZX’s daily Capital Adequacy Calculation and complying with Section 19 of the Rules</w:t>
            </w:r>
            <w:r w:rsidRPr="00AC264F">
              <w:rPr>
                <w:rFonts w:ascii="Arial" w:hAnsi="Arial" w:cs="Arial"/>
                <w:sz w:val="18"/>
                <w:szCs w:val="18"/>
              </w:rPr>
              <w:t xml:space="preserve">; and </w:t>
            </w:r>
          </w:p>
          <w:p w14:paraId="74AEE4E8" w14:textId="77777777" w:rsidR="00E51998" w:rsidRPr="00A47229" w:rsidRDefault="00E51998" w:rsidP="005D129C">
            <w:pPr>
              <w:numPr>
                <w:ilvl w:val="0"/>
                <w:numId w:val="12"/>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rPr>
              <w:t>A pro-forma Capital Adequacy Calculation using current financial statements to demonstrate a sufficient level of liquidity above the Prescribed Minimum Capital Adequacy</w:t>
            </w:r>
            <w:r w:rsidRPr="00AC264F">
              <w:rPr>
                <w:rFonts w:ascii="Arial" w:hAnsi="Arial" w:cs="Arial"/>
                <w:sz w:val="18"/>
                <w:szCs w:val="18"/>
              </w:rPr>
              <w:t>.</w:t>
            </w:r>
          </w:p>
          <w:p w14:paraId="74908D64" w14:textId="77777777" w:rsidR="00E51998" w:rsidRPr="00A47229" w:rsidRDefault="00E51998" w:rsidP="005D129C">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consult the Capital Adequacy Guidance Note for assistance in satisfying these requirements.</w:t>
            </w:r>
          </w:p>
        </w:tc>
        <w:tc>
          <w:tcPr>
            <w:tcW w:w="3402" w:type="dxa"/>
          </w:tcPr>
          <w:p w14:paraId="688D31EF"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14:paraId="0BC17A5D" w14:textId="77777777" w:rsidR="00E51998" w:rsidRPr="0052109B"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r>
      <w:tr w:rsidR="00E51998" w:rsidRPr="00A47229" w14:paraId="0F4B8B31"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1D0E76B"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Client Assets</w:t>
            </w:r>
          </w:p>
          <w:p w14:paraId="464AA938"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i/>
                <w:sz w:val="18"/>
                <w:szCs w:val="18"/>
                <w:lang w:val="en-NZ"/>
              </w:rPr>
              <w:t xml:space="preserve">(Section 18 of the </w:t>
            </w:r>
            <w:r w:rsidRPr="00E51998">
              <w:rPr>
                <w:rFonts w:ascii="Arial" w:hAnsi="Arial" w:cs="Arial"/>
                <w:bCs w:val="0"/>
                <w:i/>
                <w:sz w:val="18"/>
                <w:szCs w:val="18"/>
                <w:lang w:val="en-NZ"/>
              </w:rPr>
              <w:lastRenderedPageBreak/>
              <w:t>Rules)</w:t>
            </w:r>
          </w:p>
        </w:tc>
        <w:tc>
          <w:tcPr>
            <w:tcW w:w="5812" w:type="dxa"/>
          </w:tcPr>
          <w:p w14:paraId="394AAFC6" w14:textId="77777777" w:rsidR="00E51998" w:rsidRDefault="00E51998" w:rsidP="005D129C">
            <w:pPr>
              <w:tabs>
                <w:tab w:val="left" w:pos="-720"/>
              </w:tabs>
              <w:suppressAutoHyphens/>
              <w:spacing w:before="60" w:after="60"/>
              <w:ind w:left="720" w:hanging="720"/>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sidRPr="00AC264F">
              <w:rPr>
                <w:rFonts w:ascii="Arial" w:hAnsi="Arial" w:cs="Arial"/>
                <w:bCs/>
                <w:snapToGrid w:val="0"/>
                <w:sz w:val="18"/>
                <w:szCs w:val="18"/>
              </w:rPr>
              <w:lastRenderedPageBreak/>
              <w:t>Please provide:</w:t>
            </w:r>
          </w:p>
          <w:p w14:paraId="01461507" w14:textId="77777777" w:rsidR="00E51998" w:rsidRPr="007C2F47" w:rsidRDefault="00E51998" w:rsidP="005D129C">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lastRenderedPageBreak/>
              <w:t>Procedure manual for completing NZX’s daily Client Assets Reconciliations and complying with Section 18 of the Rules;</w:t>
            </w:r>
          </w:p>
          <w:p w14:paraId="78A155B4" w14:textId="47EA6D39" w:rsidR="00E51998" w:rsidRPr="007C2F47" w:rsidRDefault="00E51998" w:rsidP="005D129C">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Details of each of the Applicant’s Client Funds Accounts (</w:t>
            </w:r>
            <w:r w:rsidRPr="00BA7891">
              <w:rPr>
                <w:rFonts w:ascii="Arial" w:hAnsi="Arial" w:cs="Arial"/>
                <w:sz w:val="18"/>
                <w:szCs w:val="18"/>
              </w:rPr>
              <w:t>the words ‘Client Funds Account’</w:t>
            </w:r>
            <w:r>
              <w:rPr>
                <w:rFonts w:ascii="Arial" w:hAnsi="Arial" w:cs="Arial"/>
                <w:sz w:val="18"/>
                <w:szCs w:val="18"/>
              </w:rPr>
              <w:t>, ‘Client Trust Account’, or similar words as are required by legislation, to</w:t>
            </w:r>
            <w:r w:rsidRPr="00BA7891">
              <w:rPr>
                <w:rFonts w:ascii="Arial" w:hAnsi="Arial" w:cs="Arial"/>
                <w:sz w:val="18"/>
                <w:szCs w:val="18"/>
              </w:rPr>
              <w:t xml:space="preserve"> appear in</w:t>
            </w:r>
            <w:r>
              <w:rPr>
                <w:rFonts w:ascii="Arial" w:hAnsi="Arial" w:cs="Arial"/>
                <w:sz w:val="18"/>
                <w:szCs w:val="18"/>
              </w:rPr>
              <w:t xml:space="preserve"> the name of each account); </w:t>
            </w:r>
          </w:p>
          <w:p w14:paraId="4610680D" w14:textId="77777777" w:rsidR="00CC61BC" w:rsidRPr="0070503A" w:rsidRDefault="00E51998" w:rsidP="005D129C">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 xml:space="preserve">For each Client Funds Account, a written acknowledgement </w:t>
            </w:r>
            <w:r w:rsidRPr="00BA7891">
              <w:rPr>
                <w:rFonts w:ascii="Arial" w:hAnsi="Arial" w:cs="Arial"/>
                <w:sz w:val="18"/>
                <w:szCs w:val="18"/>
              </w:rPr>
              <w:t xml:space="preserve">from the Bank holding </w:t>
            </w:r>
            <w:r>
              <w:rPr>
                <w:rFonts w:ascii="Arial" w:hAnsi="Arial" w:cs="Arial"/>
                <w:sz w:val="18"/>
                <w:szCs w:val="18"/>
              </w:rPr>
              <w:t xml:space="preserve">the Client Funds Account </w:t>
            </w:r>
            <w:r w:rsidRPr="00BA7891">
              <w:rPr>
                <w:rFonts w:ascii="Arial" w:hAnsi="Arial" w:cs="Arial"/>
                <w:sz w:val="18"/>
                <w:szCs w:val="18"/>
              </w:rPr>
              <w:t>of the trust status of the account</w:t>
            </w:r>
            <w:r w:rsidR="00CC61BC">
              <w:rPr>
                <w:rFonts w:ascii="Arial" w:hAnsi="Arial" w:cs="Arial"/>
                <w:sz w:val="18"/>
                <w:szCs w:val="18"/>
              </w:rPr>
              <w:t>; and</w:t>
            </w:r>
          </w:p>
          <w:p w14:paraId="6061C204" w14:textId="4129FDD3" w:rsidR="00E51998" w:rsidRPr="00A47229" w:rsidRDefault="00CC61BC" w:rsidP="005D129C">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Examples of the supporting materials the applicant intends to use in conducting the Client Assets vs Total Obligations reconciliations required</w:t>
            </w:r>
            <w:r w:rsidR="000C6750">
              <w:rPr>
                <w:rFonts w:ascii="Arial" w:hAnsi="Arial" w:cs="Arial"/>
                <w:sz w:val="18"/>
                <w:szCs w:val="18"/>
              </w:rPr>
              <w:t>.</w:t>
            </w:r>
          </w:p>
          <w:p w14:paraId="215D00ED" w14:textId="77777777" w:rsidR="00E51998" w:rsidRPr="00A47229" w:rsidRDefault="00E51998" w:rsidP="005D129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sidRPr="00A47229">
              <w:rPr>
                <w:rFonts w:ascii="Arial" w:hAnsi="Arial" w:cs="Arial"/>
                <w:sz w:val="18"/>
                <w:szCs w:val="18"/>
              </w:rPr>
              <w:t>Please consult the Client Assets Guidance Note for assistance in satisfying these requirements.</w:t>
            </w:r>
          </w:p>
        </w:tc>
        <w:tc>
          <w:tcPr>
            <w:tcW w:w="3402" w:type="dxa"/>
          </w:tcPr>
          <w:p w14:paraId="07F9460A"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p>
        </w:tc>
        <w:tc>
          <w:tcPr>
            <w:tcW w:w="3260" w:type="dxa"/>
          </w:tcPr>
          <w:p w14:paraId="01009B1E" w14:textId="77777777" w:rsidR="00E51998" w:rsidRPr="0052109B"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p>
        </w:tc>
      </w:tr>
      <w:tr w:rsidR="00B019CB" w:rsidRPr="00B019CB" w14:paraId="412B6431" w14:textId="77777777" w:rsidTr="001F6437">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393380" w:themeFill="accent2"/>
          </w:tcPr>
          <w:p w14:paraId="1E691A87" w14:textId="3E423220" w:rsidR="00D445DE" w:rsidRPr="001F6437" w:rsidRDefault="00B019CB" w:rsidP="00B019CB">
            <w:pPr>
              <w:tabs>
                <w:tab w:val="left" w:pos="-720"/>
              </w:tabs>
              <w:suppressAutoHyphens/>
              <w:jc w:val="center"/>
              <w:rPr>
                <w:rFonts w:ascii="Arial" w:hAnsi="Arial" w:cs="Arial"/>
                <w:bCs w:val="0"/>
                <w:snapToGrid w:val="0"/>
                <w:color w:val="FFFFFF"/>
                <w:sz w:val="18"/>
                <w:szCs w:val="18"/>
              </w:rPr>
            </w:pPr>
            <w:r w:rsidRPr="00B019CB">
              <w:rPr>
                <w:rFonts w:ascii="Arial" w:hAnsi="Arial" w:cs="Arial"/>
                <w:bCs w:val="0"/>
                <w:color w:val="FFFFFF"/>
                <w:sz w:val="19"/>
                <w:szCs w:val="19"/>
              </w:rPr>
              <w:t>OVERSEAS APPLICANTS ONLY (NZ RegCo to advise which of the following apply)</w:t>
            </w:r>
          </w:p>
        </w:tc>
      </w:tr>
      <w:tr w:rsidR="00B019CB" w:rsidRPr="00A47229" w14:paraId="1280466F" w14:textId="77777777" w:rsidTr="001F6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415C256" w14:textId="77777777" w:rsidR="00B019CB" w:rsidRPr="00BC5ED6" w:rsidRDefault="00B019CB" w:rsidP="00B019CB">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t>AML Legislation</w:t>
            </w:r>
          </w:p>
          <w:p w14:paraId="764007CB" w14:textId="71CD2133" w:rsidR="00B019CB" w:rsidRPr="00E51998" w:rsidRDefault="00B019CB" w:rsidP="00B019CB">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Pr>
                <w:rFonts w:ascii="Arial" w:hAnsi="Arial" w:cs="Arial"/>
                <w:bCs w:val="0"/>
                <w:i/>
                <w:iCs/>
                <w:sz w:val="18"/>
                <w:szCs w:val="18"/>
                <w:lang w:val="en-NZ"/>
              </w:rPr>
              <w:t>(</w:t>
            </w:r>
            <w:r w:rsidRPr="00BC5ED6">
              <w:rPr>
                <w:rFonts w:ascii="Arial" w:hAnsi="Arial" w:cs="Arial"/>
                <w:bCs w:val="0"/>
                <w:i/>
                <w:iCs/>
                <w:sz w:val="18"/>
                <w:szCs w:val="18"/>
                <w:lang w:val="en-NZ"/>
              </w:rPr>
              <w:t>Rule 3.2.2)</w:t>
            </w:r>
          </w:p>
        </w:tc>
        <w:tc>
          <w:tcPr>
            <w:tcW w:w="5812" w:type="dxa"/>
            <w:shd w:val="clear" w:color="auto" w:fill="FFFFFF" w:themeFill="background1"/>
          </w:tcPr>
          <w:p w14:paraId="657F9810" w14:textId="77777777" w:rsidR="00B019CB" w:rsidRDefault="00B019CB" w:rsidP="00B019CB">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An Overseas Applicant that is not subject to the AML Legislation must satisfy NZ RegCo that it is subject to foreign legislation or rules of any foreign regulatory authority applicable to an Overseas Applicant which is generally equivalent to, or more onerous than, the requirements of the AML Legislation.</w:t>
            </w:r>
          </w:p>
          <w:p w14:paraId="1177DBAD" w14:textId="6AF98570" w:rsidR="00B019CB" w:rsidRPr="00AC264F" w:rsidRDefault="00B019CB" w:rsidP="004D74D2">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If an Overseas Applicant cannot satisfy NZ RegCo of such, NZ RegCo may require the Overseas Applicant to comply with the requirements of the AML Legislation.</w:t>
            </w:r>
          </w:p>
        </w:tc>
        <w:tc>
          <w:tcPr>
            <w:tcW w:w="3402" w:type="dxa"/>
            <w:shd w:val="clear" w:color="auto" w:fill="FFFFFF" w:themeFill="background1"/>
          </w:tcPr>
          <w:p w14:paraId="3E334919" w14:textId="77777777" w:rsidR="00B019CB" w:rsidRPr="0052109B" w:rsidRDefault="00B019CB" w:rsidP="00B019CB">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p>
        </w:tc>
        <w:tc>
          <w:tcPr>
            <w:tcW w:w="3260" w:type="dxa"/>
            <w:shd w:val="clear" w:color="auto" w:fill="FFFFFF" w:themeFill="background1"/>
          </w:tcPr>
          <w:p w14:paraId="50882856" w14:textId="77777777" w:rsidR="00B019CB" w:rsidRPr="0052109B" w:rsidRDefault="00B019CB" w:rsidP="00B019CB">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p>
        </w:tc>
      </w:tr>
      <w:tr w:rsidR="00B019CB" w:rsidRPr="00A47229" w14:paraId="55E16B78" w14:textId="77777777" w:rsidTr="001F6437">
        <w:tc>
          <w:tcPr>
            <w:cnfStyle w:val="001000000000" w:firstRow="0" w:lastRow="0" w:firstColumn="1" w:lastColumn="0" w:oddVBand="0" w:evenVBand="0" w:oddHBand="0" w:evenHBand="0" w:firstRowFirstColumn="0" w:firstRowLastColumn="0" w:lastRowFirstColumn="0" w:lastRowLastColumn="0"/>
            <w:tcW w:w="2268" w:type="dxa"/>
            <w:shd w:val="clear" w:color="auto" w:fill="D1CFEC" w:themeFill="accent2" w:themeFillTint="33"/>
          </w:tcPr>
          <w:p w14:paraId="0180FB8C" w14:textId="77777777" w:rsidR="00B019CB" w:rsidRPr="00BC5ED6" w:rsidRDefault="00B019CB" w:rsidP="00B019CB">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t>Additional Undertakings</w:t>
            </w:r>
          </w:p>
          <w:p w14:paraId="7055BF2F" w14:textId="4C3EE607" w:rsidR="00B019CB" w:rsidRPr="00E51998" w:rsidRDefault="00B019CB" w:rsidP="00B019CB">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BC5ED6">
              <w:rPr>
                <w:rFonts w:ascii="Arial" w:hAnsi="Arial" w:cs="Arial"/>
                <w:bCs w:val="0"/>
                <w:i/>
                <w:iCs/>
                <w:sz w:val="18"/>
                <w:szCs w:val="18"/>
                <w:lang w:val="en-NZ"/>
              </w:rPr>
              <w:t>(Rule 3.2.</w:t>
            </w:r>
            <w:r>
              <w:rPr>
                <w:rFonts w:ascii="Arial" w:hAnsi="Arial" w:cs="Arial"/>
                <w:bCs w:val="0"/>
                <w:i/>
                <w:iCs/>
                <w:sz w:val="18"/>
                <w:szCs w:val="18"/>
                <w:lang w:val="en-NZ"/>
              </w:rPr>
              <w:t>3</w:t>
            </w:r>
            <w:r w:rsidRPr="00BC5ED6">
              <w:rPr>
                <w:rFonts w:ascii="Arial" w:hAnsi="Arial" w:cs="Arial"/>
                <w:bCs w:val="0"/>
                <w:i/>
                <w:iCs/>
                <w:sz w:val="18"/>
                <w:szCs w:val="18"/>
                <w:lang w:val="en-NZ"/>
              </w:rPr>
              <w:t>)</w:t>
            </w:r>
          </w:p>
        </w:tc>
        <w:tc>
          <w:tcPr>
            <w:tcW w:w="5812" w:type="dxa"/>
            <w:shd w:val="clear" w:color="auto" w:fill="D1CFEC" w:themeFill="accent2" w:themeFillTint="33"/>
          </w:tcPr>
          <w:p w14:paraId="24945B52" w14:textId="240B6EEA" w:rsidR="00B019CB" w:rsidRPr="00AC264F" w:rsidRDefault="00B019CB" w:rsidP="004D74D2">
            <w:pPr>
              <w:tabs>
                <w:tab w:val="left" w:pos="-720"/>
              </w:tabs>
              <w:suppressAutoHyphens/>
              <w:spacing w:before="60" w:after="60"/>
              <w:ind w:left="34" w:hanging="11"/>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NZ RegCo may require an Overseas Applicant to give additional undertakings in relation to any matter that NZ RegCo, at its complete discretion, considers reasonable and in the best interests of ensuring fair and orderly markets.</w:t>
            </w:r>
          </w:p>
        </w:tc>
        <w:tc>
          <w:tcPr>
            <w:tcW w:w="3402" w:type="dxa"/>
            <w:shd w:val="clear" w:color="auto" w:fill="D1CFEC" w:themeFill="accent2" w:themeFillTint="33"/>
          </w:tcPr>
          <w:p w14:paraId="6A802C55" w14:textId="77777777" w:rsidR="00B019CB" w:rsidRPr="0052109B" w:rsidRDefault="00B019CB" w:rsidP="00B019CB">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p>
        </w:tc>
        <w:tc>
          <w:tcPr>
            <w:tcW w:w="3260" w:type="dxa"/>
            <w:shd w:val="clear" w:color="auto" w:fill="D1CFEC" w:themeFill="accent2" w:themeFillTint="33"/>
          </w:tcPr>
          <w:p w14:paraId="5231A706" w14:textId="77777777" w:rsidR="00B019CB" w:rsidRPr="0052109B" w:rsidRDefault="00B019CB" w:rsidP="00B019CB">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Cs/>
                <w:snapToGrid w:val="0"/>
                <w:sz w:val="18"/>
                <w:szCs w:val="18"/>
              </w:rPr>
            </w:pPr>
          </w:p>
        </w:tc>
      </w:tr>
    </w:tbl>
    <w:p w14:paraId="6027A09B" w14:textId="77777777" w:rsidR="00F54280" w:rsidRDefault="00F54280" w:rsidP="00E51998"/>
    <w:sectPr w:rsidR="00F54280" w:rsidSect="00E51998">
      <w:headerReference w:type="default" r:id="rId13"/>
      <w:footerReference w:type="default" r:id="rId14"/>
      <w:pgSz w:w="16838" w:h="11906" w:orient="landscape"/>
      <w:pgMar w:top="0" w:right="1134" w:bottom="1758" w:left="1134" w:header="47" w:footer="28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CE84" w14:textId="77777777" w:rsidR="00E51998" w:rsidRDefault="00E51998" w:rsidP="00ED591E">
      <w:r>
        <w:separator/>
      </w:r>
    </w:p>
    <w:p w14:paraId="67304FA1" w14:textId="77777777" w:rsidR="00E51998" w:rsidRDefault="00E51998"/>
  </w:endnote>
  <w:endnote w:type="continuationSeparator" w:id="0">
    <w:p w14:paraId="175AC4DE" w14:textId="77777777" w:rsidR="00E51998" w:rsidRDefault="00E51998" w:rsidP="00ED591E">
      <w:r>
        <w:continuationSeparator/>
      </w:r>
    </w:p>
    <w:p w14:paraId="103F3DE3" w14:textId="77777777" w:rsidR="00E51998" w:rsidRDefault="00E5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5295" w:type="dxa"/>
      <w:tblLook w:val="04A0" w:firstRow="1" w:lastRow="0" w:firstColumn="1" w:lastColumn="0" w:noHBand="0" w:noVBand="1"/>
    </w:tblPr>
    <w:tblGrid>
      <w:gridCol w:w="1291"/>
      <w:gridCol w:w="13604"/>
      <w:gridCol w:w="400"/>
    </w:tblGrid>
    <w:tr w:rsidR="004B670D" w14:paraId="5B3FC2F4" w14:textId="77777777" w:rsidTr="00E51998">
      <w:trPr>
        <w:trHeight w:val="377"/>
      </w:trPr>
      <w:tc>
        <w:tcPr>
          <w:tcW w:w="1291" w:type="dxa"/>
          <w:vMerge w:val="restart"/>
          <w:vAlign w:val="center"/>
        </w:tcPr>
        <w:p w14:paraId="058F9747" w14:textId="77777777" w:rsidR="004B670D" w:rsidRDefault="004B670D" w:rsidP="004B670D">
          <w:pPr>
            <w:pStyle w:val="Footer"/>
            <w:tabs>
              <w:tab w:val="right" w:pos="9498"/>
            </w:tabs>
            <w:ind w:right="-57"/>
            <w:jc w:val="left"/>
          </w:pPr>
          <w:r>
            <w:rPr>
              <w:noProof/>
              <w:lang w:eastAsia="en-NZ"/>
            </w:rPr>
            <w:drawing>
              <wp:anchor distT="0" distB="0" distL="114300" distR="114300" simplePos="0" relativeHeight="251659264" behindDoc="1" locked="0" layoutInCell="1" allowOverlap="1" wp14:anchorId="48BD6AE6" wp14:editId="25BAD4E5">
                <wp:simplePos x="0" y="0"/>
                <wp:positionH relativeFrom="column">
                  <wp:posOffset>470640</wp:posOffset>
                </wp:positionH>
                <wp:positionV relativeFrom="page">
                  <wp:posOffset>10209125</wp:posOffset>
                </wp:positionV>
                <wp:extent cx="5467350" cy="1568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7951" t="8759" b="-1"/>
                        <a:stretch/>
                      </pic:blipFill>
                      <pic:spPr bwMode="auto">
                        <a:xfrm>
                          <a:off x="0" y="0"/>
                          <a:ext cx="5467350" cy="15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left" w:leader="none"/>
          </w:r>
          <w:r>
            <w:t xml:space="preserve">NZ RegCo </w:t>
          </w:r>
        </w:p>
      </w:tc>
      <w:tc>
        <w:tcPr>
          <w:tcW w:w="13604" w:type="dxa"/>
          <w:tcBorders>
            <w:bottom w:val="single" w:sz="2" w:space="0" w:color="393380" w:themeColor="accent2"/>
          </w:tcBorders>
          <w:vAlign w:val="center"/>
        </w:tcPr>
        <w:p w14:paraId="70AB3F74" w14:textId="77777777" w:rsidR="004B670D" w:rsidRDefault="004B670D" w:rsidP="004B670D">
          <w:pPr>
            <w:pStyle w:val="Footer"/>
            <w:tabs>
              <w:tab w:val="right" w:pos="9498"/>
            </w:tabs>
            <w:ind w:right="-57"/>
          </w:pPr>
        </w:p>
      </w:tc>
      <w:tc>
        <w:tcPr>
          <w:tcW w:w="400" w:type="dxa"/>
          <w:vMerge w:val="restart"/>
          <w:vAlign w:val="center"/>
        </w:tcPr>
        <w:p w14:paraId="74AE3BF9" w14:textId="77777777" w:rsidR="004B670D" w:rsidRDefault="004B670D" w:rsidP="004B670D">
          <w:pPr>
            <w:pStyle w:val="Footer"/>
            <w:tabs>
              <w:tab w:val="right" w:pos="9498"/>
            </w:tabs>
            <w:ind w:right="0"/>
          </w:pPr>
          <w:r w:rsidRPr="00E71CCC">
            <w:fldChar w:fldCharType="begin"/>
          </w:r>
          <w:r w:rsidRPr="00E71CCC">
            <w:instrText xml:space="preserve"> PAGE   \* MERGEFORMAT </w:instrText>
          </w:r>
          <w:r w:rsidRPr="00E71CCC">
            <w:fldChar w:fldCharType="separate"/>
          </w:r>
          <w:r w:rsidR="00EB643D">
            <w:rPr>
              <w:noProof/>
            </w:rPr>
            <w:t>1</w:t>
          </w:r>
          <w:r w:rsidRPr="00E71CCC">
            <w:fldChar w:fldCharType="end"/>
          </w:r>
        </w:p>
      </w:tc>
    </w:tr>
    <w:tr w:rsidR="004B670D" w14:paraId="0E0E1B1D" w14:textId="77777777" w:rsidTr="00E51998">
      <w:trPr>
        <w:trHeight w:val="411"/>
      </w:trPr>
      <w:tc>
        <w:tcPr>
          <w:tcW w:w="1291" w:type="dxa"/>
          <w:vMerge/>
        </w:tcPr>
        <w:p w14:paraId="38270274" w14:textId="77777777" w:rsidR="004B670D" w:rsidRDefault="004B670D" w:rsidP="004B670D">
          <w:pPr>
            <w:pStyle w:val="Footer"/>
            <w:tabs>
              <w:tab w:val="right" w:pos="9498"/>
            </w:tabs>
            <w:ind w:right="-57"/>
          </w:pPr>
        </w:p>
      </w:tc>
      <w:tc>
        <w:tcPr>
          <w:tcW w:w="13604" w:type="dxa"/>
          <w:tcBorders>
            <w:top w:val="single" w:sz="2" w:space="0" w:color="393380" w:themeColor="accent2"/>
          </w:tcBorders>
        </w:tcPr>
        <w:p w14:paraId="4B95E0A0" w14:textId="77777777" w:rsidR="004B670D" w:rsidRDefault="004B670D" w:rsidP="004B670D">
          <w:pPr>
            <w:pStyle w:val="Footer"/>
            <w:tabs>
              <w:tab w:val="right" w:pos="9498"/>
            </w:tabs>
            <w:ind w:right="-57"/>
          </w:pPr>
        </w:p>
      </w:tc>
      <w:tc>
        <w:tcPr>
          <w:tcW w:w="400" w:type="dxa"/>
          <w:vMerge/>
        </w:tcPr>
        <w:p w14:paraId="4FD734B6" w14:textId="77777777" w:rsidR="004B670D" w:rsidRDefault="004B670D" w:rsidP="004B670D">
          <w:pPr>
            <w:pStyle w:val="Footer"/>
            <w:tabs>
              <w:tab w:val="right" w:pos="9498"/>
            </w:tabs>
            <w:ind w:right="-57"/>
          </w:pPr>
        </w:p>
      </w:tc>
    </w:tr>
  </w:tbl>
  <w:p w14:paraId="4E32D7B7" w14:textId="77777777" w:rsidR="00E71CCC" w:rsidRPr="004B670D" w:rsidRDefault="00E71CCC" w:rsidP="004B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3C6D" w14:textId="77777777" w:rsidR="00E51998" w:rsidRDefault="00E51998" w:rsidP="00ED591E">
      <w:r>
        <w:separator/>
      </w:r>
    </w:p>
    <w:p w14:paraId="73A00925" w14:textId="77777777" w:rsidR="00E51998" w:rsidRDefault="00E51998"/>
  </w:footnote>
  <w:footnote w:type="continuationSeparator" w:id="0">
    <w:p w14:paraId="57FE199E" w14:textId="77777777" w:rsidR="00E51998" w:rsidRDefault="00E51998" w:rsidP="00ED591E">
      <w:r>
        <w:continuationSeparator/>
      </w:r>
    </w:p>
    <w:p w14:paraId="4A29AD8C" w14:textId="77777777" w:rsidR="00E51998" w:rsidRDefault="00E51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DA16" w14:textId="77777777" w:rsidR="00EE6F4E" w:rsidRDefault="00E51998" w:rsidP="00EC2FDC">
    <w:pPr>
      <w:pStyle w:val="HeaderGap"/>
    </w:pPr>
    <w:r>
      <w:rPr>
        <w:noProof/>
        <w:lang w:eastAsia="en-NZ"/>
      </w:rPr>
      <w:drawing>
        <wp:anchor distT="0" distB="0" distL="114300" distR="114300" simplePos="0" relativeHeight="251660288" behindDoc="0" locked="0" layoutInCell="1" allowOverlap="1" wp14:anchorId="2EA111BD" wp14:editId="74324CE9">
          <wp:simplePos x="0" y="0"/>
          <wp:positionH relativeFrom="column">
            <wp:posOffset>-127000</wp:posOffset>
          </wp:positionH>
          <wp:positionV relativeFrom="page">
            <wp:posOffset>142875</wp:posOffset>
          </wp:positionV>
          <wp:extent cx="1241425" cy="1061720"/>
          <wp:effectExtent l="0" t="0" r="0" b="0"/>
          <wp:wrapTopAndBottom/>
          <wp:docPr id="40" name="Picture 4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1061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D4367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EC52C90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B4433D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6400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E30F39"/>
    <w:multiLevelType w:val="multilevel"/>
    <w:tmpl w:val="38742EB4"/>
    <w:lvl w:ilvl="0">
      <w:start w:val="1"/>
      <w:numFmt w:val="decimal"/>
      <w:pStyle w:val="ListNumber"/>
      <w:lvlText w:val="%1."/>
      <w:lvlJc w:val="left"/>
      <w:pPr>
        <w:ind w:left="340" w:hanging="340"/>
      </w:pPr>
      <w:rPr>
        <w:rFonts w:hint="default"/>
        <w:b/>
        <w:i w:val="0"/>
      </w:rPr>
    </w:lvl>
    <w:lvl w:ilvl="1">
      <w:start w:val="1"/>
      <w:numFmt w:val="lowerLetter"/>
      <w:pStyle w:val="ListNumber2"/>
      <w:lvlText w:val="%2."/>
      <w:lvlJc w:val="left"/>
      <w:pPr>
        <w:ind w:left="680" w:hanging="34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2414D6"/>
    <w:multiLevelType w:val="hybridMultilevel"/>
    <w:tmpl w:val="1C10D522"/>
    <w:lvl w:ilvl="0" w:tplc="8C3A1BA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1E3377C"/>
    <w:multiLevelType w:val="hybridMultilevel"/>
    <w:tmpl w:val="99C8FE4A"/>
    <w:lvl w:ilvl="0" w:tplc="14090017">
      <w:start w:val="1"/>
      <w:numFmt w:val="lowerLetter"/>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5B66EC5"/>
    <w:multiLevelType w:val="hybridMultilevel"/>
    <w:tmpl w:val="9AE6D83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3A15C2E"/>
    <w:multiLevelType w:val="hybridMultilevel"/>
    <w:tmpl w:val="23445E4E"/>
    <w:lvl w:ilvl="0" w:tplc="44DAAA80">
      <w:start w:val="1"/>
      <w:numFmt w:val="lowerLetter"/>
      <w:lvlText w:val="%1)"/>
      <w:lvlJc w:val="left"/>
      <w:pPr>
        <w:ind w:left="1080" w:hanging="360"/>
      </w:pPr>
      <w:rPr>
        <w:rFonts w:ascii="Arial" w:eastAsia="Times New Roman" w:hAnsi="Arial" w:cs="Arial"/>
      </w:rPr>
    </w:lvl>
    <w:lvl w:ilvl="1" w:tplc="14090019">
      <w:start w:val="1"/>
      <w:numFmt w:val="lowerLetter"/>
      <w:lvlText w:val="%2."/>
      <w:lvlJc w:val="left"/>
      <w:pPr>
        <w:ind w:left="1800" w:hanging="360"/>
      </w:pPr>
    </w:lvl>
    <w:lvl w:ilvl="2" w:tplc="1409001B">
      <w:start w:val="1"/>
      <w:numFmt w:val="lowerRoman"/>
      <w:lvlText w:val="%3."/>
      <w:lvlJc w:val="right"/>
      <w:pPr>
        <w:ind w:left="605"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37A62309"/>
    <w:multiLevelType w:val="hybridMultilevel"/>
    <w:tmpl w:val="96DCE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3617B8"/>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4C17612D"/>
    <w:multiLevelType w:val="hybridMultilevel"/>
    <w:tmpl w:val="2BDE6658"/>
    <w:lvl w:ilvl="0" w:tplc="14090017">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51CA0727"/>
    <w:multiLevelType w:val="hybridMultilevel"/>
    <w:tmpl w:val="9AE6D83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5616615D"/>
    <w:multiLevelType w:val="hybridMultilevel"/>
    <w:tmpl w:val="18A6040C"/>
    <w:lvl w:ilvl="0" w:tplc="7ED0575E">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57094200"/>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6BA858DB"/>
    <w:multiLevelType w:val="multilevel"/>
    <w:tmpl w:val="FEFE08BC"/>
    <w:lvl w:ilvl="0">
      <w:start w:val="1"/>
      <w:numFmt w:val="bullet"/>
      <w:pStyle w:val="ListBullet"/>
      <w:lvlText w:val=""/>
      <w:lvlJc w:val="left"/>
      <w:pPr>
        <w:ind w:left="340" w:hanging="340"/>
      </w:pPr>
      <w:rPr>
        <w:rFonts w:ascii="Wingdings" w:hAnsi="Wingdings" w:hint="default"/>
      </w:rPr>
    </w:lvl>
    <w:lvl w:ilvl="1">
      <w:start w:val="1"/>
      <w:numFmt w:val="bullet"/>
      <w:pStyle w:val="ListBullet2"/>
      <w:lvlText w:val="–"/>
      <w:lvlJc w:val="left"/>
      <w:pPr>
        <w:ind w:left="680" w:hanging="34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52787213">
    <w:abstractNumId w:val="3"/>
  </w:num>
  <w:num w:numId="2" w16cid:durableId="1225946135">
    <w:abstractNumId w:val="1"/>
  </w:num>
  <w:num w:numId="3" w16cid:durableId="572742364">
    <w:abstractNumId w:val="2"/>
  </w:num>
  <w:num w:numId="4" w16cid:durableId="961808638">
    <w:abstractNumId w:val="0"/>
  </w:num>
  <w:num w:numId="5" w16cid:durableId="974796518">
    <w:abstractNumId w:val="15"/>
  </w:num>
  <w:num w:numId="6" w16cid:durableId="1761026119">
    <w:abstractNumId w:val="4"/>
  </w:num>
  <w:num w:numId="7" w16cid:durableId="235476837">
    <w:abstractNumId w:val="13"/>
  </w:num>
  <w:num w:numId="8" w16cid:durableId="889732498">
    <w:abstractNumId w:val="11"/>
  </w:num>
  <w:num w:numId="9" w16cid:durableId="1358921058">
    <w:abstractNumId w:val="14"/>
  </w:num>
  <w:num w:numId="10" w16cid:durableId="467286035">
    <w:abstractNumId w:val="9"/>
  </w:num>
  <w:num w:numId="11" w16cid:durableId="1146703336">
    <w:abstractNumId w:val="6"/>
  </w:num>
  <w:num w:numId="12" w16cid:durableId="1775708154">
    <w:abstractNumId w:val="7"/>
  </w:num>
  <w:num w:numId="13" w16cid:durableId="1687244721">
    <w:abstractNumId w:val="8"/>
  </w:num>
  <w:num w:numId="14" w16cid:durableId="992484275">
    <w:abstractNumId w:val="10"/>
  </w:num>
  <w:num w:numId="15" w16cid:durableId="1857115561">
    <w:abstractNumId w:val="5"/>
  </w:num>
  <w:num w:numId="16" w16cid:durableId="1594437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TA2NzKwMDIyNzVT0lEKTi0uzszPAykwrwUAswTgJiwAAAA="/>
  </w:docVars>
  <w:rsids>
    <w:rsidRoot w:val="00E51998"/>
    <w:rsid w:val="00053FE4"/>
    <w:rsid w:val="00067354"/>
    <w:rsid w:val="00090348"/>
    <w:rsid w:val="000B02CF"/>
    <w:rsid w:val="000C6750"/>
    <w:rsid w:val="00113054"/>
    <w:rsid w:val="0015375D"/>
    <w:rsid w:val="00157BF9"/>
    <w:rsid w:val="001A1314"/>
    <w:rsid w:val="001A5B55"/>
    <w:rsid w:val="001F59CF"/>
    <w:rsid w:val="001F6437"/>
    <w:rsid w:val="00221FA1"/>
    <w:rsid w:val="00240B88"/>
    <w:rsid w:val="002B6E24"/>
    <w:rsid w:val="00317D44"/>
    <w:rsid w:val="00317E5B"/>
    <w:rsid w:val="00397767"/>
    <w:rsid w:val="003A190F"/>
    <w:rsid w:val="003C08F1"/>
    <w:rsid w:val="004430B5"/>
    <w:rsid w:val="00444281"/>
    <w:rsid w:val="004B670D"/>
    <w:rsid w:val="004D74D2"/>
    <w:rsid w:val="004E0B35"/>
    <w:rsid w:val="0050113B"/>
    <w:rsid w:val="005026E9"/>
    <w:rsid w:val="00507F50"/>
    <w:rsid w:val="005200F2"/>
    <w:rsid w:val="0052109B"/>
    <w:rsid w:val="005256D9"/>
    <w:rsid w:val="005305BB"/>
    <w:rsid w:val="00540C15"/>
    <w:rsid w:val="00546DB8"/>
    <w:rsid w:val="00550561"/>
    <w:rsid w:val="00552CEC"/>
    <w:rsid w:val="00580FE1"/>
    <w:rsid w:val="00581FAE"/>
    <w:rsid w:val="005A3DD9"/>
    <w:rsid w:val="005B74A2"/>
    <w:rsid w:val="005D129C"/>
    <w:rsid w:val="005F152E"/>
    <w:rsid w:val="006143E6"/>
    <w:rsid w:val="00686E3C"/>
    <w:rsid w:val="006D425C"/>
    <w:rsid w:val="006D6493"/>
    <w:rsid w:val="0070503A"/>
    <w:rsid w:val="00732D54"/>
    <w:rsid w:val="00771424"/>
    <w:rsid w:val="00776460"/>
    <w:rsid w:val="0088308E"/>
    <w:rsid w:val="00883CFC"/>
    <w:rsid w:val="008A3605"/>
    <w:rsid w:val="008C78D2"/>
    <w:rsid w:val="008F1CB9"/>
    <w:rsid w:val="0090404F"/>
    <w:rsid w:val="00920249"/>
    <w:rsid w:val="009D2AA3"/>
    <w:rsid w:val="009E5D9B"/>
    <w:rsid w:val="00A145D3"/>
    <w:rsid w:val="00A25D61"/>
    <w:rsid w:val="00AB7200"/>
    <w:rsid w:val="00AC20DD"/>
    <w:rsid w:val="00AC495A"/>
    <w:rsid w:val="00B019CB"/>
    <w:rsid w:val="00B53D3F"/>
    <w:rsid w:val="00B54C36"/>
    <w:rsid w:val="00B57087"/>
    <w:rsid w:val="00BB54DD"/>
    <w:rsid w:val="00BC6D8F"/>
    <w:rsid w:val="00C240F3"/>
    <w:rsid w:val="00C505E1"/>
    <w:rsid w:val="00C52EF5"/>
    <w:rsid w:val="00C55E8D"/>
    <w:rsid w:val="00C77BF1"/>
    <w:rsid w:val="00CC61BC"/>
    <w:rsid w:val="00D059F0"/>
    <w:rsid w:val="00D155E4"/>
    <w:rsid w:val="00D445DE"/>
    <w:rsid w:val="00D622C0"/>
    <w:rsid w:val="00D8400D"/>
    <w:rsid w:val="00DF2424"/>
    <w:rsid w:val="00DF7C87"/>
    <w:rsid w:val="00E31015"/>
    <w:rsid w:val="00E34F77"/>
    <w:rsid w:val="00E51998"/>
    <w:rsid w:val="00E71CCC"/>
    <w:rsid w:val="00E72578"/>
    <w:rsid w:val="00EB643D"/>
    <w:rsid w:val="00EB6927"/>
    <w:rsid w:val="00EC16DD"/>
    <w:rsid w:val="00EC2FDC"/>
    <w:rsid w:val="00EC669C"/>
    <w:rsid w:val="00ED3445"/>
    <w:rsid w:val="00ED52A1"/>
    <w:rsid w:val="00ED591E"/>
    <w:rsid w:val="00EE6F4E"/>
    <w:rsid w:val="00F06DFE"/>
    <w:rsid w:val="00F42B10"/>
    <w:rsid w:val="00F43562"/>
    <w:rsid w:val="00F54280"/>
    <w:rsid w:val="00F627BA"/>
    <w:rsid w:val="00F937B1"/>
    <w:rsid w:val="00F943EB"/>
    <w:rsid w:val="00FF47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715DFD"/>
  <w15:chartTrackingRefBased/>
  <w15:docId w15:val="{07CDC158-CFD2-4D72-AB20-DB24DBC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nhideWhenUsed="1"/>
    <w:lsdException w:name="List Bullet 4" w:semiHidden="1" w:unhideWhenUsed="1"/>
    <w:lsdException w:name="List Bullet 5" w:semiHidden="1" w:unhideWhenUsed="1"/>
    <w:lsdException w:name="List Number 2" w:uiPriority="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4"/>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70D"/>
    <w:pPr>
      <w:spacing w:after="120" w:line="260" w:lineRule="atLeast"/>
    </w:pPr>
    <w:rPr>
      <w:sz w:val="20"/>
      <w:szCs w:val="20"/>
    </w:rPr>
  </w:style>
  <w:style w:type="paragraph" w:styleId="Heading1">
    <w:name w:val="heading 1"/>
    <w:basedOn w:val="Normal"/>
    <w:next w:val="Normal"/>
    <w:link w:val="Heading1Char"/>
    <w:uiPriority w:val="9"/>
    <w:qFormat/>
    <w:rsid w:val="00E31015"/>
    <w:pPr>
      <w:spacing w:after="240" w:line="420" w:lineRule="atLeast"/>
      <w:outlineLvl w:val="0"/>
    </w:pPr>
    <w:rPr>
      <w:b/>
      <w:bCs/>
      <w:color w:val="393380" w:themeColor="accent2"/>
      <w:spacing w:val="-2"/>
      <w:sz w:val="34"/>
      <w:szCs w:val="34"/>
    </w:rPr>
  </w:style>
  <w:style w:type="paragraph" w:styleId="Heading2">
    <w:name w:val="heading 2"/>
    <w:basedOn w:val="Normal"/>
    <w:next w:val="Normal"/>
    <w:link w:val="Heading2Char"/>
    <w:uiPriority w:val="9"/>
    <w:qFormat/>
    <w:rsid w:val="00AC20DD"/>
    <w:pPr>
      <w:keepNext/>
      <w:keepLines/>
      <w:spacing w:after="360" w:line="360" w:lineRule="atLeast"/>
      <w:outlineLvl w:val="1"/>
    </w:pPr>
    <w:rPr>
      <w:color w:val="393380" w:themeColor="accent2"/>
      <w:spacing w:val="-1"/>
      <w:sz w:val="28"/>
      <w:szCs w:val="28"/>
    </w:rPr>
  </w:style>
  <w:style w:type="paragraph" w:styleId="Heading3">
    <w:name w:val="heading 3"/>
    <w:basedOn w:val="Normal"/>
    <w:next w:val="Normal"/>
    <w:link w:val="Heading3Char"/>
    <w:uiPriority w:val="9"/>
    <w:qFormat/>
    <w:rsid w:val="00AC20DD"/>
    <w:pPr>
      <w:keepNext/>
      <w:keepLines/>
      <w:spacing w:before="240" w:after="100" w:line="300" w:lineRule="atLeast"/>
      <w:outlineLvl w:val="2"/>
    </w:pPr>
    <w:rPr>
      <w:b/>
      <w:bCs/>
      <w:color w:val="393380" w:themeColor="accent2"/>
      <w:sz w:val="24"/>
      <w:szCs w:val="24"/>
    </w:rPr>
  </w:style>
  <w:style w:type="paragraph" w:styleId="Heading4">
    <w:name w:val="heading 4"/>
    <w:basedOn w:val="Normal"/>
    <w:next w:val="Normal"/>
    <w:link w:val="Heading4Char"/>
    <w:uiPriority w:val="9"/>
    <w:qFormat/>
    <w:rsid w:val="00AC20DD"/>
    <w:pPr>
      <w:keepNext/>
      <w:keepLines/>
      <w:spacing w:after="60"/>
      <w:outlineLvl w:val="3"/>
    </w:pPr>
    <w:rPr>
      <w:b/>
      <w:bCs/>
    </w:rPr>
  </w:style>
  <w:style w:type="paragraph" w:styleId="Heading5">
    <w:name w:val="heading 5"/>
    <w:basedOn w:val="Normal"/>
    <w:next w:val="Normal"/>
    <w:link w:val="Heading5Char"/>
    <w:uiPriority w:val="9"/>
    <w:qFormat/>
    <w:rsid w:val="00F06DFE"/>
    <w:pPr>
      <w:keepNext/>
      <w:keepLines/>
      <w:spacing w:after="0"/>
      <w:outlineLvl w:val="4"/>
    </w:pPr>
    <w:rPr>
      <w:color w:val="39338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XTable">
    <w:name w:val="NZX Table"/>
    <w:basedOn w:val="TableNormal"/>
    <w:uiPriority w:val="99"/>
    <w:rsid w:val="00E31015"/>
    <w:pPr>
      <w:spacing w:after="0" w:line="240" w:lineRule="auto"/>
    </w:pPr>
    <w:tblPr>
      <w:tblStyleRowBandSize w:val="1"/>
    </w:tblPr>
    <w:tcPr>
      <w:vAlign w:val="center"/>
    </w:tcPr>
    <w:tblStylePr w:type="firstRow">
      <w:pPr>
        <w:wordWrap/>
        <w:spacing w:beforeLines="0" w:before="60" w:beforeAutospacing="0" w:afterLines="0" w:after="120" w:afterAutospacing="0" w:line="240" w:lineRule="auto"/>
        <w:ind w:leftChars="0" w:left="0" w:rightChars="0" w:right="0" w:firstLineChars="0" w:firstLine="0"/>
        <w:contextualSpacing w:val="0"/>
        <w:mirrorIndents w:val="0"/>
        <w:jc w:val="left"/>
        <w:outlineLvl w:val="9"/>
      </w:pPr>
      <w:rPr>
        <w:b/>
        <w:i w:val="0"/>
        <w:color w:val="FFFFFF" w:themeColor="background1"/>
        <w:sz w:val="28"/>
      </w:rPr>
      <w:tblPr/>
      <w:tcPr>
        <w:shd w:val="clear" w:color="auto" w:fill="393380" w:themeFill="accent2"/>
      </w:tcPr>
    </w:tblStylePr>
    <w:tblStylePr w:type="band1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tblStylePr w:type="band2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style>
  <w:style w:type="paragraph" w:styleId="Header">
    <w:name w:val="header"/>
    <w:basedOn w:val="Normal"/>
    <w:link w:val="HeaderChar"/>
    <w:uiPriority w:val="99"/>
    <w:unhideWhenUsed/>
    <w:rsid w:val="00ED591E"/>
    <w:pPr>
      <w:tabs>
        <w:tab w:val="center" w:pos="4513"/>
        <w:tab w:val="right" w:pos="9026"/>
      </w:tabs>
      <w:spacing w:after="100" w:line="240" w:lineRule="auto"/>
    </w:pPr>
    <w:rPr>
      <w:b/>
      <w:bCs/>
      <w:color w:val="7F7F7F"/>
      <w:sz w:val="14"/>
      <w:szCs w:val="14"/>
    </w:rPr>
  </w:style>
  <w:style w:type="character" w:customStyle="1" w:styleId="HeaderChar">
    <w:name w:val="Header Char"/>
    <w:basedOn w:val="DefaultParagraphFont"/>
    <w:link w:val="Header"/>
    <w:uiPriority w:val="99"/>
    <w:rsid w:val="00ED591E"/>
    <w:rPr>
      <w:b/>
      <w:bCs/>
      <w:color w:val="7F7F7F"/>
      <w:sz w:val="14"/>
      <w:szCs w:val="14"/>
    </w:rPr>
  </w:style>
  <w:style w:type="paragraph" w:styleId="Footer">
    <w:name w:val="footer"/>
    <w:basedOn w:val="Normal"/>
    <w:link w:val="FooterChar"/>
    <w:uiPriority w:val="99"/>
    <w:unhideWhenUsed/>
    <w:rsid w:val="00E31015"/>
    <w:pPr>
      <w:tabs>
        <w:tab w:val="center" w:pos="4513"/>
        <w:tab w:val="right" w:pos="9026"/>
      </w:tabs>
      <w:spacing w:after="0" w:line="168" w:lineRule="exact"/>
      <w:ind w:right="-567"/>
      <w:jc w:val="right"/>
    </w:pPr>
    <w:rPr>
      <w:b/>
      <w:bCs/>
      <w:color w:val="393380" w:themeColor="accent2"/>
      <w:sz w:val="14"/>
      <w:szCs w:val="14"/>
    </w:rPr>
  </w:style>
  <w:style w:type="character" w:customStyle="1" w:styleId="FooterChar">
    <w:name w:val="Footer Char"/>
    <w:basedOn w:val="DefaultParagraphFont"/>
    <w:link w:val="Footer"/>
    <w:uiPriority w:val="99"/>
    <w:rsid w:val="00E31015"/>
    <w:rPr>
      <w:b/>
      <w:bCs/>
      <w:color w:val="393380" w:themeColor="accent2"/>
      <w:sz w:val="14"/>
      <w:szCs w:val="14"/>
    </w:rPr>
  </w:style>
  <w:style w:type="character" w:customStyle="1" w:styleId="Heading1Char">
    <w:name w:val="Heading 1 Char"/>
    <w:basedOn w:val="DefaultParagraphFont"/>
    <w:link w:val="Heading1"/>
    <w:uiPriority w:val="9"/>
    <w:rsid w:val="00E31015"/>
    <w:rPr>
      <w:b/>
      <w:bCs/>
      <w:color w:val="393380" w:themeColor="accent2"/>
      <w:spacing w:val="-2"/>
      <w:sz w:val="34"/>
      <w:szCs w:val="34"/>
    </w:rPr>
  </w:style>
  <w:style w:type="table" w:styleId="TableGrid">
    <w:name w:val="Table Grid"/>
    <w:basedOn w:val="TableNormal"/>
    <w:uiPriority w:val="39"/>
    <w:rsid w:val="00ED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
    <w:name w:val="Header Table"/>
    <w:basedOn w:val="TableNormal"/>
    <w:uiPriority w:val="99"/>
    <w:rsid w:val="00ED591E"/>
    <w:pPr>
      <w:spacing w:after="0" w:line="240" w:lineRule="auto"/>
    </w:pPr>
    <w:tblPr>
      <w:tblCellMar>
        <w:left w:w="0" w:type="dxa"/>
        <w:right w:w="0" w:type="dxa"/>
      </w:tblCellMar>
    </w:tblPr>
  </w:style>
  <w:style w:type="paragraph" w:customStyle="1" w:styleId="HeaderGap">
    <w:name w:val="Header Gap"/>
    <w:basedOn w:val="Header"/>
    <w:semiHidden/>
    <w:qFormat/>
    <w:rsid w:val="004B670D"/>
    <w:pPr>
      <w:spacing w:after="1260"/>
    </w:pPr>
  </w:style>
  <w:style w:type="paragraph" w:customStyle="1" w:styleId="HeaderDate">
    <w:name w:val="Header Date"/>
    <w:basedOn w:val="Header"/>
    <w:uiPriority w:val="99"/>
    <w:qFormat/>
    <w:rsid w:val="00ED591E"/>
    <w:pPr>
      <w:jc w:val="right"/>
    </w:pPr>
    <w:rPr>
      <w:b w:val="0"/>
      <w:bCs w:val="0"/>
    </w:rPr>
  </w:style>
  <w:style w:type="character" w:customStyle="1" w:styleId="Heading2Char">
    <w:name w:val="Heading 2 Char"/>
    <w:basedOn w:val="DefaultParagraphFont"/>
    <w:link w:val="Heading2"/>
    <w:uiPriority w:val="9"/>
    <w:rsid w:val="00AC20DD"/>
    <w:rPr>
      <w:color w:val="393380" w:themeColor="accent2"/>
      <w:spacing w:val="-1"/>
      <w:sz w:val="28"/>
      <w:szCs w:val="28"/>
    </w:rPr>
  </w:style>
  <w:style w:type="character" w:customStyle="1" w:styleId="Heading3Char">
    <w:name w:val="Heading 3 Char"/>
    <w:basedOn w:val="DefaultParagraphFont"/>
    <w:link w:val="Heading3"/>
    <w:uiPriority w:val="9"/>
    <w:rsid w:val="00AC20DD"/>
    <w:rPr>
      <w:b/>
      <w:bCs/>
      <w:color w:val="393380" w:themeColor="accent2"/>
      <w:sz w:val="24"/>
      <w:szCs w:val="24"/>
    </w:rPr>
  </w:style>
  <w:style w:type="character" w:customStyle="1" w:styleId="Heading4Char">
    <w:name w:val="Heading 4 Char"/>
    <w:basedOn w:val="DefaultParagraphFont"/>
    <w:link w:val="Heading4"/>
    <w:uiPriority w:val="9"/>
    <w:rsid w:val="00AC20DD"/>
    <w:rPr>
      <w:b/>
      <w:bCs/>
      <w:sz w:val="20"/>
      <w:szCs w:val="20"/>
    </w:rPr>
  </w:style>
  <w:style w:type="character" w:customStyle="1" w:styleId="Heading5Char">
    <w:name w:val="Heading 5 Char"/>
    <w:basedOn w:val="DefaultParagraphFont"/>
    <w:link w:val="Heading5"/>
    <w:uiPriority w:val="9"/>
    <w:rsid w:val="00F06DFE"/>
    <w:rPr>
      <w:color w:val="393380" w:themeColor="accent2"/>
      <w:sz w:val="20"/>
      <w:szCs w:val="20"/>
    </w:rPr>
  </w:style>
  <w:style w:type="paragraph" w:styleId="ListBullet">
    <w:name w:val="List Bullet"/>
    <w:basedOn w:val="Normal"/>
    <w:uiPriority w:val="1"/>
    <w:rsid w:val="00BC6D8F"/>
    <w:pPr>
      <w:numPr>
        <w:numId w:val="5"/>
      </w:numPr>
    </w:pPr>
  </w:style>
  <w:style w:type="paragraph" w:styleId="ListBullet2">
    <w:name w:val="List Bullet 2"/>
    <w:basedOn w:val="Normal"/>
    <w:uiPriority w:val="1"/>
    <w:rsid w:val="00BC6D8F"/>
    <w:pPr>
      <w:numPr>
        <w:ilvl w:val="1"/>
        <w:numId w:val="5"/>
      </w:numPr>
      <w:contextualSpacing/>
    </w:pPr>
  </w:style>
  <w:style w:type="paragraph" w:styleId="ListNumber">
    <w:name w:val="List Number"/>
    <w:basedOn w:val="Normal"/>
    <w:uiPriority w:val="1"/>
    <w:rsid w:val="00E71CCC"/>
    <w:pPr>
      <w:numPr>
        <w:numId w:val="6"/>
      </w:numPr>
    </w:pPr>
  </w:style>
  <w:style w:type="paragraph" w:styleId="ListNumber2">
    <w:name w:val="List Number 2"/>
    <w:basedOn w:val="Normal"/>
    <w:uiPriority w:val="1"/>
    <w:rsid w:val="00E71CCC"/>
    <w:pPr>
      <w:numPr>
        <w:ilvl w:val="1"/>
        <w:numId w:val="6"/>
      </w:numPr>
    </w:pPr>
  </w:style>
  <w:style w:type="paragraph" w:customStyle="1" w:styleId="Heading1NoSpacing">
    <w:name w:val="Heading 1 (No Spacing)"/>
    <w:basedOn w:val="Heading1"/>
    <w:uiPriority w:val="9"/>
    <w:qFormat/>
    <w:rsid w:val="00AC20DD"/>
    <w:pPr>
      <w:keepNext/>
      <w:keepLines/>
      <w:spacing w:before="360" w:after="0"/>
    </w:pPr>
  </w:style>
  <w:style w:type="paragraph" w:customStyle="1" w:styleId="TableHighlight">
    <w:name w:val="Table Highlight"/>
    <w:basedOn w:val="Normal"/>
    <w:uiPriority w:val="2"/>
    <w:qFormat/>
    <w:rsid w:val="00E31015"/>
    <w:pPr>
      <w:spacing w:before="60"/>
    </w:pPr>
    <w:rPr>
      <w:b/>
      <w:bCs/>
      <w:color w:val="393380" w:themeColor="accent2"/>
    </w:rPr>
  </w:style>
  <w:style w:type="paragraph" w:customStyle="1" w:styleId="DividerTitle">
    <w:name w:val="Divider Title"/>
    <w:basedOn w:val="Normal"/>
    <w:next w:val="DividerSubheading"/>
    <w:uiPriority w:val="19"/>
    <w:qFormat/>
    <w:rsid w:val="004B670D"/>
    <w:pPr>
      <w:spacing w:before="3480" w:after="0" w:line="600" w:lineRule="exact"/>
      <w:contextualSpacing/>
    </w:pPr>
    <w:rPr>
      <w:b/>
      <w:bCs/>
      <w:color w:val="393380" w:themeColor="accent2"/>
      <w:sz w:val="60"/>
      <w:szCs w:val="80"/>
    </w:rPr>
  </w:style>
  <w:style w:type="paragraph" w:customStyle="1" w:styleId="DividerSubheading">
    <w:name w:val="Divider Subheading"/>
    <w:basedOn w:val="Normal"/>
    <w:uiPriority w:val="19"/>
    <w:qFormat/>
    <w:rsid w:val="004B670D"/>
    <w:pPr>
      <w:spacing w:before="1040" w:after="0" w:line="440" w:lineRule="exact"/>
      <w:contextualSpacing/>
    </w:pPr>
    <w:rPr>
      <w:color w:val="393380" w:themeColor="accent2"/>
      <w:sz w:val="36"/>
      <w:szCs w:val="28"/>
    </w:rPr>
  </w:style>
  <w:style w:type="paragraph" w:styleId="Date">
    <w:name w:val="Date"/>
    <w:basedOn w:val="Normal"/>
    <w:next w:val="Normal"/>
    <w:link w:val="DateChar"/>
    <w:uiPriority w:val="12"/>
    <w:rsid w:val="00F54280"/>
    <w:pPr>
      <w:pageBreakBefore/>
      <w:spacing w:before="1600" w:line="336" w:lineRule="atLeast"/>
    </w:pPr>
    <w:rPr>
      <w:sz w:val="28"/>
      <w:szCs w:val="28"/>
    </w:rPr>
  </w:style>
  <w:style w:type="character" w:customStyle="1" w:styleId="DateChar">
    <w:name w:val="Date Char"/>
    <w:basedOn w:val="DefaultParagraphFont"/>
    <w:link w:val="Date"/>
    <w:uiPriority w:val="12"/>
    <w:rsid w:val="00F54280"/>
    <w:rPr>
      <w:sz w:val="28"/>
      <w:szCs w:val="28"/>
    </w:rPr>
  </w:style>
  <w:style w:type="paragraph" w:styleId="Title">
    <w:name w:val="Title"/>
    <w:basedOn w:val="Normal"/>
    <w:next w:val="Normal"/>
    <w:link w:val="TitleChar"/>
    <w:uiPriority w:val="10"/>
    <w:qFormat/>
    <w:rsid w:val="004B670D"/>
    <w:pPr>
      <w:spacing w:before="840" w:line="600" w:lineRule="exact"/>
      <w:contextualSpacing/>
    </w:pPr>
    <w:rPr>
      <w:b/>
      <w:bCs/>
      <w:color w:val="393380" w:themeColor="accent2"/>
      <w:sz w:val="60"/>
      <w:szCs w:val="90"/>
    </w:rPr>
  </w:style>
  <w:style w:type="character" w:customStyle="1" w:styleId="TitleChar">
    <w:name w:val="Title Char"/>
    <w:basedOn w:val="DefaultParagraphFont"/>
    <w:link w:val="Title"/>
    <w:uiPriority w:val="10"/>
    <w:rsid w:val="004B670D"/>
    <w:rPr>
      <w:b/>
      <w:bCs/>
      <w:color w:val="393380" w:themeColor="accent2"/>
      <w:sz w:val="60"/>
      <w:szCs w:val="90"/>
    </w:rPr>
  </w:style>
  <w:style w:type="paragraph" w:styleId="Subtitle">
    <w:name w:val="Subtitle"/>
    <w:basedOn w:val="Normal"/>
    <w:next w:val="Normal"/>
    <w:link w:val="SubtitleChar"/>
    <w:uiPriority w:val="11"/>
    <w:qFormat/>
    <w:rsid w:val="004B670D"/>
    <w:pPr>
      <w:spacing w:before="800"/>
      <w:contextualSpacing/>
    </w:pPr>
    <w:rPr>
      <w:color w:val="393380" w:themeColor="accent2"/>
      <w:sz w:val="36"/>
      <w:szCs w:val="28"/>
    </w:rPr>
  </w:style>
  <w:style w:type="character" w:customStyle="1" w:styleId="SubtitleChar">
    <w:name w:val="Subtitle Char"/>
    <w:basedOn w:val="DefaultParagraphFont"/>
    <w:link w:val="Subtitle"/>
    <w:uiPriority w:val="11"/>
    <w:rsid w:val="004B670D"/>
    <w:rPr>
      <w:color w:val="393380" w:themeColor="accent2"/>
      <w:sz w:val="36"/>
      <w:szCs w:val="28"/>
    </w:rPr>
  </w:style>
  <w:style w:type="paragraph" w:styleId="NoSpacing">
    <w:name w:val="No Spacing"/>
    <w:link w:val="NoSpacingChar"/>
    <w:uiPriority w:val="1"/>
    <w:semiHidden/>
    <w:qFormat/>
    <w:rsid w:val="00397767"/>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52CEC"/>
    <w:rPr>
      <w:rFonts w:eastAsiaTheme="minorEastAsia"/>
      <w:lang w:val="en-US"/>
    </w:rPr>
  </w:style>
  <w:style w:type="paragraph" w:styleId="TOCHeading">
    <w:name w:val="TOC Heading"/>
    <w:basedOn w:val="Heading1"/>
    <w:next w:val="Normal"/>
    <w:uiPriority w:val="39"/>
    <w:qFormat/>
    <w:rsid w:val="006D6493"/>
    <w:pPr>
      <w:pageBreakBefore/>
      <w:spacing w:after="360"/>
    </w:pPr>
    <w:rPr>
      <w:sz w:val="36"/>
      <w:szCs w:val="36"/>
    </w:rPr>
  </w:style>
  <w:style w:type="paragraph" w:customStyle="1" w:styleId="DateCover2">
    <w:name w:val="Date (Cover 2)"/>
    <w:basedOn w:val="Date"/>
    <w:uiPriority w:val="15"/>
    <w:qFormat/>
    <w:rsid w:val="00F54280"/>
    <w:pPr>
      <w:tabs>
        <w:tab w:val="left" w:pos="5029"/>
      </w:tabs>
      <w:spacing w:before="2520"/>
    </w:pPr>
    <w:rPr>
      <w:noProof/>
      <w:color w:val="FFFFFF" w:themeColor="background1"/>
    </w:rPr>
  </w:style>
  <w:style w:type="paragraph" w:customStyle="1" w:styleId="TitleCover2">
    <w:name w:val="Title (Cover 2)"/>
    <w:basedOn w:val="Title"/>
    <w:uiPriority w:val="13"/>
    <w:qFormat/>
    <w:rsid w:val="00221FA1"/>
    <w:rPr>
      <w:color w:val="FFFFFF" w:themeColor="background1"/>
    </w:rPr>
  </w:style>
  <w:style w:type="paragraph" w:customStyle="1" w:styleId="SubtitleCover2">
    <w:name w:val="Subtitle (Cover 2)"/>
    <w:basedOn w:val="Subtitle"/>
    <w:uiPriority w:val="14"/>
    <w:qFormat/>
    <w:rsid w:val="00221FA1"/>
    <w:rPr>
      <w:color w:val="FFFFFF" w:themeColor="background1"/>
    </w:rPr>
  </w:style>
  <w:style w:type="paragraph" w:customStyle="1" w:styleId="DateCover3">
    <w:name w:val="Date (Cover 3)"/>
    <w:basedOn w:val="Date"/>
    <w:uiPriority w:val="18"/>
    <w:qFormat/>
    <w:rsid w:val="0088308E"/>
    <w:pPr>
      <w:spacing w:before="480"/>
    </w:pPr>
  </w:style>
  <w:style w:type="paragraph" w:customStyle="1" w:styleId="TitleCover3">
    <w:name w:val="Title (Cover 3)"/>
    <w:basedOn w:val="Title"/>
    <w:uiPriority w:val="16"/>
    <w:qFormat/>
    <w:rsid w:val="0088308E"/>
    <w:pPr>
      <w:spacing w:before="600"/>
    </w:pPr>
    <w:rPr>
      <w:b w:val="0"/>
      <w:bCs w:val="0"/>
    </w:rPr>
  </w:style>
  <w:style w:type="paragraph" w:customStyle="1" w:styleId="SubtitleCover3">
    <w:name w:val="Subtitle (Cover 3)"/>
    <w:basedOn w:val="Subtitle"/>
    <w:uiPriority w:val="17"/>
    <w:qFormat/>
    <w:rsid w:val="00B54C36"/>
    <w:pPr>
      <w:spacing w:before="720" w:after="480"/>
    </w:pPr>
  </w:style>
  <w:style w:type="paragraph" w:styleId="TOC1">
    <w:name w:val="toc 1"/>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b/>
      <w:noProof/>
      <w:color w:val="393380" w:themeColor="accent2"/>
      <w:sz w:val="28"/>
    </w:rPr>
  </w:style>
  <w:style w:type="paragraph" w:styleId="TOC2">
    <w:name w:val="toc 2"/>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noProof/>
      <w:color w:val="393380" w:themeColor="accent2"/>
      <w:sz w:val="28"/>
    </w:rPr>
  </w:style>
  <w:style w:type="paragraph" w:styleId="TOC3">
    <w:name w:val="toc 3"/>
    <w:basedOn w:val="Normal"/>
    <w:next w:val="Normal"/>
    <w:autoRedefine/>
    <w:uiPriority w:val="39"/>
    <w:unhideWhenUsed/>
    <w:rsid w:val="00546DB8"/>
    <w:pPr>
      <w:pBdr>
        <w:bottom w:val="single" w:sz="2" w:space="5" w:color="9D9D9C"/>
        <w:between w:val="single" w:sz="2" w:space="5" w:color="9D9D9C"/>
      </w:pBdr>
      <w:tabs>
        <w:tab w:val="right" w:pos="9639"/>
      </w:tabs>
      <w:spacing w:after="0" w:line="240" w:lineRule="auto"/>
      <w:ind w:right="-601"/>
    </w:pPr>
    <w:rPr>
      <w:noProof/>
      <w:color w:val="9D9D9C"/>
      <w:sz w:val="28"/>
    </w:rPr>
  </w:style>
  <w:style w:type="character" w:styleId="Hyperlink">
    <w:name w:val="Hyperlink"/>
    <w:basedOn w:val="DefaultParagraphFont"/>
    <w:uiPriority w:val="99"/>
    <w:unhideWhenUsed/>
    <w:rsid w:val="006D6493"/>
    <w:rPr>
      <w:color w:val="0563C1" w:themeColor="hyperlink"/>
      <w:u w:val="single"/>
    </w:rPr>
  </w:style>
  <w:style w:type="paragraph" w:customStyle="1" w:styleId="IntroductionStyle">
    <w:name w:val="Introduction Style"/>
    <w:basedOn w:val="Heading2"/>
    <w:uiPriority w:val="8"/>
    <w:qFormat/>
    <w:rsid w:val="00E31015"/>
    <w:pPr>
      <w:spacing w:before="360"/>
    </w:pPr>
  </w:style>
  <w:style w:type="paragraph" w:customStyle="1" w:styleId="Legal2">
    <w:name w:val="Legal 2"/>
    <w:basedOn w:val="Normal"/>
    <w:rsid w:val="00E51998"/>
    <w:pPr>
      <w:widowControl w:val="0"/>
      <w:tabs>
        <w:tab w:val="num" w:pos="1110"/>
      </w:tabs>
      <w:spacing w:after="0" w:line="240" w:lineRule="auto"/>
      <w:ind w:left="1110" w:hanging="1110"/>
    </w:pPr>
    <w:rPr>
      <w:rFonts w:ascii="Times New Roman" w:eastAsia="Times New Roman" w:hAnsi="Times New Roman" w:cs="Times New Roman"/>
      <w:snapToGrid w:val="0"/>
      <w:sz w:val="24"/>
      <w:lang w:val="en-US"/>
    </w:rPr>
  </w:style>
  <w:style w:type="table" w:styleId="GridTable4-Accent2">
    <w:name w:val="Grid Table 4 Accent 2"/>
    <w:basedOn w:val="TableNormal"/>
    <w:uiPriority w:val="49"/>
    <w:rsid w:val="00E51998"/>
    <w:pPr>
      <w:spacing w:after="0" w:line="240" w:lineRule="auto"/>
    </w:pPr>
    <w:tblPr>
      <w:tblStyleRowBandSize w:val="1"/>
      <w:tblStyleColBandSize w:val="1"/>
      <w:tblBorders>
        <w:top w:val="single" w:sz="4" w:space="0" w:color="7770C6" w:themeColor="accent2" w:themeTint="99"/>
        <w:left w:val="single" w:sz="4" w:space="0" w:color="7770C6" w:themeColor="accent2" w:themeTint="99"/>
        <w:bottom w:val="single" w:sz="4" w:space="0" w:color="7770C6" w:themeColor="accent2" w:themeTint="99"/>
        <w:right w:val="single" w:sz="4" w:space="0" w:color="7770C6" w:themeColor="accent2" w:themeTint="99"/>
        <w:insideH w:val="single" w:sz="4" w:space="0" w:color="7770C6" w:themeColor="accent2" w:themeTint="99"/>
        <w:insideV w:val="single" w:sz="4" w:space="0" w:color="7770C6" w:themeColor="accent2" w:themeTint="99"/>
      </w:tblBorders>
    </w:tblPr>
    <w:tblStylePr w:type="firstRow">
      <w:rPr>
        <w:b/>
        <w:bCs/>
        <w:color w:val="FFFFFF" w:themeColor="background1"/>
      </w:rPr>
      <w:tblPr/>
      <w:tcPr>
        <w:tcBorders>
          <w:top w:val="single" w:sz="4" w:space="0" w:color="393380" w:themeColor="accent2"/>
          <w:left w:val="single" w:sz="4" w:space="0" w:color="393380" w:themeColor="accent2"/>
          <w:bottom w:val="single" w:sz="4" w:space="0" w:color="393380" w:themeColor="accent2"/>
          <w:right w:val="single" w:sz="4" w:space="0" w:color="393380" w:themeColor="accent2"/>
          <w:insideH w:val="nil"/>
          <w:insideV w:val="nil"/>
        </w:tcBorders>
        <w:shd w:val="clear" w:color="auto" w:fill="393380" w:themeFill="accent2"/>
      </w:tcPr>
    </w:tblStylePr>
    <w:tblStylePr w:type="lastRow">
      <w:rPr>
        <w:b/>
        <w:bCs/>
      </w:rPr>
      <w:tblPr/>
      <w:tcPr>
        <w:tcBorders>
          <w:top w:val="double" w:sz="4" w:space="0" w:color="393380" w:themeColor="accent2"/>
        </w:tcBorders>
      </w:tcPr>
    </w:tblStylePr>
    <w:tblStylePr w:type="firstCol">
      <w:rPr>
        <w:b/>
        <w:bCs/>
      </w:rPr>
    </w:tblStylePr>
    <w:tblStylePr w:type="lastCol">
      <w:rPr>
        <w:b/>
        <w:bCs/>
      </w:rPr>
    </w:tblStylePr>
    <w:tblStylePr w:type="band1Vert">
      <w:tblPr/>
      <w:tcPr>
        <w:shd w:val="clear" w:color="auto" w:fill="D1CFEC" w:themeFill="accent2" w:themeFillTint="33"/>
      </w:tcPr>
    </w:tblStylePr>
    <w:tblStylePr w:type="band1Horz">
      <w:tblPr/>
      <w:tcPr>
        <w:shd w:val="clear" w:color="auto" w:fill="D1CFEC" w:themeFill="accent2" w:themeFillTint="33"/>
      </w:tcPr>
    </w:tblStylePr>
  </w:style>
  <w:style w:type="paragraph" w:styleId="Revision">
    <w:name w:val="Revision"/>
    <w:hidden/>
    <w:uiPriority w:val="99"/>
    <w:semiHidden/>
    <w:rsid w:val="00776460"/>
    <w:pPr>
      <w:spacing w:after="0" w:line="240" w:lineRule="auto"/>
    </w:pPr>
    <w:rPr>
      <w:sz w:val="20"/>
      <w:szCs w:val="20"/>
    </w:rPr>
  </w:style>
  <w:style w:type="character" w:styleId="CommentReference">
    <w:name w:val="annotation reference"/>
    <w:basedOn w:val="DefaultParagraphFont"/>
    <w:uiPriority w:val="99"/>
    <w:semiHidden/>
    <w:unhideWhenUsed/>
    <w:rsid w:val="00580FE1"/>
    <w:rPr>
      <w:sz w:val="16"/>
      <w:szCs w:val="16"/>
    </w:rPr>
  </w:style>
  <w:style w:type="paragraph" w:styleId="CommentText">
    <w:name w:val="annotation text"/>
    <w:basedOn w:val="Normal"/>
    <w:link w:val="CommentTextChar"/>
    <w:uiPriority w:val="99"/>
    <w:unhideWhenUsed/>
    <w:rsid w:val="00580FE1"/>
    <w:pPr>
      <w:spacing w:line="240" w:lineRule="auto"/>
    </w:pPr>
  </w:style>
  <w:style w:type="character" w:customStyle="1" w:styleId="CommentTextChar">
    <w:name w:val="Comment Text Char"/>
    <w:basedOn w:val="DefaultParagraphFont"/>
    <w:link w:val="CommentText"/>
    <w:uiPriority w:val="99"/>
    <w:rsid w:val="00580FE1"/>
    <w:rPr>
      <w:sz w:val="20"/>
      <w:szCs w:val="20"/>
    </w:rPr>
  </w:style>
  <w:style w:type="paragraph" w:styleId="CommentSubject">
    <w:name w:val="annotation subject"/>
    <w:basedOn w:val="CommentText"/>
    <w:next w:val="CommentText"/>
    <w:link w:val="CommentSubjectChar"/>
    <w:uiPriority w:val="99"/>
    <w:semiHidden/>
    <w:unhideWhenUsed/>
    <w:rsid w:val="00580FE1"/>
    <w:rPr>
      <w:b/>
      <w:bCs/>
    </w:rPr>
  </w:style>
  <w:style w:type="character" w:customStyle="1" w:styleId="CommentSubjectChar">
    <w:name w:val="Comment Subject Char"/>
    <w:basedOn w:val="CommentTextChar"/>
    <w:link w:val="CommentSubject"/>
    <w:uiPriority w:val="99"/>
    <w:semiHidden/>
    <w:rsid w:val="00580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earch.nzx.com/nzxrules/participant/?sectionId=6.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x.com/services/market-participants/participant-f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hanks\Downloads\Word%20Template.dotx" TargetMode="External"/></Relationships>
</file>

<file path=word/theme/theme1.xml><?xml version="1.0" encoding="utf-8"?>
<a:theme xmlns:a="http://schemas.openxmlformats.org/drawingml/2006/main" name="Office Theme">
  <a:themeElements>
    <a:clrScheme name="NZ RegCo">
      <a:dk1>
        <a:sysClr val="windowText" lastClr="000000"/>
      </a:dk1>
      <a:lt1>
        <a:sysClr val="window" lastClr="FFFFFF"/>
      </a:lt1>
      <a:dk2>
        <a:srgbClr val="000000"/>
      </a:dk2>
      <a:lt2>
        <a:srgbClr val="FFFFFF"/>
      </a:lt2>
      <a:accent1>
        <a:srgbClr val="3EB6BF"/>
      </a:accent1>
      <a:accent2>
        <a:srgbClr val="393380"/>
      </a:accent2>
      <a:accent3>
        <a:srgbClr val="EA5D37"/>
      </a:accent3>
      <a:accent4>
        <a:srgbClr val="F5F0D2"/>
      </a:accent4>
      <a:accent5>
        <a:srgbClr val="97C483"/>
      </a:accent5>
      <a:accent6>
        <a:srgbClr val="C3D0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sType xmlns="115cab4d-6f10-452d-be6b-9948dc02e1cd" xsi:nil="true"/>
    <Owner xmlns="115cab4d-6f10-452d-be6b-9948dc02e1c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13" ma:contentTypeDescription="Create a new document." ma:contentTypeScope="" ma:versionID="184899e246c02575542ace784b2fc249">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30585023a0d6a554282874d1648495a3"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DA2EF-4372-490E-B3AB-77496D717C83}">
  <ds:schemaRefs>
    <ds:schemaRef ds:uri="http://schemas.openxmlformats.org/officeDocument/2006/bibliography"/>
  </ds:schemaRefs>
</ds:datastoreItem>
</file>

<file path=customXml/itemProps2.xml><?xml version="1.0" encoding="utf-8"?>
<ds:datastoreItem xmlns:ds="http://schemas.openxmlformats.org/officeDocument/2006/customXml" ds:itemID="{E8E574D9-EE98-401F-BC23-EE82EC17088B}">
  <ds:schemaRefs>
    <ds:schemaRef ds:uri="http://schemas.microsoft.com/sharepoint/v3/contenttype/forms"/>
  </ds:schemaRefs>
</ds:datastoreItem>
</file>

<file path=customXml/itemProps3.xml><?xml version="1.0" encoding="utf-8"?>
<ds:datastoreItem xmlns:ds="http://schemas.openxmlformats.org/officeDocument/2006/customXml" ds:itemID="{FCEED9D9-D441-4C14-80A5-D41B1A3E01E4}">
  <ds:schemaRefs>
    <ds:schemaRef ds:uri="http://schemas.microsoft.com/office/2006/metadata/properties"/>
    <ds:schemaRef ds:uri="http://schemas.microsoft.com/office/infopath/2007/PartnerControls"/>
    <ds:schemaRef ds:uri="115cab4d-6f10-452d-be6b-9948dc02e1cd"/>
  </ds:schemaRefs>
</ds:datastoreItem>
</file>

<file path=customXml/itemProps4.xml><?xml version="1.0" encoding="utf-8"?>
<ds:datastoreItem xmlns:ds="http://schemas.openxmlformats.org/officeDocument/2006/customXml" ds:itemID="{D049754F-8AF4-4EFE-8E63-5DC549C9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Template>
  <TotalTime>15</TotalTime>
  <Pages>7</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Shanks</dc:creator>
  <cp:keywords/>
  <dc:description/>
  <cp:lastModifiedBy>Jody Taylor</cp:lastModifiedBy>
  <cp:revision>3</cp:revision>
  <dcterms:created xsi:type="dcterms:W3CDTF">2025-11-24T02:24:00Z</dcterms:created>
  <dcterms:modified xsi:type="dcterms:W3CDTF">2025-11-24T03:03:00Z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ies>
</file>