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9809" w14:textId="77777777" w:rsidR="00D94F4A" w:rsidRDefault="00D94F4A" w:rsidP="007A4D05"/>
    <w:p w14:paraId="47F6080B" w14:textId="77777777" w:rsidR="00C67EB3" w:rsidRDefault="00C67EB3" w:rsidP="007A4D05"/>
    <w:p w14:paraId="22D46641" w14:textId="77777777" w:rsidR="007A4D05" w:rsidRDefault="007A4D05" w:rsidP="007A4D05">
      <w:pPr>
        <w:pStyle w:val="NZXTitle"/>
      </w:pPr>
    </w:p>
    <w:p w14:paraId="49639438" w14:textId="77777777" w:rsidR="007A4D05" w:rsidRDefault="007A4D05" w:rsidP="007A4D05">
      <w:pPr>
        <w:pStyle w:val="NZXTitle"/>
      </w:pPr>
    </w:p>
    <w:p w14:paraId="2880F61A" w14:textId="3097EB1B" w:rsidR="007A4D05" w:rsidRPr="0087018E" w:rsidRDefault="00E23573" w:rsidP="0020652C">
      <w:pPr>
        <w:pStyle w:val="Title"/>
      </w:pPr>
      <w:r>
        <w:t xml:space="preserve">NZX </w:t>
      </w:r>
      <w:r w:rsidR="00C14E26">
        <w:t>Remuneration</w:t>
      </w:r>
      <w:r w:rsidR="003529CB">
        <w:t xml:space="preserve"> Reporting</w:t>
      </w:r>
      <w:r w:rsidR="00C14E26">
        <w:t xml:space="preserve"> Template </w:t>
      </w:r>
      <w:r w:rsidR="00195C4B">
        <w:t xml:space="preserve">for Listed Issuers </w:t>
      </w:r>
    </w:p>
    <w:p w14:paraId="766E083A" w14:textId="77777777" w:rsidR="007A4D05" w:rsidRDefault="007A4D05" w:rsidP="007A4D05">
      <w:pPr>
        <w:pStyle w:val="BasicParagraph"/>
        <w:rPr>
          <w:rFonts w:cs="Arial"/>
          <w:sz w:val="28"/>
          <w:szCs w:val="28"/>
        </w:rPr>
      </w:pPr>
    </w:p>
    <w:p w14:paraId="763E8F87" w14:textId="77777777" w:rsidR="007A4D05" w:rsidRDefault="007A4D05" w:rsidP="007A4D05">
      <w:pPr>
        <w:pStyle w:val="BasicParagraph"/>
        <w:rPr>
          <w:rFonts w:cs="Arial"/>
          <w:sz w:val="28"/>
          <w:szCs w:val="28"/>
        </w:rPr>
      </w:pPr>
    </w:p>
    <w:p w14:paraId="2CD041C9" w14:textId="01357B6D" w:rsidR="00E311CD" w:rsidRDefault="0063044B">
      <w:pPr>
        <w:pStyle w:val="TOCHeading"/>
        <w:rPr>
          <w:sz w:val="28"/>
          <w:szCs w:val="28"/>
        </w:rPr>
      </w:pPr>
      <w:r w:rsidRPr="000A0CF9">
        <w:rPr>
          <w:noProof/>
          <w:highlight w:val="yellow"/>
          <w:lang w:eastAsia="en-NZ"/>
        </w:rPr>
        <w:drawing>
          <wp:anchor distT="0" distB="0" distL="114300" distR="114300" simplePos="0" relativeHeight="251632640" behindDoc="1" locked="0" layoutInCell="1" allowOverlap="1" wp14:anchorId="051CA4FA" wp14:editId="5CDB3ED0">
            <wp:simplePos x="0" y="0"/>
            <wp:positionH relativeFrom="page">
              <wp:posOffset>3676650</wp:posOffset>
            </wp:positionH>
            <wp:positionV relativeFrom="page">
              <wp:posOffset>6819515</wp:posOffset>
            </wp:positionV>
            <wp:extent cx="3879808" cy="3875790"/>
            <wp:effectExtent l="0" t="0" r="6985" b="0"/>
            <wp:wrapNone/>
            <wp:docPr id="2" name="Picture 1" descr="Blue De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Device.jpg"/>
                    <pic:cNvPicPr/>
                  </pic:nvPicPr>
                  <pic:blipFill>
                    <a:blip r:embed="rId8"/>
                    <a:stretch>
                      <a:fillRect/>
                    </a:stretch>
                  </pic:blipFill>
                  <pic:spPr>
                    <a:xfrm>
                      <a:off x="0" y="0"/>
                      <a:ext cx="3896469" cy="3892433"/>
                    </a:xfrm>
                    <a:prstGeom prst="rect">
                      <a:avLst/>
                    </a:prstGeom>
                  </pic:spPr>
                </pic:pic>
              </a:graphicData>
            </a:graphic>
            <wp14:sizeRelH relativeFrom="margin">
              <wp14:pctWidth>0</wp14:pctWidth>
            </wp14:sizeRelH>
            <wp14:sizeRelV relativeFrom="margin">
              <wp14:pctHeight>0</wp14:pctHeight>
            </wp14:sizeRelV>
          </wp:anchor>
        </w:drawing>
      </w:r>
      <w:r w:rsidR="00A95F85">
        <w:rPr>
          <w:sz w:val="28"/>
          <w:szCs w:val="28"/>
        </w:rPr>
        <w:t>December</w:t>
      </w:r>
      <w:r w:rsidR="004442A1">
        <w:rPr>
          <w:sz w:val="28"/>
          <w:szCs w:val="28"/>
        </w:rPr>
        <w:t xml:space="preserve"> 202</w:t>
      </w:r>
      <w:r w:rsidR="00BD42DF">
        <w:rPr>
          <w:sz w:val="28"/>
          <w:szCs w:val="28"/>
        </w:rPr>
        <w:t>3</w:t>
      </w:r>
    </w:p>
    <w:p w14:paraId="07499E12" w14:textId="77777777" w:rsidR="00E311CD" w:rsidRDefault="00E311CD" w:rsidP="00E311CD">
      <w:pPr>
        <w:rPr>
          <w:lang w:val="en-US"/>
        </w:rPr>
        <w:sectPr w:rsidR="00E311CD" w:rsidSect="003B1E9B">
          <w:headerReference w:type="default" r:id="rId9"/>
          <w:footerReference w:type="default" r:id="rId10"/>
          <w:type w:val="continuous"/>
          <w:pgSz w:w="11906" w:h="16838"/>
          <w:pgMar w:top="1701" w:right="1440" w:bottom="1440" w:left="1440" w:header="709" w:footer="709" w:gutter="0"/>
          <w:cols w:space="709"/>
          <w:titlePg/>
          <w:docGrid w:linePitch="360"/>
        </w:sectPr>
      </w:pPr>
    </w:p>
    <w:sdt>
      <w:sdtPr>
        <w:rPr>
          <w:rFonts w:asciiTheme="minorHAnsi" w:eastAsiaTheme="minorHAnsi" w:hAnsiTheme="minorHAnsi" w:cstheme="minorBidi"/>
          <w:color w:val="auto"/>
          <w:sz w:val="22"/>
          <w:szCs w:val="22"/>
          <w:lang w:val="en-NZ"/>
        </w:rPr>
        <w:id w:val="1049194861"/>
        <w:docPartObj>
          <w:docPartGallery w:val="Table of Contents"/>
          <w:docPartUnique/>
        </w:docPartObj>
      </w:sdtPr>
      <w:sdtEndPr>
        <w:rPr>
          <w:b/>
          <w:bCs/>
          <w:noProof/>
        </w:rPr>
      </w:sdtEndPr>
      <w:sdtContent>
        <w:p w14:paraId="68F8330E" w14:textId="512C5546" w:rsidR="00A40398" w:rsidRPr="009E48E7" w:rsidRDefault="00A40398" w:rsidP="009E48E7">
          <w:pPr>
            <w:pStyle w:val="TOCHeading"/>
            <w:spacing w:before="120" w:after="120"/>
            <w:rPr>
              <w:rFonts w:ascii="Arial" w:hAnsi="Arial" w:cs="Arial"/>
              <w:b/>
              <w:bCs/>
            </w:rPr>
          </w:pPr>
          <w:r w:rsidRPr="009E48E7">
            <w:rPr>
              <w:rFonts w:ascii="Arial" w:hAnsi="Arial" w:cs="Arial"/>
              <w:b/>
              <w:bCs/>
            </w:rPr>
            <w:t>Contents</w:t>
          </w:r>
        </w:p>
        <w:p w14:paraId="2A22F342" w14:textId="6B9925AC" w:rsidR="00A40398" w:rsidRPr="009E48E7" w:rsidRDefault="00A40398">
          <w:pPr>
            <w:pStyle w:val="TOC1"/>
            <w:tabs>
              <w:tab w:val="right" w:leader="dot" w:pos="9016"/>
            </w:tabs>
            <w:rPr>
              <w:rFonts w:ascii="Arial" w:hAnsi="Arial" w:cs="Arial"/>
              <w:noProof/>
            </w:rPr>
          </w:pPr>
          <w:r>
            <w:fldChar w:fldCharType="begin"/>
          </w:r>
          <w:r>
            <w:instrText xml:space="preserve"> TOC \o "1-3" \h \z \u </w:instrText>
          </w:r>
          <w:r>
            <w:fldChar w:fldCharType="separate"/>
          </w:r>
          <w:hyperlink w:anchor="_Toc151713703" w:history="1">
            <w:r w:rsidRPr="009E48E7">
              <w:rPr>
                <w:rStyle w:val="Hyperlink"/>
                <w:rFonts w:ascii="Arial" w:hAnsi="Arial" w:cs="Arial"/>
                <w:noProof/>
              </w:rPr>
              <w:t>1. Introduction</w:t>
            </w:r>
            <w:r w:rsidRPr="009E48E7">
              <w:rPr>
                <w:rFonts w:ascii="Arial" w:hAnsi="Arial" w:cs="Arial"/>
                <w:noProof/>
                <w:webHidden/>
              </w:rPr>
              <w:tab/>
            </w:r>
            <w:r w:rsidRPr="009E48E7">
              <w:rPr>
                <w:rFonts w:ascii="Arial" w:hAnsi="Arial" w:cs="Arial"/>
                <w:noProof/>
                <w:webHidden/>
              </w:rPr>
              <w:fldChar w:fldCharType="begin"/>
            </w:r>
            <w:r w:rsidRPr="009E48E7">
              <w:rPr>
                <w:rFonts w:ascii="Arial" w:hAnsi="Arial" w:cs="Arial"/>
                <w:noProof/>
                <w:webHidden/>
              </w:rPr>
              <w:instrText xml:space="preserve"> PAGEREF _Toc151713703 \h </w:instrText>
            </w:r>
            <w:r w:rsidRPr="009E48E7">
              <w:rPr>
                <w:rFonts w:ascii="Arial" w:hAnsi="Arial" w:cs="Arial"/>
                <w:noProof/>
                <w:webHidden/>
              </w:rPr>
            </w:r>
            <w:r w:rsidRPr="009E48E7">
              <w:rPr>
                <w:rFonts w:ascii="Arial" w:hAnsi="Arial" w:cs="Arial"/>
                <w:noProof/>
                <w:webHidden/>
              </w:rPr>
              <w:fldChar w:fldCharType="separate"/>
            </w:r>
            <w:r w:rsidR="007616B5">
              <w:rPr>
                <w:rFonts w:ascii="Arial" w:hAnsi="Arial" w:cs="Arial"/>
                <w:noProof/>
                <w:webHidden/>
              </w:rPr>
              <w:t>3</w:t>
            </w:r>
            <w:r w:rsidRPr="009E48E7">
              <w:rPr>
                <w:rFonts w:ascii="Arial" w:hAnsi="Arial" w:cs="Arial"/>
                <w:noProof/>
                <w:webHidden/>
              </w:rPr>
              <w:fldChar w:fldCharType="end"/>
            </w:r>
          </w:hyperlink>
        </w:p>
        <w:p w14:paraId="19DB02A5" w14:textId="387064AF" w:rsidR="00A40398" w:rsidRPr="009E48E7" w:rsidRDefault="00390509">
          <w:pPr>
            <w:pStyle w:val="TOC1"/>
            <w:tabs>
              <w:tab w:val="right" w:leader="dot" w:pos="9016"/>
            </w:tabs>
            <w:rPr>
              <w:rFonts w:ascii="Arial" w:hAnsi="Arial" w:cs="Arial"/>
              <w:noProof/>
            </w:rPr>
          </w:pPr>
          <w:hyperlink w:anchor="_Toc151713704" w:history="1">
            <w:r w:rsidR="00A40398" w:rsidRPr="009E48E7">
              <w:rPr>
                <w:rStyle w:val="Hyperlink"/>
                <w:rFonts w:ascii="Arial" w:hAnsi="Arial" w:cs="Arial"/>
                <w:noProof/>
              </w:rPr>
              <w:t>2. Letter from the Remuneration Committee Chair</w:t>
            </w:r>
            <w:r w:rsidR="00A40398" w:rsidRPr="009E48E7">
              <w:rPr>
                <w:rFonts w:ascii="Arial" w:hAnsi="Arial" w:cs="Arial"/>
                <w:noProof/>
                <w:webHidden/>
              </w:rPr>
              <w:tab/>
            </w:r>
            <w:r w:rsidR="00A40398" w:rsidRPr="009E48E7">
              <w:rPr>
                <w:rFonts w:ascii="Arial" w:hAnsi="Arial" w:cs="Arial"/>
                <w:noProof/>
                <w:webHidden/>
              </w:rPr>
              <w:fldChar w:fldCharType="begin"/>
            </w:r>
            <w:r w:rsidR="00A40398" w:rsidRPr="009E48E7">
              <w:rPr>
                <w:rFonts w:ascii="Arial" w:hAnsi="Arial" w:cs="Arial"/>
                <w:noProof/>
                <w:webHidden/>
              </w:rPr>
              <w:instrText xml:space="preserve"> PAGEREF _Toc151713704 \h </w:instrText>
            </w:r>
            <w:r w:rsidR="00A40398" w:rsidRPr="009E48E7">
              <w:rPr>
                <w:rFonts w:ascii="Arial" w:hAnsi="Arial" w:cs="Arial"/>
                <w:noProof/>
                <w:webHidden/>
              </w:rPr>
            </w:r>
            <w:r w:rsidR="00A40398" w:rsidRPr="009E48E7">
              <w:rPr>
                <w:rFonts w:ascii="Arial" w:hAnsi="Arial" w:cs="Arial"/>
                <w:noProof/>
                <w:webHidden/>
              </w:rPr>
              <w:fldChar w:fldCharType="separate"/>
            </w:r>
            <w:r w:rsidR="007616B5">
              <w:rPr>
                <w:rFonts w:ascii="Arial" w:hAnsi="Arial" w:cs="Arial"/>
                <w:noProof/>
                <w:webHidden/>
              </w:rPr>
              <w:t>5</w:t>
            </w:r>
            <w:r w:rsidR="00A40398" w:rsidRPr="009E48E7">
              <w:rPr>
                <w:rFonts w:ascii="Arial" w:hAnsi="Arial" w:cs="Arial"/>
                <w:noProof/>
                <w:webHidden/>
              </w:rPr>
              <w:fldChar w:fldCharType="end"/>
            </w:r>
          </w:hyperlink>
        </w:p>
        <w:p w14:paraId="02013B5A" w14:textId="2B331F2E" w:rsidR="00A40398" w:rsidRPr="009E48E7" w:rsidRDefault="00390509">
          <w:pPr>
            <w:pStyle w:val="TOC1"/>
            <w:tabs>
              <w:tab w:val="right" w:leader="dot" w:pos="9016"/>
            </w:tabs>
            <w:rPr>
              <w:rFonts w:ascii="Arial" w:hAnsi="Arial" w:cs="Arial"/>
              <w:noProof/>
            </w:rPr>
          </w:pPr>
          <w:hyperlink w:anchor="_Toc151713705" w:history="1">
            <w:r w:rsidR="00A40398" w:rsidRPr="009E48E7">
              <w:rPr>
                <w:rStyle w:val="Hyperlink"/>
                <w:rFonts w:ascii="Arial" w:hAnsi="Arial" w:cs="Arial"/>
                <w:noProof/>
              </w:rPr>
              <w:t>3. Remuneration Governance</w:t>
            </w:r>
            <w:r w:rsidR="00A40398" w:rsidRPr="009E48E7">
              <w:rPr>
                <w:rFonts w:ascii="Arial" w:hAnsi="Arial" w:cs="Arial"/>
                <w:noProof/>
                <w:webHidden/>
              </w:rPr>
              <w:tab/>
            </w:r>
            <w:r w:rsidR="00A40398" w:rsidRPr="009E48E7">
              <w:rPr>
                <w:rFonts w:ascii="Arial" w:hAnsi="Arial" w:cs="Arial"/>
                <w:noProof/>
                <w:webHidden/>
              </w:rPr>
              <w:fldChar w:fldCharType="begin"/>
            </w:r>
            <w:r w:rsidR="00A40398" w:rsidRPr="009E48E7">
              <w:rPr>
                <w:rFonts w:ascii="Arial" w:hAnsi="Arial" w:cs="Arial"/>
                <w:noProof/>
                <w:webHidden/>
              </w:rPr>
              <w:instrText xml:space="preserve"> PAGEREF _Toc151713705 \h </w:instrText>
            </w:r>
            <w:r w:rsidR="00A40398" w:rsidRPr="009E48E7">
              <w:rPr>
                <w:rFonts w:ascii="Arial" w:hAnsi="Arial" w:cs="Arial"/>
                <w:noProof/>
                <w:webHidden/>
              </w:rPr>
            </w:r>
            <w:r w:rsidR="00A40398" w:rsidRPr="009E48E7">
              <w:rPr>
                <w:rFonts w:ascii="Arial" w:hAnsi="Arial" w:cs="Arial"/>
                <w:noProof/>
                <w:webHidden/>
              </w:rPr>
              <w:fldChar w:fldCharType="separate"/>
            </w:r>
            <w:r w:rsidR="007616B5">
              <w:rPr>
                <w:rFonts w:ascii="Arial" w:hAnsi="Arial" w:cs="Arial"/>
                <w:noProof/>
                <w:webHidden/>
              </w:rPr>
              <w:t>6</w:t>
            </w:r>
            <w:r w:rsidR="00A40398" w:rsidRPr="009E48E7">
              <w:rPr>
                <w:rFonts w:ascii="Arial" w:hAnsi="Arial" w:cs="Arial"/>
                <w:noProof/>
                <w:webHidden/>
              </w:rPr>
              <w:fldChar w:fldCharType="end"/>
            </w:r>
          </w:hyperlink>
        </w:p>
        <w:p w14:paraId="044EA325" w14:textId="297710AC" w:rsidR="00A40398" w:rsidRPr="009E48E7" w:rsidRDefault="00390509">
          <w:pPr>
            <w:pStyle w:val="TOC1"/>
            <w:tabs>
              <w:tab w:val="right" w:leader="dot" w:pos="9016"/>
            </w:tabs>
            <w:rPr>
              <w:rFonts w:ascii="Arial" w:hAnsi="Arial" w:cs="Arial"/>
              <w:noProof/>
            </w:rPr>
          </w:pPr>
          <w:hyperlink w:anchor="_Toc151713706" w:history="1">
            <w:r w:rsidR="00A40398" w:rsidRPr="009E48E7">
              <w:rPr>
                <w:rStyle w:val="Hyperlink"/>
                <w:rFonts w:ascii="Arial" w:hAnsi="Arial" w:cs="Arial"/>
                <w:noProof/>
              </w:rPr>
              <w:t>4. Executive Remuneration Policy</w:t>
            </w:r>
            <w:r w:rsidR="00A40398" w:rsidRPr="009E48E7">
              <w:rPr>
                <w:rFonts w:ascii="Arial" w:hAnsi="Arial" w:cs="Arial"/>
                <w:noProof/>
                <w:webHidden/>
              </w:rPr>
              <w:tab/>
            </w:r>
            <w:r w:rsidR="00A40398" w:rsidRPr="009E48E7">
              <w:rPr>
                <w:rFonts w:ascii="Arial" w:hAnsi="Arial" w:cs="Arial"/>
                <w:noProof/>
                <w:webHidden/>
              </w:rPr>
              <w:fldChar w:fldCharType="begin"/>
            </w:r>
            <w:r w:rsidR="00A40398" w:rsidRPr="009E48E7">
              <w:rPr>
                <w:rFonts w:ascii="Arial" w:hAnsi="Arial" w:cs="Arial"/>
                <w:noProof/>
                <w:webHidden/>
              </w:rPr>
              <w:instrText xml:space="preserve"> PAGEREF _Toc151713706 \h </w:instrText>
            </w:r>
            <w:r w:rsidR="00A40398" w:rsidRPr="009E48E7">
              <w:rPr>
                <w:rFonts w:ascii="Arial" w:hAnsi="Arial" w:cs="Arial"/>
                <w:noProof/>
                <w:webHidden/>
              </w:rPr>
            </w:r>
            <w:r w:rsidR="00A40398" w:rsidRPr="009E48E7">
              <w:rPr>
                <w:rFonts w:ascii="Arial" w:hAnsi="Arial" w:cs="Arial"/>
                <w:noProof/>
                <w:webHidden/>
              </w:rPr>
              <w:fldChar w:fldCharType="separate"/>
            </w:r>
            <w:r w:rsidR="007616B5">
              <w:rPr>
                <w:rFonts w:ascii="Arial" w:hAnsi="Arial" w:cs="Arial"/>
                <w:noProof/>
                <w:webHidden/>
              </w:rPr>
              <w:t>7</w:t>
            </w:r>
            <w:r w:rsidR="00A40398" w:rsidRPr="009E48E7">
              <w:rPr>
                <w:rFonts w:ascii="Arial" w:hAnsi="Arial" w:cs="Arial"/>
                <w:noProof/>
                <w:webHidden/>
              </w:rPr>
              <w:fldChar w:fldCharType="end"/>
            </w:r>
          </w:hyperlink>
        </w:p>
        <w:p w14:paraId="57D585CE" w14:textId="17108A24" w:rsidR="00A40398" w:rsidRPr="009E48E7" w:rsidRDefault="00390509">
          <w:pPr>
            <w:pStyle w:val="TOC1"/>
            <w:tabs>
              <w:tab w:val="right" w:leader="dot" w:pos="9016"/>
            </w:tabs>
            <w:rPr>
              <w:rFonts w:ascii="Arial" w:hAnsi="Arial" w:cs="Arial"/>
              <w:noProof/>
            </w:rPr>
          </w:pPr>
          <w:hyperlink w:anchor="_Toc151713707" w:history="1">
            <w:r w:rsidR="00A40398" w:rsidRPr="009E48E7">
              <w:rPr>
                <w:rStyle w:val="Hyperlink"/>
                <w:rFonts w:ascii="Arial" w:hAnsi="Arial" w:cs="Arial"/>
                <w:noProof/>
              </w:rPr>
              <w:t>5. Key performance summary (optional)</w:t>
            </w:r>
            <w:r w:rsidR="00A40398" w:rsidRPr="009E48E7">
              <w:rPr>
                <w:rFonts w:ascii="Arial" w:hAnsi="Arial" w:cs="Arial"/>
                <w:noProof/>
                <w:webHidden/>
              </w:rPr>
              <w:tab/>
            </w:r>
            <w:r w:rsidR="00A40398" w:rsidRPr="009E48E7">
              <w:rPr>
                <w:rFonts w:ascii="Arial" w:hAnsi="Arial" w:cs="Arial"/>
                <w:noProof/>
                <w:webHidden/>
              </w:rPr>
              <w:fldChar w:fldCharType="begin"/>
            </w:r>
            <w:r w:rsidR="00A40398" w:rsidRPr="009E48E7">
              <w:rPr>
                <w:rFonts w:ascii="Arial" w:hAnsi="Arial" w:cs="Arial"/>
                <w:noProof/>
                <w:webHidden/>
              </w:rPr>
              <w:instrText xml:space="preserve"> PAGEREF _Toc151713707 \h </w:instrText>
            </w:r>
            <w:r w:rsidR="00A40398" w:rsidRPr="009E48E7">
              <w:rPr>
                <w:rFonts w:ascii="Arial" w:hAnsi="Arial" w:cs="Arial"/>
                <w:noProof/>
                <w:webHidden/>
              </w:rPr>
            </w:r>
            <w:r w:rsidR="00A40398" w:rsidRPr="009E48E7">
              <w:rPr>
                <w:rFonts w:ascii="Arial" w:hAnsi="Arial" w:cs="Arial"/>
                <w:noProof/>
                <w:webHidden/>
              </w:rPr>
              <w:fldChar w:fldCharType="separate"/>
            </w:r>
            <w:r w:rsidR="007616B5">
              <w:rPr>
                <w:rFonts w:ascii="Arial" w:hAnsi="Arial" w:cs="Arial"/>
                <w:noProof/>
                <w:webHidden/>
              </w:rPr>
              <w:t>9</w:t>
            </w:r>
            <w:r w:rsidR="00A40398" w:rsidRPr="009E48E7">
              <w:rPr>
                <w:rFonts w:ascii="Arial" w:hAnsi="Arial" w:cs="Arial"/>
                <w:noProof/>
                <w:webHidden/>
              </w:rPr>
              <w:fldChar w:fldCharType="end"/>
            </w:r>
          </w:hyperlink>
        </w:p>
        <w:p w14:paraId="357B059F" w14:textId="69315F19" w:rsidR="00A40398" w:rsidRPr="009E48E7" w:rsidRDefault="00390509">
          <w:pPr>
            <w:pStyle w:val="TOC1"/>
            <w:tabs>
              <w:tab w:val="right" w:leader="dot" w:pos="9016"/>
            </w:tabs>
            <w:rPr>
              <w:rFonts w:ascii="Arial" w:hAnsi="Arial" w:cs="Arial"/>
              <w:noProof/>
            </w:rPr>
          </w:pPr>
          <w:hyperlink w:anchor="_Toc151713708" w:history="1">
            <w:r w:rsidR="00A40398" w:rsidRPr="009E48E7">
              <w:rPr>
                <w:rStyle w:val="Hyperlink"/>
                <w:rFonts w:ascii="Arial" w:hAnsi="Arial" w:cs="Arial"/>
                <w:noProof/>
              </w:rPr>
              <w:t>6. CEO Remuneration Arrangements &amp; Outcomes</w:t>
            </w:r>
            <w:r w:rsidR="00A40398" w:rsidRPr="009E48E7">
              <w:rPr>
                <w:rFonts w:ascii="Arial" w:hAnsi="Arial" w:cs="Arial"/>
                <w:noProof/>
                <w:webHidden/>
              </w:rPr>
              <w:tab/>
            </w:r>
            <w:r w:rsidR="00A40398" w:rsidRPr="009E48E7">
              <w:rPr>
                <w:rFonts w:ascii="Arial" w:hAnsi="Arial" w:cs="Arial"/>
                <w:noProof/>
                <w:webHidden/>
              </w:rPr>
              <w:fldChar w:fldCharType="begin"/>
            </w:r>
            <w:r w:rsidR="00A40398" w:rsidRPr="009E48E7">
              <w:rPr>
                <w:rFonts w:ascii="Arial" w:hAnsi="Arial" w:cs="Arial"/>
                <w:noProof/>
                <w:webHidden/>
              </w:rPr>
              <w:instrText xml:space="preserve"> PAGEREF _Toc151713708 \h </w:instrText>
            </w:r>
            <w:r w:rsidR="00A40398" w:rsidRPr="009E48E7">
              <w:rPr>
                <w:rFonts w:ascii="Arial" w:hAnsi="Arial" w:cs="Arial"/>
                <w:noProof/>
                <w:webHidden/>
              </w:rPr>
            </w:r>
            <w:r w:rsidR="00A40398" w:rsidRPr="009E48E7">
              <w:rPr>
                <w:rFonts w:ascii="Arial" w:hAnsi="Arial" w:cs="Arial"/>
                <w:noProof/>
                <w:webHidden/>
              </w:rPr>
              <w:fldChar w:fldCharType="separate"/>
            </w:r>
            <w:r w:rsidR="007616B5">
              <w:rPr>
                <w:rFonts w:ascii="Arial" w:hAnsi="Arial" w:cs="Arial"/>
                <w:noProof/>
                <w:webHidden/>
              </w:rPr>
              <w:t>10</w:t>
            </w:r>
            <w:r w:rsidR="00A40398" w:rsidRPr="009E48E7">
              <w:rPr>
                <w:rFonts w:ascii="Arial" w:hAnsi="Arial" w:cs="Arial"/>
                <w:noProof/>
                <w:webHidden/>
              </w:rPr>
              <w:fldChar w:fldCharType="end"/>
            </w:r>
          </w:hyperlink>
        </w:p>
        <w:p w14:paraId="4B936E7E" w14:textId="57CCC36F" w:rsidR="00A40398" w:rsidRPr="009E48E7" w:rsidRDefault="00390509">
          <w:pPr>
            <w:pStyle w:val="TOC1"/>
            <w:tabs>
              <w:tab w:val="right" w:leader="dot" w:pos="9016"/>
            </w:tabs>
            <w:rPr>
              <w:rFonts w:ascii="Arial" w:hAnsi="Arial" w:cs="Arial"/>
              <w:noProof/>
            </w:rPr>
          </w:pPr>
          <w:hyperlink w:anchor="_Toc151713709" w:history="1">
            <w:r w:rsidR="00A40398" w:rsidRPr="009E48E7">
              <w:rPr>
                <w:rStyle w:val="Hyperlink"/>
                <w:rFonts w:ascii="Arial" w:hAnsi="Arial" w:cs="Arial"/>
                <w:noProof/>
              </w:rPr>
              <w:t>7. ESG Disclosures (optional)</w:t>
            </w:r>
            <w:r w:rsidR="00A40398" w:rsidRPr="009E48E7">
              <w:rPr>
                <w:rFonts w:ascii="Arial" w:hAnsi="Arial" w:cs="Arial"/>
                <w:noProof/>
                <w:webHidden/>
              </w:rPr>
              <w:tab/>
            </w:r>
            <w:r w:rsidR="00A40398" w:rsidRPr="009E48E7">
              <w:rPr>
                <w:rFonts w:ascii="Arial" w:hAnsi="Arial" w:cs="Arial"/>
                <w:noProof/>
                <w:webHidden/>
              </w:rPr>
              <w:fldChar w:fldCharType="begin"/>
            </w:r>
            <w:r w:rsidR="00A40398" w:rsidRPr="009E48E7">
              <w:rPr>
                <w:rFonts w:ascii="Arial" w:hAnsi="Arial" w:cs="Arial"/>
                <w:noProof/>
                <w:webHidden/>
              </w:rPr>
              <w:instrText xml:space="preserve"> PAGEREF _Toc151713709 \h </w:instrText>
            </w:r>
            <w:r w:rsidR="00A40398" w:rsidRPr="009E48E7">
              <w:rPr>
                <w:rFonts w:ascii="Arial" w:hAnsi="Arial" w:cs="Arial"/>
                <w:noProof/>
                <w:webHidden/>
              </w:rPr>
            </w:r>
            <w:r w:rsidR="00A40398" w:rsidRPr="009E48E7">
              <w:rPr>
                <w:rFonts w:ascii="Arial" w:hAnsi="Arial" w:cs="Arial"/>
                <w:noProof/>
                <w:webHidden/>
              </w:rPr>
              <w:fldChar w:fldCharType="separate"/>
            </w:r>
            <w:r w:rsidR="007616B5">
              <w:rPr>
                <w:rFonts w:ascii="Arial" w:hAnsi="Arial" w:cs="Arial"/>
                <w:noProof/>
                <w:webHidden/>
              </w:rPr>
              <w:t>16</w:t>
            </w:r>
            <w:r w:rsidR="00A40398" w:rsidRPr="009E48E7">
              <w:rPr>
                <w:rFonts w:ascii="Arial" w:hAnsi="Arial" w:cs="Arial"/>
                <w:noProof/>
                <w:webHidden/>
              </w:rPr>
              <w:fldChar w:fldCharType="end"/>
            </w:r>
          </w:hyperlink>
        </w:p>
        <w:p w14:paraId="7202A76B" w14:textId="6DF303AB" w:rsidR="00A40398" w:rsidRPr="009E48E7" w:rsidRDefault="00390509">
          <w:pPr>
            <w:pStyle w:val="TOC1"/>
            <w:tabs>
              <w:tab w:val="right" w:leader="dot" w:pos="9016"/>
            </w:tabs>
            <w:rPr>
              <w:rFonts w:ascii="Arial" w:hAnsi="Arial" w:cs="Arial"/>
              <w:noProof/>
            </w:rPr>
          </w:pPr>
          <w:hyperlink w:anchor="_Toc151713710" w:history="1">
            <w:r w:rsidR="00A40398" w:rsidRPr="009E48E7">
              <w:rPr>
                <w:rStyle w:val="Hyperlink"/>
                <w:rFonts w:ascii="Arial" w:hAnsi="Arial" w:cs="Arial"/>
                <w:noProof/>
              </w:rPr>
              <w:t>8. Remuneration bands</w:t>
            </w:r>
            <w:r w:rsidR="00A40398" w:rsidRPr="009E48E7">
              <w:rPr>
                <w:rFonts w:ascii="Arial" w:hAnsi="Arial" w:cs="Arial"/>
                <w:noProof/>
                <w:webHidden/>
              </w:rPr>
              <w:tab/>
            </w:r>
            <w:r w:rsidR="00A40398" w:rsidRPr="009E48E7">
              <w:rPr>
                <w:rFonts w:ascii="Arial" w:hAnsi="Arial" w:cs="Arial"/>
                <w:noProof/>
                <w:webHidden/>
              </w:rPr>
              <w:fldChar w:fldCharType="begin"/>
            </w:r>
            <w:r w:rsidR="00A40398" w:rsidRPr="009E48E7">
              <w:rPr>
                <w:rFonts w:ascii="Arial" w:hAnsi="Arial" w:cs="Arial"/>
                <w:noProof/>
                <w:webHidden/>
              </w:rPr>
              <w:instrText xml:space="preserve"> PAGEREF _Toc151713710 \h </w:instrText>
            </w:r>
            <w:r w:rsidR="00A40398" w:rsidRPr="009E48E7">
              <w:rPr>
                <w:rFonts w:ascii="Arial" w:hAnsi="Arial" w:cs="Arial"/>
                <w:noProof/>
                <w:webHidden/>
              </w:rPr>
            </w:r>
            <w:r w:rsidR="00A40398" w:rsidRPr="009E48E7">
              <w:rPr>
                <w:rFonts w:ascii="Arial" w:hAnsi="Arial" w:cs="Arial"/>
                <w:noProof/>
                <w:webHidden/>
              </w:rPr>
              <w:fldChar w:fldCharType="separate"/>
            </w:r>
            <w:r w:rsidR="007616B5">
              <w:rPr>
                <w:rFonts w:ascii="Arial" w:hAnsi="Arial" w:cs="Arial"/>
                <w:noProof/>
                <w:webHidden/>
              </w:rPr>
              <w:t>18</w:t>
            </w:r>
            <w:r w:rsidR="00A40398" w:rsidRPr="009E48E7">
              <w:rPr>
                <w:rFonts w:ascii="Arial" w:hAnsi="Arial" w:cs="Arial"/>
                <w:noProof/>
                <w:webHidden/>
              </w:rPr>
              <w:fldChar w:fldCharType="end"/>
            </w:r>
          </w:hyperlink>
        </w:p>
        <w:p w14:paraId="6ADDB74B" w14:textId="2C984BE7" w:rsidR="00A40398" w:rsidRPr="009E48E7" w:rsidRDefault="00390509">
          <w:pPr>
            <w:pStyle w:val="TOC1"/>
            <w:tabs>
              <w:tab w:val="right" w:leader="dot" w:pos="9016"/>
            </w:tabs>
            <w:rPr>
              <w:rFonts w:ascii="Arial" w:hAnsi="Arial" w:cs="Arial"/>
              <w:noProof/>
            </w:rPr>
          </w:pPr>
          <w:hyperlink w:anchor="_Toc151713711" w:history="1">
            <w:r w:rsidR="00A40398" w:rsidRPr="009E48E7">
              <w:rPr>
                <w:rStyle w:val="Hyperlink"/>
                <w:rFonts w:ascii="Arial" w:hAnsi="Arial" w:cs="Arial"/>
                <w:noProof/>
              </w:rPr>
              <w:t>9. Director Remuneration</w:t>
            </w:r>
            <w:r w:rsidR="00A40398" w:rsidRPr="009E48E7">
              <w:rPr>
                <w:rFonts w:ascii="Arial" w:hAnsi="Arial" w:cs="Arial"/>
                <w:noProof/>
                <w:webHidden/>
              </w:rPr>
              <w:tab/>
            </w:r>
            <w:r w:rsidR="00A40398" w:rsidRPr="009E48E7">
              <w:rPr>
                <w:rFonts w:ascii="Arial" w:hAnsi="Arial" w:cs="Arial"/>
                <w:noProof/>
                <w:webHidden/>
              </w:rPr>
              <w:fldChar w:fldCharType="begin"/>
            </w:r>
            <w:r w:rsidR="00A40398" w:rsidRPr="009E48E7">
              <w:rPr>
                <w:rFonts w:ascii="Arial" w:hAnsi="Arial" w:cs="Arial"/>
                <w:noProof/>
                <w:webHidden/>
              </w:rPr>
              <w:instrText xml:space="preserve"> PAGEREF _Toc151713711 \h </w:instrText>
            </w:r>
            <w:r w:rsidR="00A40398" w:rsidRPr="009E48E7">
              <w:rPr>
                <w:rFonts w:ascii="Arial" w:hAnsi="Arial" w:cs="Arial"/>
                <w:noProof/>
                <w:webHidden/>
              </w:rPr>
            </w:r>
            <w:r w:rsidR="00A40398" w:rsidRPr="009E48E7">
              <w:rPr>
                <w:rFonts w:ascii="Arial" w:hAnsi="Arial" w:cs="Arial"/>
                <w:noProof/>
                <w:webHidden/>
              </w:rPr>
              <w:fldChar w:fldCharType="separate"/>
            </w:r>
            <w:r w:rsidR="007616B5">
              <w:rPr>
                <w:rFonts w:ascii="Arial" w:hAnsi="Arial" w:cs="Arial"/>
                <w:noProof/>
                <w:webHidden/>
              </w:rPr>
              <w:t>19</w:t>
            </w:r>
            <w:r w:rsidR="00A40398" w:rsidRPr="009E48E7">
              <w:rPr>
                <w:rFonts w:ascii="Arial" w:hAnsi="Arial" w:cs="Arial"/>
                <w:noProof/>
                <w:webHidden/>
              </w:rPr>
              <w:fldChar w:fldCharType="end"/>
            </w:r>
          </w:hyperlink>
        </w:p>
        <w:p w14:paraId="56CDA929" w14:textId="6CE4BA97" w:rsidR="00A40398" w:rsidRPr="009E48E7" w:rsidRDefault="00390509">
          <w:pPr>
            <w:pStyle w:val="TOC1"/>
            <w:tabs>
              <w:tab w:val="right" w:leader="dot" w:pos="9016"/>
            </w:tabs>
            <w:rPr>
              <w:rFonts w:ascii="Arial" w:hAnsi="Arial" w:cs="Arial"/>
              <w:noProof/>
            </w:rPr>
          </w:pPr>
          <w:hyperlink w:anchor="_Toc151713712" w:history="1">
            <w:r w:rsidR="00A40398" w:rsidRPr="009E48E7">
              <w:rPr>
                <w:rStyle w:val="Hyperlink"/>
                <w:rFonts w:ascii="Arial" w:hAnsi="Arial" w:cs="Arial"/>
                <w:noProof/>
              </w:rPr>
              <w:t>Glossary</w:t>
            </w:r>
            <w:r w:rsidR="00A40398" w:rsidRPr="009E48E7">
              <w:rPr>
                <w:rFonts w:ascii="Arial" w:hAnsi="Arial" w:cs="Arial"/>
                <w:noProof/>
                <w:webHidden/>
              </w:rPr>
              <w:tab/>
            </w:r>
            <w:r w:rsidR="00A40398" w:rsidRPr="009E48E7">
              <w:rPr>
                <w:rFonts w:ascii="Arial" w:hAnsi="Arial" w:cs="Arial"/>
                <w:noProof/>
                <w:webHidden/>
              </w:rPr>
              <w:fldChar w:fldCharType="begin"/>
            </w:r>
            <w:r w:rsidR="00A40398" w:rsidRPr="009E48E7">
              <w:rPr>
                <w:rFonts w:ascii="Arial" w:hAnsi="Arial" w:cs="Arial"/>
                <w:noProof/>
                <w:webHidden/>
              </w:rPr>
              <w:instrText xml:space="preserve"> PAGEREF _Toc151713712 \h </w:instrText>
            </w:r>
            <w:r w:rsidR="00A40398" w:rsidRPr="009E48E7">
              <w:rPr>
                <w:rFonts w:ascii="Arial" w:hAnsi="Arial" w:cs="Arial"/>
                <w:noProof/>
                <w:webHidden/>
              </w:rPr>
            </w:r>
            <w:r w:rsidR="00A40398" w:rsidRPr="009E48E7">
              <w:rPr>
                <w:rFonts w:ascii="Arial" w:hAnsi="Arial" w:cs="Arial"/>
                <w:noProof/>
                <w:webHidden/>
              </w:rPr>
              <w:fldChar w:fldCharType="separate"/>
            </w:r>
            <w:r w:rsidR="007616B5">
              <w:rPr>
                <w:rFonts w:ascii="Arial" w:hAnsi="Arial" w:cs="Arial"/>
                <w:noProof/>
                <w:webHidden/>
              </w:rPr>
              <w:t>22</w:t>
            </w:r>
            <w:r w:rsidR="00A40398" w:rsidRPr="009E48E7">
              <w:rPr>
                <w:rFonts w:ascii="Arial" w:hAnsi="Arial" w:cs="Arial"/>
                <w:noProof/>
                <w:webHidden/>
              </w:rPr>
              <w:fldChar w:fldCharType="end"/>
            </w:r>
          </w:hyperlink>
        </w:p>
        <w:p w14:paraId="14CB9D98" w14:textId="564C3B0A" w:rsidR="00A40398" w:rsidRDefault="00A40398">
          <w:r>
            <w:rPr>
              <w:b/>
              <w:bCs/>
              <w:noProof/>
            </w:rPr>
            <w:fldChar w:fldCharType="end"/>
          </w:r>
        </w:p>
      </w:sdtContent>
    </w:sdt>
    <w:p w14:paraId="4A342337" w14:textId="14137E06" w:rsidR="00DF7E6F" w:rsidRPr="0078424A" w:rsidRDefault="007C2DC8" w:rsidP="002655CC">
      <w:pPr>
        <w:rPr>
          <w:b/>
          <w:bCs/>
          <w:sz w:val="36"/>
          <w:szCs w:val="36"/>
        </w:rPr>
      </w:pPr>
      <w:r>
        <w:rPr>
          <w:noProof/>
        </w:rPr>
        <mc:AlternateContent>
          <mc:Choice Requires="wps">
            <w:drawing>
              <wp:anchor distT="45720" distB="45720" distL="114300" distR="114300" simplePos="0" relativeHeight="251659264" behindDoc="0" locked="0" layoutInCell="1" allowOverlap="1" wp14:anchorId="431AE99B" wp14:editId="2B9A294E">
                <wp:simplePos x="0" y="0"/>
                <wp:positionH relativeFrom="column">
                  <wp:posOffset>-6350</wp:posOffset>
                </wp:positionH>
                <wp:positionV relativeFrom="paragraph">
                  <wp:posOffset>393700</wp:posOffset>
                </wp:positionV>
                <wp:extent cx="5876925" cy="3467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467100"/>
                        </a:xfrm>
                        <a:prstGeom prst="rect">
                          <a:avLst/>
                        </a:prstGeom>
                        <a:solidFill>
                          <a:srgbClr val="FFFFFF"/>
                        </a:solidFill>
                        <a:ln w="19050">
                          <a:solidFill>
                            <a:srgbClr val="000000"/>
                          </a:solidFill>
                          <a:miter lim="800000"/>
                          <a:headEnd/>
                          <a:tailEnd/>
                        </a:ln>
                      </wps:spPr>
                      <wps:txbx>
                        <w:txbxContent>
                          <w:p w14:paraId="14ACCF4F" w14:textId="488F4617" w:rsidR="0078424A" w:rsidRPr="00E311CD" w:rsidRDefault="0078424A" w:rsidP="001F6331">
                            <w:pPr>
                              <w:spacing w:after="160"/>
                              <w:rPr>
                                <w:rFonts w:ascii="Arial" w:hAnsi="Arial" w:cs="Arial"/>
                                <w:b/>
                                <w:bCs/>
                                <w:sz w:val="20"/>
                                <w:szCs w:val="20"/>
                              </w:rPr>
                            </w:pPr>
                            <w:r w:rsidRPr="00E311CD">
                              <w:rPr>
                                <w:rFonts w:ascii="Arial" w:hAnsi="Arial" w:cs="Arial"/>
                                <w:b/>
                                <w:bCs/>
                                <w:sz w:val="20"/>
                                <w:szCs w:val="20"/>
                              </w:rPr>
                              <w:t>How to use this template</w:t>
                            </w:r>
                            <w:r w:rsidR="00D328D9" w:rsidRPr="00E311CD">
                              <w:rPr>
                                <w:rFonts w:ascii="Arial" w:hAnsi="Arial" w:cs="Arial"/>
                                <w:b/>
                                <w:bCs/>
                                <w:sz w:val="20"/>
                                <w:szCs w:val="20"/>
                              </w:rPr>
                              <w:t>:</w:t>
                            </w:r>
                          </w:p>
                          <w:p w14:paraId="034A5BC6" w14:textId="799FF736" w:rsidR="00D328D9" w:rsidRPr="00E311CD" w:rsidRDefault="00CC5BF3" w:rsidP="001F6331">
                            <w:pPr>
                              <w:spacing w:after="160"/>
                              <w:rPr>
                                <w:rFonts w:ascii="Arial" w:hAnsi="Arial" w:cs="Arial"/>
                                <w:sz w:val="20"/>
                                <w:szCs w:val="20"/>
                              </w:rPr>
                            </w:pPr>
                            <w:r w:rsidRPr="00E311CD">
                              <w:rPr>
                                <w:rFonts w:ascii="Arial" w:hAnsi="Arial" w:cs="Arial"/>
                                <w:sz w:val="20"/>
                                <w:szCs w:val="20"/>
                              </w:rPr>
                              <w:t>This template is intended</w:t>
                            </w:r>
                            <w:r w:rsidR="005E553C" w:rsidRPr="00E311CD">
                              <w:rPr>
                                <w:rFonts w:ascii="Arial" w:hAnsi="Arial" w:cs="Arial"/>
                                <w:sz w:val="20"/>
                                <w:szCs w:val="20"/>
                              </w:rPr>
                              <w:t xml:space="preserve"> for voluntary use only. </w:t>
                            </w:r>
                          </w:p>
                          <w:p w14:paraId="38AE4110" w14:textId="1B6195F4" w:rsidR="00CC5BF3" w:rsidRPr="00E311CD" w:rsidRDefault="005E553C" w:rsidP="001F6331">
                            <w:pPr>
                              <w:spacing w:after="160"/>
                              <w:rPr>
                                <w:rFonts w:ascii="Arial" w:hAnsi="Arial" w:cs="Arial"/>
                                <w:sz w:val="20"/>
                                <w:szCs w:val="20"/>
                              </w:rPr>
                            </w:pPr>
                            <w:r w:rsidRPr="00E311CD">
                              <w:rPr>
                                <w:rFonts w:ascii="Arial" w:hAnsi="Arial" w:cs="Arial"/>
                                <w:sz w:val="20"/>
                                <w:szCs w:val="20"/>
                              </w:rPr>
                              <w:t>There is no obligation</w:t>
                            </w:r>
                            <w:r w:rsidR="00A032E6" w:rsidRPr="00E311CD">
                              <w:rPr>
                                <w:rFonts w:ascii="Arial" w:hAnsi="Arial" w:cs="Arial"/>
                                <w:sz w:val="20"/>
                                <w:szCs w:val="20"/>
                              </w:rPr>
                              <w:t xml:space="preserve"> </w:t>
                            </w:r>
                            <w:r w:rsidRPr="00E311CD">
                              <w:rPr>
                                <w:rFonts w:ascii="Arial" w:hAnsi="Arial" w:cs="Arial"/>
                                <w:sz w:val="20"/>
                                <w:szCs w:val="20"/>
                              </w:rPr>
                              <w:t xml:space="preserve">to use the template, and </w:t>
                            </w:r>
                            <w:r w:rsidR="0078424A" w:rsidRPr="00E311CD">
                              <w:rPr>
                                <w:rFonts w:ascii="Arial" w:hAnsi="Arial" w:cs="Arial"/>
                                <w:sz w:val="20"/>
                                <w:szCs w:val="20"/>
                              </w:rPr>
                              <w:t xml:space="preserve">an </w:t>
                            </w:r>
                            <w:r w:rsidRPr="00E311CD">
                              <w:rPr>
                                <w:rFonts w:ascii="Arial" w:hAnsi="Arial" w:cs="Arial"/>
                                <w:sz w:val="20"/>
                                <w:szCs w:val="20"/>
                              </w:rPr>
                              <w:t xml:space="preserve">issuer </w:t>
                            </w:r>
                            <w:r w:rsidR="0078424A" w:rsidRPr="00E311CD">
                              <w:rPr>
                                <w:rFonts w:ascii="Arial" w:hAnsi="Arial" w:cs="Arial"/>
                                <w:sz w:val="20"/>
                                <w:szCs w:val="20"/>
                              </w:rPr>
                              <w:t>may wish to adopt an alternative approach to reporting its remuneration practices, including when reporting against the recommendations contained in Principle 5 of the NZX Corporate Governance Code (</w:t>
                            </w:r>
                            <w:r w:rsidR="004E003B" w:rsidRPr="00E311CD">
                              <w:rPr>
                                <w:rFonts w:ascii="Arial" w:hAnsi="Arial" w:cs="Arial"/>
                                <w:b/>
                                <w:bCs/>
                                <w:sz w:val="20"/>
                                <w:szCs w:val="20"/>
                              </w:rPr>
                              <w:t xml:space="preserve">NZX </w:t>
                            </w:r>
                            <w:r w:rsidR="0078424A" w:rsidRPr="00E311CD">
                              <w:rPr>
                                <w:rFonts w:ascii="Arial" w:hAnsi="Arial" w:cs="Arial"/>
                                <w:b/>
                                <w:bCs/>
                                <w:sz w:val="20"/>
                                <w:szCs w:val="20"/>
                              </w:rPr>
                              <w:t>Code</w:t>
                            </w:r>
                            <w:r w:rsidR="0078424A" w:rsidRPr="00E311CD">
                              <w:rPr>
                                <w:rFonts w:ascii="Arial" w:hAnsi="Arial" w:cs="Arial"/>
                                <w:sz w:val="20"/>
                                <w:szCs w:val="20"/>
                              </w:rPr>
                              <w:t>).</w:t>
                            </w:r>
                          </w:p>
                          <w:p w14:paraId="67CB865E" w14:textId="05C29CEC" w:rsidR="00D328D9" w:rsidRPr="00E311CD" w:rsidRDefault="00D328D9" w:rsidP="001F6331">
                            <w:pPr>
                              <w:spacing w:after="160"/>
                              <w:rPr>
                                <w:rFonts w:ascii="Arial" w:hAnsi="Arial" w:cs="Arial"/>
                                <w:sz w:val="20"/>
                                <w:szCs w:val="20"/>
                              </w:rPr>
                            </w:pPr>
                            <w:r w:rsidRPr="00E311CD">
                              <w:rPr>
                                <w:rFonts w:ascii="Arial" w:hAnsi="Arial" w:cs="Arial"/>
                                <w:sz w:val="20"/>
                                <w:szCs w:val="20"/>
                              </w:rPr>
                              <w:t xml:space="preserve">An issuer may prefer to provide its </w:t>
                            </w:r>
                            <w:r w:rsidR="008C4F6A">
                              <w:rPr>
                                <w:rFonts w:ascii="Arial" w:hAnsi="Arial" w:cs="Arial"/>
                                <w:sz w:val="20"/>
                                <w:szCs w:val="20"/>
                              </w:rPr>
                              <w:t xml:space="preserve">NZX </w:t>
                            </w:r>
                            <w:r w:rsidRPr="00E311CD">
                              <w:rPr>
                                <w:rFonts w:ascii="Arial" w:hAnsi="Arial" w:cs="Arial"/>
                                <w:sz w:val="20"/>
                                <w:szCs w:val="20"/>
                              </w:rPr>
                              <w:t>Code disclosures relating to remuneration in other areas of its annual report, such as its corporate governance section, or in the notes to its financial statements, rather than in a Remuneration Report</w:t>
                            </w:r>
                            <w:r w:rsidR="004C2E34" w:rsidRPr="00E311CD">
                              <w:rPr>
                                <w:rFonts w:ascii="Arial" w:hAnsi="Arial" w:cs="Arial"/>
                                <w:sz w:val="20"/>
                                <w:szCs w:val="20"/>
                              </w:rPr>
                              <w:t xml:space="preserve">, noting that the </w:t>
                            </w:r>
                            <w:r w:rsidR="008C4F6A">
                              <w:rPr>
                                <w:rFonts w:ascii="Arial" w:hAnsi="Arial" w:cs="Arial"/>
                                <w:sz w:val="20"/>
                                <w:szCs w:val="20"/>
                              </w:rPr>
                              <w:t xml:space="preserve">NZX </w:t>
                            </w:r>
                            <w:r w:rsidR="004C2E34" w:rsidRPr="00E311CD">
                              <w:rPr>
                                <w:rFonts w:ascii="Arial" w:hAnsi="Arial" w:cs="Arial"/>
                                <w:sz w:val="20"/>
                                <w:szCs w:val="20"/>
                              </w:rPr>
                              <w:t>Code encourages issuers to ensure that disclosure can be easily navigated by a reader</w:t>
                            </w:r>
                            <w:r w:rsidRPr="00E311CD">
                              <w:rPr>
                                <w:rFonts w:ascii="Arial" w:hAnsi="Arial" w:cs="Arial"/>
                                <w:sz w:val="20"/>
                                <w:szCs w:val="20"/>
                              </w:rPr>
                              <w:t>.</w:t>
                            </w:r>
                          </w:p>
                          <w:p w14:paraId="194BD63F" w14:textId="7213EA00" w:rsidR="00092A60" w:rsidRPr="00E311CD" w:rsidRDefault="0078424A" w:rsidP="001F6331">
                            <w:pPr>
                              <w:spacing w:after="160"/>
                              <w:rPr>
                                <w:rFonts w:ascii="Arial" w:hAnsi="Arial" w:cs="Arial"/>
                                <w:sz w:val="20"/>
                                <w:szCs w:val="20"/>
                              </w:rPr>
                            </w:pPr>
                            <w:r w:rsidRPr="00E311CD">
                              <w:rPr>
                                <w:rFonts w:ascii="Arial" w:hAnsi="Arial" w:cs="Arial"/>
                                <w:sz w:val="20"/>
                                <w:szCs w:val="20"/>
                              </w:rPr>
                              <w:t xml:space="preserve">An issuer may </w:t>
                            </w:r>
                            <w:r w:rsidR="00D328D9" w:rsidRPr="00E311CD">
                              <w:rPr>
                                <w:rFonts w:ascii="Arial" w:hAnsi="Arial" w:cs="Arial"/>
                                <w:sz w:val="20"/>
                                <w:szCs w:val="20"/>
                              </w:rPr>
                              <w:t xml:space="preserve">also </w:t>
                            </w:r>
                            <w:r w:rsidRPr="00E311CD">
                              <w:rPr>
                                <w:rFonts w:ascii="Arial" w:hAnsi="Arial" w:cs="Arial"/>
                                <w:sz w:val="20"/>
                                <w:szCs w:val="20"/>
                              </w:rPr>
                              <w:t xml:space="preserve">elect to adopt only some elements of this template.  There is no requirement </w:t>
                            </w:r>
                            <w:r w:rsidR="00D328D9" w:rsidRPr="00E311CD">
                              <w:rPr>
                                <w:rFonts w:ascii="Arial" w:hAnsi="Arial" w:cs="Arial"/>
                                <w:sz w:val="20"/>
                                <w:szCs w:val="20"/>
                              </w:rPr>
                              <w:t>for an issuer who elects to report using the template to make all of the disclosures included in the template</w:t>
                            </w:r>
                            <w:r w:rsidR="004E003B" w:rsidRPr="00E311CD">
                              <w:rPr>
                                <w:rFonts w:ascii="Arial" w:hAnsi="Arial" w:cs="Arial"/>
                                <w:sz w:val="20"/>
                                <w:szCs w:val="20"/>
                              </w:rPr>
                              <w:t>.</w:t>
                            </w:r>
                          </w:p>
                          <w:p w14:paraId="73A78CF0" w14:textId="1D185AF2" w:rsidR="005E553C" w:rsidRPr="00E311CD" w:rsidRDefault="00092A60" w:rsidP="001F6331">
                            <w:pPr>
                              <w:spacing w:after="160"/>
                              <w:rPr>
                                <w:rFonts w:ascii="Arial" w:hAnsi="Arial" w:cs="Arial"/>
                                <w:sz w:val="20"/>
                                <w:szCs w:val="20"/>
                              </w:rPr>
                            </w:pPr>
                            <w:r w:rsidRPr="00E311CD">
                              <w:rPr>
                                <w:rFonts w:ascii="Arial" w:hAnsi="Arial" w:cs="Arial"/>
                                <w:sz w:val="20"/>
                                <w:szCs w:val="20"/>
                              </w:rPr>
                              <w:t>Disclosures made using this template should be adapted to reflect the nature of the issuer’s business and the structure of the issuer’s remuneration framework (for example: for complex issuers a ‘group’ approach may enable simpler disclosure than disclosure relating to separate business divisions; some issuers do not operate a long-term incentive</w:t>
                            </w:r>
                            <w:r w:rsidR="00786BC7">
                              <w:rPr>
                                <w:rFonts w:ascii="Arial" w:hAnsi="Arial" w:cs="Arial"/>
                                <w:sz w:val="20"/>
                                <w:szCs w:val="20"/>
                              </w:rPr>
                              <w:t xml:space="preserve"> </w:t>
                            </w:r>
                            <w:r w:rsidRPr="00E311CD">
                              <w:rPr>
                                <w:rFonts w:ascii="Arial" w:hAnsi="Arial" w:cs="Arial"/>
                                <w:sz w:val="20"/>
                                <w:szCs w:val="20"/>
                              </w:rPr>
                              <w:t>(</w:t>
                            </w:r>
                            <w:r w:rsidRPr="00E311CD">
                              <w:rPr>
                                <w:rFonts w:ascii="Arial" w:hAnsi="Arial" w:cs="Arial"/>
                                <w:b/>
                                <w:bCs/>
                                <w:sz w:val="20"/>
                                <w:szCs w:val="20"/>
                              </w:rPr>
                              <w:t>LTI</w:t>
                            </w:r>
                            <w:r w:rsidRPr="00E311CD">
                              <w:rPr>
                                <w:rFonts w:ascii="Arial" w:hAnsi="Arial" w:cs="Arial"/>
                                <w:sz w:val="20"/>
                                <w:szCs w:val="20"/>
                              </w:rPr>
                              <w:t>)</w:t>
                            </w:r>
                            <w:r w:rsidR="00786BC7">
                              <w:rPr>
                                <w:rFonts w:ascii="Arial" w:hAnsi="Arial" w:cs="Arial"/>
                                <w:sz w:val="20"/>
                                <w:szCs w:val="20"/>
                              </w:rPr>
                              <w:t xml:space="preserve"> scheme</w:t>
                            </w:r>
                            <w:r w:rsidRPr="00E311CD">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AE99B" id="_x0000_t202" coordsize="21600,21600" o:spt="202" path="m,l,21600r21600,l21600,xe">
                <v:stroke joinstyle="miter"/>
                <v:path gradientshapeok="t" o:connecttype="rect"/>
              </v:shapetype>
              <v:shape id="Text Box 2" o:spid="_x0000_s1026" type="#_x0000_t202" style="position:absolute;margin-left:-.5pt;margin-top:31pt;width:462.75pt;height:2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adEQIAACEEAAAOAAAAZHJzL2Uyb0RvYy54bWysU9uO2yAQfa/Uf0C8N3bSXK04q222qSpt&#10;L9K2H4AxjlGBoUBip1+/A85mo237UpUHxDDDYebMmfVNrxU5CuclmJKORzklwnCopdmX9Pu33Zsl&#10;JT4wUzMFRpT0JDy92bx+te5sISbQgqqFIwhifNHZkrYh2CLLPG+FZn4EVhh0NuA0C2i6fVY71iG6&#10;Vtkkz+dZB662DrjwHm/vBifdJPymETx8aRovAlElxdxC2l3aq7hnmzUr9o7ZVvJzGuwfstBMGvz0&#10;AnXHAiMHJ3+D0pI78NCEEQedQdNILlINWM04f1HNQ8usSLUgOd5eaPL/D5Z/Pj7Yr46E/h302MBU&#10;hLf3wH94YmDbMrMXt85B1wpW48fjSFnWWV+cn0aqfeEjSNV9ghqbzA4BElDfOB1ZwToJomMDThfS&#10;RR8Ix8vZcjFfTWaUcPS9nc4X4zy1JWPF03PrfPggQJN4KKnDriZ4drz3IabDiqeQ+JsHJeudVCoZ&#10;bl9tlSNHhgrYpZUqeBGmDOmwuFU+ywcK/oqRp/UnDC0DallJXdLlJYgVkbj3pk5KC0yq4Yw5K3Nm&#10;MpI30Bj6qsfAyGgF9Qk5dTBoFmcMDy24X5R0qNeS+p8H5gQl6qPBvqzG02kUeDKms8UEDXftqa49&#10;zHCEKmmgZDhuQxqKyJiBW+xfIxOzz5mcc0UdJsLPMxOFfm2nqOfJ3jwCAAD//wMAUEsDBBQABgAI&#10;AAAAIQA9aitD3QAAAAkBAAAPAAAAZHJzL2Rvd25yZXYueG1sTI/NTsMwEITvSLyDtUjcWrtRWoUQ&#10;p0JI5Ex/EFcnXpKIeB3Fbpq+PcsJTqvdGc1+U+wXN4gZp9B70rBZKxBIjbc9tRrOp7dVBiJEQ9YM&#10;nlDDDQPsy/u7wuTWX+mA8zG2gkMo5EZDF+OYSxmaDp0Jaz8isfblJ2cir1Mr7WSuHO4GmSi1k870&#10;xB86M+Jrh8338eI0bMPnezrf6r5rs49KVos7pKdK68eH5eUZRMQl/pnhF5/RoWSm2l/IBjFoWG24&#10;StSwS3iy/pSkWxA1H1SmQJaF/N+g/AEAAP//AwBQSwECLQAUAAYACAAAACEAtoM4kv4AAADhAQAA&#10;EwAAAAAAAAAAAAAAAAAAAAAAW0NvbnRlbnRfVHlwZXNdLnhtbFBLAQItABQABgAIAAAAIQA4/SH/&#10;1gAAAJQBAAALAAAAAAAAAAAAAAAAAC8BAABfcmVscy8ucmVsc1BLAQItABQABgAIAAAAIQC2bdad&#10;EQIAACEEAAAOAAAAAAAAAAAAAAAAAC4CAABkcnMvZTJvRG9jLnhtbFBLAQItABQABgAIAAAAIQA9&#10;aitD3QAAAAkBAAAPAAAAAAAAAAAAAAAAAGsEAABkcnMvZG93bnJldi54bWxQSwUGAAAAAAQABADz&#10;AAAAdQUAAAAA&#10;" strokeweight="1.5pt">
                <v:textbox>
                  <w:txbxContent>
                    <w:p w14:paraId="14ACCF4F" w14:textId="488F4617" w:rsidR="0078424A" w:rsidRPr="00E311CD" w:rsidRDefault="0078424A" w:rsidP="001F6331">
                      <w:pPr>
                        <w:spacing w:after="160"/>
                        <w:rPr>
                          <w:rFonts w:ascii="Arial" w:hAnsi="Arial" w:cs="Arial"/>
                          <w:b/>
                          <w:bCs/>
                          <w:sz w:val="20"/>
                          <w:szCs w:val="20"/>
                        </w:rPr>
                      </w:pPr>
                      <w:r w:rsidRPr="00E311CD">
                        <w:rPr>
                          <w:rFonts w:ascii="Arial" w:hAnsi="Arial" w:cs="Arial"/>
                          <w:b/>
                          <w:bCs/>
                          <w:sz w:val="20"/>
                          <w:szCs w:val="20"/>
                        </w:rPr>
                        <w:t>How to use this template</w:t>
                      </w:r>
                      <w:r w:rsidR="00D328D9" w:rsidRPr="00E311CD">
                        <w:rPr>
                          <w:rFonts w:ascii="Arial" w:hAnsi="Arial" w:cs="Arial"/>
                          <w:b/>
                          <w:bCs/>
                          <w:sz w:val="20"/>
                          <w:szCs w:val="20"/>
                        </w:rPr>
                        <w:t>:</w:t>
                      </w:r>
                    </w:p>
                    <w:p w14:paraId="034A5BC6" w14:textId="799FF736" w:rsidR="00D328D9" w:rsidRPr="00E311CD" w:rsidRDefault="00CC5BF3" w:rsidP="001F6331">
                      <w:pPr>
                        <w:spacing w:after="160"/>
                        <w:rPr>
                          <w:rFonts w:ascii="Arial" w:hAnsi="Arial" w:cs="Arial"/>
                          <w:sz w:val="20"/>
                          <w:szCs w:val="20"/>
                        </w:rPr>
                      </w:pPr>
                      <w:r w:rsidRPr="00E311CD">
                        <w:rPr>
                          <w:rFonts w:ascii="Arial" w:hAnsi="Arial" w:cs="Arial"/>
                          <w:sz w:val="20"/>
                          <w:szCs w:val="20"/>
                        </w:rPr>
                        <w:t>This template is intended</w:t>
                      </w:r>
                      <w:r w:rsidR="005E553C" w:rsidRPr="00E311CD">
                        <w:rPr>
                          <w:rFonts w:ascii="Arial" w:hAnsi="Arial" w:cs="Arial"/>
                          <w:sz w:val="20"/>
                          <w:szCs w:val="20"/>
                        </w:rPr>
                        <w:t xml:space="preserve"> for voluntary use only. </w:t>
                      </w:r>
                    </w:p>
                    <w:p w14:paraId="38AE4110" w14:textId="1B6195F4" w:rsidR="00CC5BF3" w:rsidRPr="00E311CD" w:rsidRDefault="005E553C" w:rsidP="001F6331">
                      <w:pPr>
                        <w:spacing w:after="160"/>
                        <w:rPr>
                          <w:rFonts w:ascii="Arial" w:hAnsi="Arial" w:cs="Arial"/>
                          <w:sz w:val="20"/>
                          <w:szCs w:val="20"/>
                        </w:rPr>
                      </w:pPr>
                      <w:r w:rsidRPr="00E311CD">
                        <w:rPr>
                          <w:rFonts w:ascii="Arial" w:hAnsi="Arial" w:cs="Arial"/>
                          <w:sz w:val="20"/>
                          <w:szCs w:val="20"/>
                        </w:rPr>
                        <w:t>There is no obligation</w:t>
                      </w:r>
                      <w:r w:rsidR="00A032E6" w:rsidRPr="00E311CD">
                        <w:rPr>
                          <w:rFonts w:ascii="Arial" w:hAnsi="Arial" w:cs="Arial"/>
                          <w:sz w:val="20"/>
                          <w:szCs w:val="20"/>
                        </w:rPr>
                        <w:t xml:space="preserve"> </w:t>
                      </w:r>
                      <w:r w:rsidRPr="00E311CD">
                        <w:rPr>
                          <w:rFonts w:ascii="Arial" w:hAnsi="Arial" w:cs="Arial"/>
                          <w:sz w:val="20"/>
                          <w:szCs w:val="20"/>
                        </w:rPr>
                        <w:t xml:space="preserve">to use the template, and </w:t>
                      </w:r>
                      <w:r w:rsidR="0078424A" w:rsidRPr="00E311CD">
                        <w:rPr>
                          <w:rFonts w:ascii="Arial" w:hAnsi="Arial" w:cs="Arial"/>
                          <w:sz w:val="20"/>
                          <w:szCs w:val="20"/>
                        </w:rPr>
                        <w:t xml:space="preserve">an </w:t>
                      </w:r>
                      <w:r w:rsidRPr="00E311CD">
                        <w:rPr>
                          <w:rFonts w:ascii="Arial" w:hAnsi="Arial" w:cs="Arial"/>
                          <w:sz w:val="20"/>
                          <w:szCs w:val="20"/>
                        </w:rPr>
                        <w:t xml:space="preserve">issuer </w:t>
                      </w:r>
                      <w:r w:rsidR="0078424A" w:rsidRPr="00E311CD">
                        <w:rPr>
                          <w:rFonts w:ascii="Arial" w:hAnsi="Arial" w:cs="Arial"/>
                          <w:sz w:val="20"/>
                          <w:szCs w:val="20"/>
                        </w:rPr>
                        <w:t>may wish to adopt an alternative approach to reporting its remuneration practices, including when reporting against the recommendations contained in Principle 5 of the NZX Corporate Governance Code (</w:t>
                      </w:r>
                      <w:r w:rsidR="004E003B" w:rsidRPr="00E311CD">
                        <w:rPr>
                          <w:rFonts w:ascii="Arial" w:hAnsi="Arial" w:cs="Arial"/>
                          <w:b/>
                          <w:bCs/>
                          <w:sz w:val="20"/>
                          <w:szCs w:val="20"/>
                        </w:rPr>
                        <w:t xml:space="preserve">NZX </w:t>
                      </w:r>
                      <w:r w:rsidR="0078424A" w:rsidRPr="00E311CD">
                        <w:rPr>
                          <w:rFonts w:ascii="Arial" w:hAnsi="Arial" w:cs="Arial"/>
                          <w:b/>
                          <w:bCs/>
                          <w:sz w:val="20"/>
                          <w:szCs w:val="20"/>
                        </w:rPr>
                        <w:t>Code</w:t>
                      </w:r>
                      <w:r w:rsidR="0078424A" w:rsidRPr="00E311CD">
                        <w:rPr>
                          <w:rFonts w:ascii="Arial" w:hAnsi="Arial" w:cs="Arial"/>
                          <w:sz w:val="20"/>
                          <w:szCs w:val="20"/>
                        </w:rPr>
                        <w:t>).</w:t>
                      </w:r>
                    </w:p>
                    <w:p w14:paraId="67CB865E" w14:textId="05C29CEC" w:rsidR="00D328D9" w:rsidRPr="00E311CD" w:rsidRDefault="00D328D9" w:rsidP="001F6331">
                      <w:pPr>
                        <w:spacing w:after="160"/>
                        <w:rPr>
                          <w:rFonts w:ascii="Arial" w:hAnsi="Arial" w:cs="Arial"/>
                          <w:sz w:val="20"/>
                          <w:szCs w:val="20"/>
                        </w:rPr>
                      </w:pPr>
                      <w:r w:rsidRPr="00E311CD">
                        <w:rPr>
                          <w:rFonts w:ascii="Arial" w:hAnsi="Arial" w:cs="Arial"/>
                          <w:sz w:val="20"/>
                          <w:szCs w:val="20"/>
                        </w:rPr>
                        <w:t xml:space="preserve">An issuer may prefer to provide its </w:t>
                      </w:r>
                      <w:r w:rsidR="008C4F6A">
                        <w:rPr>
                          <w:rFonts w:ascii="Arial" w:hAnsi="Arial" w:cs="Arial"/>
                          <w:sz w:val="20"/>
                          <w:szCs w:val="20"/>
                        </w:rPr>
                        <w:t xml:space="preserve">NZX </w:t>
                      </w:r>
                      <w:r w:rsidRPr="00E311CD">
                        <w:rPr>
                          <w:rFonts w:ascii="Arial" w:hAnsi="Arial" w:cs="Arial"/>
                          <w:sz w:val="20"/>
                          <w:szCs w:val="20"/>
                        </w:rPr>
                        <w:t>Code disclosures relating to remuneration in other areas of its annual report, such as its corporate governance section, or in the notes to its financial statements, rather than in a Remuneration Report</w:t>
                      </w:r>
                      <w:r w:rsidR="004C2E34" w:rsidRPr="00E311CD">
                        <w:rPr>
                          <w:rFonts w:ascii="Arial" w:hAnsi="Arial" w:cs="Arial"/>
                          <w:sz w:val="20"/>
                          <w:szCs w:val="20"/>
                        </w:rPr>
                        <w:t xml:space="preserve">, noting that the </w:t>
                      </w:r>
                      <w:r w:rsidR="008C4F6A">
                        <w:rPr>
                          <w:rFonts w:ascii="Arial" w:hAnsi="Arial" w:cs="Arial"/>
                          <w:sz w:val="20"/>
                          <w:szCs w:val="20"/>
                        </w:rPr>
                        <w:t xml:space="preserve">NZX </w:t>
                      </w:r>
                      <w:r w:rsidR="004C2E34" w:rsidRPr="00E311CD">
                        <w:rPr>
                          <w:rFonts w:ascii="Arial" w:hAnsi="Arial" w:cs="Arial"/>
                          <w:sz w:val="20"/>
                          <w:szCs w:val="20"/>
                        </w:rPr>
                        <w:t>Code encourages issuers to ensure that disclosure can be easily navigated by a reader</w:t>
                      </w:r>
                      <w:r w:rsidRPr="00E311CD">
                        <w:rPr>
                          <w:rFonts w:ascii="Arial" w:hAnsi="Arial" w:cs="Arial"/>
                          <w:sz w:val="20"/>
                          <w:szCs w:val="20"/>
                        </w:rPr>
                        <w:t>.</w:t>
                      </w:r>
                    </w:p>
                    <w:p w14:paraId="194BD63F" w14:textId="7213EA00" w:rsidR="00092A60" w:rsidRPr="00E311CD" w:rsidRDefault="0078424A" w:rsidP="001F6331">
                      <w:pPr>
                        <w:spacing w:after="160"/>
                        <w:rPr>
                          <w:rFonts w:ascii="Arial" w:hAnsi="Arial" w:cs="Arial"/>
                          <w:sz w:val="20"/>
                          <w:szCs w:val="20"/>
                        </w:rPr>
                      </w:pPr>
                      <w:r w:rsidRPr="00E311CD">
                        <w:rPr>
                          <w:rFonts w:ascii="Arial" w:hAnsi="Arial" w:cs="Arial"/>
                          <w:sz w:val="20"/>
                          <w:szCs w:val="20"/>
                        </w:rPr>
                        <w:t xml:space="preserve">An issuer may </w:t>
                      </w:r>
                      <w:r w:rsidR="00D328D9" w:rsidRPr="00E311CD">
                        <w:rPr>
                          <w:rFonts w:ascii="Arial" w:hAnsi="Arial" w:cs="Arial"/>
                          <w:sz w:val="20"/>
                          <w:szCs w:val="20"/>
                        </w:rPr>
                        <w:t xml:space="preserve">also </w:t>
                      </w:r>
                      <w:r w:rsidRPr="00E311CD">
                        <w:rPr>
                          <w:rFonts w:ascii="Arial" w:hAnsi="Arial" w:cs="Arial"/>
                          <w:sz w:val="20"/>
                          <w:szCs w:val="20"/>
                        </w:rPr>
                        <w:t xml:space="preserve">elect to adopt only some elements of this template.  There is no requirement </w:t>
                      </w:r>
                      <w:r w:rsidR="00D328D9" w:rsidRPr="00E311CD">
                        <w:rPr>
                          <w:rFonts w:ascii="Arial" w:hAnsi="Arial" w:cs="Arial"/>
                          <w:sz w:val="20"/>
                          <w:szCs w:val="20"/>
                        </w:rPr>
                        <w:t>for an issuer who elects to report using the template to make all of the disclosures included in the template</w:t>
                      </w:r>
                      <w:r w:rsidR="004E003B" w:rsidRPr="00E311CD">
                        <w:rPr>
                          <w:rFonts w:ascii="Arial" w:hAnsi="Arial" w:cs="Arial"/>
                          <w:sz w:val="20"/>
                          <w:szCs w:val="20"/>
                        </w:rPr>
                        <w:t>.</w:t>
                      </w:r>
                    </w:p>
                    <w:p w14:paraId="73A78CF0" w14:textId="1D185AF2" w:rsidR="005E553C" w:rsidRPr="00E311CD" w:rsidRDefault="00092A60" w:rsidP="001F6331">
                      <w:pPr>
                        <w:spacing w:after="160"/>
                        <w:rPr>
                          <w:rFonts w:ascii="Arial" w:hAnsi="Arial" w:cs="Arial"/>
                          <w:sz w:val="20"/>
                          <w:szCs w:val="20"/>
                        </w:rPr>
                      </w:pPr>
                      <w:r w:rsidRPr="00E311CD">
                        <w:rPr>
                          <w:rFonts w:ascii="Arial" w:hAnsi="Arial" w:cs="Arial"/>
                          <w:sz w:val="20"/>
                          <w:szCs w:val="20"/>
                        </w:rPr>
                        <w:t>Disclosures made using this template should be adapted to reflect the nature of the issuer’s business and the structure of the issuer’s remuneration framework (for example: for complex issuers a ‘group’ approach may enable simpler disclosure than disclosure relating to separate business divisions; some issuers do not operate a long-term incentive</w:t>
                      </w:r>
                      <w:r w:rsidR="00786BC7">
                        <w:rPr>
                          <w:rFonts w:ascii="Arial" w:hAnsi="Arial" w:cs="Arial"/>
                          <w:sz w:val="20"/>
                          <w:szCs w:val="20"/>
                        </w:rPr>
                        <w:t xml:space="preserve"> </w:t>
                      </w:r>
                      <w:r w:rsidRPr="00E311CD">
                        <w:rPr>
                          <w:rFonts w:ascii="Arial" w:hAnsi="Arial" w:cs="Arial"/>
                          <w:sz w:val="20"/>
                          <w:szCs w:val="20"/>
                        </w:rPr>
                        <w:t>(</w:t>
                      </w:r>
                      <w:r w:rsidRPr="00E311CD">
                        <w:rPr>
                          <w:rFonts w:ascii="Arial" w:hAnsi="Arial" w:cs="Arial"/>
                          <w:b/>
                          <w:bCs/>
                          <w:sz w:val="20"/>
                          <w:szCs w:val="20"/>
                        </w:rPr>
                        <w:t>LTI</w:t>
                      </w:r>
                      <w:r w:rsidRPr="00E311CD">
                        <w:rPr>
                          <w:rFonts w:ascii="Arial" w:hAnsi="Arial" w:cs="Arial"/>
                          <w:sz w:val="20"/>
                          <w:szCs w:val="20"/>
                        </w:rPr>
                        <w:t>)</w:t>
                      </w:r>
                      <w:r w:rsidR="00786BC7">
                        <w:rPr>
                          <w:rFonts w:ascii="Arial" w:hAnsi="Arial" w:cs="Arial"/>
                          <w:sz w:val="20"/>
                          <w:szCs w:val="20"/>
                        </w:rPr>
                        <w:t xml:space="preserve"> scheme</w:t>
                      </w:r>
                      <w:r w:rsidRPr="00E311CD">
                        <w:rPr>
                          <w:rFonts w:ascii="Arial" w:hAnsi="Arial" w:cs="Arial"/>
                          <w:sz w:val="20"/>
                          <w:szCs w:val="20"/>
                        </w:rPr>
                        <w:t xml:space="preserve">). </w:t>
                      </w:r>
                    </w:p>
                  </w:txbxContent>
                </v:textbox>
                <w10:wrap type="square"/>
              </v:shape>
            </w:pict>
          </mc:Fallback>
        </mc:AlternateContent>
      </w:r>
    </w:p>
    <w:p w14:paraId="77BB5191" w14:textId="4C2D060D" w:rsidR="00CC5BF3" w:rsidRDefault="00CC5BF3" w:rsidP="0078424A">
      <w:r>
        <w:t xml:space="preserve"> </w:t>
      </w:r>
    </w:p>
    <w:p w14:paraId="507B62EB" w14:textId="77777777" w:rsidR="002655CC" w:rsidRDefault="002655CC" w:rsidP="00E311CD">
      <w:pPr>
        <w:rPr>
          <w:b/>
          <w:bCs/>
          <w:sz w:val="36"/>
          <w:szCs w:val="36"/>
        </w:rPr>
      </w:pPr>
      <w:r>
        <w:rPr>
          <w:b/>
          <w:bCs/>
          <w:sz w:val="36"/>
          <w:szCs w:val="36"/>
        </w:rPr>
        <w:br w:type="page"/>
      </w:r>
    </w:p>
    <w:p w14:paraId="6688F001" w14:textId="2167B9FB" w:rsidR="004504A2" w:rsidRPr="00E311CD" w:rsidRDefault="004504A2" w:rsidP="00CC52A0">
      <w:pPr>
        <w:pStyle w:val="Heading1"/>
        <w:numPr>
          <w:ilvl w:val="0"/>
          <w:numId w:val="19"/>
        </w:numPr>
        <w:spacing w:after="120"/>
        <w:ind w:left="567" w:hanging="567"/>
        <w:rPr>
          <w:rFonts w:ascii="Arial" w:hAnsi="Arial" w:cs="Arial"/>
          <w:b/>
          <w:bCs/>
        </w:rPr>
      </w:pPr>
      <w:bookmarkStart w:id="0" w:name="_Toc151713703"/>
      <w:r w:rsidRPr="00E311CD">
        <w:rPr>
          <w:rFonts w:ascii="Arial" w:hAnsi="Arial" w:cs="Arial"/>
          <w:b/>
          <w:bCs/>
        </w:rPr>
        <w:lastRenderedPageBreak/>
        <w:t>Introduction</w:t>
      </w:r>
      <w:bookmarkEnd w:id="0"/>
    </w:p>
    <w:p w14:paraId="3D06B57C" w14:textId="50CC216F" w:rsidR="004C2E34" w:rsidRPr="00E311CD" w:rsidRDefault="004504A2" w:rsidP="001F6331">
      <w:pPr>
        <w:spacing w:after="160"/>
        <w:ind w:left="567" w:right="249"/>
        <w:rPr>
          <w:rFonts w:ascii="Arial" w:hAnsi="Arial" w:cs="Arial"/>
        </w:rPr>
      </w:pPr>
      <w:r w:rsidRPr="00E311CD">
        <w:rPr>
          <w:rFonts w:ascii="Arial" w:hAnsi="Arial" w:cs="Arial"/>
        </w:rPr>
        <w:t>This document</w:t>
      </w:r>
      <w:r w:rsidR="00A83608" w:rsidRPr="00E311CD">
        <w:rPr>
          <w:rFonts w:ascii="Arial" w:hAnsi="Arial" w:cs="Arial"/>
        </w:rPr>
        <w:t xml:space="preserve"> provides an optional template for issuers to use to assist with annual executive and director remuneration reporting. </w:t>
      </w:r>
      <w:r w:rsidR="00F96386" w:rsidRPr="00E311CD">
        <w:rPr>
          <w:rFonts w:ascii="Arial" w:hAnsi="Arial" w:cs="Arial"/>
        </w:rPr>
        <w:t xml:space="preserve"> </w:t>
      </w:r>
      <w:r w:rsidR="004C2E34" w:rsidRPr="00E311CD">
        <w:rPr>
          <w:rFonts w:ascii="Arial" w:hAnsi="Arial" w:cs="Arial"/>
        </w:rPr>
        <w:t>The template has been developed by NZX with the support of the NZX Corporate Governance Institute (</w:t>
      </w:r>
      <w:r w:rsidR="004C2E34" w:rsidRPr="00E311CD">
        <w:rPr>
          <w:rFonts w:ascii="Arial" w:hAnsi="Arial" w:cs="Arial"/>
          <w:b/>
          <w:bCs/>
        </w:rPr>
        <w:t>NZX CGI</w:t>
      </w:r>
      <w:r w:rsidR="004C2E34" w:rsidRPr="00E311CD">
        <w:rPr>
          <w:rFonts w:ascii="Arial" w:hAnsi="Arial" w:cs="Arial"/>
        </w:rPr>
        <w:t xml:space="preserve">) </w:t>
      </w:r>
      <w:r w:rsidR="007D7FA9" w:rsidRPr="00E311CD">
        <w:rPr>
          <w:rFonts w:ascii="Arial" w:hAnsi="Arial" w:cs="Arial"/>
        </w:rPr>
        <w:t>comprised of members representing a cross-section of industry stakeholders</w:t>
      </w:r>
      <w:r w:rsidR="00644527" w:rsidRPr="00E311CD">
        <w:rPr>
          <w:rFonts w:ascii="Arial" w:hAnsi="Arial" w:cs="Arial"/>
        </w:rPr>
        <w:t>.</w:t>
      </w:r>
      <w:r w:rsidR="007D7FA9" w:rsidRPr="00E311CD">
        <w:rPr>
          <w:rFonts w:ascii="Arial" w:hAnsi="Arial" w:cs="Arial"/>
        </w:rPr>
        <w:t xml:space="preserve"> </w:t>
      </w:r>
    </w:p>
    <w:p w14:paraId="16CEDEA5" w14:textId="4A65B78D" w:rsidR="000E3B41" w:rsidRPr="00E311CD" w:rsidRDefault="00A83608" w:rsidP="001F6331">
      <w:pPr>
        <w:spacing w:after="160"/>
        <w:ind w:left="567" w:right="249"/>
        <w:rPr>
          <w:rFonts w:ascii="Arial" w:hAnsi="Arial" w:cs="Arial"/>
        </w:rPr>
      </w:pPr>
      <w:r w:rsidRPr="00E311CD">
        <w:rPr>
          <w:rFonts w:ascii="Arial" w:hAnsi="Arial" w:cs="Arial"/>
        </w:rPr>
        <w:t xml:space="preserve">The template has been developed to </w:t>
      </w:r>
      <w:r w:rsidR="00916B7A" w:rsidRPr="00E311CD">
        <w:rPr>
          <w:rFonts w:ascii="Arial" w:hAnsi="Arial" w:cs="Arial"/>
        </w:rPr>
        <w:t xml:space="preserve">reflect </w:t>
      </w:r>
      <w:r w:rsidRPr="00E311CD">
        <w:rPr>
          <w:rFonts w:ascii="Arial" w:hAnsi="Arial" w:cs="Arial"/>
        </w:rPr>
        <w:t xml:space="preserve">the </w:t>
      </w:r>
      <w:r w:rsidR="0098133A" w:rsidRPr="00E311CD">
        <w:rPr>
          <w:rFonts w:ascii="Arial" w:hAnsi="Arial" w:cs="Arial"/>
        </w:rPr>
        <w:t xml:space="preserve">remuneration </w:t>
      </w:r>
      <w:r w:rsidRPr="00E311CD">
        <w:rPr>
          <w:rFonts w:ascii="Arial" w:hAnsi="Arial" w:cs="Arial"/>
        </w:rPr>
        <w:t xml:space="preserve">reporting </w:t>
      </w:r>
      <w:r w:rsidR="00DC7BA0" w:rsidRPr="00E311CD">
        <w:rPr>
          <w:rFonts w:ascii="Arial" w:hAnsi="Arial" w:cs="Arial"/>
        </w:rPr>
        <w:t>requirements of the NZX Listing Rules, Companies Act 1993</w:t>
      </w:r>
      <w:r w:rsidR="006E3BCF" w:rsidRPr="00E311CD">
        <w:rPr>
          <w:rFonts w:ascii="Arial" w:hAnsi="Arial" w:cs="Arial"/>
        </w:rPr>
        <w:t>,</w:t>
      </w:r>
      <w:r w:rsidR="00DC7BA0" w:rsidRPr="00E311CD">
        <w:rPr>
          <w:rFonts w:ascii="Arial" w:hAnsi="Arial" w:cs="Arial"/>
        </w:rPr>
        <w:t xml:space="preserve"> and the </w:t>
      </w:r>
      <w:r w:rsidR="002051CB" w:rsidRPr="00E311CD">
        <w:rPr>
          <w:rFonts w:ascii="Arial" w:hAnsi="Arial" w:cs="Arial"/>
        </w:rPr>
        <w:t>recommendations and commentary</w:t>
      </w:r>
      <w:r w:rsidRPr="00E311CD">
        <w:rPr>
          <w:rFonts w:ascii="Arial" w:hAnsi="Arial" w:cs="Arial"/>
        </w:rPr>
        <w:t xml:space="preserve"> outlined in the NZX Code.</w:t>
      </w:r>
      <w:r w:rsidR="00B97DA7" w:rsidRPr="00E311CD">
        <w:rPr>
          <w:rFonts w:ascii="Arial" w:hAnsi="Arial" w:cs="Arial"/>
        </w:rPr>
        <w:t xml:space="preserve"> </w:t>
      </w:r>
      <w:r w:rsidR="00916B7A" w:rsidRPr="00E311CD">
        <w:rPr>
          <w:rFonts w:ascii="Arial" w:hAnsi="Arial" w:cs="Arial"/>
        </w:rPr>
        <w:t>The</w:t>
      </w:r>
      <w:r w:rsidR="007A6D8E" w:rsidRPr="00E311CD">
        <w:rPr>
          <w:rFonts w:ascii="Arial" w:hAnsi="Arial" w:cs="Arial"/>
        </w:rPr>
        <w:t xml:space="preserve"> NZX Code </w:t>
      </w:r>
      <w:r w:rsidR="00095CD4" w:rsidRPr="00E311CD">
        <w:rPr>
          <w:rFonts w:ascii="Arial" w:hAnsi="Arial" w:cs="Arial"/>
        </w:rPr>
        <w:t xml:space="preserve">operates on a ‘comply or explain’ </w:t>
      </w:r>
      <w:r w:rsidR="007A1941" w:rsidRPr="00E311CD">
        <w:rPr>
          <w:rFonts w:ascii="Arial" w:hAnsi="Arial" w:cs="Arial"/>
        </w:rPr>
        <w:t>basis</w:t>
      </w:r>
      <w:r w:rsidR="004150A2" w:rsidRPr="00E311CD">
        <w:rPr>
          <w:rFonts w:ascii="Arial" w:hAnsi="Arial" w:cs="Arial"/>
        </w:rPr>
        <w:t>,</w:t>
      </w:r>
      <w:r w:rsidR="0085154D" w:rsidRPr="00E311CD">
        <w:rPr>
          <w:rFonts w:ascii="Arial" w:hAnsi="Arial" w:cs="Arial"/>
        </w:rPr>
        <w:t xml:space="preserve"> </w:t>
      </w:r>
      <w:r w:rsidR="008252F3" w:rsidRPr="00E311CD">
        <w:rPr>
          <w:rFonts w:ascii="Arial" w:hAnsi="Arial" w:cs="Arial"/>
        </w:rPr>
        <w:t xml:space="preserve">issuers </w:t>
      </w:r>
      <w:r w:rsidR="00DF2D92" w:rsidRPr="00E311CD">
        <w:rPr>
          <w:rFonts w:ascii="Arial" w:hAnsi="Arial" w:cs="Arial"/>
        </w:rPr>
        <w:t>must</w:t>
      </w:r>
      <w:r w:rsidR="006141D5" w:rsidRPr="00E311CD">
        <w:rPr>
          <w:rFonts w:ascii="Arial" w:hAnsi="Arial" w:cs="Arial"/>
        </w:rPr>
        <w:t xml:space="preserve"> report</w:t>
      </w:r>
      <w:r w:rsidR="005D3A15" w:rsidRPr="00E311CD">
        <w:rPr>
          <w:rFonts w:ascii="Arial" w:hAnsi="Arial" w:cs="Arial"/>
        </w:rPr>
        <w:t xml:space="preserve"> </w:t>
      </w:r>
      <w:r w:rsidR="0041143F" w:rsidRPr="00E311CD">
        <w:rPr>
          <w:rFonts w:ascii="Arial" w:hAnsi="Arial" w:cs="Arial"/>
        </w:rPr>
        <w:t xml:space="preserve">against the </w:t>
      </w:r>
      <w:r w:rsidR="004E003B" w:rsidRPr="00E311CD">
        <w:rPr>
          <w:rFonts w:ascii="Arial" w:hAnsi="Arial" w:cs="Arial"/>
        </w:rPr>
        <w:t xml:space="preserve">NZX </w:t>
      </w:r>
      <w:r w:rsidR="0041143F" w:rsidRPr="00E311CD">
        <w:rPr>
          <w:rFonts w:ascii="Arial" w:hAnsi="Arial" w:cs="Arial"/>
        </w:rPr>
        <w:t xml:space="preserve">Code’s recommendations </w:t>
      </w:r>
      <w:r w:rsidR="005D3A15" w:rsidRPr="00E311CD">
        <w:rPr>
          <w:rFonts w:ascii="Arial" w:hAnsi="Arial" w:cs="Arial"/>
        </w:rPr>
        <w:t xml:space="preserve">under </w:t>
      </w:r>
      <w:r w:rsidR="00FC51D5" w:rsidRPr="00E311CD">
        <w:rPr>
          <w:rFonts w:ascii="Arial" w:hAnsi="Arial" w:cs="Arial"/>
        </w:rPr>
        <w:t xml:space="preserve">NZX </w:t>
      </w:r>
      <w:r w:rsidR="005D3A15" w:rsidRPr="00E311CD">
        <w:rPr>
          <w:rFonts w:ascii="Arial" w:hAnsi="Arial" w:cs="Arial"/>
        </w:rPr>
        <w:t>Listing Rule 3.8.1(a)</w:t>
      </w:r>
      <w:r w:rsidR="005B7DEF" w:rsidRPr="00E311CD">
        <w:rPr>
          <w:rFonts w:ascii="Arial" w:hAnsi="Arial" w:cs="Arial"/>
        </w:rPr>
        <w:t xml:space="preserve">, and so must either adopt a Code recommendation </w:t>
      </w:r>
      <w:r w:rsidR="008C4F6A">
        <w:rPr>
          <w:rFonts w:ascii="Arial" w:hAnsi="Arial" w:cs="Arial"/>
        </w:rPr>
        <w:t xml:space="preserve">and report that adoption, </w:t>
      </w:r>
      <w:r w:rsidR="005B7DEF" w:rsidRPr="00E311CD">
        <w:rPr>
          <w:rFonts w:ascii="Arial" w:hAnsi="Arial" w:cs="Arial"/>
        </w:rPr>
        <w:t>or where a Code recommendation has not been adopted, the issuer must explain ‘why not’.</w:t>
      </w:r>
    </w:p>
    <w:p w14:paraId="04454D9C" w14:textId="77777777" w:rsidR="00644527" w:rsidRPr="00E311CD" w:rsidRDefault="00B97DA7" w:rsidP="001F6331">
      <w:pPr>
        <w:spacing w:after="160"/>
        <w:ind w:left="567" w:right="249"/>
        <w:rPr>
          <w:rFonts w:ascii="Arial" w:hAnsi="Arial" w:cs="Arial"/>
        </w:rPr>
      </w:pPr>
      <w:r w:rsidRPr="00E311CD">
        <w:rPr>
          <w:rFonts w:ascii="Arial" w:hAnsi="Arial" w:cs="Arial"/>
        </w:rPr>
        <w:t>The template is intended to provide a basic format and a base line for disclosure. It is not intended to limit the amount of disclosure, and issuers are welcome to disclose additional matters</w:t>
      </w:r>
      <w:r w:rsidR="00D8737B" w:rsidRPr="00E311CD">
        <w:rPr>
          <w:rFonts w:ascii="Arial" w:hAnsi="Arial" w:cs="Arial"/>
        </w:rPr>
        <w:t>, or to tailor their disclosures to best reflect their remuneration arrangements</w:t>
      </w:r>
      <w:r w:rsidR="00644527" w:rsidRPr="00E311CD">
        <w:rPr>
          <w:rFonts w:ascii="Arial" w:hAnsi="Arial" w:cs="Arial"/>
        </w:rPr>
        <w:t>, including through using only parts of the template</w:t>
      </w:r>
      <w:r w:rsidRPr="00E311CD">
        <w:rPr>
          <w:rFonts w:ascii="Arial" w:hAnsi="Arial" w:cs="Arial"/>
        </w:rPr>
        <w:t>.</w:t>
      </w:r>
    </w:p>
    <w:p w14:paraId="210B77B2" w14:textId="3A85E9D8" w:rsidR="00A83608" w:rsidRPr="00E311CD" w:rsidRDefault="000E4997" w:rsidP="001F6331">
      <w:pPr>
        <w:spacing w:after="160"/>
        <w:ind w:left="567" w:right="249"/>
        <w:rPr>
          <w:rFonts w:ascii="Arial" w:hAnsi="Arial" w:cs="Arial"/>
        </w:rPr>
      </w:pPr>
      <w:r w:rsidRPr="00E311CD">
        <w:rPr>
          <w:rFonts w:ascii="Arial" w:hAnsi="Arial" w:cs="Arial"/>
        </w:rPr>
        <w:t xml:space="preserve">The template can be used </w:t>
      </w:r>
      <w:r w:rsidR="00A34306" w:rsidRPr="00E311CD">
        <w:rPr>
          <w:rFonts w:ascii="Arial" w:hAnsi="Arial" w:cs="Arial"/>
        </w:rPr>
        <w:t>as</w:t>
      </w:r>
      <w:r w:rsidR="00AB5B08" w:rsidRPr="00E311CD">
        <w:rPr>
          <w:rFonts w:ascii="Arial" w:hAnsi="Arial" w:cs="Arial"/>
        </w:rPr>
        <w:t xml:space="preserve"> </w:t>
      </w:r>
      <w:r w:rsidR="00C65EA8" w:rsidRPr="00E311CD">
        <w:rPr>
          <w:rFonts w:ascii="Arial" w:hAnsi="Arial" w:cs="Arial"/>
        </w:rPr>
        <w:t>a</w:t>
      </w:r>
      <w:r w:rsidR="00AB5B08" w:rsidRPr="00E311CD">
        <w:rPr>
          <w:rFonts w:ascii="Arial" w:hAnsi="Arial" w:cs="Arial"/>
        </w:rPr>
        <w:t xml:space="preserve"> basis </w:t>
      </w:r>
      <w:r w:rsidR="002856A1" w:rsidRPr="00E311CD">
        <w:rPr>
          <w:rFonts w:ascii="Arial" w:hAnsi="Arial" w:cs="Arial"/>
        </w:rPr>
        <w:t>for</w:t>
      </w:r>
      <w:r w:rsidR="00AB5B08" w:rsidRPr="00E311CD">
        <w:rPr>
          <w:rFonts w:ascii="Arial" w:hAnsi="Arial" w:cs="Arial"/>
        </w:rPr>
        <w:t xml:space="preserve"> </w:t>
      </w:r>
      <w:r w:rsidR="00C65EA8" w:rsidRPr="00E311CD">
        <w:rPr>
          <w:rFonts w:ascii="Arial" w:hAnsi="Arial" w:cs="Arial"/>
        </w:rPr>
        <w:t xml:space="preserve">the remuneration </w:t>
      </w:r>
      <w:r w:rsidR="00AB5B08" w:rsidRPr="00E311CD">
        <w:rPr>
          <w:rFonts w:ascii="Arial" w:hAnsi="Arial" w:cs="Arial"/>
        </w:rPr>
        <w:t xml:space="preserve">section of an issuer’s annual </w:t>
      </w:r>
      <w:r w:rsidR="00763743" w:rsidRPr="00E311CD">
        <w:rPr>
          <w:rFonts w:ascii="Arial" w:hAnsi="Arial" w:cs="Arial"/>
        </w:rPr>
        <w:t>report</w:t>
      </w:r>
      <w:r w:rsidR="0041143F" w:rsidRPr="00E311CD">
        <w:rPr>
          <w:rFonts w:ascii="Arial" w:hAnsi="Arial" w:cs="Arial"/>
        </w:rPr>
        <w:t xml:space="preserve"> (</w:t>
      </w:r>
      <w:r w:rsidR="0041143F" w:rsidRPr="00E311CD">
        <w:rPr>
          <w:rFonts w:ascii="Arial" w:hAnsi="Arial" w:cs="Arial"/>
          <w:b/>
          <w:bCs/>
        </w:rPr>
        <w:t>Remuneration Report</w:t>
      </w:r>
      <w:r w:rsidR="0041143F" w:rsidRPr="00E311CD">
        <w:rPr>
          <w:rFonts w:ascii="Arial" w:hAnsi="Arial" w:cs="Arial"/>
        </w:rPr>
        <w:t>)</w:t>
      </w:r>
      <w:r w:rsidR="00763743" w:rsidRPr="00E311CD">
        <w:rPr>
          <w:rFonts w:ascii="Arial" w:hAnsi="Arial" w:cs="Arial"/>
        </w:rPr>
        <w:t>.</w:t>
      </w:r>
      <w:r w:rsidR="00A34306" w:rsidRPr="00E311CD">
        <w:rPr>
          <w:rFonts w:ascii="Arial" w:hAnsi="Arial" w:cs="Arial"/>
        </w:rPr>
        <w:t xml:space="preserve"> If used in this way, </w:t>
      </w:r>
      <w:r w:rsidR="00D3500B" w:rsidRPr="00E311CD">
        <w:rPr>
          <w:rFonts w:ascii="Arial" w:hAnsi="Arial" w:cs="Arial"/>
        </w:rPr>
        <w:t>it would be appropriate for an issuer</w:t>
      </w:r>
      <w:r w:rsidR="0041143F" w:rsidRPr="00E311CD">
        <w:rPr>
          <w:rFonts w:ascii="Arial" w:hAnsi="Arial" w:cs="Arial"/>
        </w:rPr>
        <w:t>’s disclosures in relation to the NZX Code’s recommendations under Principle 5 that are contained in the</w:t>
      </w:r>
      <w:r w:rsidR="002051CB" w:rsidRPr="00E311CD">
        <w:rPr>
          <w:rFonts w:ascii="Arial" w:hAnsi="Arial" w:cs="Arial"/>
        </w:rPr>
        <w:t xml:space="preserve"> issuer’s corporate governance statement (either on the issuer’s website or in the section of </w:t>
      </w:r>
      <w:r w:rsidR="006E3BCF" w:rsidRPr="00E311CD">
        <w:rPr>
          <w:rFonts w:ascii="Arial" w:hAnsi="Arial" w:cs="Arial"/>
        </w:rPr>
        <w:t>its annual</w:t>
      </w:r>
      <w:r w:rsidR="0041143F" w:rsidRPr="00E311CD">
        <w:rPr>
          <w:rFonts w:ascii="Arial" w:hAnsi="Arial" w:cs="Arial"/>
        </w:rPr>
        <w:t xml:space="preserve"> report</w:t>
      </w:r>
      <w:r w:rsidR="002051CB" w:rsidRPr="00E311CD">
        <w:rPr>
          <w:rFonts w:ascii="Arial" w:hAnsi="Arial" w:cs="Arial"/>
        </w:rPr>
        <w:t xml:space="preserve"> that reports compliance against the NZX Code)</w:t>
      </w:r>
      <w:r w:rsidR="0041143F" w:rsidRPr="00E311CD">
        <w:rPr>
          <w:rFonts w:ascii="Arial" w:hAnsi="Arial" w:cs="Arial"/>
        </w:rPr>
        <w:t xml:space="preserve"> </w:t>
      </w:r>
      <w:r w:rsidR="00C13F2E" w:rsidRPr="00E311CD">
        <w:rPr>
          <w:rFonts w:ascii="Arial" w:hAnsi="Arial" w:cs="Arial"/>
        </w:rPr>
        <w:t xml:space="preserve">to </w:t>
      </w:r>
      <w:r w:rsidR="0041143F" w:rsidRPr="00E311CD">
        <w:rPr>
          <w:rFonts w:ascii="Arial" w:hAnsi="Arial" w:cs="Arial"/>
        </w:rPr>
        <w:t xml:space="preserve">cross-refer to </w:t>
      </w:r>
      <w:r w:rsidR="00C13F2E" w:rsidRPr="00E311CD">
        <w:rPr>
          <w:rFonts w:ascii="Arial" w:hAnsi="Arial" w:cs="Arial"/>
        </w:rPr>
        <w:t xml:space="preserve">the </w:t>
      </w:r>
      <w:r w:rsidR="0041143F" w:rsidRPr="00E311CD">
        <w:rPr>
          <w:rFonts w:ascii="Arial" w:hAnsi="Arial" w:cs="Arial"/>
        </w:rPr>
        <w:t>R</w:t>
      </w:r>
      <w:r w:rsidR="00C13F2E" w:rsidRPr="00E311CD">
        <w:rPr>
          <w:rFonts w:ascii="Arial" w:hAnsi="Arial" w:cs="Arial"/>
        </w:rPr>
        <w:t xml:space="preserve">emuneration </w:t>
      </w:r>
      <w:r w:rsidR="0041143F" w:rsidRPr="00E311CD">
        <w:rPr>
          <w:rFonts w:ascii="Arial" w:hAnsi="Arial" w:cs="Arial"/>
        </w:rPr>
        <w:t>R</w:t>
      </w:r>
      <w:r w:rsidR="00C13F2E" w:rsidRPr="00E311CD">
        <w:rPr>
          <w:rFonts w:ascii="Arial" w:hAnsi="Arial" w:cs="Arial"/>
        </w:rPr>
        <w:t>epor</w:t>
      </w:r>
      <w:r w:rsidR="0041143F" w:rsidRPr="00E311CD">
        <w:rPr>
          <w:rFonts w:ascii="Arial" w:hAnsi="Arial" w:cs="Arial"/>
        </w:rPr>
        <w:t xml:space="preserve">t. </w:t>
      </w:r>
      <w:r w:rsidR="006B742D" w:rsidRPr="00E311CD">
        <w:rPr>
          <w:rFonts w:ascii="Arial" w:hAnsi="Arial" w:cs="Arial"/>
        </w:rPr>
        <w:t xml:space="preserve"> </w:t>
      </w:r>
    </w:p>
    <w:p w14:paraId="2FFDA608" w14:textId="14E060BD" w:rsidR="00A83608" w:rsidRPr="00E311CD" w:rsidRDefault="00A83608" w:rsidP="001F6331">
      <w:pPr>
        <w:spacing w:after="160"/>
        <w:ind w:left="567" w:right="249"/>
        <w:rPr>
          <w:rFonts w:ascii="Arial" w:hAnsi="Arial" w:cs="Arial"/>
        </w:rPr>
      </w:pPr>
      <w:r w:rsidRPr="00E311CD">
        <w:rPr>
          <w:rFonts w:ascii="Arial" w:hAnsi="Arial" w:cs="Arial"/>
          <w:b/>
          <w:bCs/>
        </w:rPr>
        <w:t xml:space="preserve">Issuers are not required </w:t>
      </w:r>
      <w:r w:rsidR="00164AC6" w:rsidRPr="00E311CD">
        <w:rPr>
          <w:rFonts w:ascii="Arial" w:hAnsi="Arial" w:cs="Arial"/>
          <w:b/>
          <w:bCs/>
        </w:rPr>
        <w:t xml:space="preserve">by the NZX Listing Rules nor the </w:t>
      </w:r>
      <w:r w:rsidR="00673154" w:rsidRPr="00E311CD">
        <w:rPr>
          <w:rFonts w:ascii="Arial" w:hAnsi="Arial" w:cs="Arial"/>
          <w:b/>
          <w:bCs/>
        </w:rPr>
        <w:t>NZX Cod</w:t>
      </w:r>
      <w:r w:rsidR="00DC7BA0" w:rsidRPr="00E311CD">
        <w:rPr>
          <w:rFonts w:ascii="Arial" w:hAnsi="Arial" w:cs="Arial"/>
          <w:b/>
          <w:bCs/>
        </w:rPr>
        <w:t>e</w:t>
      </w:r>
      <w:r w:rsidR="00673154" w:rsidRPr="00E311CD">
        <w:rPr>
          <w:rFonts w:ascii="Arial" w:hAnsi="Arial" w:cs="Arial"/>
          <w:b/>
          <w:bCs/>
        </w:rPr>
        <w:t xml:space="preserve"> </w:t>
      </w:r>
      <w:r w:rsidRPr="00E311CD">
        <w:rPr>
          <w:rFonts w:ascii="Arial" w:hAnsi="Arial" w:cs="Arial"/>
          <w:b/>
          <w:bCs/>
        </w:rPr>
        <w:t>to use th</w:t>
      </w:r>
      <w:r w:rsidR="00644527" w:rsidRPr="00E311CD">
        <w:rPr>
          <w:rFonts w:ascii="Arial" w:hAnsi="Arial" w:cs="Arial"/>
          <w:b/>
          <w:bCs/>
        </w:rPr>
        <w:t>is</w:t>
      </w:r>
      <w:r w:rsidRPr="00E311CD">
        <w:rPr>
          <w:rFonts w:ascii="Arial" w:hAnsi="Arial" w:cs="Arial"/>
          <w:b/>
          <w:bCs/>
        </w:rPr>
        <w:t xml:space="preserve"> template</w:t>
      </w:r>
      <w:r w:rsidRPr="00E311CD">
        <w:rPr>
          <w:rFonts w:ascii="Arial" w:hAnsi="Arial" w:cs="Arial"/>
        </w:rPr>
        <w:t xml:space="preserve">. It is intended to be used on a voluntary </w:t>
      </w:r>
      <w:r w:rsidR="006E3BCF" w:rsidRPr="00E311CD">
        <w:rPr>
          <w:rFonts w:ascii="Arial" w:hAnsi="Arial" w:cs="Arial"/>
        </w:rPr>
        <w:t>basis.</w:t>
      </w:r>
      <w:r w:rsidR="0098133A" w:rsidRPr="00E311CD">
        <w:rPr>
          <w:rFonts w:ascii="Arial" w:hAnsi="Arial" w:cs="Arial"/>
        </w:rPr>
        <w:t xml:space="preserve"> The aim is to help illustrate</w:t>
      </w:r>
      <w:r w:rsidRPr="00E311CD">
        <w:rPr>
          <w:rFonts w:ascii="Arial" w:hAnsi="Arial" w:cs="Arial"/>
        </w:rPr>
        <w:t xml:space="preserve"> the </w:t>
      </w:r>
      <w:r w:rsidR="002051CB" w:rsidRPr="00E311CD">
        <w:rPr>
          <w:rFonts w:ascii="Arial" w:hAnsi="Arial" w:cs="Arial"/>
        </w:rPr>
        <w:t xml:space="preserve">NZX Code’s </w:t>
      </w:r>
      <w:r w:rsidRPr="00E311CD">
        <w:rPr>
          <w:rFonts w:ascii="Arial" w:hAnsi="Arial" w:cs="Arial"/>
        </w:rPr>
        <w:t xml:space="preserve">reporting expectations to assist issuers and to deliver more consistent reporting to aid comparability </w:t>
      </w:r>
      <w:r w:rsidR="0011712D" w:rsidRPr="00E311CD">
        <w:rPr>
          <w:rFonts w:ascii="Arial" w:hAnsi="Arial" w:cs="Arial"/>
        </w:rPr>
        <w:t>for</w:t>
      </w:r>
      <w:r w:rsidRPr="00E311CD">
        <w:rPr>
          <w:rFonts w:ascii="Arial" w:hAnsi="Arial" w:cs="Arial"/>
        </w:rPr>
        <w:t xml:space="preserve"> shareholders and other stakeholders. </w:t>
      </w:r>
    </w:p>
    <w:p w14:paraId="12A7B66A" w14:textId="16ED3B12" w:rsidR="00673154" w:rsidRPr="00E311CD" w:rsidRDefault="00A83608" w:rsidP="001F6331">
      <w:pPr>
        <w:spacing w:after="160"/>
        <w:ind w:left="567" w:right="249"/>
        <w:rPr>
          <w:rFonts w:ascii="Arial" w:hAnsi="Arial" w:cs="Arial"/>
        </w:rPr>
      </w:pPr>
      <w:r w:rsidRPr="00E311CD">
        <w:rPr>
          <w:rFonts w:ascii="Arial" w:hAnsi="Arial" w:cs="Arial"/>
        </w:rPr>
        <w:t>Th</w:t>
      </w:r>
      <w:r w:rsidR="008C4F6A">
        <w:rPr>
          <w:rFonts w:ascii="Arial" w:hAnsi="Arial" w:cs="Arial"/>
        </w:rPr>
        <w:t>is</w:t>
      </w:r>
      <w:r w:rsidRPr="00E311CD">
        <w:rPr>
          <w:rFonts w:ascii="Arial" w:hAnsi="Arial" w:cs="Arial"/>
        </w:rPr>
        <w:t xml:space="preserve"> document includes the template which issuers can use as a base for disclosure</w:t>
      </w:r>
      <w:r w:rsidR="00673154" w:rsidRPr="00E311CD">
        <w:rPr>
          <w:rFonts w:ascii="Arial" w:hAnsi="Arial" w:cs="Arial"/>
        </w:rPr>
        <w:t xml:space="preserve">, together with an explanation of the underlying </w:t>
      </w:r>
      <w:r w:rsidR="002051CB" w:rsidRPr="00E311CD">
        <w:rPr>
          <w:rFonts w:ascii="Arial" w:hAnsi="Arial" w:cs="Arial"/>
        </w:rPr>
        <w:t xml:space="preserve">NZX </w:t>
      </w:r>
      <w:r w:rsidR="00673154" w:rsidRPr="00E311CD">
        <w:rPr>
          <w:rFonts w:ascii="Arial" w:hAnsi="Arial" w:cs="Arial"/>
        </w:rPr>
        <w:t xml:space="preserve">Listing Rule or NZX Code </w:t>
      </w:r>
      <w:r w:rsidR="002051CB" w:rsidRPr="00E311CD">
        <w:rPr>
          <w:rFonts w:ascii="Arial" w:hAnsi="Arial" w:cs="Arial"/>
        </w:rPr>
        <w:t>recommendation</w:t>
      </w:r>
      <w:r w:rsidR="005E6009" w:rsidRPr="00E311CD">
        <w:rPr>
          <w:rFonts w:ascii="Arial" w:hAnsi="Arial" w:cs="Arial"/>
        </w:rPr>
        <w:t xml:space="preserve"> and additional explanatory notes where this is considered helpful. </w:t>
      </w:r>
    </w:p>
    <w:p w14:paraId="76E43525" w14:textId="13C33DD1" w:rsidR="00025758" w:rsidRPr="00E311CD" w:rsidRDefault="00025758" w:rsidP="001F6331">
      <w:pPr>
        <w:spacing w:after="160"/>
        <w:ind w:left="567" w:right="249"/>
        <w:rPr>
          <w:rFonts w:ascii="Arial" w:hAnsi="Arial" w:cs="Arial"/>
        </w:rPr>
      </w:pPr>
      <w:r w:rsidRPr="00E311CD">
        <w:rPr>
          <w:rFonts w:ascii="Arial" w:hAnsi="Arial" w:cs="Arial"/>
        </w:rPr>
        <w:t xml:space="preserve">The template is designed to reflect disclosure that will enable an issuer to ensure that it has reported its remuneration practices in a transparent manner consistent with the expectations of Principle 5 of the </w:t>
      </w:r>
      <w:r w:rsidR="008C4F6A">
        <w:rPr>
          <w:rFonts w:ascii="Arial" w:hAnsi="Arial" w:cs="Arial"/>
        </w:rPr>
        <w:t xml:space="preserve">NZX </w:t>
      </w:r>
      <w:r w:rsidRPr="00E311CD">
        <w:rPr>
          <w:rFonts w:ascii="Arial" w:hAnsi="Arial" w:cs="Arial"/>
        </w:rPr>
        <w:t xml:space="preserve">Code. The </w:t>
      </w:r>
      <w:r w:rsidR="008C4F6A">
        <w:rPr>
          <w:rFonts w:ascii="Arial" w:hAnsi="Arial" w:cs="Arial"/>
        </w:rPr>
        <w:t xml:space="preserve">NZX </w:t>
      </w:r>
      <w:r w:rsidRPr="00E311CD">
        <w:rPr>
          <w:rFonts w:ascii="Arial" w:hAnsi="Arial" w:cs="Arial"/>
        </w:rPr>
        <w:t>Code recognizes that investors rightly have an interest in director and executive remuneration, and that transparency in these areas is necessary to foster investor confidence.</w:t>
      </w:r>
    </w:p>
    <w:p w14:paraId="213564F9" w14:textId="179FFEDD" w:rsidR="00A83608" w:rsidRPr="00E311CD" w:rsidRDefault="00644527" w:rsidP="001F6331">
      <w:pPr>
        <w:spacing w:after="160"/>
        <w:ind w:left="567" w:right="249"/>
        <w:rPr>
          <w:rFonts w:ascii="Arial" w:hAnsi="Arial" w:cs="Arial"/>
        </w:rPr>
      </w:pPr>
      <w:r w:rsidRPr="00E311CD">
        <w:rPr>
          <w:rFonts w:ascii="Arial" w:hAnsi="Arial" w:cs="Arial"/>
        </w:rPr>
        <w:t>I</w:t>
      </w:r>
      <w:r w:rsidR="00673154" w:rsidRPr="00E311CD">
        <w:rPr>
          <w:rFonts w:ascii="Arial" w:hAnsi="Arial" w:cs="Arial"/>
        </w:rPr>
        <w:t xml:space="preserve">n some cases, </w:t>
      </w:r>
      <w:r w:rsidR="002051CB" w:rsidRPr="00E311CD">
        <w:rPr>
          <w:rFonts w:ascii="Arial" w:hAnsi="Arial" w:cs="Arial"/>
        </w:rPr>
        <w:t>the template provides for</w:t>
      </w:r>
      <w:r w:rsidR="00673154" w:rsidRPr="00E311CD">
        <w:rPr>
          <w:rFonts w:ascii="Arial" w:hAnsi="Arial" w:cs="Arial"/>
        </w:rPr>
        <w:t xml:space="preserve"> disclosure which might be interpreted to go beyond the current NZX Listing Rule and NZX Code settings. These sections are marked </w:t>
      </w:r>
      <w:r w:rsidR="006C259F" w:rsidRPr="00E311CD">
        <w:rPr>
          <w:rFonts w:ascii="Arial" w:hAnsi="Arial" w:cs="Arial"/>
        </w:rPr>
        <w:t>‘</w:t>
      </w:r>
      <w:r w:rsidR="00673154" w:rsidRPr="00E311CD">
        <w:rPr>
          <w:rFonts w:ascii="Arial" w:hAnsi="Arial" w:cs="Arial"/>
        </w:rPr>
        <w:t>optional</w:t>
      </w:r>
      <w:r w:rsidR="006C259F" w:rsidRPr="00E311CD">
        <w:rPr>
          <w:rFonts w:ascii="Arial" w:hAnsi="Arial" w:cs="Arial"/>
        </w:rPr>
        <w:t>’</w:t>
      </w:r>
      <w:r w:rsidR="00673154" w:rsidRPr="00E311CD">
        <w:rPr>
          <w:rFonts w:ascii="Arial" w:hAnsi="Arial" w:cs="Arial"/>
        </w:rPr>
        <w:t xml:space="preserve"> within the </w:t>
      </w:r>
      <w:r w:rsidR="000E3B41" w:rsidRPr="00E311CD">
        <w:rPr>
          <w:rFonts w:ascii="Arial" w:hAnsi="Arial" w:cs="Arial"/>
        </w:rPr>
        <w:t>source note</w:t>
      </w:r>
      <w:r w:rsidR="00673154" w:rsidRPr="00E311CD">
        <w:rPr>
          <w:rFonts w:ascii="Arial" w:hAnsi="Arial" w:cs="Arial"/>
        </w:rPr>
        <w:t xml:space="preserve"> section</w:t>
      </w:r>
      <w:r w:rsidR="002051CB" w:rsidRPr="00E311CD">
        <w:rPr>
          <w:rFonts w:ascii="Arial" w:hAnsi="Arial" w:cs="Arial"/>
        </w:rPr>
        <w:t xml:space="preserve"> but are included to assist with the aim of greater consistency and comparability of reporting.</w:t>
      </w:r>
      <w:r w:rsidR="004378F3" w:rsidRPr="00E311CD">
        <w:rPr>
          <w:rFonts w:ascii="Arial" w:hAnsi="Arial" w:cs="Arial"/>
        </w:rPr>
        <w:t xml:space="preserve"> </w:t>
      </w:r>
      <w:r w:rsidR="002051CB" w:rsidRPr="00E311CD">
        <w:rPr>
          <w:rFonts w:ascii="Arial" w:hAnsi="Arial" w:cs="Arial"/>
        </w:rPr>
        <w:t>Disclosures marked with an “*” are those which may be applicable only in certain circumstances and</w:t>
      </w:r>
      <w:r w:rsidR="004E003B" w:rsidRPr="00E311CD">
        <w:rPr>
          <w:rFonts w:ascii="Arial" w:hAnsi="Arial" w:cs="Arial"/>
        </w:rPr>
        <w:t xml:space="preserve"> an</w:t>
      </w:r>
      <w:r w:rsidR="002051CB" w:rsidRPr="00E311CD">
        <w:rPr>
          <w:rFonts w:ascii="Arial" w:hAnsi="Arial" w:cs="Arial"/>
        </w:rPr>
        <w:t xml:space="preserve"> issuer should </w:t>
      </w:r>
      <w:r w:rsidR="004E003B" w:rsidRPr="00E311CD">
        <w:rPr>
          <w:rFonts w:ascii="Arial" w:hAnsi="Arial" w:cs="Arial"/>
        </w:rPr>
        <w:t>not include</w:t>
      </w:r>
      <w:r w:rsidR="002051CB" w:rsidRPr="00E311CD">
        <w:rPr>
          <w:rFonts w:ascii="Arial" w:hAnsi="Arial" w:cs="Arial"/>
        </w:rPr>
        <w:t xml:space="preserve"> these sections </w:t>
      </w:r>
      <w:r w:rsidR="004E003B" w:rsidRPr="00E311CD">
        <w:rPr>
          <w:rFonts w:ascii="Arial" w:hAnsi="Arial" w:cs="Arial"/>
        </w:rPr>
        <w:t>within its</w:t>
      </w:r>
      <w:r w:rsidR="002051CB" w:rsidRPr="00E311CD">
        <w:rPr>
          <w:rFonts w:ascii="Arial" w:hAnsi="Arial" w:cs="Arial"/>
        </w:rPr>
        <w:t xml:space="preserve"> Remuneration Report if the</w:t>
      </w:r>
      <w:r w:rsidR="004E003B" w:rsidRPr="00E311CD">
        <w:rPr>
          <w:rFonts w:ascii="Arial" w:hAnsi="Arial" w:cs="Arial"/>
        </w:rPr>
        <w:t>se disclosures</w:t>
      </w:r>
      <w:r w:rsidR="002051CB" w:rsidRPr="00E311CD">
        <w:rPr>
          <w:rFonts w:ascii="Arial" w:hAnsi="Arial" w:cs="Arial"/>
        </w:rPr>
        <w:t xml:space="preserve"> are not applicable to the</w:t>
      </w:r>
      <w:r w:rsidR="004E003B" w:rsidRPr="00E311CD">
        <w:rPr>
          <w:rFonts w:ascii="Arial" w:hAnsi="Arial" w:cs="Arial"/>
        </w:rPr>
        <w:t xml:space="preserve"> issuer</w:t>
      </w:r>
      <w:r w:rsidR="00673154" w:rsidRPr="00E311CD">
        <w:rPr>
          <w:rFonts w:ascii="Arial" w:hAnsi="Arial" w:cs="Arial"/>
        </w:rPr>
        <w:t>.</w:t>
      </w:r>
      <w:r w:rsidR="00F96386" w:rsidRPr="00E311CD">
        <w:rPr>
          <w:rFonts w:ascii="Arial" w:hAnsi="Arial" w:cs="Arial"/>
        </w:rPr>
        <w:t xml:space="preserve"> </w:t>
      </w:r>
    </w:p>
    <w:p w14:paraId="771A3515" w14:textId="17AA7D2C" w:rsidR="00A83608" w:rsidRDefault="00A83608" w:rsidP="001F6331">
      <w:pPr>
        <w:spacing w:after="160"/>
        <w:ind w:left="567" w:right="249"/>
        <w:rPr>
          <w:rFonts w:ascii="Arial" w:hAnsi="Arial" w:cs="Arial"/>
        </w:rPr>
      </w:pPr>
      <w:r w:rsidRPr="003634FB">
        <w:rPr>
          <w:rFonts w:ascii="Arial" w:hAnsi="Arial" w:cs="Arial"/>
        </w:rPr>
        <w:t xml:space="preserve">The template seeks to provide tables where possible. In many cases, disclosures will be in narrative form and therefore issuers should also consider the </w:t>
      </w:r>
      <w:r w:rsidR="005E6009" w:rsidRPr="003634FB">
        <w:rPr>
          <w:rFonts w:ascii="Arial" w:hAnsi="Arial" w:cs="Arial"/>
        </w:rPr>
        <w:t xml:space="preserve">NZX Code </w:t>
      </w:r>
      <w:r w:rsidR="002051CB" w:rsidRPr="003634FB">
        <w:rPr>
          <w:rFonts w:ascii="Arial" w:hAnsi="Arial" w:cs="Arial"/>
        </w:rPr>
        <w:t xml:space="preserve">recommendation and </w:t>
      </w:r>
      <w:r w:rsidR="006E3BCF" w:rsidRPr="003634FB">
        <w:rPr>
          <w:rFonts w:ascii="Arial" w:hAnsi="Arial" w:cs="Arial"/>
        </w:rPr>
        <w:t>commentary notes</w:t>
      </w:r>
      <w:r w:rsidRPr="003634FB">
        <w:rPr>
          <w:rFonts w:ascii="Arial" w:hAnsi="Arial" w:cs="Arial"/>
        </w:rPr>
        <w:t xml:space="preserve"> to determine the appropriate content for their circumstances.</w:t>
      </w:r>
      <w:r w:rsidR="00D8737B" w:rsidRPr="003634FB">
        <w:rPr>
          <w:rFonts w:ascii="Arial" w:hAnsi="Arial" w:cs="Arial"/>
        </w:rPr>
        <w:t xml:space="preserve"> The </w:t>
      </w:r>
      <w:r w:rsidR="00D8737B" w:rsidRPr="003634FB">
        <w:rPr>
          <w:rFonts w:ascii="Arial" w:hAnsi="Arial" w:cs="Arial"/>
        </w:rPr>
        <w:lastRenderedPageBreak/>
        <w:t>tables are only a guide and issuers may wish to present alternative formats depending on the structure of their remuneration arrangements</w:t>
      </w:r>
      <w:r w:rsidR="004378F3" w:rsidRPr="003634FB">
        <w:rPr>
          <w:rFonts w:ascii="Arial" w:hAnsi="Arial" w:cs="Arial"/>
        </w:rPr>
        <w:t>.</w:t>
      </w:r>
    </w:p>
    <w:p w14:paraId="30485EC7" w14:textId="48B651FC" w:rsidR="008C4F6A" w:rsidRPr="003634FB" w:rsidRDefault="008C4F6A" w:rsidP="00BE1E7C">
      <w:pPr>
        <w:spacing w:after="160"/>
        <w:ind w:left="567"/>
        <w:rPr>
          <w:rFonts w:ascii="Arial" w:hAnsi="Arial" w:cs="Arial"/>
        </w:rPr>
      </w:pPr>
      <w:r>
        <w:rPr>
          <w:rFonts w:ascii="Arial" w:hAnsi="Arial" w:cs="Arial"/>
        </w:rPr>
        <w:t>A Glossary is included at the back of this template that defines certain terms used throughout the template.</w:t>
      </w:r>
    </w:p>
    <w:p w14:paraId="41089A2E" w14:textId="09FDE854" w:rsidR="006E3BCF" w:rsidRDefault="006E3BCF"/>
    <w:p w14:paraId="37B56481" w14:textId="3D9C89C5" w:rsidR="008251D0" w:rsidRDefault="008251D0">
      <w:pPr>
        <w:spacing w:after="160" w:line="259" w:lineRule="auto"/>
      </w:pPr>
      <w:r>
        <w:br w:type="page"/>
      </w:r>
    </w:p>
    <w:p w14:paraId="5BD17E12" w14:textId="02F4170F" w:rsidR="004E0B45" w:rsidRPr="00CC52A0" w:rsidRDefault="00597E83" w:rsidP="00CC52A0">
      <w:pPr>
        <w:pStyle w:val="Heading1"/>
        <w:numPr>
          <w:ilvl w:val="0"/>
          <w:numId w:val="19"/>
        </w:numPr>
        <w:spacing w:after="120"/>
        <w:ind w:left="567" w:hanging="567"/>
        <w:rPr>
          <w:rFonts w:ascii="Arial" w:hAnsi="Arial" w:cs="Arial"/>
          <w:b/>
          <w:bCs/>
        </w:rPr>
      </w:pPr>
      <w:bookmarkStart w:id="1" w:name="_Toc151713704"/>
      <w:r w:rsidRPr="00CC52A0">
        <w:rPr>
          <w:rFonts w:ascii="Arial" w:hAnsi="Arial" w:cs="Arial"/>
          <w:b/>
          <w:bCs/>
        </w:rPr>
        <w:lastRenderedPageBreak/>
        <w:t>L</w:t>
      </w:r>
      <w:r w:rsidR="00B37BEC" w:rsidRPr="00CC52A0">
        <w:rPr>
          <w:rFonts w:ascii="Arial" w:hAnsi="Arial" w:cs="Arial"/>
          <w:b/>
          <w:bCs/>
        </w:rPr>
        <w:t>etter from the Remuneration Committee Chair</w:t>
      </w:r>
      <w:bookmarkEnd w:id="1"/>
      <w:r w:rsidR="00B37BEC" w:rsidRPr="00CC52A0">
        <w:rPr>
          <w:rFonts w:ascii="Arial" w:hAnsi="Arial" w:cs="Arial"/>
          <w:b/>
          <w:bCs/>
        </w:rPr>
        <w:t xml:space="preserve"> </w:t>
      </w:r>
    </w:p>
    <w:tbl>
      <w:tblPr>
        <w:tblStyle w:val="TableGrid"/>
        <w:tblW w:w="0" w:type="auto"/>
        <w:tblInd w:w="562" w:type="dxa"/>
        <w:tblLook w:val="04A0" w:firstRow="1" w:lastRow="0" w:firstColumn="1" w:lastColumn="0" w:noHBand="0" w:noVBand="1"/>
      </w:tblPr>
      <w:tblGrid>
        <w:gridCol w:w="9016"/>
      </w:tblGrid>
      <w:tr w:rsidR="00C212DF" w14:paraId="3E79A36E" w14:textId="77777777" w:rsidTr="00BE1E7C">
        <w:tc>
          <w:tcPr>
            <w:tcW w:w="9016" w:type="dxa"/>
          </w:tcPr>
          <w:p w14:paraId="4B5CF803" w14:textId="1ACFB872" w:rsidR="00597E83" w:rsidRPr="003634FB" w:rsidRDefault="00C212DF" w:rsidP="00BB0277">
            <w:pPr>
              <w:spacing w:before="60" w:after="60"/>
              <w:rPr>
                <w:rFonts w:ascii="Arial" w:hAnsi="Arial" w:cs="Arial"/>
                <w:i/>
                <w:iCs/>
              </w:rPr>
            </w:pPr>
            <w:r w:rsidRPr="003634FB">
              <w:rPr>
                <w:rFonts w:ascii="Arial" w:hAnsi="Arial" w:cs="Arial"/>
                <w:b/>
                <w:bCs/>
                <w:i/>
                <w:iCs/>
              </w:rPr>
              <w:t>Explanatory note</w:t>
            </w:r>
            <w:r w:rsidRPr="003634FB">
              <w:rPr>
                <w:rFonts w:ascii="Arial" w:hAnsi="Arial" w:cs="Arial"/>
                <w:i/>
                <w:iCs/>
              </w:rPr>
              <w:t xml:space="preserve">: </w:t>
            </w:r>
            <w:r w:rsidR="003450B4" w:rsidRPr="003634FB">
              <w:rPr>
                <w:rFonts w:ascii="Arial" w:hAnsi="Arial" w:cs="Arial"/>
                <w:i/>
                <w:iCs/>
              </w:rPr>
              <w:t>An i</w:t>
            </w:r>
            <w:r w:rsidRPr="003634FB">
              <w:rPr>
                <w:rFonts w:ascii="Arial" w:hAnsi="Arial" w:cs="Arial"/>
                <w:i/>
                <w:iCs/>
              </w:rPr>
              <w:t xml:space="preserve">ssuer may wish to provide a letter from the Chair of the Remuneration Committee (or equivalent) to introduce the remuneration disclosures which follow. This could provide an overview of the issuer’s approach to remuneration and discuss specific events or factors which </w:t>
            </w:r>
            <w:r w:rsidR="008209B6" w:rsidRPr="003634FB">
              <w:rPr>
                <w:rFonts w:ascii="Arial" w:hAnsi="Arial" w:cs="Arial"/>
                <w:i/>
                <w:iCs/>
              </w:rPr>
              <w:t xml:space="preserve">affected </w:t>
            </w:r>
            <w:r w:rsidRPr="003634FB">
              <w:rPr>
                <w:rFonts w:ascii="Arial" w:hAnsi="Arial" w:cs="Arial"/>
                <w:i/>
                <w:iCs/>
              </w:rPr>
              <w:t xml:space="preserve">remuneration outcomes during the reporting year and </w:t>
            </w:r>
            <w:r w:rsidR="008209B6" w:rsidRPr="003634FB">
              <w:rPr>
                <w:rFonts w:ascii="Arial" w:hAnsi="Arial" w:cs="Arial"/>
                <w:i/>
                <w:iCs/>
              </w:rPr>
              <w:t xml:space="preserve">any </w:t>
            </w:r>
            <w:r w:rsidRPr="003634FB">
              <w:rPr>
                <w:rFonts w:ascii="Arial" w:hAnsi="Arial" w:cs="Arial"/>
                <w:i/>
                <w:iCs/>
              </w:rPr>
              <w:t>proposed changes</w:t>
            </w:r>
            <w:r w:rsidR="008209B6" w:rsidRPr="003634FB">
              <w:rPr>
                <w:rFonts w:ascii="Arial" w:hAnsi="Arial" w:cs="Arial"/>
                <w:i/>
                <w:iCs/>
              </w:rPr>
              <w:t xml:space="preserve"> to the issuer’s remuneration approach for the following financial year</w:t>
            </w:r>
            <w:r w:rsidRPr="003634FB">
              <w:rPr>
                <w:rFonts w:ascii="Arial" w:hAnsi="Arial" w:cs="Arial"/>
                <w:i/>
                <w:iCs/>
              </w:rPr>
              <w:t xml:space="preserve">. </w:t>
            </w:r>
          </w:p>
          <w:p w14:paraId="5435AAD6" w14:textId="77777777" w:rsidR="00A2590F" w:rsidRPr="003634FB" w:rsidRDefault="00A2590F" w:rsidP="00BB0277">
            <w:pPr>
              <w:spacing w:before="60" w:after="60"/>
              <w:rPr>
                <w:rFonts w:ascii="Arial" w:hAnsi="Arial" w:cs="Arial"/>
                <w:i/>
                <w:iCs/>
              </w:rPr>
            </w:pPr>
            <w:r w:rsidRPr="003634FB">
              <w:rPr>
                <w:rFonts w:ascii="Arial" w:hAnsi="Arial" w:cs="Arial"/>
                <w:i/>
                <w:iCs/>
              </w:rPr>
              <w:t>The following points could be addressed:</w:t>
            </w:r>
          </w:p>
          <w:p w14:paraId="29E7A4BE" w14:textId="77777777" w:rsidR="00A2590F" w:rsidRPr="003634FB" w:rsidRDefault="00A2590F" w:rsidP="00BB0277">
            <w:pPr>
              <w:pStyle w:val="ListParagraph"/>
              <w:numPr>
                <w:ilvl w:val="0"/>
                <w:numId w:val="2"/>
              </w:numPr>
              <w:spacing w:before="60" w:after="60"/>
              <w:ind w:left="460"/>
              <w:rPr>
                <w:rFonts w:ascii="Arial" w:hAnsi="Arial" w:cs="Arial"/>
                <w:i/>
                <w:iCs/>
              </w:rPr>
            </w:pPr>
            <w:r w:rsidRPr="003634FB">
              <w:rPr>
                <w:rFonts w:ascii="Arial" w:hAnsi="Arial" w:cs="Arial"/>
                <w:i/>
                <w:iCs/>
              </w:rPr>
              <w:t>Remuneration objectives.</w:t>
            </w:r>
          </w:p>
          <w:p w14:paraId="36A7CE10" w14:textId="77777777" w:rsidR="00A2590F" w:rsidRPr="003634FB" w:rsidRDefault="00A2590F" w:rsidP="00BB0277">
            <w:pPr>
              <w:pStyle w:val="ListParagraph"/>
              <w:numPr>
                <w:ilvl w:val="0"/>
                <w:numId w:val="2"/>
              </w:numPr>
              <w:spacing w:before="60" w:after="60"/>
              <w:ind w:left="460"/>
              <w:rPr>
                <w:rFonts w:ascii="Arial" w:hAnsi="Arial" w:cs="Arial"/>
                <w:i/>
                <w:iCs/>
              </w:rPr>
            </w:pPr>
            <w:r w:rsidRPr="003634FB">
              <w:rPr>
                <w:rFonts w:ascii="Arial" w:hAnsi="Arial" w:cs="Arial"/>
                <w:i/>
                <w:iCs/>
              </w:rPr>
              <w:t xml:space="preserve">Remuneration structure and supporting rationale. </w:t>
            </w:r>
          </w:p>
          <w:p w14:paraId="5E9908C3" w14:textId="77777777" w:rsidR="00A2590F" w:rsidRPr="003634FB" w:rsidRDefault="00A2590F" w:rsidP="00BB0277">
            <w:pPr>
              <w:pStyle w:val="ListParagraph"/>
              <w:numPr>
                <w:ilvl w:val="0"/>
                <w:numId w:val="2"/>
              </w:numPr>
              <w:spacing w:before="60" w:after="60"/>
              <w:ind w:left="460"/>
              <w:rPr>
                <w:rFonts w:ascii="Arial" w:hAnsi="Arial" w:cs="Arial"/>
                <w:i/>
                <w:iCs/>
              </w:rPr>
            </w:pPr>
            <w:r w:rsidRPr="003634FB">
              <w:rPr>
                <w:rFonts w:ascii="Arial" w:hAnsi="Arial" w:cs="Arial"/>
                <w:i/>
                <w:iCs/>
              </w:rPr>
              <w:t>Any significant changes to remuneration arrangements during the year.</w:t>
            </w:r>
          </w:p>
          <w:p w14:paraId="2FF20F96" w14:textId="77777777" w:rsidR="00A2590F" w:rsidRPr="003634FB" w:rsidRDefault="00A2590F" w:rsidP="00BB0277">
            <w:pPr>
              <w:pStyle w:val="ListParagraph"/>
              <w:numPr>
                <w:ilvl w:val="0"/>
                <w:numId w:val="2"/>
              </w:numPr>
              <w:spacing w:before="60" w:after="60"/>
              <w:ind w:left="460"/>
              <w:rPr>
                <w:rFonts w:ascii="Arial" w:hAnsi="Arial" w:cs="Arial"/>
                <w:i/>
                <w:iCs/>
              </w:rPr>
            </w:pPr>
            <w:r w:rsidRPr="003634FB">
              <w:rPr>
                <w:rFonts w:ascii="Arial" w:hAnsi="Arial" w:cs="Arial"/>
                <w:i/>
                <w:iCs/>
              </w:rPr>
              <w:t>Any events/issues which affected remuneration outcomes during the reporting year.</w:t>
            </w:r>
          </w:p>
          <w:p w14:paraId="7C1829FF" w14:textId="54565857" w:rsidR="00553D52" w:rsidRPr="003634FB" w:rsidRDefault="00553D52" w:rsidP="00BB0277">
            <w:pPr>
              <w:pStyle w:val="ListParagraph"/>
              <w:numPr>
                <w:ilvl w:val="0"/>
                <w:numId w:val="2"/>
              </w:numPr>
              <w:spacing w:before="60" w:after="60"/>
              <w:ind w:left="460"/>
              <w:rPr>
                <w:rFonts w:ascii="Arial" w:hAnsi="Arial" w:cs="Arial"/>
                <w:i/>
                <w:iCs/>
              </w:rPr>
            </w:pPr>
            <w:r w:rsidRPr="003634FB">
              <w:rPr>
                <w:rFonts w:ascii="Arial" w:hAnsi="Arial" w:cs="Arial"/>
                <w:i/>
                <w:iCs/>
              </w:rPr>
              <w:t>How corporate performance is reflected in remuneration outcomes.</w:t>
            </w:r>
          </w:p>
          <w:p w14:paraId="744CB2CC" w14:textId="77777777" w:rsidR="00A2590F" w:rsidRPr="003634FB" w:rsidRDefault="00A2590F" w:rsidP="00BB0277">
            <w:pPr>
              <w:pStyle w:val="ListParagraph"/>
              <w:numPr>
                <w:ilvl w:val="0"/>
                <w:numId w:val="2"/>
              </w:numPr>
              <w:spacing w:before="60" w:after="60"/>
              <w:ind w:left="460"/>
              <w:rPr>
                <w:rFonts w:ascii="Arial" w:hAnsi="Arial" w:cs="Arial"/>
                <w:i/>
                <w:iCs/>
              </w:rPr>
            </w:pPr>
            <w:r w:rsidRPr="003634FB">
              <w:rPr>
                <w:rFonts w:ascii="Arial" w:hAnsi="Arial" w:cs="Arial"/>
                <w:i/>
                <w:iCs/>
              </w:rPr>
              <w:t>Any proposed changes to the remuneration approach for the following financial year.</w:t>
            </w:r>
          </w:p>
          <w:p w14:paraId="6D778F3C" w14:textId="390CE643" w:rsidR="00A2590F" w:rsidRPr="003634FB" w:rsidRDefault="00A2590F" w:rsidP="00BB0277">
            <w:pPr>
              <w:pStyle w:val="ListParagraph"/>
              <w:numPr>
                <w:ilvl w:val="0"/>
                <w:numId w:val="2"/>
              </w:numPr>
              <w:spacing w:before="60" w:after="60"/>
              <w:ind w:left="460"/>
              <w:rPr>
                <w:rFonts w:ascii="Arial" w:hAnsi="Arial" w:cs="Arial"/>
                <w:i/>
                <w:iCs/>
              </w:rPr>
            </w:pPr>
            <w:r w:rsidRPr="003634FB">
              <w:rPr>
                <w:rFonts w:ascii="Arial" w:hAnsi="Arial" w:cs="Arial"/>
                <w:i/>
                <w:iCs/>
              </w:rPr>
              <w:t>Any discretion which has been applied when assessing short term incentive (</w:t>
            </w:r>
            <w:r w:rsidRPr="00786BC7">
              <w:rPr>
                <w:rFonts w:ascii="Arial" w:hAnsi="Arial" w:cs="Arial"/>
                <w:b/>
                <w:bCs/>
                <w:i/>
                <w:iCs/>
              </w:rPr>
              <w:t>STI</w:t>
            </w:r>
            <w:r w:rsidRPr="003634FB">
              <w:rPr>
                <w:rFonts w:ascii="Arial" w:hAnsi="Arial" w:cs="Arial"/>
                <w:i/>
                <w:iCs/>
              </w:rPr>
              <w:t xml:space="preserve">) and LTI </w:t>
            </w:r>
            <w:proofErr w:type="gramStart"/>
            <w:r w:rsidRPr="003634FB">
              <w:rPr>
                <w:rFonts w:ascii="Arial" w:hAnsi="Arial" w:cs="Arial"/>
                <w:i/>
                <w:iCs/>
              </w:rPr>
              <w:t>outcomes</w:t>
            </w:r>
            <w:proofErr w:type="gramEnd"/>
          </w:p>
          <w:p w14:paraId="63322BAD" w14:textId="515F491D" w:rsidR="0047425F" w:rsidRPr="003634FB" w:rsidRDefault="0047425F" w:rsidP="00BB0277">
            <w:pPr>
              <w:pStyle w:val="ListParagraph"/>
              <w:numPr>
                <w:ilvl w:val="0"/>
                <w:numId w:val="2"/>
              </w:numPr>
              <w:spacing w:before="60" w:after="60"/>
              <w:ind w:left="460"/>
              <w:rPr>
                <w:rFonts w:ascii="Arial" w:hAnsi="Arial" w:cs="Arial"/>
                <w:i/>
                <w:iCs/>
              </w:rPr>
            </w:pPr>
            <w:r w:rsidRPr="003634FB">
              <w:rPr>
                <w:rFonts w:ascii="Arial" w:hAnsi="Arial" w:cs="Arial"/>
                <w:i/>
                <w:iCs/>
              </w:rPr>
              <w:t xml:space="preserve">Any ad-hoc retention </w:t>
            </w:r>
            <w:r w:rsidR="003450B4" w:rsidRPr="003634FB">
              <w:rPr>
                <w:rFonts w:ascii="Arial" w:hAnsi="Arial" w:cs="Arial"/>
                <w:i/>
                <w:iCs/>
              </w:rPr>
              <w:t xml:space="preserve">or special exertion </w:t>
            </w:r>
            <w:r w:rsidRPr="003634FB">
              <w:rPr>
                <w:rFonts w:ascii="Arial" w:hAnsi="Arial" w:cs="Arial"/>
                <w:i/>
                <w:iCs/>
              </w:rPr>
              <w:t>payments made to executives or directors.</w:t>
            </w:r>
          </w:p>
          <w:p w14:paraId="344E64B1" w14:textId="720AFA13" w:rsidR="00141CBD" w:rsidRPr="0054181C" w:rsidRDefault="00141CBD" w:rsidP="00BB0277">
            <w:pPr>
              <w:pStyle w:val="ListParagraph"/>
              <w:numPr>
                <w:ilvl w:val="0"/>
                <w:numId w:val="2"/>
              </w:numPr>
              <w:spacing w:before="60" w:after="60"/>
              <w:ind w:left="460"/>
              <w:rPr>
                <w:i/>
                <w:iCs/>
              </w:rPr>
            </w:pPr>
            <w:r w:rsidRPr="003634FB">
              <w:rPr>
                <w:rFonts w:ascii="Arial" w:hAnsi="Arial" w:cs="Arial"/>
                <w:i/>
                <w:iCs/>
              </w:rPr>
              <w:t>Any material change</w:t>
            </w:r>
            <w:r w:rsidR="008251D0" w:rsidRPr="003634FB">
              <w:rPr>
                <w:rFonts w:ascii="Arial" w:hAnsi="Arial" w:cs="Arial"/>
                <w:i/>
                <w:iCs/>
              </w:rPr>
              <w:t>s</w:t>
            </w:r>
            <w:r w:rsidRPr="003634FB">
              <w:rPr>
                <w:rFonts w:ascii="Arial" w:hAnsi="Arial" w:cs="Arial"/>
                <w:i/>
                <w:iCs/>
              </w:rPr>
              <w:t xml:space="preserve"> to the CEO’s </w:t>
            </w:r>
            <w:r w:rsidR="008251D0" w:rsidRPr="003634FB">
              <w:rPr>
                <w:rFonts w:ascii="Arial" w:hAnsi="Arial" w:cs="Arial"/>
                <w:i/>
                <w:iCs/>
              </w:rPr>
              <w:t xml:space="preserve">employment </w:t>
            </w:r>
            <w:r w:rsidRPr="003634FB">
              <w:rPr>
                <w:rFonts w:ascii="Arial" w:hAnsi="Arial" w:cs="Arial"/>
                <w:i/>
                <w:iCs/>
              </w:rPr>
              <w:t xml:space="preserve">contract </w:t>
            </w:r>
            <w:r w:rsidR="003450B4" w:rsidRPr="003634FB">
              <w:rPr>
                <w:rFonts w:ascii="Arial" w:hAnsi="Arial" w:cs="Arial"/>
                <w:i/>
                <w:iCs/>
              </w:rPr>
              <w:t xml:space="preserve">that were made </w:t>
            </w:r>
            <w:r w:rsidRPr="003634FB">
              <w:rPr>
                <w:rFonts w:ascii="Arial" w:hAnsi="Arial" w:cs="Arial"/>
                <w:i/>
                <w:iCs/>
              </w:rPr>
              <w:t xml:space="preserve">during the </w:t>
            </w:r>
            <w:r w:rsidR="003450B4" w:rsidRPr="003634FB">
              <w:rPr>
                <w:rFonts w:ascii="Arial" w:hAnsi="Arial" w:cs="Arial"/>
                <w:i/>
                <w:iCs/>
              </w:rPr>
              <w:t>reporting period</w:t>
            </w:r>
            <w:r w:rsidRPr="003634FB">
              <w:rPr>
                <w:rFonts w:ascii="Arial" w:hAnsi="Arial" w:cs="Arial"/>
                <w:i/>
                <w:iCs/>
              </w:rPr>
              <w:t>.</w:t>
            </w:r>
          </w:p>
        </w:tc>
      </w:tr>
    </w:tbl>
    <w:p w14:paraId="49F42F1A" w14:textId="77777777" w:rsidR="008251D0" w:rsidRPr="001F6331" w:rsidRDefault="008251D0">
      <w:pPr>
        <w:rPr>
          <w:rFonts w:ascii="Arial" w:hAnsi="Arial" w:cs="Arial"/>
        </w:rPr>
      </w:pPr>
    </w:p>
    <w:tbl>
      <w:tblPr>
        <w:tblStyle w:val="TableGrid"/>
        <w:tblpPr w:leftFromText="180" w:rightFromText="180" w:vertAnchor="text" w:horzAnchor="margin" w:tblpX="562" w:tblpY="1363"/>
        <w:tblW w:w="0" w:type="auto"/>
        <w:tblLook w:val="04A0" w:firstRow="1" w:lastRow="0" w:firstColumn="1" w:lastColumn="0" w:noHBand="0" w:noVBand="1"/>
      </w:tblPr>
      <w:tblGrid>
        <w:gridCol w:w="9016"/>
      </w:tblGrid>
      <w:tr w:rsidR="008251D0" w:rsidRPr="001F6331" w14:paraId="376CD20A" w14:textId="77777777" w:rsidTr="00BE1E7C">
        <w:tc>
          <w:tcPr>
            <w:tcW w:w="9016" w:type="dxa"/>
          </w:tcPr>
          <w:p w14:paraId="59625213" w14:textId="77777777" w:rsidR="008251D0" w:rsidRPr="001F6331" w:rsidRDefault="008251D0" w:rsidP="00BE1E7C">
            <w:pPr>
              <w:spacing w:before="60" w:after="0"/>
              <w:rPr>
                <w:rFonts w:ascii="Arial" w:hAnsi="Arial" w:cs="Arial"/>
                <w:i/>
                <w:iCs/>
              </w:rPr>
            </w:pPr>
            <w:bookmarkStart w:id="2" w:name="_Hlk142296402"/>
            <w:r w:rsidRPr="001F6331">
              <w:rPr>
                <w:rFonts w:ascii="Arial" w:hAnsi="Arial" w:cs="Arial"/>
                <w:b/>
                <w:bCs/>
                <w:i/>
                <w:iCs/>
              </w:rPr>
              <w:t>Source note</w:t>
            </w:r>
          </w:p>
          <w:p w14:paraId="2BF37F71" w14:textId="265A0888" w:rsidR="008251D0" w:rsidRPr="001F6331" w:rsidRDefault="008251D0" w:rsidP="00BE1E7C">
            <w:pPr>
              <w:spacing w:before="60" w:after="60"/>
              <w:rPr>
                <w:rFonts w:ascii="Arial" w:hAnsi="Arial" w:cs="Arial"/>
                <w:b/>
                <w:bCs/>
                <w:i/>
                <w:iCs/>
                <w:sz w:val="36"/>
                <w:szCs w:val="36"/>
              </w:rPr>
            </w:pPr>
            <w:bookmarkStart w:id="3" w:name="_Hlk142295968"/>
            <w:r w:rsidRPr="001F6331">
              <w:rPr>
                <w:rFonts w:ascii="Arial" w:hAnsi="Arial" w:cs="Arial"/>
                <w:b/>
                <w:bCs/>
                <w:i/>
                <w:iCs/>
              </w:rPr>
              <w:t>Optional</w:t>
            </w:r>
            <w:r w:rsidRPr="001F6331">
              <w:rPr>
                <w:rFonts w:ascii="Arial" w:hAnsi="Arial" w:cs="Arial"/>
                <w:i/>
                <w:iCs/>
              </w:rPr>
              <w:t xml:space="preserve">: </w:t>
            </w:r>
            <w:bookmarkStart w:id="4" w:name="_Hlk142294507"/>
            <w:r w:rsidRPr="001F6331">
              <w:rPr>
                <w:rFonts w:ascii="Arial" w:hAnsi="Arial" w:cs="Arial"/>
                <w:i/>
                <w:iCs/>
              </w:rPr>
              <w:t xml:space="preserve">This is not a formal requirement or expectation. It is becoming more common practice for issuers to provide this disclosure, and it may be a useful way for issuers to provide context </w:t>
            </w:r>
            <w:r w:rsidR="007E6F43" w:rsidRPr="001F6331">
              <w:rPr>
                <w:rFonts w:ascii="Arial" w:hAnsi="Arial" w:cs="Arial"/>
                <w:i/>
                <w:iCs/>
              </w:rPr>
              <w:t>for</w:t>
            </w:r>
            <w:r w:rsidRPr="001F6331">
              <w:rPr>
                <w:rFonts w:ascii="Arial" w:hAnsi="Arial" w:cs="Arial"/>
                <w:i/>
                <w:iCs/>
              </w:rPr>
              <w:t xml:space="preserve"> their remuneration reporting. Alternatively, an issuer may wish to cover these matters by way of a general explanatory note, rather than specifically attributing it to a committee or a particular director. </w:t>
            </w:r>
            <w:bookmarkEnd w:id="2"/>
            <w:bookmarkEnd w:id="3"/>
            <w:bookmarkEnd w:id="4"/>
          </w:p>
        </w:tc>
      </w:tr>
    </w:tbl>
    <w:p w14:paraId="4EB0D61A" w14:textId="64C2A81E" w:rsidR="00C402E5" w:rsidRDefault="008251D0" w:rsidP="001F6331">
      <w:pPr>
        <w:spacing w:after="160"/>
        <w:ind w:left="567" w:right="249"/>
      </w:pPr>
      <w:r w:rsidRPr="001F6331">
        <w:rPr>
          <w:rFonts w:ascii="Arial" w:hAnsi="Arial" w:cs="Arial"/>
        </w:rPr>
        <w:t xml:space="preserve"> [</w:t>
      </w:r>
      <w:r w:rsidRPr="00786BC7">
        <w:rPr>
          <w:rFonts w:ascii="Arial" w:hAnsi="Arial" w:cs="Arial"/>
        </w:rPr>
        <w:t>Begin letter here, points to note are addressed in the explanatory note, above</w:t>
      </w:r>
      <w:r>
        <w:t>].</w:t>
      </w:r>
    </w:p>
    <w:p w14:paraId="540C1060" w14:textId="6458458C" w:rsidR="004E0B45" w:rsidRPr="009833A3" w:rsidRDefault="004E0B45">
      <w:pPr>
        <w:sectPr w:rsidR="004E0B45" w:rsidRPr="009833A3" w:rsidSect="00BE1E7C">
          <w:pgSz w:w="11906" w:h="16838"/>
          <w:pgMar w:top="1440" w:right="1080" w:bottom="1440" w:left="1080" w:header="709" w:footer="709" w:gutter="0"/>
          <w:cols w:space="709"/>
          <w:titlePg/>
          <w:docGrid w:linePitch="360"/>
        </w:sectPr>
      </w:pPr>
    </w:p>
    <w:p w14:paraId="5E285D54" w14:textId="4A821E45" w:rsidR="002579B6" w:rsidRPr="00CC52A0" w:rsidRDefault="00E7111D" w:rsidP="00CC52A0">
      <w:pPr>
        <w:pStyle w:val="Heading1"/>
        <w:numPr>
          <w:ilvl w:val="0"/>
          <w:numId w:val="19"/>
        </w:numPr>
        <w:spacing w:after="120"/>
        <w:ind w:left="567" w:hanging="567"/>
        <w:rPr>
          <w:rFonts w:ascii="Arial" w:hAnsi="Arial" w:cs="Arial"/>
          <w:b/>
          <w:bCs/>
        </w:rPr>
      </w:pPr>
      <w:bookmarkStart w:id="5" w:name="_Toc151713705"/>
      <w:r w:rsidRPr="00CC52A0">
        <w:rPr>
          <w:rFonts w:ascii="Arial" w:hAnsi="Arial" w:cs="Arial"/>
          <w:b/>
          <w:bCs/>
        </w:rPr>
        <w:lastRenderedPageBreak/>
        <w:t>Remuneration Governance</w:t>
      </w:r>
      <w:bookmarkEnd w:id="5"/>
      <w:r w:rsidRPr="00CC52A0">
        <w:rPr>
          <w:rFonts w:ascii="Arial" w:hAnsi="Arial" w:cs="Arial"/>
          <w:b/>
          <w:bCs/>
        </w:rPr>
        <w:t xml:space="preserve"> </w:t>
      </w:r>
    </w:p>
    <w:tbl>
      <w:tblPr>
        <w:tblStyle w:val="TableGrid"/>
        <w:tblW w:w="0" w:type="auto"/>
        <w:tblInd w:w="562" w:type="dxa"/>
        <w:tblLook w:val="04A0" w:firstRow="1" w:lastRow="0" w:firstColumn="1" w:lastColumn="0" w:noHBand="0" w:noVBand="1"/>
      </w:tblPr>
      <w:tblGrid>
        <w:gridCol w:w="9016"/>
      </w:tblGrid>
      <w:tr w:rsidR="00C212DF" w14:paraId="545FD70A" w14:textId="77777777" w:rsidTr="00BE1E7C">
        <w:tc>
          <w:tcPr>
            <w:tcW w:w="9016" w:type="dxa"/>
          </w:tcPr>
          <w:p w14:paraId="061CA016" w14:textId="77777777" w:rsidR="00FF3F6C" w:rsidRPr="003634FB" w:rsidRDefault="00C212DF" w:rsidP="00BE1E7C">
            <w:pPr>
              <w:spacing w:before="60" w:after="60"/>
              <w:rPr>
                <w:rFonts w:ascii="Arial" w:hAnsi="Arial" w:cs="Arial"/>
                <w:i/>
                <w:iCs/>
              </w:rPr>
            </w:pPr>
            <w:r w:rsidRPr="003634FB">
              <w:rPr>
                <w:rFonts w:ascii="Arial" w:hAnsi="Arial" w:cs="Arial"/>
                <w:b/>
                <w:bCs/>
                <w:i/>
                <w:iCs/>
              </w:rPr>
              <w:t>Explanatory note</w:t>
            </w:r>
            <w:r w:rsidRPr="003634FB">
              <w:rPr>
                <w:rFonts w:ascii="Arial" w:hAnsi="Arial" w:cs="Arial"/>
                <w:i/>
                <w:iCs/>
              </w:rPr>
              <w:t>: Outline the governance arrangements for the issuer’s remuneration practices.</w:t>
            </w:r>
            <w:r w:rsidR="00AA66A8" w:rsidRPr="003634FB">
              <w:rPr>
                <w:rFonts w:ascii="Arial" w:hAnsi="Arial" w:cs="Arial"/>
                <w:i/>
                <w:iCs/>
              </w:rPr>
              <w:t xml:space="preserve"> </w:t>
            </w:r>
          </w:p>
          <w:p w14:paraId="7F64E97D" w14:textId="113A1C27" w:rsidR="0014577B" w:rsidRPr="003634FB" w:rsidRDefault="00AA66A8" w:rsidP="00BE1E7C">
            <w:pPr>
              <w:spacing w:before="60" w:after="60"/>
              <w:rPr>
                <w:rFonts w:ascii="Arial" w:hAnsi="Arial" w:cs="Arial"/>
                <w:i/>
                <w:iCs/>
              </w:rPr>
            </w:pPr>
            <w:r w:rsidRPr="003634FB">
              <w:rPr>
                <w:rFonts w:ascii="Arial" w:hAnsi="Arial" w:cs="Arial"/>
                <w:i/>
                <w:iCs/>
              </w:rPr>
              <w:t>To avoid duplication</w:t>
            </w:r>
            <w:r w:rsidR="007A4B14" w:rsidRPr="003634FB">
              <w:rPr>
                <w:rFonts w:ascii="Arial" w:hAnsi="Arial" w:cs="Arial"/>
                <w:i/>
                <w:iCs/>
              </w:rPr>
              <w:t xml:space="preserve"> </w:t>
            </w:r>
            <w:r w:rsidR="00510F98" w:rsidRPr="003634FB">
              <w:rPr>
                <w:rFonts w:ascii="Arial" w:hAnsi="Arial" w:cs="Arial"/>
                <w:i/>
                <w:iCs/>
              </w:rPr>
              <w:t>of corporate governance disclosures</w:t>
            </w:r>
            <w:r w:rsidR="00F80A4B" w:rsidRPr="003634FB">
              <w:rPr>
                <w:rFonts w:ascii="Arial" w:hAnsi="Arial" w:cs="Arial"/>
                <w:i/>
                <w:iCs/>
              </w:rPr>
              <w:t xml:space="preserve"> elsewhere in the </w:t>
            </w:r>
            <w:r w:rsidR="00A2590F" w:rsidRPr="003634FB">
              <w:rPr>
                <w:rFonts w:ascii="Arial" w:hAnsi="Arial" w:cs="Arial"/>
                <w:i/>
                <w:iCs/>
              </w:rPr>
              <w:t>issuer’s corporate governance statement (either on the issuer’s website or in the section of its annual report that reports compliance against the NZX Code</w:t>
            </w:r>
            <w:r w:rsidR="009A438D" w:rsidRPr="003634FB">
              <w:rPr>
                <w:rFonts w:ascii="Arial" w:hAnsi="Arial" w:cs="Arial"/>
                <w:i/>
                <w:iCs/>
              </w:rPr>
              <w:t>), the</w:t>
            </w:r>
            <w:r w:rsidR="00FF3F6C" w:rsidRPr="003634FB">
              <w:rPr>
                <w:rFonts w:ascii="Arial" w:hAnsi="Arial" w:cs="Arial"/>
                <w:i/>
                <w:iCs/>
              </w:rPr>
              <w:t xml:space="preserve"> disclosures relating to general corporate policies should only be included to the extent that they affect</w:t>
            </w:r>
            <w:r w:rsidR="004378F3" w:rsidRPr="003634FB">
              <w:rPr>
                <w:rFonts w:ascii="Arial" w:hAnsi="Arial" w:cs="Arial"/>
                <w:i/>
                <w:iCs/>
              </w:rPr>
              <w:t xml:space="preserve"> or provide context for</w:t>
            </w:r>
            <w:r w:rsidR="00FF3F6C" w:rsidRPr="003634FB">
              <w:rPr>
                <w:rFonts w:ascii="Arial" w:hAnsi="Arial" w:cs="Arial"/>
                <w:i/>
                <w:iCs/>
              </w:rPr>
              <w:t xml:space="preserve"> the </w:t>
            </w:r>
            <w:r w:rsidR="00B34A86" w:rsidRPr="003634FB">
              <w:rPr>
                <w:rFonts w:ascii="Arial" w:hAnsi="Arial" w:cs="Arial"/>
                <w:i/>
                <w:iCs/>
              </w:rPr>
              <w:t>i</w:t>
            </w:r>
            <w:r w:rsidR="00FF3F6C" w:rsidRPr="003634FB">
              <w:rPr>
                <w:rFonts w:ascii="Arial" w:hAnsi="Arial" w:cs="Arial"/>
                <w:i/>
                <w:iCs/>
              </w:rPr>
              <w:t>ssuer’s remuneration arrangements</w:t>
            </w:r>
            <w:r w:rsidR="00DE5D84" w:rsidRPr="003634FB">
              <w:rPr>
                <w:rFonts w:ascii="Arial" w:hAnsi="Arial" w:cs="Arial"/>
                <w:i/>
                <w:iCs/>
              </w:rPr>
              <w:t xml:space="preserve">. </w:t>
            </w:r>
            <w:r w:rsidR="00C212DF" w:rsidRPr="003634FB">
              <w:rPr>
                <w:rFonts w:ascii="Arial" w:hAnsi="Arial" w:cs="Arial"/>
                <w:i/>
                <w:iCs/>
              </w:rPr>
              <w:t xml:space="preserve"> </w:t>
            </w:r>
          </w:p>
          <w:p w14:paraId="1D68B120" w14:textId="47866F7C" w:rsidR="00F31F07" w:rsidRPr="003634FB" w:rsidRDefault="00C212DF" w:rsidP="00BE1E7C">
            <w:pPr>
              <w:spacing w:before="60" w:after="60"/>
              <w:rPr>
                <w:rFonts w:ascii="Arial" w:hAnsi="Arial" w:cs="Arial"/>
                <w:i/>
                <w:iCs/>
              </w:rPr>
            </w:pPr>
            <w:r w:rsidRPr="003634FB">
              <w:rPr>
                <w:rFonts w:ascii="Arial" w:hAnsi="Arial" w:cs="Arial"/>
                <w:i/>
                <w:iCs/>
              </w:rPr>
              <w:t xml:space="preserve">Issuers should cross reference where information can be found in the annual report relating to the attendance </w:t>
            </w:r>
            <w:r w:rsidR="00AA6AF0" w:rsidRPr="003634FB">
              <w:rPr>
                <w:rFonts w:ascii="Arial" w:hAnsi="Arial" w:cs="Arial"/>
                <w:i/>
                <w:iCs/>
              </w:rPr>
              <w:t>at</w:t>
            </w:r>
            <w:r w:rsidRPr="003634FB">
              <w:rPr>
                <w:rFonts w:ascii="Arial" w:hAnsi="Arial" w:cs="Arial"/>
                <w:i/>
                <w:iCs/>
              </w:rPr>
              <w:t xml:space="preserve"> Remuneration Committee meetings which is a recommended disclosure under Code recommendation 3.5. </w:t>
            </w:r>
            <w:r w:rsidR="00C413B9" w:rsidRPr="003634FB">
              <w:rPr>
                <w:rFonts w:ascii="Arial" w:hAnsi="Arial" w:cs="Arial"/>
                <w:i/>
                <w:iCs/>
              </w:rPr>
              <w:t>Issuers may also wish to include a cross-reference to other information about the Remuneration Committee if it is included elsewhere in the corporate governance section of the annual report.</w:t>
            </w:r>
          </w:p>
        </w:tc>
      </w:tr>
    </w:tbl>
    <w:p w14:paraId="186FDC30" w14:textId="41C6BD0F" w:rsidR="00B53A71" w:rsidRPr="003634FB" w:rsidRDefault="00A2590F" w:rsidP="001F6331">
      <w:pPr>
        <w:spacing w:before="240" w:after="160"/>
        <w:ind w:left="567" w:right="249"/>
        <w:rPr>
          <w:rFonts w:ascii="Arial" w:hAnsi="Arial" w:cs="Arial"/>
        </w:rPr>
      </w:pPr>
      <w:r w:rsidRPr="003634FB">
        <w:rPr>
          <w:rFonts w:ascii="Arial" w:hAnsi="Arial" w:cs="Arial"/>
        </w:rPr>
        <w:t>[Issuer]</w:t>
      </w:r>
      <w:r w:rsidR="00DC7BA0" w:rsidRPr="003634FB">
        <w:rPr>
          <w:rFonts w:ascii="Arial" w:hAnsi="Arial" w:cs="Arial"/>
        </w:rPr>
        <w:t xml:space="preserve"> </w:t>
      </w:r>
      <w:r w:rsidR="001B5A33" w:rsidRPr="003634FB">
        <w:rPr>
          <w:rFonts w:ascii="Arial" w:hAnsi="Arial" w:cs="Arial"/>
        </w:rPr>
        <w:t xml:space="preserve">has a Remuneration Committee (Committee) comprising the </w:t>
      </w:r>
      <w:r w:rsidR="00A41FB1" w:rsidRPr="003634FB">
        <w:rPr>
          <w:rFonts w:ascii="Arial" w:hAnsi="Arial" w:cs="Arial"/>
        </w:rPr>
        <w:t xml:space="preserve">following </w:t>
      </w:r>
      <w:r w:rsidR="001B5A33" w:rsidRPr="003634FB">
        <w:rPr>
          <w:rFonts w:ascii="Arial" w:hAnsi="Arial" w:cs="Arial"/>
        </w:rPr>
        <w:t>members</w:t>
      </w:r>
      <w:r w:rsidR="00A41FB1" w:rsidRPr="003634FB">
        <w:rPr>
          <w:rFonts w:ascii="Arial" w:hAnsi="Arial" w:cs="Arial"/>
        </w:rPr>
        <w:t>:</w:t>
      </w:r>
      <w:r w:rsidR="00553D52" w:rsidRPr="003634FB">
        <w:rPr>
          <w:rFonts w:ascii="Arial" w:hAnsi="Arial" w:cs="Arial"/>
        </w:rPr>
        <w:t xml:space="preserve"> </w:t>
      </w:r>
      <w:r w:rsidR="00B53A71" w:rsidRPr="003634FB">
        <w:rPr>
          <w:rFonts w:ascii="Arial" w:hAnsi="Arial" w:cs="Arial"/>
        </w:rPr>
        <w:t>[names of members]</w:t>
      </w:r>
      <w:r w:rsidR="00553D52" w:rsidRPr="003634FB">
        <w:rPr>
          <w:rFonts w:ascii="Arial" w:hAnsi="Arial" w:cs="Arial"/>
        </w:rPr>
        <w:t>, [disclose the length of time each current member has been a member of the Committee and any membership changes during the reporting period]</w:t>
      </w:r>
    </w:p>
    <w:p w14:paraId="1DCBC450" w14:textId="7D56ACDA" w:rsidR="001178D4" w:rsidRPr="003634FB" w:rsidRDefault="001178D4" w:rsidP="001F6331">
      <w:pPr>
        <w:spacing w:after="160"/>
        <w:ind w:left="567" w:right="249"/>
        <w:rPr>
          <w:rFonts w:ascii="Arial" w:hAnsi="Arial" w:cs="Arial"/>
        </w:rPr>
      </w:pPr>
      <w:r w:rsidRPr="003634FB">
        <w:rPr>
          <w:rFonts w:ascii="Arial" w:hAnsi="Arial" w:cs="Arial"/>
        </w:rPr>
        <w:t xml:space="preserve">The majority of </w:t>
      </w:r>
      <w:r w:rsidR="00F462F9" w:rsidRPr="003634FB">
        <w:rPr>
          <w:rFonts w:ascii="Arial" w:hAnsi="Arial" w:cs="Arial"/>
        </w:rPr>
        <w:t>members are</w:t>
      </w:r>
      <w:r w:rsidR="00F345A9" w:rsidRPr="003634FB">
        <w:rPr>
          <w:rFonts w:ascii="Arial" w:hAnsi="Arial" w:cs="Arial"/>
        </w:rPr>
        <w:t xml:space="preserve"> in</w:t>
      </w:r>
      <w:r w:rsidR="00832689" w:rsidRPr="003634FB">
        <w:rPr>
          <w:rFonts w:ascii="Arial" w:hAnsi="Arial" w:cs="Arial"/>
        </w:rPr>
        <w:t>dependent</w:t>
      </w:r>
      <w:r w:rsidR="00C03EBA" w:rsidRPr="003634FB">
        <w:rPr>
          <w:rFonts w:ascii="Arial" w:hAnsi="Arial" w:cs="Arial"/>
        </w:rPr>
        <w:t xml:space="preserve"> directors</w:t>
      </w:r>
      <w:r w:rsidR="00832689" w:rsidRPr="003634FB">
        <w:rPr>
          <w:rFonts w:ascii="Arial" w:hAnsi="Arial" w:cs="Arial"/>
        </w:rPr>
        <w:t>.</w:t>
      </w:r>
      <w:r w:rsidR="00C03EBA" w:rsidRPr="003634FB">
        <w:rPr>
          <w:rFonts w:ascii="Arial" w:hAnsi="Arial" w:cs="Arial"/>
        </w:rPr>
        <w:t xml:space="preserve"> Management only attend</w:t>
      </w:r>
      <w:r w:rsidR="004378F3" w:rsidRPr="003634FB">
        <w:rPr>
          <w:rFonts w:ascii="Arial" w:hAnsi="Arial" w:cs="Arial"/>
        </w:rPr>
        <w:t>s</w:t>
      </w:r>
      <w:r w:rsidR="00C03EBA" w:rsidRPr="003634FB">
        <w:rPr>
          <w:rFonts w:ascii="Arial" w:hAnsi="Arial" w:cs="Arial"/>
        </w:rPr>
        <w:t xml:space="preserve"> Committee meetings by invitation. </w:t>
      </w:r>
      <w:r w:rsidR="00832689" w:rsidRPr="003634FB">
        <w:rPr>
          <w:rFonts w:ascii="Arial" w:hAnsi="Arial" w:cs="Arial"/>
        </w:rPr>
        <w:t xml:space="preserve"> </w:t>
      </w:r>
    </w:p>
    <w:p w14:paraId="15278A39" w14:textId="42AE3867" w:rsidR="00F818EC" w:rsidRPr="003634FB" w:rsidRDefault="001B5A33" w:rsidP="001F6331">
      <w:pPr>
        <w:spacing w:after="160"/>
        <w:ind w:left="567" w:right="249"/>
        <w:rPr>
          <w:rFonts w:ascii="Arial" w:hAnsi="Arial" w:cs="Arial"/>
        </w:rPr>
      </w:pPr>
      <w:r w:rsidRPr="003634FB">
        <w:rPr>
          <w:rFonts w:ascii="Arial" w:hAnsi="Arial" w:cs="Arial"/>
        </w:rPr>
        <w:t>The responsibilities</w:t>
      </w:r>
      <w:r w:rsidR="00F818EC" w:rsidRPr="003634FB">
        <w:rPr>
          <w:rFonts w:ascii="Arial" w:hAnsi="Arial" w:cs="Arial"/>
        </w:rPr>
        <w:t xml:space="preserve"> and processes</w:t>
      </w:r>
      <w:r w:rsidRPr="003634FB">
        <w:rPr>
          <w:rFonts w:ascii="Arial" w:hAnsi="Arial" w:cs="Arial"/>
        </w:rPr>
        <w:t xml:space="preserve"> of the Committee are [include </w:t>
      </w:r>
      <w:r w:rsidR="00C03EBA" w:rsidRPr="003634FB">
        <w:rPr>
          <w:rFonts w:ascii="Arial" w:hAnsi="Arial" w:cs="Arial"/>
        </w:rPr>
        <w:t xml:space="preserve">brief </w:t>
      </w:r>
      <w:r w:rsidR="008C4F6A">
        <w:rPr>
          <w:rFonts w:ascii="Arial" w:hAnsi="Arial" w:cs="Arial"/>
        </w:rPr>
        <w:t>description</w:t>
      </w:r>
      <w:r w:rsidRPr="003634FB">
        <w:rPr>
          <w:rFonts w:ascii="Arial" w:hAnsi="Arial" w:cs="Arial"/>
        </w:rPr>
        <w:t xml:space="preserve">]. </w:t>
      </w:r>
      <w:r w:rsidR="00721B2A" w:rsidRPr="003634FB">
        <w:rPr>
          <w:rFonts w:ascii="Arial" w:hAnsi="Arial" w:cs="Arial"/>
        </w:rPr>
        <w:t xml:space="preserve"> </w:t>
      </w:r>
    </w:p>
    <w:p w14:paraId="75D1F475" w14:textId="3DFDE2FA" w:rsidR="00563A61" w:rsidRPr="003634FB" w:rsidRDefault="001B5A33" w:rsidP="001F6331">
      <w:pPr>
        <w:spacing w:after="160"/>
        <w:ind w:left="567" w:right="249"/>
        <w:rPr>
          <w:rFonts w:ascii="Arial" w:hAnsi="Arial" w:cs="Arial"/>
        </w:rPr>
      </w:pPr>
      <w:r w:rsidRPr="003634FB">
        <w:rPr>
          <w:rFonts w:ascii="Arial" w:hAnsi="Arial" w:cs="Arial"/>
        </w:rPr>
        <w:t>T</w:t>
      </w:r>
      <w:r w:rsidR="00721B2A" w:rsidRPr="003634FB">
        <w:rPr>
          <w:rFonts w:ascii="Arial" w:hAnsi="Arial" w:cs="Arial"/>
        </w:rPr>
        <w:t>he Committee operates under a written charter</w:t>
      </w:r>
      <w:r w:rsidR="00070257" w:rsidRPr="003634FB">
        <w:rPr>
          <w:rFonts w:ascii="Arial" w:hAnsi="Arial" w:cs="Arial"/>
        </w:rPr>
        <w:t xml:space="preserve">. </w:t>
      </w:r>
      <w:r w:rsidRPr="003634FB">
        <w:rPr>
          <w:rFonts w:ascii="Arial" w:hAnsi="Arial" w:cs="Arial"/>
        </w:rPr>
        <w:t>The charter is available to view [here].</w:t>
      </w:r>
    </w:p>
    <w:p w14:paraId="5D18E6D1" w14:textId="75209B36" w:rsidR="007E6F43" w:rsidRPr="003634FB" w:rsidRDefault="007E6F43" w:rsidP="001F6331">
      <w:pPr>
        <w:spacing w:after="160"/>
        <w:ind w:left="567" w:right="249"/>
        <w:rPr>
          <w:rFonts w:ascii="Arial" w:hAnsi="Arial" w:cs="Arial"/>
        </w:rPr>
      </w:pPr>
      <w:r w:rsidRPr="003634FB">
        <w:rPr>
          <w:rFonts w:ascii="Arial" w:hAnsi="Arial" w:cs="Arial"/>
        </w:rPr>
        <w:t>[</w:t>
      </w:r>
      <w:r w:rsidRPr="003634FB">
        <w:rPr>
          <w:rFonts w:ascii="Arial" w:hAnsi="Arial" w:cs="Arial"/>
          <w:i/>
          <w:iCs/>
        </w:rPr>
        <w:t xml:space="preserve">As an alternative to the disclosures above, </w:t>
      </w:r>
      <w:r w:rsidR="00C413B9" w:rsidRPr="003634FB">
        <w:rPr>
          <w:rFonts w:ascii="Arial" w:hAnsi="Arial" w:cs="Arial"/>
          <w:i/>
          <w:iCs/>
        </w:rPr>
        <w:t>a cross-reference to where the information concerning the Remuneration Committee is included in the corporate governance section of the annual report could be included</w:t>
      </w:r>
      <w:r w:rsidR="00C413B9" w:rsidRPr="003634FB">
        <w:rPr>
          <w:rFonts w:ascii="Arial" w:hAnsi="Arial" w:cs="Arial"/>
        </w:rPr>
        <w:t>].</w:t>
      </w:r>
    </w:p>
    <w:p w14:paraId="0C98661B" w14:textId="23E6B699" w:rsidR="00B53A71" w:rsidRPr="003634FB" w:rsidRDefault="00FF3F6C" w:rsidP="001F6331">
      <w:pPr>
        <w:spacing w:after="160"/>
        <w:ind w:left="567" w:right="249"/>
        <w:rPr>
          <w:rFonts w:ascii="Arial" w:hAnsi="Arial" w:cs="Arial"/>
          <w:i/>
          <w:iCs/>
        </w:rPr>
      </w:pPr>
      <w:r w:rsidRPr="003634FB">
        <w:rPr>
          <w:rFonts w:ascii="Arial" w:hAnsi="Arial" w:cs="Arial"/>
        </w:rPr>
        <w:t xml:space="preserve">The internal governance policies that </w:t>
      </w:r>
      <w:r w:rsidR="004442A1" w:rsidRPr="003634FB">
        <w:rPr>
          <w:rFonts w:ascii="Arial" w:hAnsi="Arial" w:cs="Arial"/>
        </w:rPr>
        <w:t>provide context for the</w:t>
      </w:r>
      <w:r w:rsidRPr="003634FB">
        <w:rPr>
          <w:rFonts w:ascii="Arial" w:hAnsi="Arial" w:cs="Arial"/>
        </w:rPr>
        <w:t xml:space="preserve"> remuneration outcomes are</w:t>
      </w:r>
      <w:r w:rsidR="0054181C" w:rsidRPr="003634FB">
        <w:rPr>
          <w:rFonts w:ascii="Arial" w:hAnsi="Arial" w:cs="Arial"/>
        </w:rPr>
        <w:t xml:space="preserve"> [</w:t>
      </w:r>
      <w:r w:rsidR="008C4F6A">
        <w:rPr>
          <w:rFonts w:ascii="Arial" w:hAnsi="Arial" w:cs="Arial"/>
        </w:rPr>
        <w:t>described</w:t>
      </w:r>
      <w:r w:rsidR="0054181C" w:rsidRPr="003634FB">
        <w:rPr>
          <w:rFonts w:ascii="Arial" w:hAnsi="Arial" w:cs="Arial"/>
        </w:rPr>
        <w:t xml:space="preserve"> </w:t>
      </w:r>
      <w:r w:rsidR="006916D0" w:rsidRPr="003634FB">
        <w:rPr>
          <w:rFonts w:ascii="Arial" w:hAnsi="Arial" w:cs="Arial"/>
        </w:rPr>
        <w:t xml:space="preserve">below / </w:t>
      </w:r>
      <w:r w:rsidR="008C4F6A">
        <w:rPr>
          <w:rFonts w:ascii="Arial" w:hAnsi="Arial" w:cs="Arial"/>
        </w:rPr>
        <w:t>described</w:t>
      </w:r>
      <w:r w:rsidR="006916D0" w:rsidRPr="003634FB">
        <w:rPr>
          <w:rFonts w:ascii="Arial" w:hAnsi="Arial" w:cs="Arial"/>
        </w:rPr>
        <w:t xml:space="preserve"> </w:t>
      </w:r>
      <w:r w:rsidR="0054181C" w:rsidRPr="003634FB">
        <w:rPr>
          <w:rFonts w:ascii="Arial" w:hAnsi="Arial" w:cs="Arial"/>
        </w:rPr>
        <w:t xml:space="preserve">in section </w:t>
      </w:r>
      <w:proofErr w:type="spellStart"/>
      <w:r w:rsidR="0054181C" w:rsidRPr="003634FB">
        <w:rPr>
          <w:rFonts w:ascii="Arial" w:hAnsi="Arial" w:cs="Arial"/>
        </w:rPr>
        <w:t>x.x</w:t>
      </w:r>
      <w:proofErr w:type="spellEnd"/>
      <w:r w:rsidR="0054181C" w:rsidRPr="003634FB">
        <w:rPr>
          <w:rFonts w:ascii="Arial" w:hAnsi="Arial" w:cs="Arial"/>
        </w:rPr>
        <w:t xml:space="preserve"> of this annual report</w:t>
      </w:r>
      <w:r w:rsidR="007E6F43" w:rsidRPr="003634FB">
        <w:rPr>
          <w:rFonts w:ascii="Arial" w:hAnsi="Arial" w:cs="Arial"/>
        </w:rPr>
        <w:t xml:space="preserve"> (</w:t>
      </w:r>
      <w:r w:rsidR="007E6F43" w:rsidRPr="003634FB">
        <w:rPr>
          <w:rFonts w:ascii="Arial" w:hAnsi="Arial" w:cs="Arial"/>
          <w:i/>
          <w:iCs/>
        </w:rPr>
        <w:t>where the contextual policies are included in the corporate governance section of the annual report</w:t>
      </w:r>
      <w:r w:rsidR="007E6F43" w:rsidRPr="003634FB">
        <w:rPr>
          <w:rFonts w:ascii="Arial" w:hAnsi="Arial" w:cs="Arial"/>
        </w:rPr>
        <w:t>)</w:t>
      </w:r>
      <w:r w:rsidR="003144CC" w:rsidRPr="003634FB">
        <w:rPr>
          <w:rFonts w:ascii="Arial" w:hAnsi="Arial" w:cs="Arial"/>
        </w:rPr>
        <w:t>]:</w:t>
      </w:r>
      <w:r w:rsidRPr="003634FB">
        <w:rPr>
          <w:rFonts w:ascii="Arial" w:hAnsi="Arial" w:cs="Arial"/>
          <w:i/>
          <w:iCs/>
        </w:rPr>
        <w:t xml:space="preserve"> </w:t>
      </w:r>
    </w:p>
    <w:p w14:paraId="2C721B24" w14:textId="4E446DDC" w:rsidR="00FF3F6C" w:rsidRPr="003634FB" w:rsidRDefault="00FF3F6C" w:rsidP="001F6331">
      <w:pPr>
        <w:spacing w:after="120"/>
        <w:ind w:left="567" w:right="249"/>
        <w:rPr>
          <w:rFonts w:ascii="Arial" w:hAnsi="Arial" w:cs="Arial"/>
          <w:i/>
          <w:iCs/>
        </w:rPr>
      </w:pPr>
      <w:r w:rsidRPr="003634FB">
        <w:rPr>
          <w:rFonts w:ascii="Arial" w:hAnsi="Arial" w:cs="Arial"/>
          <w:i/>
          <w:iCs/>
        </w:rPr>
        <w:t>[for example:</w:t>
      </w:r>
    </w:p>
    <w:p w14:paraId="45E3EE4D" w14:textId="51A34BBC" w:rsidR="004C47EA" w:rsidRPr="003634FB" w:rsidRDefault="00FF3F6C" w:rsidP="001F6331">
      <w:pPr>
        <w:pStyle w:val="ListParagraph"/>
        <w:numPr>
          <w:ilvl w:val="0"/>
          <w:numId w:val="13"/>
        </w:numPr>
        <w:spacing w:after="60"/>
        <w:ind w:left="992" w:right="249" w:hanging="357"/>
        <w:contextualSpacing w:val="0"/>
        <w:rPr>
          <w:rFonts w:ascii="Arial" w:hAnsi="Arial" w:cs="Arial"/>
          <w:i/>
          <w:iCs/>
        </w:rPr>
      </w:pPr>
      <w:r w:rsidRPr="003634FB">
        <w:rPr>
          <w:rFonts w:ascii="Arial" w:hAnsi="Arial" w:cs="Arial"/>
          <w:i/>
          <w:iCs/>
        </w:rPr>
        <w:t xml:space="preserve">Any policy requiring a minimum shareholding for executives or </w:t>
      </w:r>
      <w:r w:rsidR="00B65030" w:rsidRPr="003634FB">
        <w:rPr>
          <w:rFonts w:ascii="Arial" w:hAnsi="Arial" w:cs="Arial"/>
          <w:i/>
          <w:iCs/>
        </w:rPr>
        <w:t>directors</w:t>
      </w:r>
      <w:r w:rsidR="004C47EA" w:rsidRPr="003634FB">
        <w:rPr>
          <w:rFonts w:ascii="Arial" w:hAnsi="Arial" w:cs="Arial"/>
          <w:i/>
          <w:iCs/>
        </w:rPr>
        <w:t xml:space="preserve"> (including in respect of remuneration payments, for example: under an STI scheme)</w:t>
      </w:r>
      <w:r w:rsidR="00B65030" w:rsidRPr="003634FB">
        <w:rPr>
          <w:rFonts w:ascii="Arial" w:hAnsi="Arial" w:cs="Arial"/>
          <w:i/>
          <w:iCs/>
        </w:rPr>
        <w:t>.</w:t>
      </w:r>
    </w:p>
    <w:p w14:paraId="50B38DA2" w14:textId="35FA344E" w:rsidR="00CC52A0" w:rsidRPr="00CC52A0" w:rsidRDefault="00FF3F6C" w:rsidP="001F6331">
      <w:pPr>
        <w:pStyle w:val="ListParagraph"/>
        <w:numPr>
          <w:ilvl w:val="0"/>
          <w:numId w:val="13"/>
        </w:numPr>
        <w:spacing w:after="0"/>
        <w:ind w:left="992" w:right="249"/>
        <w:contextualSpacing w:val="0"/>
        <w:rPr>
          <w:rFonts w:ascii="Arial" w:hAnsi="Arial" w:cs="Arial"/>
          <w:i/>
          <w:iCs/>
        </w:rPr>
      </w:pPr>
      <w:r w:rsidRPr="003634FB">
        <w:rPr>
          <w:rFonts w:ascii="Arial" w:hAnsi="Arial" w:cs="Arial"/>
          <w:i/>
          <w:iCs/>
        </w:rPr>
        <w:t>Financial Products Trading Policy</w:t>
      </w:r>
      <w:r w:rsidR="008C4F6A">
        <w:rPr>
          <w:rFonts w:ascii="Arial" w:hAnsi="Arial" w:cs="Arial"/>
          <w:i/>
          <w:iCs/>
        </w:rPr>
        <w:t xml:space="preserve"> (where the issuer considers this to be relevant)]</w:t>
      </w:r>
      <w:r w:rsidR="003144CC" w:rsidRPr="003634FB">
        <w:rPr>
          <w:rFonts w:ascii="Arial" w:hAnsi="Arial" w:cs="Arial"/>
          <w:i/>
          <w:iCs/>
        </w:rPr>
        <w:t>.</w:t>
      </w:r>
    </w:p>
    <w:tbl>
      <w:tblPr>
        <w:tblStyle w:val="TableGrid"/>
        <w:tblpPr w:leftFromText="180" w:rightFromText="180" w:vertAnchor="text" w:horzAnchor="margin" w:tblpX="562" w:tblpY="252"/>
        <w:tblW w:w="0" w:type="auto"/>
        <w:tblLook w:val="04A0" w:firstRow="1" w:lastRow="0" w:firstColumn="1" w:lastColumn="0" w:noHBand="0" w:noVBand="1"/>
      </w:tblPr>
      <w:tblGrid>
        <w:gridCol w:w="9016"/>
      </w:tblGrid>
      <w:tr w:rsidR="00D80BE6" w14:paraId="4DFEB1D6" w14:textId="77777777" w:rsidTr="00BE1E7C">
        <w:tc>
          <w:tcPr>
            <w:tcW w:w="9016" w:type="dxa"/>
          </w:tcPr>
          <w:p w14:paraId="1B4138FC" w14:textId="77777777" w:rsidR="00D80BE6" w:rsidRPr="003634FB" w:rsidRDefault="00D80BE6" w:rsidP="00BE1E7C">
            <w:pPr>
              <w:spacing w:before="60" w:after="60"/>
              <w:rPr>
                <w:rFonts w:ascii="Arial" w:hAnsi="Arial" w:cs="Arial"/>
                <w:b/>
                <w:bCs/>
                <w:i/>
                <w:iCs/>
              </w:rPr>
            </w:pPr>
            <w:r w:rsidRPr="003634FB">
              <w:rPr>
                <w:rFonts w:ascii="Arial" w:hAnsi="Arial" w:cs="Arial"/>
                <w:b/>
                <w:bCs/>
                <w:i/>
                <w:iCs/>
              </w:rPr>
              <w:t>Source note</w:t>
            </w:r>
          </w:p>
          <w:p w14:paraId="40D46EF5" w14:textId="288D0D3A" w:rsidR="004378F3" w:rsidRPr="003634FB" w:rsidRDefault="00D80BE6" w:rsidP="00BE1E7C">
            <w:pPr>
              <w:spacing w:before="60" w:after="60"/>
              <w:rPr>
                <w:rFonts w:ascii="Arial" w:hAnsi="Arial" w:cs="Arial"/>
                <w:i/>
                <w:iCs/>
              </w:rPr>
            </w:pPr>
            <w:r w:rsidRPr="003634FB">
              <w:rPr>
                <w:rFonts w:ascii="Arial" w:hAnsi="Arial" w:cs="Arial"/>
                <w:b/>
                <w:bCs/>
                <w:i/>
                <w:iCs/>
              </w:rPr>
              <w:t>Addres</w:t>
            </w:r>
            <w:r w:rsidR="004378F3" w:rsidRPr="003634FB">
              <w:rPr>
                <w:rFonts w:ascii="Arial" w:hAnsi="Arial" w:cs="Arial"/>
                <w:b/>
                <w:bCs/>
                <w:i/>
                <w:iCs/>
              </w:rPr>
              <w:t>se</w:t>
            </w:r>
            <w:r w:rsidRPr="003634FB">
              <w:rPr>
                <w:rFonts w:ascii="Arial" w:hAnsi="Arial" w:cs="Arial"/>
                <w:b/>
                <w:bCs/>
                <w:i/>
                <w:iCs/>
              </w:rPr>
              <w:t>s recommendation 3.3 of the NZX Code</w:t>
            </w:r>
            <w:r w:rsidRPr="003634FB">
              <w:rPr>
                <w:rFonts w:ascii="Arial" w:hAnsi="Arial" w:cs="Arial"/>
                <w:i/>
                <w:iCs/>
              </w:rPr>
              <w:t>: An issuer should have a remuneration committee which operates under a written charter (unless this is carried out by the whole board). At least a majority of the remuneration committee should be independent directors. Management should only attend remuneration committee meetings at the invitation of the remuneration committee.</w:t>
            </w:r>
          </w:p>
          <w:p w14:paraId="3033CAFA" w14:textId="781CA90D" w:rsidR="0014577B" w:rsidRPr="0014577B" w:rsidRDefault="0014577B" w:rsidP="00BE1E7C">
            <w:pPr>
              <w:spacing w:before="60" w:after="60"/>
              <w:rPr>
                <w:i/>
                <w:iCs/>
              </w:rPr>
            </w:pPr>
            <w:r w:rsidRPr="003634FB">
              <w:rPr>
                <w:rFonts w:ascii="Arial" w:hAnsi="Arial" w:cs="Arial"/>
                <w:b/>
                <w:bCs/>
                <w:i/>
                <w:iCs/>
              </w:rPr>
              <w:t>Address</w:t>
            </w:r>
            <w:r w:rsidR="004378F3" w:rsidRPr="003634FB">
              <w:rPr>
                <w:rFonts w:ascii="Arial" w:hAnsi="Arial" w:cs="Arial"/>
                <w:b/>
                <w:bCs/>
                <w:i/>
                <w:iCs/>
              </w:rPr>
              <w:t>es</w:t>
            </w:r>
            <w:r w:rsidRPr="003634FB">
              <w:rPr>
                <w:rFonts w:ascii="Arial" w:hAnsi="Arial" w:cs="Arial"/>
                <w:b/>
                <w:bCs/>
                <w:i/>
                <w:iCs/>
              </w:rPr>
              <w:t xml:space="preserve"> recommendation of 3.5 of the NZX Code: </w:t>
            </w:r>
            <w:r w:rsidRPr="003634FB">
              <w:rPr>
                <w:rFonts w:ascii="Arial" w:hAnsi="Arial" w:cs="Arial"/>
                <w:i/>
                <w:iCs/>
              </w:rPr>
              <w:t>An issuer should identify the members of each of its committees, and periodically report member attendance.</w:t>
            </w:r>
            <w:r>
              <w:rPr>
                <w:i/>
                <w:iCs/>
              </w:rPr>
              <w:t xml:space="preserve"> </w:t>
            </w:r>
          </w:p>
        </w:tc>
      </w:tr>
    </w:tbl>
    <w:p w14:paraId="62BB693C" w14:textId="57B8F094" w:rsidR="007011DD" w:rsidRPr="00CC52A0" w:rsidRDefault="00F230A7" w:rsidP="00CC52A0">
      <w:pPr>
        <w:pStyle w:val="Heading1"/>
        <w:numPr>
          <w:ilvl w:val="0"/>
          <w:numId w:val="21"/>
        </w:numPr>
        <w:spacing w:after="120"/>
        <w:ind w:left="567" w:hanging="567"/>
        <w:rPr>
          <w:rFonts w:ascii="Arial" w:hAnsi="Arial" w:cs="Arial"/>
          <w:b/>
          <w:bCs/>
        </w:rPr>
      </w:pPr>
      <w:bookmarkStart w:id="6" w:name="_Toc151713706"/>
      <w:r w:rsidRPr="00CC52A0">
        <w:rPr>
          <w:rFonts w:ascii="Arial" w:hAnsi="Arial" w:cs="Arial"/>
          <w:b/>
          <w:bCs/>
        </w:rPr>
        <w:lastRenderedPageBreak/>
        <w:t>Executive R</w:t>
      </w:r>
      <w:r w:rsidR="00646B79" w:rsidRPr="00CC52A0">
        <w:rPr>
          <w:rFonts w:ascii="Arial" w:hAnsi="Arial" w:cs="Arial"/>
          <w:b/>
          <w:bCs/>
        </w:rPr>
        <w:t>emuneration</w:t>
      </w:r>
      <w:r w:rsidR="00E74614" w:rsidRPr="00CC52A0">
        <w:rPr>
          <w:rFonts w:ascii="Arial" w:hAnsi="Arial" w:cs="Arial"/>
          <w:b/>
          <w:bCs/>
        </w:rPr>
        <w:t xml:space="preserve"> Policy</w:t>
      </w:r>
      <w:bookmarkEnd w:id="6"/>
      <w:r w:rsidR="00646B79" w:rsidRPr="00CC52A0">
        <w:rPr>
          <w:rFonts w:ascii="Arial" w:hAnsi="Arial" w:cs="Arial"/>
          <w:b/>
          <w:bCs/>
        </w:rPr>
        <w:t xml:space="preserve"> </w:t>
      </w:r>
    </w:p>
    <w:tbl>
      <w:tblPr>
        <w:tblStyle w:val="TableGrid"/>
        <w:tblW w:w="0" w:type="auto"/>
        <w:tblInd w:w="562" w:type="dxa"/>
        <w:tblLook w:val="04A0" w:firstRow="1" w:lastRow="0" w:firstColumn="1" w:lastColumn="0" w:noHBand="0" w:noVBand="1"/>
      </w:tblPr>
      <w:tblGrid>
        <w:gridCol w:w="9016"/>
      </w:tblGrid>
      <w:tr w:rsidR="00C212DF" w14:paraId="590EAF14" w14:textId="77777777" w:rsidTr="00BE1E7C">
        <w:tc>
          <w:tcPr>
            <w:tcW w:w="9016" w:type="dxa"/>
          </w:tcPr>
          <w:p w14:paraId="51F92D49" w14:textId="0F899731" w:rsidR="00241B3C" w:rsidRPr="003634FB" w:rsidRDefault="00C212DF" w:rsidP="00CC52A0">
            <w:pPr>
              <w:spacing w:before="60" w:after="60"/>
              <w:rPr>
                <w:rFonts w:ascii="Arial" w:hAnsi="Arial" w:cs="Arial"/>
                <w:i/>
                <w:iCs/>
              </w:rPr>
            </w:pPr>
            <w:r w:rsidRPr="003634FB">
              <w:rPr>
                <w:rFonts w:ascii="Arial" w:hAnsi="Arial" w:cs="Arial"/>
                <w:b/>
                <w:bCs/>
                <w:i/>
                <w:iCs/>
              </w:rPr>
              <w:t>Explanatory note</w:t>
            </w:r>
            <w:r w:rsidRPr="003634FB">
              <w:rPr>
                <w:rFonts w:ascii="Arial" w:hAnsi="Arial" w:cs="Arial"/>
                <w:i/>
                <w:iCs/>
              </w:rPr>
              <w:t xml:space="preserve">: </w:t>
            </w:r>
            <w:r w:rsidR="007011DD" w:rsidRPr="003634FB">
              <w:rPr>
                <w:rFonts w:ascii="Arial" w:hAnsi="Arial" w:cs="Arial"/>
                <w:i/>
                <w:iCs/>
              </w:rPr>
              <w:t>An i</w:t>
            </w:r>
            <w:r w:rsidRPr="003634FB">
              <w:rPr>
                <w:rFonts w:ascii="Arial" w:hAnsi="Arial" w:cs="Arial"/>
                <w:i/>
                <w:iCs/>
              </w:rPr>
              <w:t xml:space="preserve">ssuer should explain </w:t>
            </w:r>
            <w:r w:rsidR="007011DD" w:rsidRPr="003634FB">
              <w:rPr>
                <w:rFonts w:ascii="Arial" w:hAnsi="Arial" w:cs="Arial"/>
                <w:i/>
                <w:iCs/>
              </w:rPr>
              <w:t>its</w:t>
            </w:r>
            <w:r w:rsidR="003634FB" w:rsidRPr="003634FB">
              <w:rPr>
                <w:rFonts w:ascii="Arial" w:hAnsi="Arial" w:cs="Arial"/>
                <w:i/>
                <w:iCs/>
              </w:rPr>
              <w:t xml:space="preserve"> </w:t>
            </w:r>
            <w:r w:rsidRPr="003634FB">
              <w:rPr>
                <w:rFonts w:ascii="Arial" w:hAnsi="Arial" w:cs="Arial"/>
                <w:i/>
                <w:iCs/>
              </w:rPr>
              <w:t xml:space="preserve">remuneration policy for executives, outlining the </w:t>
            </w:r>
            <w:r w:rsidR="004378F3" w:rsidRPr="003634FB">
              <w:rPr>
                <w:rFonts w:ascii="Arial" w:hAnsi="Arial" w:cs="Arial"/>
                <w:i/>
                <w:iCs/>
              </w:rPr>
              <w:t xml:space="preserve">executive remuneration framework including </w:t>
            </w:r>
            <w:r w:rsidRPr="003634FB">
              <w:rPr>
                <w:rFonts w:ascii="Arial" w:hAnsi="Arial" w:cs="Arial"/>
                <w:i/>
                <w:iCs/>
              </w:rPr>
              <w:t xml:space="preserve">relative weightings of remuneration components (between </w:t>
            </w:r>
            <w:r w:rsidR="00C413B9" w:rsidRPr="003634FB">
              <w:rPr>
                <w:rFonts w:ascii="Arial" w:hAnsi="Arial" w:cs="Arial"/>
                <w:i/>
                <w:iCs/>
              </w:rPr>
              <w:t>B</w:t>
            </w:r>
            <w:r w:rsidRPr="003634FB">
              <w:rPr>
                <w:rFonts w:ascii="Arial" w:hAnsi="Arial" w:cs="Arial"/>
                <w:i/>
                <w:iCs/>
              </w:rPr>
              <w:t xml:space="preserve">ase </w:t>
            </w:r>
            <w:r w:rsidR="00C413B9" w:rsidRPr="003634FB">
              <w:rPr>
                <w:rFonts w:ascii="Arial" w:hAnsi="Arial" w:cs="Arial"/>
                <w:i/>
                <w:iCs/>
              </w:rPr>
              <w:t>S</w:t>
            </w:r>
            <w:r w:rsidRPr="003634FB">
              <w:rPr>
                <w:rFonts w:ascii="Arial" w:hAnsi="Arial" w:cs="Arial"/>
                <w:i/>
                <w:iCs/>
              </w:rPr>
              <w:t xml:space="preserve">alary, </w:t>
            </w:r>
            <w:r w:rsidR="008C4F6A">
              <w:rPr>
                <w:rFonts w:ascii="Arial" w:hAnsi="Arial" w:cs="Arial"/>
                <w:i/>
                <w:iCs/>
              </w:rPr>
              <w:t>STI</w:t>
            </w:r>
            <w:r w:rsidRPr="003634FB">
              <w:rPr>
                <w:rFonts w:ascii="Arial" w:hAnsi="Arial" w:cs="Arial"/>
                <w:i/>
                <w:iCs/>
              </w:rPr>
              <w:t xml:space="preserve"> and </w:t>
            </w:r>
            <w:r w:rsidR="008C4F6A">
              <w:rPr>
                <w:rFonts w:ascii="Arial" w:hAnsi="Arial" w:cs="Arial"/>
                <w:i/>
                <w:iCs/>
              </w:rPr>
              <w:t>LTI</w:t>
            </w:r>
            <w:r w:rsidRPr="003634FB">
              <w:rPr>
                <w:rFonts w:ascii="Arial" w:hAnsi="Arial" w:cs="Arial"/>
                <w:i/>
                <w:iCs/>
              </w:rPr>
              <w:t>) and the relevant performance criteria</w:t>
            </w:r>
            <w:r w:rsidR="002761C4" w:rsidRPr="003634FB">
              <w:rPr>
                <w:rFonts w:ascii="Arial" w:hAnsi="Arial" w:cs="Arial"/>
                <w:i/>
                <w:iCs/>
              </w:rPr>
              <w:t xml:space="preserve"> </w:t>
            </w:r>
            <w:r w:rsidR="004378F3" w:rsidRPr="003634FB">
              <w:rPr>
                <w:rFonts w:ascii="Arial" w:hAnsi="Arial" w:cs="Arial"/>
                <w:i/>
                <w:iCs/>
              </w:rPr>
              <w:t>at a general level (</w:t>
            </w:r>
            <w:r w:rsidR="00052C1D" w:rsidRPr="003634FB">
              <w:rPr>
                <w:rFonts w:ascii="Arial" w:hAnsi="Arial" w:cs="Arial"/>
                <w:i/>
                <w:iCs/>
              </w:rPr>
              <w:t>for example</w:t>
            </w:r>
            <w:r w:rsidR="004378F3" w:rsidRPr="003634FB">
              <w:rPr>
                <w:rFonts w:ascii="Arial" w:hAnsi="Arial" w:cs="Arial"/>
                <w:i/>
                <w:iCs/>
              </w:rPr>
              <w:t>:</w:t>
            </w:r>
            <w:r w:rsidR="00052C1D" w:rsidRPr="003634FB">
              <w:rPr>
                <w:rFonts w:ascii="Arial" w:hAnsi="Arial" w:cs="Arial"/>
                <w:i/>
                <w:iCs/>
              </w:rPr>
              <w:t xml:space="preserve"> whether the hurdles are relative T</w:t>
            </w:r>
            <w:r w:rsidR="008C4F6A">
              <w:rPr>
                <w:rFonts w:ascii="Arial" w:hAnsi="Arial" w:cs="Arial"/>
                <w:i/>
                <w:iCs/>
              </w:rPr>
              <w:t xml:space="preserve">otal </w:t>
            </w:r>
            <w:r w:rsidR="00052C1D" w:rsidRPr="003634FB">
              <w:rPr>
                <w:rFonts w:ascii="Arial" w:hAnsi="Arial" w:cs="Arial"/>
                <w:i/>
                <w:iCs/>
              </w:rPr>
              <w:t>S</w:t>
            </w:r>
            <w:r w:rsidR="008C4F6A">
              <w:rPr>
                <w:rFonts w:ascii="Arial" w:hAnsi="Arial" w:cs="Arial"/>
                <w:i/>
                <w:iCs/>
              </w:rPr>
              <w:t xml:space="preserve">hareholder </w:t>
            </w:r>
            <w:r w:rsidR="00052C1D" w:rsidRPr="003634FB">
              <w:rPr>
                <w:rFonts w:ascii="Arial" w:hAnsi="Arial" w:cs="Arial"/>
                <w:i/>
                <w:iCs/>
              </w:rPr>
              <w:t>R</w:t>
            </w:r>
            <w:r w:rsidR="008C4F6A">
              <w:rPr>
                <w:rFonts w:ascii="Arial" w:hAnsi="Arial" w:cs="Arial"/>
                <w:i/>
                <w:iCs/>
              </w:rPr>
              <w:t>eturn</w:t>
            </w:r>
            <w:r w:rsidR="00EB5A91">
              <w:rPr>
                <w:rFonts w:ascii="Arial" w:hAnsi="Arial" w:cs="Arial"/>
                <w:i/>
                <w:iCs/>
              </w:rPr>
              <w:t xml:space="preserve"> (</w:t>
            </w:r>
            <w:r w:rsidR="00EB5A91">
              <w:rPr>
                <w:rFonts w:ascii="Arial" w:hAnsi="Arial" w:cs="Arial"/>
                <w:b/>
                <w:bCs/>
                <w:i/>
                <w:iCs/>
              </w:rPr>
              <w:t>TSR</w:t>
            </w:r>
            <w:r w:rsidR="00EB5A91">
              <w:rPr>
                <w:rFonts w:ascii="Arial" w:hAnsi="Arial" w:cs="Arial"/>
                <w:i/>
                <w:iCs/>
              </w:rPr>
              <w:t>)</w:t>
            </w:r>
            <w:r w:rsidR="00052C1D" w:rsidRPr="003634FB">
              <w:rPr>
                <w:rFonts w:ascii="Arial" w:hAnsi="Arial" w:cs="Arial"/>
                <w:i/>
                <w:iCs/>
              </w:rPr>
              <w:t xml:space="preserve">, absolute TSR, </w:t>
            </w:r>
            <w:r w:rsidR="00EB5A91">
              <w:rPr>
                <w:rFonts w:ascii="Arial" w:hAnsi="Arial" w:cs="Arial"/>
                <w:i/>
                <w:iCs/>
              </w:rPr>
              <w:t>Earnings per Share (</w:t>
            </w:r>
            <w:r w:rsidR="00052C1D" w:rsidRPr="00EB5A91">
              <w:rPr>
                <w:rFonts w:ascii="Arial" w:hAnsi="Arial" w:cs="Arial"/>
                <w:b/>
                <w:bCs/>
                <w:i/>
                <w:iCs/>
              </w:rPr>
              <w:t>EPS</w:t>
            </w:r>
            <w:r w:rsidR="00EB5A91">
              <w:rPr>
                <w:rFonts w:ascii="Arial" w:hAnsi="Arial" w:cs="Arial"/>
                <w:i/>
                <w:iCs/>
              </w:rPr>
              <w:t>)</w:t>
            </w:r>
            <w:r w:rsidR="00052C1D" w:rsidRPr="003634FB">
              <w:rPr>
                <w:rFonts w:ascii="Arial" w:hAnsi="Arial" w:cs="Arial"/>
                <w:i/>
                <w:iCs/>
              </w:rPr>
              <w:t xml:space="preserve"> etc. and a high-level description of those hurdles</w:t>
            </w:r>
            <w:r w:rsidR="002761C4" w:rsidRPr="003634FB">
              <w:rPr>
                <w:rFonts w:ascii="Arial" w:hAnsi="Arial" w:cs="Arial"/>
                <w:i/>
                <w:iCs/>
              </w:rPr>
              <w:t>)</w:t>
            </w:r>
            <w:r w:rsidRPr="003634FB">
              <w:rPr>
                <w:rFonts w:ascii="Arial" w:hAnsi="Arial" w:cs="Arial"/>
                <w:i/>
                <w:iCs/>
              </w:rPr>
              <w:t xml:space="preserve">. </w:t>
            </w:r>
          </w:p>
          <w:p w14:paraId="3211F3AF" w14:textId="5668FFE8" w:rsidR="006730A8" w:rsidRPr="003634FB" w:rsidRDefault="007011DD" w:rsidP="00CC52A0">
            <w:pPr>
              <w:spacing w:before="60" w:after="60"/>
              <w:rPr>
                <w:rFonts w:ascii="Arial" w:hAnsi="Arial" w:cs="Arial"/>
                <w:i/>
                <w:iCs/>
              </w:rPr>
            </w:pPr>
            <w:r w:rsidRPr="003634FB">
              <w:rPr>
                <w:rFonts w:ascii="Arial" w:hAnsi="Arial" w:cs="Arial"/>
                <w:i/>
                <w:iCs/>
              </w:rPr>
              <w:t>An i</w:t>
            </w:r>
            <w:r w:rsidR="001F3F9F" w:rsidRPr="003634FB">
              <w:rPr>
                <w:rFonts w:ascii="Arial" w:hAnsi="Arial" w:cs="Arial"/>
                <w:i/>
                <w:iCs/>
              </w:rPr>
              <w:t xml:space="preserve">ssuer may </w:t>
            </w:r>
            <w:r w:rsidR="00C17CA0" w:rsidRPr="003634FB">
              <w:rPr>
                <w:rFonts w:ascii="Arial" w:hAnsi="Arial" w:cs="Arial"/>
                <w:i/>
                <w:iCs/>
              </w:rPr>
              <w:t xml:space="preserve">choose to include </w:t>
            </w:r>
            <w:r w:rsidR="00241B3C" w:rsidRPr="003634FB">
              <w:rPr>
                <w:rFonts w:ascii="Arial" w:hAnsi="Arial" w:cs="Arial"/>
                <w:i/>
                <w:iCs/>
              </w:rPr>
              <w:t xml:space="preserve">as an optional disclosure </w:t>
            </w:r>
            <w:r w:rsidR="00C17CA0" w:rsidRPr="003634FB">
              <w:rPr>
                <w:rFonts w:ascii="Arial" w:hAnsi="Arial" w:cs="Arial"/>
                <w:i/>
                <w:iCs/>
              </w:rPr>
              <w:t>the</w:t>
            </w:r>
            <w:r w:rsidR="00301937" w:rsidRPr="003634FB">
              <w:rPr>
                <w:rFonts w:ascii="Arial" w:hAnsi="Arial" w:cs="Arial"/>
                <w:i/>
                <w:iCs/>
              </w:rPr>
              <w:t xml:space="preserve"> percentage of </w:t>
            </w:r>
            <w:r w:rsidR="00C60CB1" w:rsidRPr="003634FB">
              <w:rPr>
                <w:rFonts w:ascii="Arial" w:hAnsi="Arial" w:cs="Arial"/>
                <w:i/>
                <w:iCs/>
              </w:rPr>
              <w:t>short-term</w:t>
            </w:r>
            <w:r w:rsidR="00B51828" w:rsidRPr="003634FB">
              <w:rPr>
                <w:rFonts w:ascii="Arial" w:hAnsi="Arial" w:cs="Arial"/>
                <w:i/>
                <w:iCs/>
              </w:rPr>
              <w:t xml:space="preserve"> incentives</w:t>
            </w:r>
            <w:r w:rsidR="00E47B63" w:rsidRPr="003634FB">
              <w:rPr>
                <w:rFonts w:ascii="Arial" w:hAnsi="Arial" w:cs="Arial"/>
                <w:i/>
                <w:iCs/>
              </w:rPr>
              <w:t xml:space="preserve"> </w:t>
            </w:r>
            <w:r w:rsidR="00B81547" w:rsidRPr="003634FB">
              <w:rPr>
                <w:rFonts w:ascii="Arial" w:hAnsi="Arial" w:cs="Arial"/>
                <w:i/>
                <w:iCs/>
              </w:rPr>
              <w:t xml:space="preserve">that have been </w:t>
            </w:r>
            <w:r w:rsidR="00F96386" w:rsidRPr="003634FB">
              <w:rPr>
                <w:rFonts w:ascii="Arial" w:hAnsi="Arial" w:cs="Arial"/>
                <w:i/>
                <w:iCs/>
              </w:rPr>
              <w:t>paid to</w:t>
            </w:r>
            <w:r w:rsidR="00B81547" w:rsidRPr="003634FB">
              <w:rPr>
                <w:rFonts w:ascii="Arial" w:hAnsi="Arial" w:cs="Arial"/>
                <w:i/>
                <w:iCs/>
              </w:rPr>
              <w:t xml:space="preserve"> executives</w:t>
            </w:r>
            <w:r w:rsidR="00F96386" w:rsidRPr="003634FB">
              <w:rPr>
                <w:rFonts w:ascii="Arial" w:hAnsi="Arial" w:cs="Arial"/>
                <w:i/>
                <w:iCs/>
              </w:rPr>
              <w:t>.</w:t>
            </w:r>
            <w:r w:rsidR="007402F1" w:rsidRPr="003634FB">
              <w:rPr>
                <w:rFonts w:ascii="Arial" w:hAnsi="Arial" w:cs="Arial"/>
                <w:i/>
                <w:iCs/>
              </w:rPr>
              <w:t xml:space="preserve"> </w:t>
            </w:r>
            <w:r w:rsidR="00CE231C" w:rsidRPr="003634FB">
              <w:rPr>
                <w:rFonts w:ascii="Arial" w:hAnsi="Arial" w:cs="Arial"/>
                <w:i/>
                <w:iCs/>
              </w:rPr>
              <w:t>I</w:t>
            </w:r>
            <w:r w:rsidR="007402F1" w:rsidRPr="003634FB">
              <w:rPr>
                <w:rFonts w:ascii="Arial" w:hAnsi="Arial" w:cs="Arial"/>
                <w:i/>
                <w:iCs/>
              </w:rPr>
              <w:t xml:space="preserve">ssuers may also wish to </w:t>
            </w:r>
            <w:r w:rsidRPr="003634FB">
              <w:rPr>
                <w:rFonts w:ascii="Arial" w:hAnsi="Arial" w:cs="Arial"/>
                <w:i/>
                <w:iCs/>
              </w:rPr>
              <w:t>make an optional disclosure of</w:t>
            </w:r>
            <w:r w:rsidR="007402F1" w:rsidRPr="003634FB">
              <w:rPr>
                <w:rFonts w:ascii="Arial" w:hAnsi="Arial" w:cs="Arial"/>
                <w:i/>
                <w:iCs/>
              </w:rPr>
              <w:t xml:space="preserve"> the total </w:t>
            </w:r>
            <w:r w:rsidR="00CE231C" w:rsidRPr="003634FB">
              <w:rPr>
                <w:rFonts w:ascii="Arial" w:hAnsi="Arial" w:cs="Arial"/>
                <w:i/>
                <w:iCs/>
              </w:rPr>
              <w:t>STI amount paid</w:t>
            </w:r>
            <w:r w:rsidR="00844691" w:rsidRPr="003634FB">
              <w:rPr>
                <w:rFonts w:ascii="Arial" w:hAnsi="Arial" w:cs="Arial"/>
                <w:i/>
                <w:iCs/>
              </w:rPr>
              <w:t xml:space="preserve"> to executives</w:t>
            </w:r>
            <w:r w:rsidR="00CE231C" w:rsidRPr="003634FB">
              <w:rPr>
                <w:rFonts w:ascii="Arial" w:hAnsi="Arial" w:cs="Arial"/>
                <w:i/>
                <w:iCs/>
              </w:rPr>
              <w:t>, along with percentage</w:t>
            </w:r>
            <w:r w:rsidR="00844691" w:rsidRPr="003634FB">
              <w:rPr>
                <w:rFonts w:ascii="Arial" w:hAnsi="Arial" w:cs="Arial"/>
                <w:i/>
                <w:iCs/>
              </w:rPr>
              <w:t>s</w:t>
            </w:r>
            <w:r w:rsidR="0084137E" w:rsidRPr="003634FB">
              <w:rPr>
                <w:rFonts w:ascii="Arial" w:hAnsi="Arial" w:cs="Arial"/>
                <w:i/>
                <w:iCs/>
              </w:rPr>
              <w:t xml:space="preserve"> </w:t>
            </w:r>
            <w:r w:rsidR="00844691" w:rsidRPr="003634FB">
              <w:rPr>
                <w:rFonts w:ascii="Arial" w:hAnsi="Arial" w:cs="Arial"/>
                <w:i/>
                <w:iCs/>
              </w:rPr>
              <w:t xml:space="preserve">of the total STI amount that was paid in cash and </w:t>
            </w:r>
            <w:r w:rsidR="00660EBC" w:rsidRPr="003634FB">
              <w:rPr>
                <w:rFonts w:ascii="Arial" w:hAnsi="Arial" w:cs="Arial"/>
                <w:i/>
                <w:iCs/>
              </w:rPr>
              <w:t xml:space="preserve">issued or transferred in </w:t>
            </w:r>
            <w:r w:rsidR="00844691" w:rsidRPr="003634FB">
              <w:rPr>
                <w:rFonts w:ascii="Arial" w:hAnsi="Arial" w:cs="Arial"/>
                <w:i/>
                <w:iCs/>
              </w:rPr>
              <w:t>Securities</w:t>
            </w:r>
            <w:r w:rsidR="0084137E" w:rsidRPr="003634FB">
              <w:rPr>
                <w:rFonts w:ascii="Arial" w:hAnsi="Arial" w:cs="Arial"/>
                <w:i/>
                <w:iCs/>
              </w:rPr>
              <w:t>.</w:t>
            </w:r>
            <w:r w:rsidR="00F96386" w:rsidRPr="003634FB">
              <w:rPr>
                <w:rFonts w:ascii="Arial" w:hAnsi="Arial" w:cs="Arial"/>
                <w:i/>
                <w:iCs/>
              </w:rPr>
              <w:t xml:space="preserve"> </w:t>
            </w:r>
            <w:r w:rsidR="004378F3" w:rsidRPr="003634FB">
              <w:rPr>
                <w:rFonts w:ascii="Arial" w:hAnsi="Arial" w:cs="Arial"/>
                <w:i/>
                <w:iCs/>
              </w:rPr>
              <w:t>Issuers may also optionally disclose</w:t>
            </w:r>
            <w:r w:rsidR="009B5750" w:rsidRPr="003634FB">
              <w:rPr>
                <w:rFonts w:ascii="Arial" w:hAnsi="Arial" w:cs="Arial"/>
                <w:i/>
                <w:iCs/>
              </w:rPr>
              <w:t xml:space="preserve"> </w:t>
            </w:r>
            <w:r w:rsidR="00B81547" w:rsidRPr="003634FB">
              <w:rPr>
                <w:rFonts w:ascii="Arial" w:hAnsi="Arial" w:cs="Arial"/>
                <w:i/>
                <w:iCs/>
              </w:rPr>
              <w:t xml:space="preserve">the percentage of </w:t>
            </w:r>
            <w:r w:rsidR="00EB5A91">
              <w:rPr>
                <w:rFonts w:ascii="Arial" w:hAnsi="Arial" w:cs="Arial"/>
                <w:i/>
                <w:iCs/>
              </w:rPr>
              <w:t>LTI</w:t>
            </w:r>
            <w:r w:rsidR="00B51828" w:rsidRPr="003634FB">
              <w:rPr>
                <w:rFonts w:ascii="Arial" w:hAnsi="Arial" w:cs="Arial"/>
                <w:i/>
                <w:iCs/>
              </w:rPr>
              <w:t xml:space="preserve"> </w:t>
            </w:r>
            <w:r w:rsidR="00E33DD2" w:rsidRPr="003634FB">
              <w:rPr>
                <w:rFonts w:ascii="Arial" w:hAnsi="Arial" w:cs="Arial"/>
                <w:i/>
                <w:iCs/>
              </w:rPr>
              <w:t>A</w:t>
            </w:r>
            <w:r w:rsidR="00B81547" w:rsidRPr="003634FB">
              <w:rPr>
                <w:rFonts w:ascii="Arial" w:hAnsi="Arial" w:cs="Arial"/>
                <w:i/>
                <w:iCs/>
              </w:rPr>
              <w:t xml:space="preserve">wards that have </w:t>
            </w:r>
            <w:r w:rsidR="00660EBC" w:rsidRPr="003634FB">
              <w:rPr>
                <w:rFonts w:ascii="Arial" w:hAnsi="Arial" w:cs="Arial"/>
                <w:i/>
                <w:iCs/>
              </w:rPr>
              <w:t>been made</w:t>
            </w:r>
            <w:r w:rsidR="00B81547" w:rsidRPr="003634FB">
              <w:rPr>
                <w:rFonts w:ascii="Arial" w:hAnsi="Arial" w:cs="Arial"/>
                <w:i/>
                <w:iCs/>
              </w:rPr>
              <w:t>.</w:t>
            </w:r>
            <w:r w:rsidR="0090440F" w:rsidRPr="003634FB">
              <w:rPr>
                <w:rFonts w:ascii="Arial" w:hAnsi="Arial" w:cs="Arial"/>
                <w:i/>
                <w:iCs/>
              </w:rPr>
              <w:t xml:space="preserve"> </w:t>
            </w:r>
            <w:r w:rsidR="00B81547" w:rsidRPr="003634FB">
              <w:rPr>
                <w:rFonts w:ascii="Arial" w:hAnsi="Arial" w:cs="Arial"/>
                <w:i/>
                <w:iCs/>
              </w:rPr>
              <w:t xml:space="preserve">Issuers may wish to include </w:t>
            </w:r>
            <w:r w:rsidR="00FC4F1C" w:rsidRPr="003634FB">
              <w:rPr>
                <w:rFonts w:ascii="Arial" w:hAnsi="Arial" w:cs="Arial"/>
                <w:i/>
                <w:iCs/>
              </w:rPr>
              <w:t xml:space="preserve">a graph that illustrates the frequency </w:t>
            </w:r>
            <w:r w:rsidR="002761C4" w:rsidRPr="003634FB">
              <w:rPr>
                <w:rFonts w:ascii="Arial" w:hAnsi="Arial" w:cs="Arial"/>
                <w:i/>
                <w:iCs/>
              </w:rPr>
              <w:t>with</w:t>
            </w:r>
            <w:r w:rsidR="0058368F" w:rsidRPr="003634FB">
              <w:rPr>
                <w:rFonts w:ascii="Arial" w:hAnsi="Arial" w:cs="Arial"/>
                <w:i/>
                <w:iCs/>
              </w:rPr>
              <w:t xml:space="preserve"> which the</w:t>
            </w:r>
            <w:r w:rsidR="0027536F" w:rsidRPr="003634FB">
              <w:rPr>
                <w:rFonts w:ascii="Arial" w:hAnsi="Arial" w:cs="Arial"/>
                <w:i/>
                <w:iCs/>
              </w:rPr>
              <w:t xml:space="preserve">se incentives </w:t>
            </w:r>
            <w:r w:rsidR="0058368F" w:rsidRPr="003634FB">
              <w:rPr>
                <w:rFonts w:ascii="Arial" w:hAnsi="Arial" w:cs="Arial"/>
                <w:i/>
                <w:iCs/>
              </w:rPr>
              <w:t>have been paid</w:t>
            </w:r>
            <w:r w:rsidR="009B5750" w:rsidRPr="003634FB">
              <w:rPr>
                <w:rFonts w:ascii="Arial" w:hAnsi="Arial" w:cs="Arial"/>
                <w:i/>
                <w:iCs/>
              </w:rPr>
              <w:t xml:space="preserve"> </w:t>
            </w:r>
            <w:r w:rsidR="00660EBC" w:rsidRPr="003634FB">
              <w:rPr>
                <w:rFonts w:ascii="Arial" w:hAnsi="Arial" w:cs="Arial"/>
                <w:i/>
                <w:iCs/>
              </w:rPr>
              <w:t xml:space="preserve">in cash or Securities have been issued or transferred </w:t>
            </w:r>
            <w:r w:rsidR="007807A1" w:rsidRPr="003634FB">
              <w:rPr>
                <w:rFonts w:ascii="Arial" w:hAnsi="Arial" w:cs="Arial"/>
                <w:i/>
                <w:iCs/>
              </w:rPr>
              <w:t>historically</w:t>
            </w:r>
            <w:r w:rsidR="00696C56" w:rsidRPr="003634FB">
              <w:rPr>
                <w:rFonts w:ascii="Arial" w:hAnsi="Arial" w:cs="Arial"/>
                <w:i/>
                <w:iCs/>
              </w:rPr>
              <w:t xml:space="preserve">. </w:t>
            </w:r>
            <w:r w:rsidR="00241B3C" w:rsidRPr="003634FB">
              <w:rPr>
                <w:rFonts w:ascii="Arial" w:hAnsi="Arial" w:cs="Arial"/>
                <w:i/>
                <w:iCs/>
              </w:rPr>
              <w:t xml:space="preserve">This disclosure </w:t>
            </w:r>
            <w:r w:rsidR="00C00390" w:rsidRPr="003634FB">
              <w:rPr>
                <w:rFonts w:ascii="Arial" w:hAnsi="Arial" w:cs="Arial"/>
                <w:i/>
                <w:iCs/>
              </w:rPr>
              <w:t>provides helpful</w:t>
            </w:r>
            <w:r w:rsidR="00695397" w:rsidRPr="003634FB">
              <w:rPr>
                <w:rFonts w:ascii="Arial" w:hAnsi="Arial" w:cs="Arial"/>
                <w:i/>
                <w:iCs/>
              </w:rPr>
              <w:t xml:space="preserve"> </w:t>
            </w:r>
            <w:r w:rsidR="00241B3C" w:rsidRPr="003634FB">
              <w:rPr>
                <w:rFonts w:ascii="Arial" w:hAnsi="Arial" w:cs="Arial"/>
                <w:i/>
                <w:iCs/>
              </w:rPr>
              <w:t xml:space="preserve">context for the issuer’s </w:t>
            </w:r>
            <w:r w:rsidR="00C00390" w:rsidRPr="003634FB">
              <w:rPr>
                <w:rFonts w:ascii="Arial" w:hAnsi="Arial" w:cs="Arial"/>
                <w:i/>
                <w:iCs/>
              </w:rPr>
              <w:t xml:space="preserve">executive </w:t>
            </w:r>
            <w:r w:rsidR="00241B3C" w:rsidRPr="003634FB">
              <w:rPr>
                <w:rFonts w:ascii="Arial" w:hAnsi="Arial" w:cs="Arial"/>
                <w:i/>
                <w:iCs/>
              </w:rPr>
              <w:t>remuneration policy.</w:t>
            </w:r>
          </w:p>
          <w:p w14:paraId="799D811B" w14:textId="24F74071" w:rsidR="00C212DF" w:rsidRPr="003634FB" w:rsidRDefault="00C212DF" w:rsidP="00CC52A0">
            <w:pPr>
              <w:spacing w:before="60" w:after="60"/>
              <w:rPr>
                <w:rFonts w:ascii="Arial" w:hAnsi="Arial" w:cs="Arial"/>
                <w:i/>
                <w:iCs/>
              </w:rPr>
            </w:pPr>
            <w:r w:rsidRPr="003634FB">
              <w:rPr>
                <w:rFonts w:ascii="Arial" w:hAnsi="Arial" w:cs="Arial"/>
                <w:i/>
                <w:iCs/>
              </w:rPr>
              <w:t>Th</w:t>
            </w:r>
            <w:r w:rsidR="00241B3C" w:rsidRPr="003634FB">
              <w:rPr>
                <w:rFonts w:ascii="Arial" w:hAnsi="Arial" w:cs="Arial"/>
                <w:i/>
                <w:iCs/>
              </w:rPr>
              <w:t>e</w:t>
            </w:r>
            <w:r w:rsidRPr="003634FB">
              <w:rPr>
                <w:rFonts w:ascii="Arial" w:hAnsi="Arial" w:cs="Arial"/>
                <w:i/>
                <w:iCs/>
              </w:rPr>
              <w:t xml:space="preserve"> disclosure</w:t>
            </w:r>
            <w:r w:rsidR="00241B3C" w:rsidRPr="003634FB">
              <w:rPr>
                <w:rFonts w:ascii="Arial" w:hAnsi="Arial" w:cs="Arial"/>
                <w:i/>
                <w:iCs/>
              </w:rPr>
              <w:t xml:space="preserve">s in this section are </w:t>
            </w:r>
            <w:r w:rsidR="009512DB" w:rsidRPr="003634FB">
              <w:rPr>
                <w:rFonts w:ascii="Arial" w:hAnsi="Arial" w:cs="Arial"/>
                <w:i/>
                <w:iCs/>
              </w:rPr>
              <w:t>intended to be</w:t>
            </w:r>
            <w:r w:rsidRPr="003634FB">
              <w:rPr>
                <w:rFonts w:ascii="Arial" w:hAnsi="Arial" w:cs="Arial"/>
                <w:i/>
                <w:iCs/>
              </w:rPr>
              <w:t xml:space="preserve"> at the broader </w:t>
            </w:r>
            <w:r w:rsidR="002761C4" w:rsidRPr="003634FB">
              <w:rPr>
                <w:rFonts w:ascii="Arial" w:hAnsi="Arial" w:cs="Arial"/>
                <w:i/>
                <w:iCs/>
              </w:rPr>
              <w:t xml:space="preserve">remuneration </w:t>
            </w:r>
            <w:r w:rsidRPr="003634FB">
              <w:rPr>
                <w:rFonts w:ascii="Arial" w:hAnsi="Arial" w:cs="Arial"/>
                <w:i/>
                <w:iCs/>
              </w:rPr>
              <w:t xml:space="preserve">policy level, as opposed to detailed disclosure of </w:t>
            </w:r>
            <w:r w:rsidR="00222E34" w:rsidRPr="003634FB">
              <w:rPr>
                <w:rFonts w:ascii="Arial" w:hAnsi="Arial" w:cs="Arial"/>
                <w:i/>
                <w:iCs/>
              </w:rPr>
              <w:t>the remuneration</w:t>
            </w:r>
            <w:r w:rsidRPr="003634FB">
              <w:rPr>
                <w:rFonts w:ascii="Arial" w:hAnsi="Arial" w:cs="Arial"/>
                <w:i/>
                <w:iCs/>
              </w:rPr>
              <w:t xml:space="preserve"> packages for </w:t>
            </w:r>
            <w:r w:rsidR="002761C4" w:rsidRPr="003634FB">
              <w:rPr>
                <w:rFonts w:ascii="Arial" w:hAnsi="Arial" w:cs="Arial"/>
                <w:i/>
                <w:iCs/>
              </w:rPr>
              <w:t xml:space="preserve">specific </w:t>
            </w:r>
            <w:r w:rsidR="00695397" w:rsidRPr="003634FB">
              <w:rPr>
                <w:rFonts w:ascii="Arial" w:hAnsi="Arial" w:cs="Arial"/>
                <w:i/>
                <w:iCs/>
              </w:rPr>
              <w:t>executives</w:t>
            </w:r>
            <w:r w:rsidRPr="003634FB">
              <w:rPr>
                <w:rFonts w:ascii="Arial" w:hAnsi="Arial" w:cs="Arial"/>
                <w:i/>
                <w:iCs/>
              </w:rPr>
              <w:t>. Th</w:t>
            </w:r>
            <w:r w:rsidR="00C413B9" w:rsidRPr="003634FB">
              <w:rPr>
                <w:rFonts w:ascii="Arial" w:hAnsi="Arial" w:cs="Arial"/>
                <w:i/>
                <w:iCs/>
              </w:rPr>
              <w:t>e</w:t>
            </w:r>
            <w:r w:rsidRPr="003634FB">
              <w:rPr>
                <w:rFonts w:ascii="Arial" w:hAnsi="Arial" w:cs="Arial"/>
                <w:i/>
                <w:iCs/>
              </w:rPr>
              <w:t xml:space="preserve"> description </w:t>
            </w:r>
            <w:r w:rsidR="00C413B9" w:rsidRPr="003634FB">
              <w:rPr>
                <w:rFonts w:ascii="Arial" w:hAnsi="Arial" w:cs="Arial"/>
                <w:i/>
                <w:iCs/>
              </w:rPr>
              <w:t xml:space="preserve">of the arrangements </w:t>
            </w:r>
            <w:r w:rsidRPr="003634FB">
              <w:rPr>
                <w:rFonts w:ascii="Arial" w:hAnsi="Arial" w:cs="Arial"/>
                <w:i/>
                <w:iCs/>
              </w:rPr>
              <w:t xml:space="preserve">may include the main objectives and purpose driving the policy, the links to performance and delivery of overall company strategy and qualitative factors included as part of the remuneration policy (such as risk management).   </w:t>
            </w:r>
          </w:p>
          <w:p w14:paraId="2A6ED95A" w14:textId="691011A8" w:rsidR="00C212DF" w:rsidRPr="003634FB" w:rsidRDefault="00EB5A91" w:rsidP="00CC52A0">
            <w:pPr>
              <w:spacing w:before="60" w:after="60"/>
              <w:rPr>
                <w:rFonts w:ascii="Arial" w:hAnsi="Arial" w:cs="Arial"/>
                <w:i/>
                <w:iCs/>
              </w:rPr>
            </w:pPr>
            <w:r>
              <w:rPr>
                <w:rFonts w:ascii="Arial" w:hAnsi="Arial" w:cs="Arial"/>
                <w:i/>
                <w:iCs/>
              </w:rPr>
              <w:t xml:space="preserve">An </w:t>
            </w:r>
            <w:r w:rsidR="00C212DF" w:rsidRPr="003634FB">
              <w:rPr>
                <w:rFonts w:ascii="Arial" w:hAnsi="Arial" w:cs="Arial"/>
                <w:i/>
                <w:iCs/>
              </w:rPr>
              <w:t xml:space="preserve">Issuer may also wish to explain at a high level how </w:t>
            </w:r>
            <w:r>
              <w:rPr>
                <w:rFonts w:ascii="Arial" w:hAnsi="Arial" w:cs="Arial"/>
                <w:i/>
                <w:iCs/>
              </w:rPr>
              <w:t>it</w:t>
            </w:r>
            <w:r w:rsidR="00C212DF" w:rsidRPr="003634FB">
              <w:rPr>
                <w:rFonts w:ascii="Arial" w:hAnsi="Arial" w:cs="Arial"/>
                <w:i/>
                <w:iCs/>
              </w:rPr>
              <w:t xml:space="preserve"> h</w:t>
            </w:r>
            <w:r>
              <w:rPr>
                <w:rFonts w:ascii="Arial" w:hAnsi="Arial" w:cs="Arial"/>
                <w:i/>
                <w:iCs/>
              </w:rPr>
              <w:t>as</w:t>
            </w:r>
            <w:r w:rsidR="00C212DF" w:rsidRPr="003634FB">
              <w:rPr>
                <w:rFonts w:ascii="Arial" w:hAnsi="Arial" w:cs="Arial"/>
                <w:i/>
                <w:iCs/>
              </w:rPr>
              <w:t xml:space="preserve"> considered market positioning and whether any benchmarking has been used. </w:t>
            </w:r>
            <w:r>
              <w:rPr>
                <w:rFonts w:ascii="Arial" w:hAnsi="Arial" w:cs="Arial"/>
                <w:i/>
                <w:iCs/>
              </w:rPr>
              <w:t>An</w:t>
            </w:r>
            <w:r w:rsidR="00222E34" w:rsidRPr="003634FB">
              <w:rPr>
                <w:rFonts w:ascii="Arial" w:hAnsi="Arial" w:cs="Arial"/>
                <w:i/>
                <w:iCs/>
              </w:rPr>
              <w:t xml:space="preserve"> issuer</w:t>
            </w:r>
            <w:r w:rsidR="00C212DF" w:rsidRPr="003634FB">
              <w:rPr>
                <w:rFonts w:ascii="Arial" w:hAnsi="Arial" w:cs="Arial"/>
                <w:i/>
                <w:iCs/>
              </w:rPr>
              <w:t xml:space="preserve"> </w:t>
            </w:r>
            <w:r w:rsidR="00222E34" w:rsidRPr="003634FB">
              <w:rPr>
                <w:rFonts w:ascii="Arial" w:hAnsi="Arial" w:cs="Arial"/>
                <w:i/>
                <w:iCs/>
              </w:rPr>
              <w:t>should disclose</w:t>
            </w:r>
            <w:r w:rsidR="00C212DF" w:rsidRPr="003634FB">
              <w:rPr>
                <w:rFonts w:ascii="Arial" w:hAnsi="Arial" w:cs="Arial"/>
                <w:i/>
                <w:iCs/>
              </w:rPr>
              <w:t xml:space="preserve"> whether it has used a remuneration consultant in setting executive remuneration.</w:t>
            </w:r>
          </w:p>
          <w:p w14:paraId="006FB8BC" w14:textId="530AF1B0" w:rsidR="00E55BF8" w:rsidRPr="003634FB" w:rsidRDefault="005B7DEF" w:rsidP="00CC52A0">
            <w:pPr>
              <w:spacing w:before="60" w:after="60"/>
              <w:rPr>
                <w:rFonts w:ascii="Arial" w:hAnsi="Arial" w:cs="Arial"/>
                <w:i/>
                <w:iCs/>
              </w:rPr>
            </w:pPr>
            <w:r w:rsidRPr="003634FB">
              <w:rPr>
                <w:rFonts w:ascii="Arial" w:hAnsi="Arial" w:cs="Arial"/>
                <w:i/>
                <w:iCs/>
              </w:rPr>
              <w:t>It will be helpful for investors to understand how many executives the remuneration policy applies to</w:t>
            </w:r>
            <w:r w:rsidR="00CC52A0">
              <w:rPr>
                <w:rFonts w:ascii="Arial" w:hAnsi="Arial" w:cs="Arial"/>
                <w:i/>
                <w:iCs/>
              </w:rPr>
              <w:t>,</w:t>
            </w:r>
            <w:r w:rsidRPr="003634FB">
              <w:rPr>
                <w:rFonts w:ascii="Arial" w:hAnsi="Arial" w:cs="Arial"/>
                <w:i/>
                <w:iCs/>
              </w:rPr>
              <w:t xml:space="preserve"> and issuers may wish to include this information as an optional disclosure.</w:t>
            </w:r>
          </w:p>
        </w:tc>
      </w:tr>
    </w:tbl>
    <w:p w14:paraId="706E0624" w14:textId="6A93AB05" w:rsidR="00F818EC" w:rsidRPr="003634FB" w:rsidRDefault="00F818EC" w:rsidP="001F6331">
      <w:pPr>
        <w:spacing w:before="240" w:after="160"/>
        <w:ind w:left="567" w:right="249"/>
        <w:rPr>
          <w:rFonts w:ascii="Arial" w:hAnsi="Arial" w:cs="Arial"/>
        </w:rPr>
      </w:pPr>
      <w:r w:rsidRPr="003634FB">
        <w:rPr>
          <w:rFonts w:ascii="Arial" w:hAnsi="Arial" w:cs="Arial"/>
        </w:rPr>
        <w:t>[Insert</w:t>
      </w:r>
      <w:r w:rsidR="006F5501" w:rsidRPr="003634FB">
        <w:rPr>
          <w:rFonts w:ascii="Arial" w:hAnsi="Arial" w:cs="Arial"/>
        </w:rPr>
        <w:t xml:space="preserve"> explanation]</w:t>
      </w:r>
    </w:p>
    <w:p w14:paraId="06571503" w14:textId="634FACF1" w:rsidR="006F5501" w:rsidRPr="003634FB" w:rsidRDefault="00DC7BA0" w:rsidP="001F6331">
      <w:pPr>
        <w:spacing w:after="160"/>
        <w:ind w:left="567" w:right="249"/>
        <w:rPr>
          <w:rFonts w:ascii="Arial" w:hAnsi="Arial" w:cs="Arial"/>
        </w:rPr>
      </w:pPr>
      <w:r w:rsidRPr="003634FB">
        <w:rPr>
          <w:rFonts w:ascii="Arial" w:hAnsi="Arial" w:cs="Arial"/>
        </w:rPr>
        <w:t>[</w:t>
      </w:r>
      <w:r w:rsidR="002761C4" w:rsidRPr="003634FB">
        <w:rPr>
          <w:rFonts w:ascii="Arial" w:hAnsi="Arial" w:cs="Arial"/>
        </w:rPr>
        <w:t>Issuer’s</w:t>
      </w:r>
      <w:r w:rsidRPr="003634FB">
        <w:rPr>
          <w:rFonts w:ascii="Arial" w:hAnsi="Arial" w:cs="Arial"/>
        </w:rPr>
        <w:t>]</w:t>
      </w:r>
      <w:r w:rsidR="006F5501" w:rsidRPr="003634FB">
        <w:rPr>
          <w:rFonts w:ascii="Arial" w:hAnsi="Arial" w:cs="Arial"/>
        </w:rPr>
        <w:t xml:space="preserve"> Remuneration Policy relating to executives is available to view [here].</w:t>
      </w:r>
      <w:r w:rsidR="005B7DEF" w:rsidRPr="003634FB">
        <w:rPr>
          <w:rFonts w:ascii="Arial" w:hAnsi="Arial" w:cs="Arial"/>
        </w:rPr>
        <w:t xml:space="preserve"> [* The number of executives to whom this policy applies is [x]].</w:t>
      </w:r>
    </w:p>
    <w:p w14:paraId="76827CC0" w14:textId="0281EEB2" w:rsidR="005E7EBC" w:rsidRPr="003634FB" w:rsidRDefault="005E7EBC" w:rsidP="001F6331">
      <w:pPr>
        <w:spacing w:after="160"/>
        <w:ind w:left="567" w:right="249"/>
        <w:rPr>
          <w:rFonts w:ascii="Arial" w:hAnsi="Arial" w:cs="Arial"/>
        </w:rPr>
      </w:pPr>
      <w:r w:rsidRPr="003634FB">
        <w:rPr>
          <w:rFonts w:ascii="Arial" w:hAnsi="Arial" w:cs="Arial"/>
          <w:b/>
          <w:bCs/>
        </w:rPr>
        <w:t xml:space="preserve">External and Independent Advice </w:t>
      </w:r>
      <w:r w:rsidRPr="003634FB">
        <w:rPr>
          <w:rFonts w:ascii="Arial" w:hAnsi="Arial" w:cs="Arial"/>
        </w:rPr>
        <w:t xml:space="preserve">[if </w:t>
      </w:r>
      <w:proofErr w:type="gramStart"/>
      <w:r w:rsidRPr="003634FB">
        <w:rPr>
          <w:rFonts w:ascii="Arial" w:hAnsi="Arial" w:cs="Arial"/>
        </w:rPr>
        <w:t>applicable]*</w:t>
      </w:r>
      <w:proofErr w:type="gramEnd"/>
    </w:p>
    <w:p w14:paraId="06F8C4D8" w14:textId="49109382" w:rsidR="005E7EBC" w:rsidRPr="003634FB" w:rsidRDefault="005E7EBC" w:rsidP="001F6331">
      <w:pPr>
        <w:spacing w:after="160"/>
        <w:ind w:left="567" w:right="249"/>
        <w:rPr>
          <w:rFonts w:ascii="Arial" w:hAnsi="Arial" w:cs="Arial"/>
        </w:rPr>
      </w:pPr>
      <w:r w:rsidRPr="003634FB">
        <w:rPr>
          <w:rFonts w:ascii="Arial" w:hAnsi="Arial" w:cs="Arial"/>
        </w:rPr>
        <w:t>During the year, [</w:t>
      </w:r>
      <w:r w:rsidRPr="003634FB">
        <w:rPr>
          <w:rFonts w:ascii="Arial" w:hAnsi="Arial" w:cs="Arial"/>
          <w:i/>
          <w:iCs/>
        </w:rPr>
        <w:t xml:space="preserve"> issuer</w:t>
      </w:r>
      <w:r w:rsidRPr="003634FB">
        <w:rPr>
          <w:rFonts w:ascii="Arial" w:hAnsi="Arial" w:cs="Arial"/>
        </w:rPr>
        <w:t xml:space="preserve">] </w:t>
      </w:r>
      <w:r w:rsidR="00222E34" w:rsidRPr="003634FB">
        <w:rPr>
          <w:rFonts w:ascii="Arial" w:hAnsi="Arial" w:cs="Arial"/>
        </w:rPr>
        <w:t>sought external</w:t>
      </w:r>
      <w:r w:rsidR="002761C4" w:rsidRPr="003634FB">
        <w:rPr>
          <w:rFonts w:ascii="Arial" w:hAnsi="Arial" w:cs="Arial"/>
        </w:rPr>
        <w:t xml:space="preserve"> and independent</w:t>
      </w:r>
      <w:r w:rsidRPr="003634FB">
        <w:rPr>
          <w:rFonts w:ascii="Arial" w:hAnsi="Arial" w:cs="Arial"/>
        </w:rPr>
        <w:t xml:space="preserve"> advice from [</w:t>
      </w:r>
      <w:r w:rsidRPr="003634FB">
        <w:rPr>
          <w:rFonts w:ascii="Arial" w:hAnsi="Arial" w:cs="Arial"/>
          <w:i/>
          <w:iCs/>
        </w:rPr>
        <w:t>name of consultant</w:t>
      </w:r>
      <w:r w:rsidRPr="003634FB">
        <w:rPr>
          <w:rFonts w:ascii="Arial" w:hAnsi="Arial" w:cs="Arial"/>
        </w:rPr>
        <w:t>] to [</w:t>
      </w:r>
      <w:r w:rsidRPr="003634FB">
        <w:rPr>
          <w:rFonts w:ascii="Arial" w:hAnsi="Arial" w:cs="Arial"/>
          <w:i/>
          <w:iCs/>
        </w:rPr>
        <w:t>explanation on why advice was sought and how it was used</w:t>
      </w:r>
      <w:r w:rsidRPr="003634FB">
        <w:rPr>
          <w:rFonts w:ascii="Arial" w:hAnsi="Arial" w:cs="Arial"/>
        </w:rPr>
        <w:t xml:space="preserve">]. </w:t>
      </w:r>
    </w:p>
    <w:p w14:paraId="4A36507F" w14:textId="105B57C9" w:rsidR="005B7DEF" w:rsidRDefault="00EB5A91" w:rsidP="001F6331">
      <w:pPr>
        <w:spacing w:after="160"/>
        <w:ind w:left="567" w:right="249"/>
        <w:rPr>
          <w:rFonts w:ascii="Arial" w:hAnsi="Arial" w:cs="Arial"/>
        </w:rPr>
      </w:pPr>
      <w:r>
        <w:rPr>
          <w:rFonts w:ascii="Arial" w:hAnsi="Arial" w:cs="Arial"/>
        </w:rPr>
        <w:t>This Remuneration</w:t>
      </w:r>
      <w:r w:rsidR="005B7DEF" w:rsidRPr="003634FB">
        <w:rPr>
          <w:rFonts w:ascii="Arial" w:hAnsi="Arial" w:cs="Arial"/>
        </w:rPr>
        <w:t xml:space="preserve"> Report </w:t>
      </w:r>
      <w:r w:rsidR="00156AD4" w:rsidRPr="003634FB">
        <w:rPr>
          <w:rFonts w:ascii="Arial" w:hAnsi="Arial" w:cs="Arial"/>
        </w:rPr>
        <w:t>contains disclosure of the employees (other than employees who are directors) who received remuneration and any other benefits in their capacity as employees, the value of which was or exceeded $100,000 per annum, in brackets of $10,000, as required by the Companies Act 1993.</w:t>
      </w:r>
    </w:p>
    <w:p w14:paraId="2C4B4514" w14:textId="77777777" w:rsidR="00EB5A91" w:rsidRDefault="00EB5A91" w:rsidP="005E7EBC">
      <w:pPr>
        <w:rPr>
          <w:rFonts w:ascii="Arial" w:hAnsi="Arial" w:cs="Arial"/>
        </w:rPr>
        <w:sectPr w:rsidR="00EB5A91" w:rsidSect="00BE1E7C">
          <w:pgSz w:w="11906" w:h="16838"/>
          <w:pgMar w:top="1440" w:right="1080" w:bottom="1440" w:left="1080" w:header="709" w:footer="709" w:gutter="0"/>
          <w:cols w:space="709"/>
          <w:docGrid w:linePitch="360"/>
        </w:sectPr>
      </w:pPr>
    </w:p>
    <w:tbl>
      <w:tblPr>
        <w:tblStyle w:val="TableGrid"/>
        <w:tblW w:w="9016" w:type="dxa"/>
        <w:tblInd w:w="137" w:type="dxa"/>
        <w:tblLook w:val="04A0" w:firstRow="1" w:lastRow="0" w:firstColumn="1" w:lastColumn="0" w:noHBand="0" w:noVBand="1"/>
      </w:tblPr>
      <w:tblGrid>
        <w:gridCol w:w="9016"/>
      </w:tblGrid>
      <w:tr w:rsidR="00C212DF" w14:paraId="15FD945E" w14:textId="77777777" w:rsidTr="00BE1E7C">
        <w:tc>
          <w:tcPr>
            <w:tcW w:w="9016" w:type="dxa"/>
          </w:tcPr>
          <w:p w14:paraId="34704208" w14:textId="77777777" w:rsidR="00C212DF" w:rsidRPr="003634FB" w:rsidRDefault="00C212DF" w:rsidP="00BE1E7C">
            <w:pPr>
              <w:spacing w:before="60" w:after="60"/>
              <w:rPr>
                <w:rFonts w:ascii="Arial" w:hAnsi="Arial" w:cs="Arial"/>
                <w:b/>
                <w:bCs/>
                <w:i/>
                <w:iCs/>
              </w:rPr>
            </w:pPr>
            <w:r w:rsidRPr="003634FB">
              <w:rPr>
                <w:rFonts w:ascii="Arial" w:hAnsi="Arial" w:cs="Arial"/>
                <w:b/>
                <w:bCs/>
                <w:i/>
                <w:iCs/>
              </w:rPr>
              <w:lastRenderedPageBreak/>
              <w:t>Source note</w:t>
            </w:r>
          </w:p>
          <w:p w14:paraId="51A1EB65" w14:textId="77777777" w:rsidR="00C212DF" w:rsidRPr="003634FB" w:rsidRDefault="00C212DF" w:rsidP="00BE1E7C">
            <w:pPr>
              <w:spacing w:before="60" w:after="60"/>
              <w:rPr>
                <w:rFonts w:ascii="Arial" w:hAnsi="Arial" w:cs="Arial"/>
                <w:i/>
                <w:iCs/>
              </w:rPr>
            </w:pPr>
            <w:r w:rsidRPr="003634FB">
              <w:rPr>
                <w:rFonts w:ascii="Arial" w:hAnsi="Arial" w:cs="Arial"/>
                <w:b/>
                <w:bCs/>
                <w:i/>
                <w:iCs/>
              </w:rPr>
              <w:t>Address recommendation 5.2 of the NZX Code</w:t>
            </w:r>
            <w:r w:rsidRPr="003634FB">
              <w:rPr>
                <w:rFonts w:ascii="Arial" w:hAnsi="Arial" w:cs="Arial"/>
                <w:i/>
                <w:iCs/>
              </w:rPr>
              <w:t>: An issuer should have a remuneration policy for remuneration of executives, which outlines the relative weightings of remuneration components and relevant performance criteria.</w:t>
            </w:r>
          </w:p>
          <w:p w14:paraId="4BD06E43" w14:textId="77C09B1C" w:rsidR="00C212DF" w:rsidRPr="003634FB" w:rsidRDefault="00C212DF" w:rsidP="00BE1E7C">
            <w:pPr>
              <w:spacing w:before="60" w:after="60"/>
              <w:rPr>
                <w:rFonts w:ascii="Arial" w:hAnsi="Arial" w:cs="Arial"/>
                <w:i/>
                <w:iCs/>
              </w:rPr>
            </w:pPr>
            <w:r w:rsidRPr="003634FB">
              <w:rPr>
                <w:rFonts w:ascii="Arial" w:hAnsi="Arial" w:cs="Arial"/>
                <w:i/>
                <w:iCs/>
              </w:rPr>
              <w:t>An issuer should disclose how its executive remuneration arrangements align with its strategy and performance objectives and should disclose generic eligibility and vesting hurdles for any long-term incentive scheme that forms part of its remuneration arrangements. The issuer need not disclose the precise details of targets, so long as sufficient information is provided to inform investors as to the type of performance hurdle that applies (</w:t>
            </w:r>
            <w:r w:rsidR="003144CC" w:rsidRPr="003634FB">
              <w:rPr>
                <w:rFonts w:ascii="Arial" w:hAnsi="Arial" w:cs="Arial"/>
                <w:i/>
                <w:iCs/>
              </w:rPr>
              <w:t>e.g.,</w:t>
            </w:r>
            <w:r w:rsidRPr="003634FB">
              <w:rPr>
                <w:rFonts w:ascii="Arial" w:hAnsi="Arial" w:cs="Arial"/>
                <w:i/>
                <w:iCs/>
              </w:rPr>
              <w:t xml:space="preserve"> it is based on shareholder return, operational performance</w:t>
            </w:r>
            <w:r w:rsidR="00C413B9" w:rsidRPr="003634FB">
              <w:rPr>
                <w:rFonts w:ascii="Arial" w:hAnsi="Arial" w:cs="Arial"/>
                <w:i/>
                <w:iCs/>
              </w:rPr>
              <w:t>,</w:t>
            </w:r>
            <w:r w:rsidRPr="003634FB">
              <w:rPr>
                <w:rFonts w:ascii="Arial" w:hAnsi="Arial" w:cs="Arial"/>
                <w:i/>
                <w:iCs/>
              </w:rPr>
              <w:t xml:space="preserve"> </w:t>
            </w:r>
            <w:r w:rsidR="00C413B9" w:rsidRPr="003634FB">
              <w:rPr>
                <w:rFonts w:ascii="Arial" w:hAnsi="Arial" w:cs="Arial"/>
                <w:i/>
                <w:iCs/>
              </w:rPr>
              <w:t>or</w:t>
            </w:r>
            <w:r w:rsidRPr="003634FB">
              <w:rPr>
                <w:rFonts w:ascii="Arial" w:hAnsi="Arial" w:cs="Arial"/>
                <w:i/>
                <w:iCs/>
              </w:rPr>
              <w:t xml:space="preserve"> qualitative factors).</w:t>
            </w:r>
          </w:p>
          <w:p w14:paraId="248EE867" w14:textId="25472417" w:rsidR="00C212DF" w:rsidRPr="003634FB" w:rsidRDefault="00C212DF" w:rsidP="00BE1E7C">
            <w:pPr>
              <w:spacing w:before="60" w:after="60"/>
              <w:rPr>
                <w:rFonts w:ascii="Arial" w:hAnsi="Arial" w:cs="Arial"/>
                <w:i/>
                <w:iCs/>
              </w:rPr>
            </w:pPr>
            <w:r w:rsidRPr="003634FB">
              <w:rPr>
                <w:rFonts w:ascii="Arial" w:hAnsi="Arial" w:cs="Arial"/>
                <w:i/>
                <w:iCs/>
              </w:rPr>
              <w:t>Address recommendation 4.2 of the NZX Code for publication of the issuer</w:t>
            </w:r>
            <w:r w:rsidR="00241B3C" w:rsidRPr="003634FB">
              <w:rPr>
                <w:rFonts w:ascii="Arial" w:hAnsi="Arial" w:cs="Arial"/>
                <w:i/>
                <w:iCs/>
              </w:rPr>
              <w:t>’</w:t>
            </w:r>
            <w:r w:rsidRPr="003634FB">
              <w:rPr>
                <w:rFonts w:ascii="Arial" w:hAnsi="Arial" w:cs="Arial"/>
                <w:i/>
                <w:iCs/>
              </w:rPr>
              <w:t>s remuneration policy</w:t>
            </w:r>
            <w:r w:rsidR="00711399" w:rsidRPr="003634FB">
              <w:rPr>
                <w:rFonts w:ascii="Arial" w:hAnsi="Arial" w:cs="Arial"/>
                <w:i/>
                <w:iCs/>
              </w:rPr>
              <w:t xml:space="preserve"> on the issuer’s website</w:t>
            </w:r>
            <w:r w:rsidRPr="003634FB">
              <w:rPr>
                <w:rFonts w:ascii="Arial" w:hAnsi="Arial" w:cs="Arial"/>
                <w:i/>
                <w:iCs/>
              </w:rPr>
              <w:t>.</w:t>
            </w:r>
          </w:p>
          <w:p w14:paraId="5DB5795C" w14:textId="5CB6C2E1" w:rsidR="00241B3C" w:rsidRPr="00C212DF" w:rsidRDefault="00E13FED" w:rsidP="00BE1E7C">
            <w:pPr>
              <w:spacing w:before="60" w:after="60"/>
              <w:rPr>
                <w:i/>
                <w:iCs/>
              </w:rPr>
            </w:pPr>
            <w:r w:rsidRPr="003634FB">
              <w:rPr>
                <w:rFonts w:ascii="Arial" w:hAnsi="Arial" w:cs="Arial"/>
                <w:b/>
                <w:bCs/>
                <w:i/>
                <w:iCs/>
              </w:rPr>
              <w:t>Optional:</w:t>
            </w:r>
            <w:r w:rsidRPr="003634FB">
              <w:rPr>
                <w:rFonts w:ascii="Arial" w:hAnsi="Arial" w:cs="Arial"/>
                <w:i/>
                <w:iCs/>
              </w:rPr>
              <w:t xml:space="preserve"> </w:t>
            </w:r>
            <w:r w:rsidR="00241B3C" w:rsidRPr="003634FB">
              <w:rPr>
                <w:rFonts w:ascii="Arial" w:hAnsi="Arial" w:cs="Arial"/>
                <w:i/>
                <w:iCs/>
              </w:rPr>
              <w:t xml:space="preserve">Disclosure of historical STI </w:t>
            </w:r>
            <w:r w:rsidR="00946BF0" w:rsidRPr="003634FB">
              <w:rPr>
                <w:rFonts w:ascii="Arial" w:hAnsi="Arial" w:cs="Arial"/>
                <w:i/>
                <w:iCs/>
              </w:rPr>
              <w:t xml:space="preserve">payments </w:t>
            </w:r>
            <w:r w:rsidR="00711399" w:rsidRPr="003634FB">
              <w:rPr>
                <w:rFonts w:ascii="Arial" w:hAnsi="Arial" w:cs="Arial"/>
                <w:i/>
                <w:iCs/>
              </w:rPr>
              <w:t xml:space="preserve">(including the proportion of those payments made in cash or Securities) </w:t>
            </w:r>
            <w:r w:rsidR="00241B3C" w:rsidRPr="003634FB">
              <w:rPr>
                <w:rFonts w:ascii="Arial" w:hAnsi="Arial" w:cs="Arial"/>
                <w:i/>
                <w:iCs/>
              </w:rPr>
              <w:t xml:space="preserve">or LTI </w:t>
            </w:r>
            <w:r w:rsidR="00660EBC" w:rsidRPr="003634FB">
              <w:rPr>
                <w:rFonts w:ascii="Arial" w:hAnsi="Arial" w:cs="Arial"/>
                <w:i/>
                <w:iCs/>
              </w:rPr>
              <w:t xml:space="preserve">cash payments or Securities issued or transferred in </w:t>
            </w:r>
            <w:r w:rsidR="00241B3C" w:rsidRPr="003634FB">
              <w:rPr>
                <w:rFonts w:ascii="Arial" w:hAnsi="Arial" w:cs="Arial"/>
                <w:i/>
                <w:iCs/>
              </w:rPr>
              <w:t>percentages</w:t>
            </w:r>
            <w:r w:rsidR="00660EBC" w:rsidRPr="003634FB">
              <w:rPr>
                <w:rFonts w:ascii="Arial" w:hAnsi="Arial" w:cs="Arial"/>
                <w:i/>
                <w:iCs/>
              </w:rPr>
              <w:t>,</w:t>
            </w:r>
            <w:r w:rsidR="00241B3C" w:rsidRPr="003634FB">
              <w:rPr>
                <w:rFonts w:ascii="Arial" w:hAnsi="Arial" w:cs="Arial"/>
                <w:i/>
                <w:iCs/>
              </w:rPr>
              <w:t xml:space="preserve"> or frequencies</w:t>
            </w:r>
            <w:r w:rsidR="00660EBC" w:rsidRPr="003634FB">
              <w:rPr>
                <w:rFonts w:ascii="Arial" w:hAnsi="Arial" w:cs="Arial"/>
                <w:i/>
                <w:iCs/>
              </w:rPr>
              <w:t>,</w:t>
            </w:r>
            <w:r w:rsidR="00241B3C" w:rsidRPr="003634FB">
              <w:rPr>
                <w:rFonts w:ascii="Arial" w:hAnsi="Arial" w:cs="Arial"/>
                <w:i/>
                <w:iCs/>
              </w:rPr>
              <w:t xml:space="preserve"> is a</w:t>
            </w:r>
            <w:r w:rsidR="00166FD0" w:rsidRPr="003634FB">
              <w:rPr>
                <w:rFonts w:ascii="Arial" w:hAnsi="Arial" w:cs="Arial"/>
                <w:i/>
                <w:iCs/>
              </w:rPr>
              <w:t xml:space="preserve"> </w:t>
            </w:r>
            <w:r w:rsidR="00241B3C" w:rsidRPr="003634FB">
              <w:rPr>
                <w:rFonts w:ascii="Arial" w:hAnsi="Arial" w:cs="Arial"/>
                <w:i/>
                <w:iCs/>
              </w:rPr>
              <w:t>disclosure that goes beyond the recommendations and commentary of the NZX Code and is an optional disclosure.</w:t>
            </w:r>
          </w:p>
        </w:tc>
      </w:tr>
    </w:tbl>
    <w:p w14:paraId="423E4120" w14:textId="77777777" w:rsidR="00F230A7" w:rsidRDefault="00F230A7">
      <w:pPr>
        <w:rPr>
          <w:sz w:val="24"/>
          <w:szCs w:val="24"/>
        </w:rPr>
      </w:pPr>
    </w:p>
    <w:p w14:paraId="185B811B" w14:textId="77777777" w:rsidR="005550D2" w:rsidRDefault="005550D2" w:rsidP="00750FE3">
      <w:pPr>
        <w:spacing w:after="160" w:line="259" w:lineRule="auto"/>
        <w:rPr>
          <w:b/>
          <w:bCs/>
          <w:sz w:val="36"/>
          <w:szCs w:val="36"/>
        </w:rPr>
      </w:pPr>
    </w:p>
    <w:p w14:paraId="5C37E62F" w14:textId="77777777" w:rsidR="005550D2" w:rsidRDefault="005550D2" w:rsidP="00750FE3">
      <w:pPr>
        <w:spacing w:after="160" w:line="259" w:lineRule="auto"/>
        <w:rPr>
          <w:b/>
          <w:bCs/>
          <w:sz w:val="36"/>
          <w:szCs w:val="36"/>
        </w:rPr>
      </w:pPr>
    </w:p>
    <w:p w14:paraId="78BFE87B" w14:textId="77777777" w:rsidR="005550D2" w:rsidRDefault="005550D2" w:rsidP="00750FE3">
      <w:pPr>
        <w:spacing w:after="160" w:line="259" w:lineRule="auto"/>
        <w:rPr>
          <w:b/>
          <w:bCs/>
          <w:sz w:val="36"/>
          <w:szCs w:val="36"/>
        </w:rPr>
      </w:pPr>
    </w:p>
    <w:p w14:paraId="33C50D5A" w14:textId="77777777" w:rsidR="005550D2" w:rsidRDefault="005550D2" w:rsidP="00750FE3">
      <w:pPr>
        <w:spacing w:after="160" w:line="259" w:lineRule="auto"/>
        <w:rPr>
          <w:b/>
          <w:bCs/>
          <w:sz w:val="36"/>
          <w:szCs w:val="36"/>
        </w:rPr>
      </w:pPr>
    </w:p>
    <w:p w14:paraId="2897F9A1" w14:textId="77777777" w:rsidR="005550D2" w:rsidRDefault="005550D2" w:rsidP="00750FE3">
      <w:pPr>
        <w:spacing w:after="160" w:line="259" w:lineRule="auto"/>
        <w:rPr>
          <w:b/>
          <w:bCs/>
          <w:sz w:val="36"/>
          <w:szCs w:val="36"/>
        </w:rPr>
      </w:pPr>
    </w:p>
    <w:p w14:paraId="67426F1D" w14:textId="77777777" w:rsidR="005550D2" w:rsidRDefault="005550D2" w:rsidP="00750FE3">
      <w:pPr>
        <w:spacing w:after="160" w:line="259" w:lineRule="auto"/>
        <w:rPr>
          <w:b/>
          <w:bCs/>
          <w:sz w:val="36"/>
          <w:szCs w:val="36"/>
        </w:rPr>
      </w:pPr>
    </w:p>
    <w:p w14:paraId="70EE5A8E" w14:textId="77777777" w:rsidR="005550D2" w:rsidRDefault="005550D2" w:rsidP="00750FE3">
      <w:pPr>
        <w:spacing w:after="160" w:line="259" w:lineRule="auto"/>
        <w:rPr>
          <w:b/>
          <w:bCs/>
          <w:sz w:val="36"/>
          <w:szCs w:val="36"/>
        </w:rPr>
      </w:pPr>
    </w:p>
    <w:p w14:paraId="3B62F9E9" w14:textId="77777777" w:rsidR="005550D2" w:rsidRDefault="005550D2" w:rsidP="00750FE3">
      <w:pPr>
        <w:spacing w:after="160" w:line="259" w:lineRule="auto"/>
        <w:rPr>
          <w:b/>
          <w:bCs/>
          <w:sz w:val="36"/>
          <w:szCs w:val="36"/>
        </w:rPr>
      </w:pPr>
    </w:p>
    <w:p w14:paraId="1B382F10" w14:textId="77777777" w:rsidR="005550D2" w:rsidRDefault="005550D2" w:rsidP="00750FE3">
      <w:pPr>
        <w:spacing w:after="160" w:line="259" w:lineRule="auto"/>
        <w:rPr>
          <w:b/>
          <w:bCs/>
          <w:sz w:val="36"/>
          <w:szCs w:val="36"/>
        </w:rPr>
      </w:pPr>
    </w:p>
    <w:p w14:paraId="4A76198D" w14:textId="77777777" w:rsidR="005550D2" w:rsidRDefault="005550D2" w:rsidP="00750FE3">
      <w:pPr>
        <w:spacing w:after="160" w:line="259" w:lineRule="auto"/>
        <w:rPr>
          <w:b/>
          <w:bCs/>
          <w:sz w:val="36"/>
          <w:szCs w:val="36"/>
        </w:rPr>
      </w:pPr>
    </w:p>
    <w:p w14:paraId="0A7406B2" w14:textId="77777777" w:rsidR="005550D2" w:rsidRDefault="005550D2" w:rsidP="00750FE3">
      <w:pPr>
        <w:spacing w:after="160" w:line="259" w:lineRule="auto"/>
        <w:rPr>
          <w:b/>
          <w:bCs/>
          <w:sz w:val="36"/>
          <w:szCs w:val="36"/>
        </w:rPr>
      </w:pPr>
    </w:p>
    <w:p w14:paraId="6ACD569C" w14:textId="77777777" w:rsidR="00701F1E" w:rsidRDefault="00701F1E" w:rsidP="00750FE3">
      <w:pPr>
        <w:spacing w:after="160" w:line="259" w:lineRule="auto"/>
        <w:rPr>
          <w:b/>
          <w:bCs/>
          <w:sz w:val="36"/>
          <w:szCs w:val="36"/>
        </w:rPr>
        <w:sectPr w:rsidR="00701F1E" w:rsidSect="00A00A6F">
          <w:pgSz w:w="11906" w:h="16838"/>
          <w:pgMar w:top="1701" w:right="1440" w:bottom="1440" w:left="1440" w:header="709" w:footer="709" w:gutter="0"/>
          <w:cols w:space="709"/>
          <w:docGrid w:linePitch="360"/>
        </w:sectPr>
      </w:pPr>
    </w:p>
    <w:p w14:paraId="57B10C18" w14:textId="114956B9" w:rsidR="005C260C" w:rsidRPr="00CC52A0" w:rsidRDefault="005C260C" w:rsidP="00CC52A0">
      <w:pPr>
        <w:pStyle w:val="Heading1"/>
        <w:numPr>
          <w:ilvl w:val="0"/>
          <w:numId w:val="22"/>
        </w:numPr>
        <w:spacing w:before="120" w:after="120"/>
        <w:ind w:left="567" w:hanging="567"/>
        <w:rPr>
          <w:rFonts w:ascii="Arial" w:hAnsi="Arial" w:cs="Arial"/>
          <w:b/>
          <w:bCs/>
        </w:rPr>
      </w:pPr>
      <w:bookmarkStart w:id="7" w:name="_Toc151713707"/>
      <w:r w:rsidRPr="00CC52A0">
        <w:rPr>
          <w:rFonts w:ascii="Arial" w:hAnsi="Arial" w:cs="Arial"/>
          <w:b/>
          <w:bCs/>
        </w:rPr>
        <w:lastRenderedPageBreak/>
        <w:t>Key performance summary (optional)</w:t>
      </w:r>
      <w:bookmarkEnd w:id="7"/>
    </w:p>
    <w:tbl>
      <w:tblPr>
        <w:tblStyle w:val="TableGrid"/>
        <w:tblW w:w="8931" w:type="dxa"/>
        <w:tblInd w:w="562" w:type="dxa"/>
        <w:tblLook w:val="04A0" w:firstRow="1" w:lastRow="0" w:firstColumn="1" w:lastColumn="0" w:noHBand="0" w:noVBand="1"/>
      </w:tblPr>
      <w:tblGrid>
        <w:gridCol w:w="8931"/>
      </w:tblGrid>
      <w:tr w:rsidR="006808BD" w14:paraId="784A6796" w14:textId="77777777" w:rsidTr="001F6331">
        <w:trPr>
          <w:trHeight w:val="274"/>
        </w:trPr>
        <w:tc>
          <w:tcPr>
            <w:tcW w:w="8931" w:type="dxa"/>
          </w:tcPr>
          <w:p w14:paraId="6AE89935" w14:textId="7EDF41D1" w:rsidR="000C04D7" w:rsidRPr="00701F1E" w:rsidRDefault="006808BD" w:rsidP="00BE1E7C">
            <w:pPr>
              <w:spacing w:before="60" w:after="60"/>
              <w:rPr>
                <w:rFonts w:ascii="Arial" w:hAnsi="Arial" w:cs="Arial"/>
                <w:i/>
                <w:iCs/>
              </w:rPr>
            </w:pPr>
            <w:r w:rsidRPr="00701F1E">
              <w:rPr>
                <w:rFonts w:ascii="Arial" w:hAnsi="Arial" w:cs="Arial"/>
                <w:b/>
                <w:bCs/>
                <w:i/>
                <w:iCs/>
              </w:rPr>
              <w:t>Explanatory note</w:t>
            </w:r>
            <w:r w:rsidRPr="00701F1E">
              <w:rPr>
                <w:rFonts w:ascii="Arial" w:hAnsi="Arial" w:cs="Arial"/>
                <w:i/>
                <w:iCs/>
              </w:rPr>
              <w:t xml:space="preserve">: Issuers may wish to provide a key performance summary to provide context for the remuneration outcomes for the </w:t>
            </w:r>
            <w:r w:rsidR="002761C4" w:rsidRPr="00701F1E">
              <w:rPr>
                <w:rFonts w:ascii="Arial" w:hAnsi="Arial" w:cs="Arial"/>
                <w:i/>
                <w:iCs/>
              </w:rPr>
              <w:t xml:space="preserve">reporting </w:t>
            </w:r>
            <w:r w:rsidRPr="00701F1E">
              <w:rPr>
                <w:rFonts w:ascii="Arial" w:hAnsi="Arial" w:cs="Arial"/>
                <w:i/>
                <w:iCs/>
              </w:rPr>
              <w:t xml:space="preserve">period. This could explain the key performance metrics relevant to remuneration outcomes for the organisation, especially the CEO remuneration outcomes to be disclosed in the following section. For example, if the performance hurdles for the </w:t>
            </w:r>
            <w:r w:rsidR="00EB5A91">
              <w:rPr>
                <w:rFonts w:ascii="Arial" w:hAnsi="Arial" w:cs="Arial"/>
                <w:i/>
                <w:iCs/>
              </w:rPr>
              <w:t>LTI</w:t>
            </w:r>
            <w:r w:rsidRPr="00701F1E">
              <w:rPr>
                <w:rFonts w:ascii="Arial" w:hAnsi="Arial" w:cs="Arial"/>
                <w:i/>
                <w:iCs/>
              </w:rPr>
              <w:t xml:space="preserve"> </w:t>
            </w:r>
            <w:r w:rsidR="00786BC7">
              <w:rPr>
                <w:rFonts w:ascii="Arial" w:hAnsi="Arial" w:cs="Arial"/>
                <w:i/>
                <w:iCs/>
              </w:rPr>
              <w:t>scheme</w:t>
            </w:r>
            <w:r w:rsidRPr="00701F1E">
              <w:rPr>
                <w:rFonts w:ascii="Arial" w:hAnsi="Arial" w:cs="Arial"/>
                <w:i/>
                <w:iCs/>
              </w:rPr>
              <w:t xml:space="preserve"> relate to EPS and/or TSR metrics,</w:t>
            </w:r>
            <w:r w:rsidR="00597E83" w:rsidRPr="00701F1E">
              <w:rPr>
                <w:rFonts w:ascii="Arial" w:hAnsi="Arial" w:cs="Arial"/>
                <w:i/>
                <w:iCs/>
              </w:rPr>
              <w:t xml:space="preserve"> </w:t>
            </w:r>
            <w:r w:rsidRPr="00701F1E">
              <w:rPr>
                <w:rFonts w:ascii="Arial" w:hAnsi="Arial" w:cs="Arial"/>
                <w:i/>
                <w:iCs/>
              </w:rPr>
              <w:t>these performance metrics could be presented, ideally in a table or graphical form</w:t>
            </w:r>
            <w:r w:rsidR="00C10822" w:rsidRPr="00701F1E">
              <w:rPr>
                <w:rStyle w:val="FootnoteReference"/>
                <w:rFonts w:ascii="Arial" w:hAnsi="Arial" w:cs="Arial"/>
                <w:i/>
                <w:iCs/>
              </w:rPr>
              <w:footnoteReference w:id="1"/>
            </w:r>
            <w:r w:rsidRPr="00701F1E">
              <w:rPr>
                <w:rFonts w:ascii="Arial" w:hAnsi="Arial" w:cs="Arial"/>
                <w:i/>
                <w:iCs/>
              </w:rPr>
              <w:t xml:space="preserve">. To provide ample context, this disclosure should at least cover </w:t>
            </w:r>
            <w:r w:rsidR="006D5AA0" w:rsidRPr="00701F1E">
              <w:rPr>
                <w:rFonts w:ascii="Arial" w:hAnsi="Arial" w:cs="Arial"/>
                <w:i/>
                <w:iCs/>
              </w:rPr>
              <w:t xml:space="preserve">the historical </w:t>
            </w:r>
            <w:r w:rsidR="00743325" w:rsidRPr="00701F1E">
              <w:rPr>
                <w:rFonts w:ascii="Arial" w:hAnsi="Arial" w:cs="Arial"/>
                <w:i/>
                <w:iCs/>
              </w:rPr>
              <w:t>performance hurdle assessment period for the</w:t>
            </w:r>
            <w:r w:rsidRPr="00701F1E">
              <w:rPr>
                <w:rFonts w:ascii="Arial" w:hAnsi="Arial" w:cs="Arial"/>
                <w:i/>
                <w:iCs/>
              </w:rPr>
              <w:t xml:space="preserve"> </w:t>
            </w:r>
            <w:r w:rsidR="00EB5A91">
              <w:rPr>
                <w:rFonts w:ascii="Arial" w:hAnsi="Arial" w:cs="Arial"/>
                <w:i/>
                <w:iCs/>
              </w:rPr>
              <w:t>LTI</w:t>
            </w:r>
            <w:r w:rsidRPr="00701F1E">
              <w:rPr>
                <w:rFonts w:ascii="Arial" w:hAnsi="Arial" w:cs="Arial"/>
                <w:i/>
                <w:iCs/>
              </w:rPr>
              <w:t xml:space="preserve"> </w:t>
            </w:r>
            <w:r w:rsidR="00786BC7">
              <w:rPr>
                <w:rFonts w:ascii="Arial" w:hAnsi="Arial" w:cs="Arial"/>
                <w:i/>
                <w:iCs/>
              </w:rPr>
              <w:t>scheme</w:t>
            </w:r>
            <w:r w:rsidRPr="00701F1E">
              <w:rPr>
                <w:rFonts w:ascii="Arial" w:hAnsi="Arial" w:cs="Arial"/>
                <w:i/>
                <w:iCs/>
              </w:rPr>
              <w:t xml:space="preserve">. </w:t>
            </w:r>
          </w:p>
        </w:tc>
      </w:tr>
    </w:tbl>
    <w:p w14:paraId="64119664" w14:textId="77777777" w:rsidR="00743325" w:rsidRDefault="00743325"/>
    <w:p w14:paraId="2F5C849E" w14:textId="5AB4C5B5" w:rsidR="005C260C" w:rsidRPr="00701F1E" w:rsidRDefault="005C260C" w:rsidP="00BE1E7C">
      <w:pPr>
        <w:spacing w:after="160"/>
        <w:ind w:left="567"/>
        <w:rPr>
          <w:rFonts w:ascii="Arial" w:hAnsi="Arial" w:cs="Arial"/>
        </w:rPr>
      </w:pPr>
      <w:r w:rsidRPr="00701F1E">
        <w:rPr>
          <w:rFonts w:ascii="Arial" w:hAnsi="Arial" w:cs="Arial"/>
        </w:rPr>
        <w:t xml:space="preserve">[Insert table, </w:t>
      </w:r>
      <w:proofErr w:type="gramStart"/>
      <w:r w:rsidRPr="00701F1E">
        <w:rPr>
          <w:rFonts w:ascii="Arial" w:hAnsi="Arial" w:cs="Arial"/>
        </w:rPr>
        <w:t>graph</w:t>
      </w:r>
      <w:proofErr w:type="gramEnd"/>
      <w:r w:rsidRPr="00701F1E">
        <w:rPr>
          <w:rFonts w:ascii="Arial" w:hAnsi="Arial" w:cs="Arial"/>
        </w:rPr>
        <w:t xml:space="preserve"> or explanation]</w:t>
      </w:r>
    </w:p>
    <w:p w14:paraId="3CDEB4D3" w14:textId="77777777" w:rsidR="003B1E9B" w:rsidRDefault="003B1E9B" w:rsidP="00BE1E7C">
      <w:pPr>
        <w:spacing w:after="160"/>
      </w:pPr>
    </w:p>
    <w:tbl>
      <w:tblPr>
        <w:tblStyle w:val="TableGrid"/>
        <w:tblW w:w="9209" w:type="dxa"/>
        <w:tblInd w:w="562" w:type="dxa"/>
        <w:tblLook w:val="04A0" w:firstRow="1" w:lastRow="0" w:firstColumn="1" w:lastColumn="0" w:noHBand="0" w:noVBand="1"/>
      </w:tblPr>
      <w:tblGrid>
        <w:gridCol w:w="9209"/>
      </w:tblGrid>
      <w:tr w:rsidR="00BF7AA9" w14:paraId="69B3B228" w14:textId="77777777" w:rsidTr="00BE1E7C">
        <w:tc>
          <w:tcPr>
            <w:tcW w:w="9209" w:type="dxa"/>
          </w:tcPr>
          <w:p w14:paraId="4D296935" w14:textId="77777777" w:rsidR="00BF7AA9" w:rsidRPr="00701F1E" w:rsidRDefault="00BF7AA9" w:rsidP="00BE1E7C">
            <w:pPr>
              <w:spacing w:before="60" w:after="60"/>
              <w:rPr>
                <w:rFonts w:ascii="Arial" w:hAnsi="Arial" w:cs="Arial"/>
                <w:b/>
                <w:bCs/>
                <w:i/>
                <w:iCs/>
              </w:rPr>
            </w:pPr>
            <w:r w:rsidRPr="00701F1E">
              <w:rPr>
                <w:rFonts w:ascii="Arial" w:hAnsi="Arial" w:cs="Arial"/>
                <w:b/>
                <w:bCs/>
                <w:i/>
                <w:iCs/>
              </w:rPr>
              <w:t>Source note</w:t>
            </w:r>
          </w:p>
          <w:p w14:paraId="4DE51DC3" w14:textId="5CE682F0" w:rsidR="00BF7AA9" w:rsidRPr="00BF7AA9" w:rsidRDefault="00BF7AA9" w:rsidP="00BE1E7C">
            <w:pPr>
              <w:spacing w:before="60" w:after="60"/>
              <w:rPr>
                <w:b/>
                <w:bCs/>
                <w:sz w:val="36"/>
                <w:szCs w:val="36"/>
              </w:rPr>
            </w:pPr>
            <w:r w:rsidRPr="00701F1E">
              <w:rPr>
                <w:rFonts w:ascii="Arial" w:hAnsi="Arial" w:cs="Arial"/>
                <w:b/>
                <w:bCs/>
                <w:i/>
                <w:iCs/>
              </w:rPr>
              <w:t>Optional</w:t>
            </w:r>
            <w:r w:rsidRPr="00701F1E">
              <w:rPr>
                <w:rFonts w:ascii="Arial" w:hAnsi="Arial" w:cs="Arial"/>
                <w:i/>
                <w:iCs/>
              </w:rPr>
              <w:t xml:space="preserve">: This is not a formal requirement or expectation. It is common practice for many issuers to provide this disclosure currently and it may be a useful way for issuers to provide context for the CEO remuneration outcomes for the </w:t>
            </w:r>
            <w:r w:rsidR="002761C4" w:rsidRPr="00701F1E">
              <w:rPr>
                <w:rFonts w:ascii="Arial" w:hAnsi="Arial" w:cs="Arial"/>
                <w:i/>
                <w:iCs/>
              </w:rPr>
              <w:t xml:space="preserve">reporting </w:t>
            </w:r>
            <w:r w:rsidRPr="00701F1E">
              <w:rPr>
                <w:rFonts w:ascii="Arial" w:hAnsi="Arial" w:cs="Arial"/>
                <w:i/>
                <w:iCs/>
              </w:rPr>
              <w:t>period.</w:t>
            </w:r>
            <w:r w:rsidRPr="00701F1E">
              <w:rPr>
                <w:rFonts w:ascii="Arial" w:hAnsi="Arial" w:cs="Arial"/>
              </w:rPr>
              <w:t xml:space="preserve"> </w:t>
            </w:r>
          </w:p>
        </w:tc>
      </w:tr>
    </w:tbl>
    <w:p w14:paraId="4145A152" w14:textId="4EAD1BE9" w:rsidR="00175A3F" w:rsidRPr="00175A3F" w:rsidRDefault="00175A3F" w:rsidP="00D80BE6">
      <w:pPr>
        <w:spacing w:after="160" w:line="259" w:lineRule="auto"/>
      </w:pPr>
      <w:r>
        <w:br w:type="page"/>
      </w:r>
    </w:p>
    <w:p w14:paraId="134FA55B" w14:textId="2CD64A31" w:rsidR="00F956CD" w:rsidRPr="00CC52A0" w:rsidRDefault="00D57FF8" w:rsidP="00CC52A0">
      <w:pPr>
        <w:pStyle w:val="Heading1"/>
        <w:numPr>
          <w:ilvl w:val="0"/>
          <w:numId w:val="23"/>
        </w:numPr>
        <w:spacing w:after="120"/>
        <w:ind w:left="567" w:hanging="567"/>
        <w:rPr>
          <w:rFonts w:ascii="Arial" w:hAnsi="Arial" w:cs="Arial"/>
          <w:b/>
          <w:bCs/>
        </w:rPr>
      </w:pPr>
      <w:bookmarkStart w:id="8" w:name="_Toc151713708"/>
      <w:r w:rsidRPr="00CC52A0">
        <w:rPr>
          <w:rFonts w:ascii="Arial" w:hAnsi="Arial" w:cs="Arial"/>
          <w:b/>
          <w:bCs/>
        </w:rPr>
        <w:lastRenderedPageBreak/>
        <w:t>CEO Remuneration</w:t>
      </w:r>
      <w:r w:rsidR="00F230A7" w:rsidRPr="00CC52A0">
        <w:rPr>
          <w:rFonts w:ascii="Arial" w:hAnsi="Arial" w:cs="Arial"/>
          <w:b/>
          <w:bCs/>
        </w:rPr>
        <w:t xml:space="preserve"> Arrangements</w:t>
      </w:r>
      <w:r w:rsidR="009C7E99" w:rsidRPr="00CC52A0">
        <w:rPr>
          <w:rFonts w:ascii="Arial" w:hAnsi="Arial" w:cs="Arial"/>
          <w:b/>
          <w:bCs/>
        </w:rPr>
        <w:t xml:space="preserve"> &amp; Outcomes</w:t>
      </w:r>
      <w:bookmarkEnd w:id="8"/>
      <w:r w:rsidR="009C7E99" w:rsidRPr="00CC52A0">
        <w:rPr>
          <w:rFonts w:ascii="Arial" w:hAnsi="Arial" w:cs="Arial"/>
          <w:b/>
          <w:bCs/>
        </w:rPr>
        <w:t xml:space="preserve"> </w:t>
      </w:r>
    </w:p>
    <w:p w14:paraId="78B0F138" w14:textId="5420F4D1" w:rsidR="000151E8" w:rsidRPr="00CC52A0" w:rsidRDefault="000151E8" w:rsidP="00BE1E7C">
      <w:pPr>
        <w:ind w:left="567"/>
        <w:rPr>
          <w:rStyle w:val="Strong"/>
          <w:rFonts w:ascii="Arial" w:hAnsi="Arial" w:cs="Arial"/>
        </w:rPr>
      </w:pPr>
      <w:r w:rsidRPr="00CC52A0">
        <w:rPr>
          <w:rStyle w:val="Strong"/>
          <w:rFonts w:ascii="Arial" w:hAnsi="Arial" w:cs="Arial"/>
        </w:rPr>
        <w:t>CEO Remuneration Arrangements</w:t>
      </w:r>
    </w:p>
    <w:tbl>
      <w:tblPr>
        <w:tblStyle w:val="TableGrid"/>
        <w:tblW w:w="9016" w:type="dxa"/>
        <w:tblInd w:w="562" w:type="dxa"/>
        <w:tblLook w:val="04A0" w:firstRow="1" w:lastRow="0" w:firstColumn="1" w:lastColumn="0" w:noHBand="0" w:noVBand="1"/>
      </w:tblPr>
      <w:tblGrid>
        <w:gridCol w:w="9016"/>
      </w:tblGrid>
      <w:tr w:rsidR="00A820AC" w14:paraId="7B64825D" w14:textId="77777777" w:rsidTr="00BE1E7C">
        <w:tc>
          <w:tcPr>
            <w:tcW w:w="9016" w:type="dxa"/>
          </w:tcPr>
          <w:p w14:paraId="3CBF0E68" w14:textId="5AAEA0D8" w:rsidR="00A820AC" w:rsidRPr="00701F1E" w:rsidRDefault="00A820AC" w:rsidP="00BE1E7C">
            <w:pPr>
              <w:spacing w:before="60" w:after="60"/>
              <w:rPr>
                <w:rFonts w:ascii="Arial" w:hAnsi="Arial" w:cs="Arial"/>
                <w:i/>
                <w:iCs/>
              </w:rPr>
            </w:pPr>
            <w:r w:rsidRPr="00701F1E">
              <w:rPr>
                <w:rFonts w:ascii="Arial" w:hAnsi="Arial" w:cs="Arial"/>
                <w:b/>
                <w:bCs/>
                <w:i/>
                <w:iCs/>
              </w:rPr>
              <w:t>Explanatory note</w:t>
            </w:r>
            <w:r w:rsidRPr="00701F1E">
              <w:rPr>
                <w:rFonts w:ascii="Arial" w:hAnsi="Arial" w:cs="Arial"/>
                <w:i/>
                <w:iCs/>
              </w:rPr>
              <w:t xml:space="preserve">: This section should outline the specific remuneration arrangements and policies in place for the CEO. This should include a discussion of the current base salary, </w:t>
            </w:r>
            <w:r w:rsidR="00E33DD2" w:rsidRPr="00701F1E">
              <w:rPr>
                <w:rFonts w:ascii="Arial" w:hAnsi="Arial" w:cs="Arial"/>
                <w:i/>
                <w:iCs/>
              </w:rPr>
              <w:t>A</w:t>
            </w:r>
            <w:r w:rsidR="00F96386" w:rsidRPr="00701F1E">
              <w:rPr>
                <w:rFonts w:ascii="Arial" w:hAnsi="Arial" w:cs="Arial"/>
                <w:i/>
                <w:iCs/>
              </w:rPr>
              <w:t>warded</w:t>
            </w:r>
            <w:r w:rsidR="00222E34" w:rsidRPr="00701F1E">
              <w:rPr>
                <w:rFonts w:ascii="Arial" w:hAnsi="Arial" w:cs="Arial"/>
                <w:i/>
                <w:iCs/>
              </w:rPr>
              <w:t xml:space="preserve"> STI</w:t>
            </w:r>
            <w:r w:rsidRPr="00701F1E">
              <w:rPr>
                <w:rFonts w:ascii="Arial" w:hAnsi="Arial" w:cs="Arial"/>
                <w:i/>
                <w:iCs/>
              </w:rPr>
              <w:t xml:space="preserve"> </w:t>
            </w:r>
            <w:r w:rsidR="00222E34" w:rsidRPr="00701F1E">
              <w:rPr>
                <w:rFonts w:ascii="Arial" w:hAnsi="Arial" w:cs="Arial"/>
                <w:i/>
                <w:iCs/>
              </w:rPr>
              <w:t>and LTI</w:t>
            </w:r>
            <w:r w:rsidRPr="00701F1E">
              <w:rPr>
                <w:rFonts w:ascii="Arial" w:hAnsi="Arial" w:cs="Arial"/>
                <w:i/>
                <w:iCs/>
              </w:rPr>
              <w:t xml:space="preserve"> and should explain the relevant performance hurdles</w:t>
            </w:r>
            <w:r w:rsidR="007D7E5A" w:rsidRPr="00701F1E">
              <w:rPr>
                <w:rFonts w:ascii="Arial" w:hAnsi="Arial" w:cs="Arial"/>
                <w:i/>
                <w:iCs/>
              </w:rPr>
              <w:t xml:space="preserve"> (including the weighting of the hurdle) unless such information is commercially sensitive</w:t>
            </w:r>
            <w:r w:rsidRPr="00701F1E">
              <w:rPr>
                <w:rFonts w:ascii="Arial" w:hAnsi="Arial" w:cs="Arial"/>
                <w:i/>
                <w:iCs/>
              </w:rPr>
              <w:t xml:space="preserve">. </w:t>
            </w:r>
            <w:r w:rsidR="00C15FD1" w:rsidRPr="00701F1E">
              <w:rPr>
                <w:rFonts w:ascii="Arial" w:hAnsi="Arial" w:cs="Arial"/>
                <w:i/>
                <w:iCs/>
              </w:rPr>
              <w:t xml:space="preserve">Where performance hurdles apply both prior to an Award and prior to Vesting, both sets of hurdles should be disclosed. </w:t>
            </w:r>
            <w:r w:rsidRPr="00701F1E">
              <w:rPr>
                <w:rFonts w:ascii="Arial" w:hAnsi="Arial" w:cs="Arial"/>
                <w:i/>
                <w:iCs/>
              </w:rPr>
              <w:t>Please consider recommendation 5.3 of the NZX Code and its commentary for further information.</w:t>
            </w:r>
          </w:p>
          <w:p w14:paraId="51F33C7E" w14:textId="19E8ABE3" w:rsidR="00761CB2" w:rsidRPr="00A820AC" w:rsidRDefault="002773F2" w:rsidP="00BE1E7C">
            <w:pPr>
              <w:spacing w:before="60" w:after="60"/>
              <w:rPr>
                <w:i/>
                <w:iCs/>
              </w:rPr>
            </w:pPr>
            <w:r w:rsidRPr="00701F1E">
              <w:rPr>
                <w:rFonts w:ascii="Arial" w:hAnsi="Arial" w:cs="Arial"/>
                <w:i/>
                <w:iCs/>
              </w:rPr>
              <w:t xml:space="preserve">As </w:t>
            </w:r>
            <w:r w:rsidR="002235D1" w:rsidRPr="00701F1E">
              <w:rPr>
                <w:rFonts w:ascii="Arial" w:hAnsi="Arial" w:cs="Arial"/>
                <w:i/>
                <w:iCs/>
              </w:rPr>
              <w:t xml:space="preserve">a </w:t>
            </w:r>
            <w:r w:rsidRPr="00701F1E">
              <w:rPr>
                <w:rFonts w:ascii="Arial" w:hAnsi="Arial" w:cs="Arial"/>
                <w:i/>
                <w:iCs/>
              </w:rPr>
              <w:t>best practi</w:t>
            </w:r>
            <w:r w:rsidR="00FF3F6C" w:rsidRPr="00701F1E">
              <w:rPr>
                <w:rFonts w:ascii="Arial" w:hAnsi="Arial" w:cs="Arial"/>
                <w:i/>
                <w:iCs/>
              </w:rPr>
              <w:t>c</w:t>
            </w:r>
            <w:r w:rsidRPr="00701F1E">
              <w:rPr>
                <w:rFonts w:ascii="Arial" w:hAnsi="Arial" w:cs="Arial"/>
                <w:i/>
                <w:iCs/>
              </w:rPr>
              <w:t>e</w:t>
            </w:r>
            <w:r w:rsidR="002235D1" w:rsidRPr="00701F1E">
              <w:rPr>
                <w:rFonts w:ascii="Arial" w:hAnsi="Arial" w:cs="Arial"/>
                <w:i/>
                <w:iCs/>
              </w:rPr>
              <w:t xml:space="preserve"> optional disclosure</w:t>
            </w:r>
            <w:r w:rsidRPr="00701F1E">
              <w:rPr>
                <w:rFonts w:ascii="Arial" w:hAnsi="Arial" w:cs="Arial"/>
                <w:i/>
                <w:iCs/>
              </w:rPr>
              <w:t xml:space="preserve">, issuers </w:t>
            </w:r>
            <w:r w:rsidR="00AF65E3" w:rsidRPr="00701F1E">
              <w:rPr>
                <w:rFonts w:ascii="Arial" w:hAnsi="Arial" w:cs="Arial"/>
                <w:i/>
                <w:iCs/>
              </w:rPr>
              <w:t xml:space="preserve">may </w:t>
            </w:r>
            <w:r w:rsidR="005578D4" w:rsidRPr="00701F1E">
              <w:rPr>
                <w:rFonts w:ascii="Arial" w:hAnsi="Arial" w:cs="Arial"/>
                <w:i/>
                <w:iCs/>
              </w:rPr>
              <w:t xml:space="preserve">wish to </w:t>
            </w:r>
            <w:r w:rsidR="00AF65E3" w:rsidRPr="00701F1E">
              <w:rPr>
                <w:rFonts w:ascii="Arial" w:hAnsi="Arial" w:cs="Arial"/>
                <w:i/>
                <w:iCs/>
              </w:rPr>
              <w:t xml:space="preserve">include </w:t>
            </w:r>
            <w:r w:rsidR="00F93B53" w:rsidRPr="00701F1E">
              <w:rPr>
                <w:rFonts w:ascii="Arial" w:hAnsi="Arial" w:cs="Arial"/>
                <w:i/>
                <w:iCs/>
              </w:rPr>
              <w:t>how the remuneration arrangements are structured for the upcoming financial year.</w:t>
            </w:r>
            <w:r w:rsidR="00132B7A" w:rsidRPr="00701F1E">
              <w:rPr>
                <w:rFonts w:ascii="Arial" w:hAnsi="Arial" w:cs="Arial"/>
                <w:i/>
                <w:iCs/>
              </w:rPr>
              <w:t xml:space="preserve"> </w:t>
            </w:r>
          </w:p>
        </w:tc>
      </w:tr>
    </w:tbl>
    <w:p w14:paraId="6896A4CD" w14:textId="42CA189B" w:rsidR="006F5501" w:rsidRPr="00701F1E" w:rsidRDefault="006F5501" w:rsidP="001F6331">
      <w:pPr>
        <w:spacing w:before="240" w:after="160"/>
        <w:ind w:left="567" w:right="249"/>
        <w:rPr>
          <w:rFonts w:ascii="Arial" w:hAnsi="Arial" w:cs="Arial"/>
        </w:rPr>
      </w:pPr>
      <w:r w:rsidRPr="00701F1E">
        <w:rPr>
          <w:rFonts w:ascii="Arial" w:hAnsi="Arial" w:cs="Arial"/>
        </w:rPr>
        <w:t>[Insert explanation]</w:t>
      </w:r>
    </w:p>
    <w:p w14:paraId="51F06D79" w14:textId="18A535EB" w:rsidR="00DC7BA0" w:rsidRPr="00701F1E" w:rsidRDefault="00DC7BA0" w:rsidP="001F6331">
      <w:pPr>
        <w:spacing w:after="160"/>
        <w:ind w:left="567" w:right="249"/>
        <w:rPr>
          <w:rFonts w:ascii="Arial" w:hAnsi="Arial" w:cs="Arial"/>
        </w:rPr>
      </w:pPr>
      <w:r w:rsidRPr="00701F1E">
        <w:rPr>
          <w:rFonts w:ascii="Arial" w:hAnsi="Arial" w:cs="Arial"/>
          <w:b/>
          <w:bCs/>
        </w:rPr>
        <w:t>External and Independent Advice</w:t>
      </w:r>
      <w:r w:rsidR="00D8737B" w:rsidRPr="00701F1E">
        <w:rPr>
          <w:rFonts w:ascii="Arial" w:hAnsi="Arial" w:cs="Arial"/>
          <w:b/>
          <w:bCs/>
        </w:rPr>
        <w:t>*</w:t>
      </w:r>
      <w:r w:rsidRPr="00701F1E">
        <w:rPr>
          <w:rFonts w:ascii="Arial" w:hAnsi="Arial" w:cs="Arial"/>
          <w:b/>
          <w:bCs/>
        </w:rPr>
        <w:t xml:space="preserve"> </w:t>
      </w:r>
      <w:r w:rsidRPr="00701F1E">
        <w:rPr>
          <w:rFonts w:ascii="Arial" w:hAnsi="Arial" w:cs="Arial"/>
        </w:rPr>
        <w:t>[if applicable</w:t>
      </w:r>
      <w:r w:rsidR="004A016C" w:rsidRPr="00701F1E">
        <w:rPr>
          <w:rFonts w:ascii="Arial" w:hAnsi="Arial" w:cs="Arial"/>
        </w:rPr>
        <w:t xml:space="preserve">, and to the extent the advice has not already been covered in the Executive Remuneration Policy </w:t>
      </w:r>
      <w:r w:rsidR="00C301D8" w:rsidRPr="00701F1E">
        <w:rPr>
          <w:rFonts w:ascii="Arial" w:hAnsi="Arial" w:cs="Arial"/>
        </w:rPr>
        <w:t xml:space="preserve">section] </w:t>
      </w:r>
    </w:p>
    <w:p w14:paraId="0FA4A4C3" w14:textId="560CA2DB" w:rsidR="00DC7BA0" w:rsidRPr="00701F1E" w:rsidRDefault="00DC7BA0" w:rsidP="001F6331">
      <w:pPr>
        <w:spacing w:after="160"/>
        <w:ind w:left="567" w:right="249"/>
        <w:rPr>
          <w:rFonts w:ascii="Arial" w:hAnsi="Arial" w:cs="Arial"/>
        </w:rPr>
      </w:pPr>
      <w:r w:rsidRPr="00701F1E">
        <w:rPr>
          <w:rFonts w:ascii="Arial" w:hAnsi="Arial" w:cs="Arial"/>
        </w:rPr>
        <w:t>During the year, [</w:t>
      </w:r>
      <w:r w:rsidRPr="00701F1E">
        <w:rPr>
          <w:rFonts w:ascii="Arial" w:hAnsi="Arial" w:cs="Arial"/>
          <w:i/>
          <w:iCs/>
        </w:rPr>
        <w:t>name of issuer</w:t>
      </w:r>
      <w:r w:rsidRPr="00701F1E">
        <w:rPr>
          <w:rFonts w:ascii="Arial" w:hAnsi="Arial" w:cs="Arial"/>
        </w:rPr>
        <w:t xml:space="preserve">] </w:t>
      </w:r>
      <w:r w:rsidR="00222E34" w:rsidRPr="00701F1E">
        <w:rPr>
          <w:rFonts w:ascii="Arial" w:hAnsi="Arial" w:cs="Arial"/>
        </w:rPr>
        <w:t>sought external</w:t>
      </w:r>
      <w:r w:rsidR="002761C4" w:rsidRPr="00701F1E">
        <w:rPr>
          <w:rFonts w:ascii="Arial" w:hAnsi="Arial" w:cs="Arial"/>
        </w:rPr>
        <w:t xml:space="preserve"> and independent</w:t>
      </w:r>
      <w:r w:rsidRPr="00701F1E">
        <w:rPr>
          <w:rFonts w:ascii="Arial" w:hAnsi="Arial" w:cs="Arial"/>
        </w:rPr>
        <w:t xml:space="preserve"> advice from [</w:t>
      </w:r>
      <w:r w:rsidRPr="00701F1E">
        <w:rPr>
          <w:rFonts w:ascii="Arial" w:hAnsi="Arial" w:cs="Arial"/>
          <w:i/>
          <w:iCs/>
        </w:rPr>
        <w:t>name of consultant</w:t>
      </w:r>
      <w:r w:rsidRPr="00701F1E">
        <w:rPr>
          <w:rFonts w:ascii="Arial" w:hAnsi="Arial" w:cs="Arial"/>
        </w:rPr>
        <w:t>] to [</w:t>
      </w:r>
      <w:r w:rsidRPr="00701F1E">
        <w:rPr>
          <w:rFonts w:ascii="Arial" w:hAnsi="Arial" w:cs="Arial"/>
          <w:i/>
          <w:iCs/>
        </w:rPr>
        <w:t>explanation on why advice was sought and how it was used</w:t>
      </w:r>
      <w:r w:rsidRPr="00701F1E">
        <w:rPr>
          <w:rFonts w:ascii="Arial" w:hAnsi="Arial" w:cs="Arial"/>
        </w:rPr>
        <w:t xml:space="preserve">]. </w:t>
      </w:r>
    </w:p>
    <w:p w14:paraId="1A76C239" w14:textId="3EA0300B" w:rsidR="00E668A9" w:rsidRPr="00CC52A0" w:rsidRDefault="00F230A7" w:rsidP="001F6331">
      <w:pPr>
        <w:ind w:left="567" w:right="249"/>
        <w:rPr>
          <w:rStyle w:val="Strong"/>
          <w:rFonts w:ascii="Arial" w:hAnsi="Arial" w:cs="Arial"/>
        </w:rPr>
      </w:pPr>
      <w:r w:rsidRPr="00CC52A0">
        <w:rPr>
          <w:rStyle w:val="Strong"/>
          <w:rFonts w:ascii="Arial" w:hAnsi="Arial" w:cs="Arial"/>
        </w:rPr>
        <w:t>CEO Remuneration Outcomes</w:t>
      </w:r>
      <w:r w:rsidR="00D57FF8" w:rsidRPr="00CC52A0">
        <w:rPr>
          <w:rStyle w:val="Strong"/>
          <w:rFonts w:ascii="Arial" w:hAnsi="Arial" w:cs="Arial"/>
        </w:rPr>
        <w:t xml:space="preserve"> </w:t>
      </w:r>
    </w:p>
    <w:tbl>
      <w:tblPr>
        <w:tblStyle w:val="TableGrid"/>
        <w:tblW w:w="9016" w:type="dxa"/>
        <w:tblInd w:w="562" w:type="dxa"/>
        <w:tblLook w:val="04A0" w:firstRow="1" w:lastRow="0" w:firstColumn="1" w:lastColumn="0" w:noHBand="0" w:noVBand="1"/>
      </w:tblPr>
      <w:tblGrid>
        <w:gridCol w:w="9016"/>
      </w:tblGrid>
      <w:tr w:rsidR="00A820AC" w14:paraId="0FE00BCC" w14:textId="77777777" w:rsidTr="00BE1E7C">
        <w:tc>
          <w:tcPr>
            <w:tcW w:w="9016" w:type="dxa"/>
          </w:tcPr>
          <w:p w14:paraId="51D3323F" w14:textId="0A8F24CE" w:rsidR="00DB4600" w:rsidRPr="00701F1E" w:rsidRDefault="00A820AC" w:rsidP="00BE1E7C">
            <w:pPr>
              <w:spacing w:before="60" w:after="60"/>
              <w:rPr>
                <w:rFonts w:ascii="Arial" w:hAnsi="Arial" w:cs="Arial"/>
                <w:i/>
                <w:iCs/>
              </w:rPr>
            </w:pPr>
            <w:r w:rsidRPr="00701F1E">
              <w:rPr>
                <w:rFonts w:ascii="Arial" w:hAnsi="Arial" w:cs="Arial"/>
                <w:b/>
                <w:bCs/>
                <w:i/>
                <w:iCs/>
              </w:rPr>
              <w:t>Explanatory note</w:t>
            </w:r>
            <w:r w:rsidRPr="00701F1E">
              <w:rPr>
                <w:rFonts w:ascii="Arial" w:hAnsi="Arial" w:cs="Arial"/>
                <w:i/>
                <w:iCs/>
              </w:rPr>
              <w:t xml:space="preserve">: </w:t>
            </w:r>
            <w:r w:rsidR="00EB5A91">
              <w:rPr>
                <w:rFonts w:ascii="Arial" w:hAnsi="Arial" w:cs="Arial"/>
                <w:i/>
                <w:iCs/>
              </w:rPr>
              <w:t>This section should d</w:t>
            </w:r>
            <w:r w:rsidR="00D855C8" w:rsidRPr="00701F1E">
              <w:rPr>
                <w:rFonts w:ascii="Arial" w:hAnsi="Arial" w:cs="Arial"/>
                <w:i/>
                <w:iCs/>
              </w:rPr>
              <w:t>isclose</w:t>
            </w:r>
            <w:r w:rsidRPr="00701F1E">
              <w:rPr>
                <w:rFonts w:ascii="Arial" w:hAnsi="Arial" w:cs="Arial"/>
                <w:i/>
                <w:iCs/>
              </w:rPr>
              <w:t xml:space="preserve"> the actual remuneration outcomes for the CEO during the reporting period to meet recommendation 5.3 of the NZX Code. Disclosure should outline each component of remuneration, such as </w:t>
            </w:r>
            <w:r w:rsidR="00711399" w:rsidRPr="00701F1E">
              <w:rPr>
                <w:rFonts w:ascii="Arial" w:hAnsi="Arial" w:cs="Arial"/>
                <w:i/>
                <w:iCs/>
              </w:rPr>
              <w:t>B</w:t>
            </w:r>
            <w:r w:rsidRPr="00701F1E">
              <w:rPr>
                <w:rFonts w:ascii="Arial" w:hAnsi="Arial" w:cs="Arial"/>
                <w:i/>
                <w:iCs/>
              </w:rPr>
              <w:t xml:space="preserve">ase </w:t>
            </w:r>
            <w:r w:rsidR="00711399" w:rsidRPr="00701F1E">
              <w:rPr>
                <w:rFonts w:ascii="Arial" w:hAnsi="Arial" w:cs="Arial"/>
                <w:i/>
                <w:iCs/>
              </w:rPr>
              <w:t>S</w:t>
            </w:r>
            <w:r w:rsidR="00222E34" w:rsidRPr="00701F1E">
              <w:rPr>
                <w:rFonts w:ascii="Arial" w:hAnsi="Arial" w:cs="Arial"/>
                <w:i/>
                <w:iCs/>
              </w:rPr>
              <w:t>alary, STI</w:t>
            </w:r>
            <w:r w:rsidR="002761C4" w:rsidRPr="00701F1E">
              <w:rPr>
                <w:rFonts w:ascii="Arial" w:hAnsi="Arial" w:cs="Arial"/>
                <w:i/>
                <w:iCs/>
              </w:rPr>
              <w:t xml:space="preserve"> </w:t>
            </w:r>
            <w:r w:rsidR="0030123C" w:rsidRPr="00701F1E">
              <w:rPr>
                <w:rFonts w:ascii="Arial" w:hAnsi="Arial" w:cs="Arial"/>
                <w:i/>
                <w:iCs/>
              </w:rPr>
              <w:t>and LTI</w:t>
            </w:r>
            <w:r w:rsidRPr="00701F1E">
              <w:rPr>
                <w:rFonts w:ascii="Arial" w:hAnsi="Arial" w:cs="Arial"/>
                <w:i/>
                <w:iCs/>
              </w:rPr>
              <w:t xml:space="preserve">. </w:t>
            </w:r>
          </w:p>
          <w:p w14:paraId="76A703D7" w14:textId="1AA3A4A4" w:rsidR="00DB4600" w:rsidRPr="00701F1E" w:rsidRDefault="00DB4600" w:rsidP="00BE1E7C">
            <w:pPr>
              <w:spacing w:before="60" w:after="60"/>
              <w:rPr>
                <w:rFonts w:ascii="Arial" w:hAnsi="Arial" w:cs="Arial"/>
                <w:i/>
                <w:iCs/>
              </w:rPr>
            </w:pPr>
            <w:r w:rsidRPr="00701F1E">
              <w:rPr>
                <w:rFonts w:ascii="Arial" w:hAnsi="Arial" w:cs="Arial"/>
                <w:i/>
                <w:iCs/>
              </w:rPr>
              <w:t>Disclosure of one-year prior comparative information is useful context for the reader.</w:t>
            </w:r>
          </w:p>
          <w:p w14:paraId="76B45D6F" w14:textId="31BDC03E" w:rsidR="002761C4" w:rsidRPr="00701F1E" w:rsidRDefault="002761C4" w:rsidP="00BE1E7C">
            <w:pPr>
              <w:spacing w:before="60" w:after="60"/>
              <w:rPr>
                <w:rFonts w:ascii="Arial" w:hAnsi="Arial" w:cs="Arial"/>
                <w:i/>
                <w:iCs/>
              </w:rPr>
            </w:pPr>
            <w:r w:rsidRPr="00701F1E">
              <w:rPr>
                <w:rFonts w:ascii="Arial" w:hAnsi="Arial" w:cs="Arial"/>
                <w:i/>
                <w:iCs/>
              </w:rPr>
              <w:t xml:space="preserve">Disclosure of any cash </w:t>
            </w:r>
            <w:r w:rsidR="00222E34" w:rsidRPr="00701F1E">
              <w:rPr>
                <w:rFonts w:ascii="Arial" w:hAnsi="Arial" w:cs="Arial"/>
                <w:i/>
                <w:iCs/>
              </w:rPr>
              <w:t>based STI</w:t>
            </w:r>
            <w:r w:rsidRPr="00701F1E">
              <w:rPr>
                <w:rFonts w:ascii="Arial" w:hAnsi="Arial" w:cs="Arial"/>
                <w:i/>
                <w:iCs/>
              </w:rPr>
              <w:t xml:space="preserve"> or LTI entitlements</w:t>
            </w:r>
            <w:r w:rsidR="00DB4600" w:rsidRPr="00701F1E">
              <w:rPr>
                <w:rFonts w:ascii="Arial" w:hAnsi="Arial" w:cs="Arial"/>
                <w:i/>
                <w:iCs/>
              </w:rPr>
              <w:t xml:space="preserve"> should </w:t>
            </w:r>
            <w:r w:rsidRPr="00701F1E">
              <w:rPr>
                <w:rFonts w:ascii="Arial" w:hAnsi="Arial" w:cs="Arial"/>
                <w:i/>
                <w:iCs/>
              </w:rPr>
              <w:t>set out:</w:t>
            </w:r>
          </w:p>
          <w:p w14:paraId="48339E58" w14:textId="7A62BBFA" w:rsidR="00EB5A91" w:rsidRDefault="00786BC7" w:rsidP="00BE1E7C">
            <w:pPr>
              <w:pStyle w:val="ListParagraph"/>
              <w:numPr>
                <w:ilvl w:val="0"/>
                <w:numId w:val="15"/>
              </w:numPr>
              <w:spacing w:before="60" w:after="60"/>
              <w:ind w:left="460"/>
              <w:contextualSpacing w:val="0"/>
              <w:rPr>
                <w:rFonts w:ascii="Arial" w:hAnsi="Arial" w:cs="Arial"/>
                <w:i/>
                <w:iCs/>
              </w:rPr>
            </w:pPr>
            <w:r>
              <w:rPr>
                <w:rFonts w:ascii="Arial" w:hAnsi="Arial" w:cs="Arial"/>
                <w:i/>
                <w:iCs/>
              </w:rPr>
              <w:t>a</w:t>
            </w:r>
            <w:r w:rsidR="00EB5A91">
              <w:rPr>
                <w:rFonts w:ascii="Arial" w:hAnsi="Arial" w:cs="Arial"/>
                <w:i/>
                <w:iCs/>
              </w:rPr>
              <w:t>ny STI Award relating to the reporting period.</w:t>
            </w:r>
          </w:p>
          <w:p w14:paraId="12EFE266" w14:textId="3083B7EC" w:rsidR="00DB4600" w:rsidRPr="00701F1E" w:rsidRDefault="00B36A49" w:rsidP="00BE1E7C">
            <w:pPr>
              <w:pStyle w:val="ListParagraph"/>
              <w:numPr>
                <w:ilvl w:val="0"/>
                <w:numId w:val="15"/>
              </w:numPr>
              <w:spacing w:before="60" w:after="60"/>
              <w:ind w:left="460"/>
              <w:contextualSpacing w:val="0"/>
              <w:rPr>
                <w:rFonts w:ascii="Arial" w:hAnsi="Arial" w:cs="Arial"/>
                <w:i/>
                <w:iCs/>
              </w:rPr>
            </w:pPr>
            <w:r w:rsidRPr="00701F1E">
              <w:rPr>
                <w:rFonts w:ascii="Arial" w:hAnsi="Arial" w:cs="Arial"/>
                <w:i/>
                <w:iCs/>
              </w:rPr>
              <w:t>any</w:t>
            </w:r>
            <w:r w:rsidR="00DB4600" w:rsidRPr="00701F1E">
              <w:rPr>
                <w:rFonts w:ascii="Arial" w:hAnsi="Arial" w:cs="Arial"/>
                <w:i/>
                <w:iCs/>
              </w:rPr>
              <w:t xml:space="preserve"> amount </w:t>
            </w:r>
            <w:r w:rsidR="007A569A" w:rsidRPr="00701F1E">
              <w:rPr>
                <w:rFonts w:ascii="Arial" w:hAnsi="Arial" w:cs="Arial"/>
                <w:i/>
                <w:iCs/>
              </w:rPr>
              <w:t>E</w:t>
            </w:r>
            <w:r w:rsidR="005A1346" w:rsidRPr="00701F1E">
              <w:rPr>
                <w:rFonts w:ascii="Arial" w:hAnsi="Arial" w:cs="Arial"/>
                <w:i/>
                <w:iCs/>
              </w:rPr>
              <w:t>arned and</w:t>
            </w:r>
            <w:r w:rsidRPr="00701F1E">
              <w:rPr>
                <w:rFonts w:ascii="Arial" w:hAnsi="Arial" w:cs="Arial"/>
                <w:i/>
                <w:iCs/>
              </w:rPr>
              <w:t>/or</w:t>
            </w:r>
            <w:r w:rsidR="005A1346" w:rsidRPr="00701F1E">
              <w:rPr>
                <w:rFonts w:ascii="Arial" w:hAnsi="Arial" w:cs="Arial"/>
                <w:i/>
                <w:iCs/>
              </w:rPr>
              <w:t xml:space="preserve"> </w:t>
            </w:r>
            <w:r w:rsidR="007A569A" w:rsidRPr="00701F1E">
              <w:rPr>
                <w:rFonts w:ascii="Arial" w:hAnsi="Arial" w:cs="Arial"/>
                <w:i/>
                <w:iCs/>
              </w:rPr>
              <w:t>P</w:t>
            </w:r>
            <w:r w:rsidR="00DB4600" w:rsidRPr="00701F1E">
              <w:rPr>
                <w:rFonts w:ascii="Arial" w:hAnsi="Arial" w:cs="Arial"/>
                <w:i/>
                <w:iCs/>
              </w:rPr>
              <w:t>aid during the reporting period</w:t>
            </w:r>
            <w:r w:rsidRPr="00701F1E">
              <w:rPr>
                <w:rFonts w:ascii="Arial" w:hAnsi="Arial" w:cs="Arial"/>
                <w:i/>
                <w:iCs/>
              </w:rPr>
              <w:t xml:space="preserve"> (even where such amount does not relate to performance in the reporting period)</w:t>
            </w:r>
            <w:r w:rsidR="00DB4600" w:rsidRPr="00701F1E">
              <w:rPr>
                <w:rFonts w:ascii="Arial" w:hAnsi="Arial" w:cs="Arial"/>
                <w:i/>
                <w:iCs/>
              </w:rPr>
              <w:t>.</w:t>
            </w:r>
          </w:p>
          <w:p w14:paraId="56CA122E" w14:textId="6DC52F1B" w:rsidR="00B36A49" w:rsidRPr="00701F1E" w:rsidRDefault="00B36A49" w:rsidP="00BE1E7C">
            <w:pPr>
              <w:spacing w:before="60" w:after="60"/>
              <w:rPr>
                <w:rFonts w:ascii="Arial" w:hAnsi="Arial" w:cs="Arial"/>
                <w:i/>
                <w:iCs/>
              </w:rPr>
            </w:pPr>
            <w:r w:rsidRPr="00701F1E">
              <w:rPr>
                <w:rFonts w:ascii="Arial" w:hAnsi="Arial" w:cs="Arial"/>
                <w:i/>
                <w:iCs/>
              </w:rPr>
              <w:t>Disclosure of</w:t>
            </w:r>
            <w:r w:rsidR="003E067B" w:rsidRPr="00701F1E">
              <w:rPr>
                <w:rFonts w:ascii="Arial" w:hAnsi="Arial" w:cs="Arial"/>
                <w:i/>
                <w:iCs/>
              </w:rPr>
              <w:t xml:space="preserve"> </w:t>
            </w:r>
            <w:r w:rsidRPr="00701F1E">
              <w:rPr>
                <w:rFonts w:ascii="Arial" w:hAnsi="Arial" w:cs="Arial"/>
                <w:i/>
                <w:iCs/>
              </w:rPr>
              <w:t>Securities based entitlements should set out:</w:t>
            </w:r>
          </w:p>
          <w:p w14:paraId="61568D48" w14:textId="7D3C4D9E" w:rsidR="003E067B" w:rsidRPr="00701F1E" w:rsidRDefault="00B36A49" w:rsidP="00BE1E7C">
            <w:pPr>
              <w:pStyle w:val="ListParagraph"/>
              <w:numPr>
                <w:ilvl w:val="0"/>
                <w:numId w:val="15"/>
              </w:numPr>
              <w:spacing w:before="60" w:after="60"/>
              <w:ind w:left="460"/>
              <w:contextualSpacing w:val="0"/>
              <w:rPr>
                <w:rFonts w:ascii="Arial" w:hAnsi="Arial" w:cs="Arial"/>
                <w:i/>
                <w:iCs/>
              </w:rPr>
            </w:pPr>
            <w:r w:rsidRPr="00701F1E">
              <w:rPr>
                <w:rFonts w:ascii="Arial" w:hAnsi="Arial" w:cs="Arial"/>
                <w:i/>
                <w:iCs/>
              </w:rPr>
              <w:t>the number and market</w:t>
            </w:r>
            <w:r w:rsidR="00420C0F" w:rsidRPr="00701F1E">
              <w:rPr>
                <w:rFonts w:ascii="Arial" w:hAnsi="Arial" w:cs="Arial"/>
                <w:i/>
                <w:iCs/>
              </w:rPr>
              <w:t xml:space="preserve"> price of any</w:t>
            </w:r>
            <w:r w:rsidRPr="00701F1E">
              <w:rPr>
                <w:rFonts w:ascii="Arial" w:hAnsi="Arial" w:cs="Arial"/>
                <w:i/>
                <w:iCs/>
              </w:rPr>
              <w:t xml:space="preserve"> </w:t>
            </w:r>
            <w:r w:rsidR="00420C0F" w:rsidRPr="00701F1E">
              <w:rPr>
                <w:rFonts w:ascii="Arial" w:hAnsi="Arial" w:cs="Arial"/>
                <w:i/>
                <w:iCs/>
              </w:rPr>
              <w:t>Securitie</w:t>
            </w:r>
            <w:r w:rsidR="003E067B" w:rsidRPr="00701F1E">
              <w:rPr>
                <w:rFonts w:ascii="Arial" w:hAnsi="Arial" w:cs="Arial"/>
                <w:i/>
                <w:iCs/>
              </w:rPr>
              <w:t xml:space="preserve">s </w:t>
            </w:r>
            <w:r w:rsidR="007A569A" w:rsidRPr="00701F1E">
              <w:rPr>
                <w:rFonts w:ascii="Arial" w:hAnsi="Arial" w:cs="Arial"/>
                <w:i/>
                <w:iCs/>
              </w:rPr>
              <w:t>A</w:t>
            </w:r>
            <w:r w:rsidR="00DB4600" w:rsidRPr="00701F1E">
              <w:rPr>
                <w:rFonts w:ascii="Arial" w:hAnsi="Arial" w:cs="Arial"/>
                <w:i/>
                <w:iCs/>
              </w:rPr>
              <w:t xml:space="preserve">warded </w:t>
            </w:r>
            <w:r w:rsidR="009242FE" w:rsidRPr="00701F1E">
              <w:rPr>
                <w:rFonts w:ascii="Arial" w:hAnsi="Arial" w:cs="Arial"/>
                <w:i/>
                <w:iCs/>
              </w:rPr>
              <w:t xml:space="preserve">during the reporting </w:t>
            </w:r>
            <w:r w:rsidR="00685FD8" w:rsidRPr="00701F1E">
              <w:rPr>
                <w:rFonts w:ascii="Arial" w:hAnsi="Arial" w:cs="Arial"/>
                <w:i/>
                <w:iCs/>
              </w:rPr>
              <w:t>period (</w:t>
            </w:r>
            <w:r w:rsidR="00F96386" w:rsidRPr="00701F1E">
              <w:rPr>
                <w:rFonts w:ascii="Arial" w:hAnsi="Arial" w:cs="Arial"/>
                <w:i/>
                <w:iCs/>
              </w:rPr>
              <w:t>such as the issue of performance</w:t>
            </w:r>
            <w:r w:rsidR="00EB5A91">
              <w:rPr>
                <w:rFonts w:ascii="Arial" w:hAnsi="Arial" w:cs="Arial"/>
                <w:i/>
                <w:iCs/>
              </w:rPr>
              <w:t xml:space="preserve"> share</w:t>
            </w:r>
            <w:r w:rsidR="00F96386" w:rsidRPr="00701F1E">
              <w:rPr>
                <w:rFonts w:ascii="Arial" w:hAnsi="Arial" w:cs="Arial"/>
                <w:i/>
                <w:iCs/>
              </w:rPr>
              <w:t xml:space="preserve"> rights</w:t>
            </w:r>
            <w:r w:rsidR="00EB5A91">
              <w:rPr>
                <w:rFonts w:ascii="Arial" w:hAnsi="Arial" w:cs="Arial"/>
                <w:i/>
                <w:iCs/>
              </w:rPr>
              <w:t xml:space="preserve"> (</w:t>
            </w:r>
            <w:r w:rsidR="00EB5A91">
              <w:rPr>
                <w:rFonts w:ascii="Arial" w:hAnsi="Arial" w:cs="Arial"/>
                <w:b/>
                <w:bCs/>
                <w:i/>
                <w:iCs/>
              </w:rPr>
              <w:t>PS</w:t>
            </w:r>
            <w:r w:rsidR="00786BC7">
              <w:rPr>
                <w:rFonts w:ascii="Arial" w:hAnsi="Arial" w:cs="Arial"/>
                <w:b/>
                <w:bCs/>
                <w:i/>
                <w:iCs/>
              </w:rPr>
              <w:t>R</w:t>
            </w:r>
            <w:r w:rsidR="00EB5A91">
              <w:rPr>
                <w:rFonts w:ascii="Arial" w:hAnsi="Arial" w:cs="Arial"/>
                <w:b/>
                <w:bCs/>
                <w:i/>
                <w:iCs/>
              </w:rPr>
              <w:t>s</w:t>
            </w:r>
            <w:r w:rsidR="00EB5A91">
              <w:rPr>
                <w:rFonts w:ascii="Arial" w:hAnsi="Arial" w:cs="Arial"/>
                <w:i/>
                <w:iCs/>
              </w:rPr>
              <w:t>)</w:t>
            </w:r>
            <w:r w:rsidR="00F96386" w:rsidRPr="00701F1E">
              <w:rPr>
                <w:rFonts w:ascii="Arial" w:hAnsi="Arial" w:cs="Arial"/>
                <w:i/>
                <w:iCs/>
              </w:rPr>
              <w:t xml:space="preserve">) </w:t>
            </w:r>
            <w:r w:rsidR="00DB4600" w:rsidRPr="00701F1E">
              <w:rPr>
                <w:rFonts w:ascii="Arial" w:hAnsi="Arial" w:cs="Arial"/>
                <w:i/>
                <w:iCs/>
              </w:rPr>
              <w:t>by the board</w:t>
            </w:r>
            <w:r w:rsidR="003E067B" w:rsidRPr="00701F1E">
              <w:rPr>
                <w:rFonts w:ascii="Arial" w:hAnsi="Arial" w:cs="Arial"/>
                <w:i/>
                <w:iCs/>
              </w:rPr>
              <w:t>.</w:t>
            </w:r>
            <w:r w:rsidR="005E3DB0" w:rsidRPr="00701F1E">
              <w:rPr>
                <w:rFonts w:ascii="Arial" w:hAnsi="Arial" w:cs="Arial"/>
                <w:i/>
                <w:iCs/>
              </w:rPr>
              <w:t xml:space="preserve"> </w:t>
            </w:r>
            <w:r w:rsidR="003E067B" w:rsidRPr="00701F1E">
              <w:rPr>
                <w:rFonts w:ascii="Arial" w:hAnsi="Arial" w:cs="Arial"/>
                <w:i/>
                <w:iCs/>
              </w:rPr>
              <w:t xml:space="preserve">This should disclose the </w:t>
            </w:r>
            <w:r w:rsidR="00EB5A91">
              <w:rPr>
                <w:rFonts w:ascii="Arial" w:hAnsi="Arial" w:cs="Arial"/>
                <w:i/>
                <w:iCs/>
              </w:rPr>
              <w:t xml:space="preserve">Securities </w:t>
            </w:r>
            <w:r w:rsidR="007A569A" w:rsidRPr="00701F1E">
              <w:rPr>
                <w:rFonts w:ascii="Arial" w:hAnsi="Arial" w:cs="Arial"/>
                <w:i/>
                <w:iCs/>
              </w:rPr>
              <w:t>A</w:t>
            </w:r>
            <w:r w:rsidR="003E067B" w:rsidRPr="00701F1E">
              <w:rPr>
                <w:rFonts w:ascii="Arial" w:hAnsi="Arial" w:cs="Arial"/>
                <w:i/>
                <w:iCs/>
              </w:rPr>
              <w:t xml:space="preserve">warded </w:t>
            </w:r>
            <w:r w:rsidR="00EB5A91">
              <w:rPr>
                <w:rFonts w:ascii="Arial" w:hAnsi="Arial" w:cs="Arial"/>
                <w:i/>
                <w:iCs/>
              </w:rPr>
              <w:t>during</w:t>
            </w:r>
            <w:r w:rsidR="003E067B" w:rsidRPr="00701F1E">
              <w:rPr>
                <w:rFonts w:ascii="Arial" w:hAnsi="Arial" w:cs="Arial"/>
                <w:i/>
                <w:iCs/>
              </w:rPr>
              <w:t xml:space="preserve"> the reporting period</w:t>
            </w:r>
            <w:r w:rsidR="00420C0F" w:rsidRPr="00701F1E">
              <w:rPr>
                <w:rFonts w:ascii="Arial" w:hAnsi="Arial" w:cs="Arial"/>
                <w:i/>
                <w:iCs/>
              </w:rPr>
              <w:t xml:space="preserve">, </w:t>
            </w:r>
            <w:r w:rsidR="00DB4600" w:rsidRPr="00701F1E">
              <w:rPr>
                <w:rFonts w:ascii="Arial" w:hAnsi="Arial" w:cs="Arial"/>
                <w:i/>
                <w:iCs/>
              </w:rPr>
              <w:t>regardless of whe</w:t>
            </w:r>
            <w:r w:rsidR="005E3DB0" w:rsidRPr="00701F1E">
              <w:rPr>
                <w:rFonts w:ascii="Arial" w:hAnsi="Arial" w:cs="Arial"/>
                <w:i/>
                <w:iCs/>
              </w:rPr>
              <w:t xml:space="preserve">ther </w:t>
            </w:r>
            <w:r w:rsidR="00AF39BA" w:rsidRPr="00701F1E">
              <w:rPr>
                <w:rFonts w:ascii="Arial" w:hAnsi="Arial" w:cs="Arial"/>
                <w:i/>
                <w:iCs/>
              </w:rPr>
              <w:t>V</w:t>
            </w:r>
            <w:r w:rsidR="005E3DB0" w:rsidRPr="00701F1E">
              <w:rPr>
                <w:rFonts w:ascii="Arial" w:hAnsi="Arial" w:cs="Arial"/>
                <w:i/>
                <w:iCs/>
              </w:rPr>
              <w:t xml:space="preserve">esting </w:t>
            </w:r>
            <w:r w:rsidR="00420C0F" w:rsidRPr="00701F1E">
              <w:rPr>
                <w:rFonts w:ascii="Arial" w:hAnsi="Arial" w:cs="Arial"/>
                <w:i/>
                <w:iCs/>
              </w:rPr>
              <w:t>or the issue/transfer of Securities</w:t>
            </w:r>
            <w:r w:rsidR="005E3DB0" w:rsidRPr="00701F1E">
              <w:rPr>
                <w:rFonts w:ascii="Arial" w:hAnsi="Arial" w:cs="Arial"/>
                <w:i/>
                <w:iCs/>
              </w:rPr>
              <w:t xml:space="preserve"> </w:t>
            </w:r>
            <w:r w:rsidR="00EB5A91">
              <w:rPr>
                <w:rFonts w:ascii="Arial" w:hAnsi="Arial" w:cs="Arial"/>
                <w:i/>
                <w:iCs/>
              </w:rPr>
              <w:t xml:space="preserve">following Vesting </w:t>
            </w:r>
            <w:r w:rsidR="005E3DB0" w:rsidRPr="00701F1E">
              <w:rPr>
                <w:rFonts w:ascii="Arial" w:hAnsi="Arial" w:cs="Arial"/>
                <w:i/>
                <w:iCs/>
              </w:rPr>
              <w:t>occurred during the reporting period</w:t>
            </w:r>
            <w:r w:rsidR="003E067B" w:rsidRPr="00701F1E">
              <w:rPr>
                <w:rFonts w:ascii="Arial" w:hAnsi="Arial" w:cs="Arial"/>
                <w:i/>
                <w:iCs/>
              </w:rPr>
              <w:t>. These amounts will be at risk</w:t>
            </w:r>
            <w:r w:rsidR="00420C0F" w:rsidRPr="00701F1E">
              <w:rPr>
                <w:rFonts w:ascii="Arial" w:hAnsi="Arial" w:cs="Arial"/>
                <w:i/>
                <w:iCs/>
              </w:rPr>
              <w:t xml:space="preserve"> </w:t>
            </w:r>
            <w:r w:rsidR="003E067B" w:rsidRPr="00701F1E">
              <w:rPr>
                <w:rFonts w:ascii="Arial" w:hAnsi="Arial" w:cs="Arial"/>
                <w:i/>
                <w:iCs/>
              </w:rPr>
              <w:t>(subject to performance hurdles</w:t>
            </w:r>
            <w:r w:rsidR="00F96386" w:rsidRPr="00701F1E">
              <w:rPr>
                <w:rFonts w:ascii="Arial" w:hAnsi="Arial" w:cs="Arial"/>
                <w:i/>
                <w:iCs/>
              </w:rPr>
              <w:t>)</w:t>
            </w:r>
            <w:r w:rsidR="003E067B" w:rsidRPr="00701F1E">
              <w:rPr>
                <w:rFonts w:ascii="Arial" w:hAnsi="Arial" w:cs="Arial"/>
                <w:i/>
                <w:iCs/>
              </w:rPr>
              <w:t>.</w:t>
            </w:r>
            <w:r w:rsidR="007A569A" w:rsidRPr="00701F1E">
              <w:rPr>
                <w:rFonts w:ascii="Arial" w:hAnsi="Arial" w:cs="Arial"/>
                <w:i/>
                <w:iCs/>
              </w:rPr>
              <w:t xml:space="preserve"> </w:t>
            </w:r>
            <w:r w:rsidR="003E067B" w:rsidRPr="00701F1E">
              <w:rPr>
                <w:rFonts w:ascii="Arial" w:hAnsi="Arial" w:cs="Arial"/>
                <w:i/>
                <w:iCs/>
              </w:rPr>
              <w:t xml:space="preserve">The </w:t>
            </w:r>
            <w:r w:rsidR="00AF39BA" w:rsidRPr="00701F1E">
              <w:rPr>
                <w:rFonts w:ascii="Arial" w:hAnsi="Arial" w:cs="Arial"/>
                <w:i/>
                <w:iCs/>
              </w:rPr>
              <w:t>V</w:t>
            </w:r>
            <w:r w:rsidR="00420C0F" w:rsidRPr="00701F1E">
              <w:rPr>
                <w:rFonts w:ascii="Arial" w:hAnsi="Arial" w:cs="Arial"/>
                <w:i/>
                <w:iCs/>
              </w:rPr>
              <w:t xml:space="preserve">esting </w:t>
            </w:r>
            <w:r w:rsidR="00AF39BA" w:rsidRPr="00701F1E">
              <w:rPr>
                <w:rFonts w:ascii="Arial" w:hAnsi="Arial" w:cs="Arial"/>
                <w:i/>
                <w:iCs/>
              </w:rPr>
              <w:t>P</w:t>
            </w:r>
            <w:r w:rsidR="00420C0F" w:rsidRPr="00701F1E">
              <w:rPr>
                <w:rFonts w:ascii="Arial" w:hAnsi="Arial" w:cs="Arial"/>
                <w:i/>
                <w:iCs/>
              </w:rPr>
              <w:t xml:space="preserve">eriod in respect of any such </w:t>
            </w:r>
            <w:r w:rsidR="00E33DD2" w:rsidRPr="00701F1E">
              <w:rPr>
                <w:rFonts w:ascii="Arial" w:hAnsi="Arial" w:cs="Arial"/>
                <w:i/>
                <w:iCs/>
              </w:rPr>
              <w:t>A</w:t>
            </w:r>
            <w:r w:rsidR="00420C0F" w:rsidRPr="00701F1E">
              <w:rPr>
                <w:rFonts w:ascii="Arial" w:hAnsi="Arial" w:cs="Arial"/>
                <w:i/>
                <w:iCs/>
              </w:rPr>
              <w:t>wards</w:t>
            </w:r>
            <w:r w:rsidR="003E067B" w:rsidRPr="00701F1E">
              <w:rPr>
                <w:rFonts w:ascii="Arial" w:hAnsi="Arial" w:cs="Arial"/>
                <w:i/>
                <w:iCs/>
              </w:rPr>
              <w:t xml:space="preserve"> should also be disclosed</w:t>
            </w:r>
            <w:r w:rsidR="00EB5A91">
              <w:rPr>
                <w:rFonts w:ascii="Arial" w:hAnsi="Arial" w:cs="Arial"/>
                <w:i/>
                <w:iCs/>
              </w:rPr>
              <w:t>.</w:t>
            </w:r>
          </w:p>
          <w:p w14:paraId="10218452" w14:textId="594DE766" w:rsidR="00F96386" w:rsidRPr="00701F1E" w:rsidRDefault="00F96386" w:rsidP="00BE1E7C">
            <w:pPr>
              <w:pStyle w:val="ListParagraph"/>
              <w:numPr>
                <w:ilvl w:val="0"/>
                <w:numId w:val="15"/>
              </w:numPr>
              <w:spacing w:before="60" w:after="60"/>
              <w:ind w:left="460"/>
              <w:contextualSpacing w:val="0"/>
              <w:rPr>
                <w:rFonts w:ascii="Arial" w:hAnsi="Arial" w:cs="Arial"/>
                <w:i/>
                <w:iCs/>
              </w:rPr>
            </w:pPr>
            <w:r w:rsidRPr="00701F1E">
              <w:rPr>
                <w:rFonts w:ascii="Arial" w:hAnsi="Arial" w:cs="Arial"/>
                <w:i/>
                <w:iCs/>
              </w:rPr>
              <w:t xml:space="preserve">the number and market price (as at the later of the </w:t>
            </w:r>
            <w:r w:rsidR="00AF39BA" w:rsidRPr="00701F1E">
              <w:rPr>
                <w:rFonts w:ascii="Arial" w:hAnsi="Arial" w:cs="Arial"/>
                <w:i/>
                <w:iCs/>
              </w:rPr>
              <w:t>V</w:t>
            </w:r>
            <w:r w:rsidRPr="00701F1E">
              <w:rPr>
                <w:rFonts w:ascii="Arial" w:hAnsi="Arial" w:cs="Arial"/>
                <w:i/>
                <w:iCs/>
              </w:rPr>
              <w:t>esting</w:t>
            </w:r>
            <w:r w:rsidR="00AF39BA" w:rsidRPr="00701F1E">
              <w:rPr>
                <w:rFonts w:ascii="Arial" w:hAnsi="Arial" w:cs="Arial"/>
                <w:i/>
                <w:iCs/>
              </w:rPr>
              <w:t xml:space="preserve"> Date</w:t>
            </w:r>
            <w:r w:rsidRPr="00701F1E">
              <w:rPr>
                <w:rFonts w:ascii="Arial" w:hAnsi="Arial" w:cs="Arial"/>
                <w:i/>
                <w:iCs/>
              </w:rPr>
              <w:t xml:space="preserve"> or issue/transfer</w:t>
            </w:r>
            <w:r w:rsidR="00AF39BA" w:rsidRPr="00701F1E">
              <w:rPr>
                <w:rFonts w:ascii="Arial" w:hAnsi="Arial" w:cs="Arial"/>
                <w:i/>
                <w:iCs/>
              </w:rPr>
              <w:t xml:space="preserve"> date</w:t>
            </w:r>
            <w:r w:rsidRPr="00701F1E">
              <w:rPr>
                <w:rFonts w:ascii="Arial" w:hAnsi="Arial" w:cs="Arial"/>
                <w:i/>
                <w:iCs/>
              </w:rPr>
              <w:t xml:space="preserve">) of any Securities that </w:t>
            </w:r>
            <w:r w:rsidR="00AF39BA" w:rsidRPr="00701F1E">
              <w:rPr>
                <w:rFonts w:ascii="Arial" w:hAnsi="Arial" w:cs="Arial"/>
                <w:i/>
                <w:iCs/>
              </w:rPr>
              <w:t>V</w:t>
            </w:r>
            <w:r w:rsidRPr="00701F1E">
              <w:rPr>
                <w:rFonts w:ascii="Arial" w:hAnsi="Arial" w:cs="Arial"/>
                <w:i/>
                <w:iCs/>
              </w:rPr>
              <w:t>ested</w:t>
            </w:r>
            <w:r w:rsidR="009242FE" w:rsidRPr="00701F1E">
              <w:rPr>
                <w:rFonts w:ascii="Arial" w:hAnsi="Arial" w:cs="Arial"/>
                <w:i/>
                <w:iCs/>
              </w:rPr>
              <w:t xml:space="preserve"> (such as </w:t>
            </w:r>
            <w:r w:rsidR="00786BC7">
              <w:rPr>
                <w:rFonts w:ascii="Arial" w:hAnsi="Arial" w:cs="Arial"/>
                <w:i/>
                <w:iCs/>
              </w:rPr>
              <w:t>PSRs</w:t>
            </w:r>
            <w:r w:rsidR="009242FE" w:rsidRPr="00701F1E">
              <w:rPr>
                <w:rFonts w:ascii="Arial" w:hAnsi="Arial" w:cs="Arial"/>
                <w:i/>
                <w:iCs/>
              </w:rPr>
              <w:t>)</w:t>
            </w:r>
            <w:r w:rsidRPr="00701F1E">
              <w:rPr>
                <w:rFonts w:ascii="Arial" w:hAnsi="Arial" w:cs="Arial"/>
                <w:i/>
                <w:iCs/>
              </w:rPr>
              <w:t xml:space="preserve"> or were issued/transferred</w:t>
            </w:r>
            <w:r w:rsidR="00EB5A91">
              <w:rPr>
                <w:rFonts w:ascii="Arial" w:hAnsi="Arial" w:cs="Arial"/>
                <w:i/>
                <w:iCs/>
              </w:rPr>
              <w:t xml:space="preserve"> following Vesting</w:t>
            </w:r>
            <w:r w:rsidRPr="00701F1E">
              <w:rPr>
                <w:rFonts w:ascii="Arial" w:hAnsi="Arial" w:cs="Arial"/>
                <w:i/>
                <w:iCs/>
              </w:rPr>
              <w:t xml:space="preserve"> </w:t>
            </w:r>
            <w:r w:rsidR="009242FE" w:rsidRPr="00701F1E">
              <w:rPr>
                <w:rFonts w:ascii="Arial" w:hAnsi="Arial" w:cs="Arial"/>
                <w:i/>
                <w:iCs/>
              </w:rPr>
              <w:t xml:space="preserve">(such as shares that were issued on the conversion of a </w:t>
            </w:r>
            <w:r w:rsidR="00A037B2">
              <w:rPr>
                <w:rFonts w:ascii="Arial" w:hAnsi="Arial" w:cs="Arial"/>
                <w:i/>
                <w:iCs/>
              </w:rPr>
              <w:t>PSR</w:t>
            </w:r>
            <w:r w:rsidR="00685FD8" w:rsidRPr="00701F1E">
              <w:rPr>
                <w:rFonts w:ascii="Arial" w:hAnsi="Arial" w:cs="Arial"/>
                <w:i/>
                <w:iCs/>
              </w:rPr>
              <w:t xml:space="preserve"> or</w:t>
            </w:r>
            <w:r w:rsidR="009242FE" w:rsidRPr="00701F1E">
              <w:rPr>
                <w:rFonts w:ascii="Arial" w:hAnsi="Arial" w:cs="Arial"/>
                <w:i/>
                <w:iCs/>
              </w:rPr>
              <w:t xml:space="preserve"> transferred from a reserve) </w:t>
            </w:r>
            <w:r w:rsidRPr="00701F1E">
              <w:rPr>
                <w:rFonts w:ascii="Arial" w:hAnsi="Arial" w:cs="Arial"/>
                <w:i/>
                <w:iCs/>
              </w:rPr>
              <w:t>during the reporting period (even where those amounts do not relate to performance in the reporting period)</w:t>
            </w:r>
            <w:r w:rsidR="00C122F6">
              <w:rPr>
                <w:rFonts w:ascii="Arial" w:hAnsi="Arial" w:cs="Arial"/>
                <w:i/>
                <w:iCs/>
              </w:rPr>
              <w:t>.</w:t>
            </w:r>
          </w:p>
          <w:p w14:paraId="12499501" w14:textId="1BD79298" w:rsidR="003E067B" w:rsidRPr="00701F1E" w:rsidRDefault="0077215F" w:rsidP="00BE1E7C">
            <w:pPr>
              <w:pStyle w:val="ListParagraph"/>
              <w:numPr>
                <w:ilvl w:val="0"/>
                <w:numId w:val="15"/>
              </w:numPr>
              <w:spacing w:before="60" w:after="60"/>
              <w:ind w:left="460"/>
              <w:contextualSpacing w:val="0"/>
              <w:rPr>
                <w:rFonts w:ascii="Arial" w:hAnsi="Arial" w:cs="Arial"/>
                <w:i/>
                <w:iCs/>
              </w:rPr>
            </w:pPr>
            <w:r w:rsidRPr="00701F1E">
              <w:rPr>
                <w:rFonts w:ascii="Arial" w:hAnsi="Arial" w:cs="Arial"/>
                <w:i/>
                <w:iCs/>
              </w:rPr>
              <w:t>Securities</w:t>
            </w:r>
            <w:r w:rsidR="003E067B" w:rsidRPr="00701F1E">
              <w:rPr>
                <w:rFonts w:ascii="Arial" w:hAnsi="Arial" w:cs="Arial"/>
                <w:i/>
                <w:iCs/>
              </w:rPr>
              <w:t xml:space="preserve"> </w:t>
            </w:r>
            <w:r w:rsidRPr="00701F1E">
              <w:rPr>
                <w:rFonts w:ascii="Arial" w:hAnsi="Arial" w:cs="Arial"/>
                <w:i/>
                <w:iCs/>
              </w:rPr>
              <w:t xml:space="preserve">(such as </w:t>
            </w:r>
            <w:r w:rsidR="00786BC7">
              <w:rPr>
                <w:rFonts w:ascii="Arial" w:hAnsi="Arial" w:cs="Arial"/>
                <w:i/>
                <w:iCs/>
              </w:rPr>
              <w:t>PSRs</w:t>
            </w:r>
            <w:r w:rsidRPr="00701F1E">
              <w:rPr>
                <w:rFonts w:ascii="Arial" w:hAnsi="Arial" w:cs="Arial"/>
                <w:i/>
                <w:iCs/>
              </w:rPr>
              <w:t xml:space="preserve">) </w:t>
            </w:r>
            <w:r w:rsidR="003E067B" w:rsidRPr="00701F1E">
              <w:rPr>
                <w:rFonts w:ascii="Arial" w:hAnsi="Arial" w:cs="Arial"/>
                <w:i/>
                <w:iCs/>
              </w:rPr>
              <w:t xml:space="preserve">which have lapsed since the end of </w:t>
            </w:r>
            <w:r w:rsidR="00F96386" w:rsidRPr="00701F1E">
              <w:rPr>
                <w:rFonts w:ascii="Arial" w:hAnsi="Arial" w:cs="Arial"/>
                <w:i/>
                <w:iCs/>
              </w:rPr>
              <w:t>the last</w:t>
            </w:r>
            <w:r w:rsidR="003E067B" w:rsidRPr="00701F1E">
              <w:rPr>
                <w:rFonts w:ascii="Arial" w:hAnsi="Arial" w:cs="Arial"/>
                <w:i/>
                <w:iCs/>
              </w:rPr>
              <w:t xml:space="preserve"> reporting period. </w:t>
            </w:r>
          </w:p>
          <w:p w14:paraId="12DE41B6" w14:textId="7615BC8E" w:rsidR="00890F71" w:rsidRPr="00701F1E" w:rsidRDefault="00890F71" w:rsidP="00BE1E7C">
            <w:pPr>
              <w:spacing w:before="60" w:after="60"/>
              <w:rPr>
                <w:rFonts w:ascii="Arial" w:hAnsi="Arial" w:cs="Arial"/>
                <w:i/>
                <w:iCs/>
              </w:rPr>
            </w:pPr>
            <w:r w:rsidRPr="00701F1E">
              <w:rPr>
                <w:rFonts w:ascii="Arial" w:hAnsi="Arial" w:cs="Arial"/>
                <w:i/>
                <w:iCs/>
              </w:rPr>
              <w:lastRenderedPageBreak/>
              <w:t>In relation to the disclosure of market price, issuers may elect to use a value that they consider best reflects the current market price of the Securities, which may be based on VWAP or other considerations. Issuers should clearly disclose the basis on which the market price has been assessed.</w:t>
            </w:r>
            <w:r w:rsidR="007A569A" w:rsidRPr="00701F1E">
              <w:rPr>
                <w:rFonts w:ascii="Arial" w:hAnsi="Arial" w:cs="Arial"/>
                <w:i/>
                <w:iCs/>
              </w:rPr>
              <w:t xml:space="preserve"> An issuer should not make assumptions as to the likelihood of performance hurdles being met when disclosing the amounts that have been Awarded.</w:t>
            </w:r>
          </w:p>
          <w:p w14:paraId="2C579AAA" w14:textId="0062A7CB" w:rsidR="005E3DB0" w:rsidRPr="00701F1E" w:rsidRDefault="005E3DB0" w:rsidP="00BE1E7C">
            <w:pPr>
              <w:spacing w:before="60" w:after="60"/>
              <w:rPr>
                <w:rFonts w:ascii="Arial" w:hAnsi="Arial" w:cs="Arial"/>
                <w:i/>
                <w:iCs/>
              </w:rPr>
            </w:pPr>
            <w:r w:rsidRPr="00701F1E">
              <w:rPr>
                <w:rFonts w:ascii="Arial" w:hAnsi="Arial" w:cs="Arial"/>
                <w:i/>
                <w:iCs/>
              </w:rPr>
              <w:t xml:space="preserve">In relation to disclosures of performance hurdles, </w:t>
            </w:r>
            <w:r w:rsidR="00EE7C05" w:rsidRPr="00701F1E">
              <w:rPr>
                <w:rFonts w:ascii="Arial" w:hAnsi="Arial" w:cs="Arial"/>
                <w:i/>
                <w:iCs/>
              </w:rPr>
              <w:t>i</w:t>
            </w:r>
            <w:r w:rsidRPr="00701F1E">
              <w:rPr>
                <w:rFonts w:ascii="Arial" w:hAnsi="Arial" w:cs="Arial"/>
                <w:i/>
                <w:iCs/>
              </w:rPr>
              <w:t xml:space="preserve">ssuers should </w:t>
            </w:r>
            <w:r w:rsidR="00CA1420" w:rsidRPr="00701F1E">
              <w:rPr>
                <w:rFonts w:ascii="Arial" w:hAnsi="Arial" w:cs="Arial"/>
                <w:i/>
                <w:iCs/>
              </w:rPr>
              <w:t>explain the</w:t>
            </w:r>
            <w:r w:rsidRPr="00701F1E">
              <w:rPr>
                <w:rFonts w:ascii="Arial" w:hAnsi="Arial" w:cs="Arial"/>
                <w:i/>
                <w:iCs/>
              </w:rPr>
              <w:t xml:space="preserve"> nature of the hurdle</w:t>
            </w:r>
            <w:r w:rsidR="00EE7C05" w:rsidRPr="00701F1E">
              <w:rPr>
                <w:rFonts w:ascii="Arial" w:hAnsi="Arial" w:cs="Arial"/>
                <w:i/>
                <w:iCs/>
              </w:rPr>
              <w:t>.</w:t>
            </w:r>
            <w:r w:rsidRPr="00701F1E">
              <w:rPr>
                <w:rFonts w:ascii="Arial" w:hAnsi="Arial" w:cs="Arial"/>
                <w:i/>
                <w:iCs/>
              </w:rPr>
              <w:t xml:space="preserve"> For example: if a financial performance hurdle applies issuers should briefly explain what metric has been used to measure performance (</w:t>
            </w:r>
            <w:r w:rsidR="00EE7C05" w:rsidRPr="00701F1E">
              <w:rPr>
                <w:rFonts w:ascii="Arial" w:hAnsi="Arial" w:cs="Arial"/>
                <w:i/>
                <w:iCs/>
              </w:rPr>
              <w:t xml:space="preserve">e.g., </w:t>
            </w:r>
            <w:r w:rsidR="00EB5A91">
              <w:rPr>
                <w:rFonts w:ascii="Arial" w:hAnsi="Arial" w:cs="Arial"/>
                <w:i/>
                <w:iCs/>
              </w:rPr>
              <w:t>absolute TSR</w:t>
            </w:r>
            <w:r w:rsidRPr="00701F1E">
              <w:rPr>
                <w:rFonts w:ascii="Arial" w:hAnsi="Arial" w:cs="Arial"/>
                <w:i/>
                <w:iCs/>
              </w:rPr>
              <w:t xml:space="preserve">, </w:t>
            </w:r>
            <w:r w:rsidR="00EB5A91">
              <w:rPr>
                <w:rFonts w:ascii="Arial" w:hAnsi="Arial" w:cs="Arial"/>
                <w:i/>
                <w:iCs/>
              </w:rPr>
              <w:t>relative TSR, EPS</w:t>
            </w:r>
            <w:r w:rsidR="00702E4E" w:rsidRPr="00701F1E">
              <w:rPr>
                <w:rFonts w:ascii="Arial" w:hAnsi="Arial" w:cs="Arial"/>
                <w:i/>
                <w:iCs/>
              </w:rPr>
              <w:t>, reported</w:t>
            </w:r>
            <w:r w:rsidRPr="00701F1E">
              <w:rPr>
                <w:rFonts w:ascii="Arial" w:hAnsi="Arial" w:cs="Arial"/>
                <w:i/>
                <w:iCs/>
              </w:rPr>
              <w:t xml:space="preserve"> revenue etc)</w:t>
            </w:r>
            <w:r w:rsidR="007D7E5A" w:rsidRPr="00701F1E">
              <w:rPr>
                <w:rFonts w:ascii="Arial" w:hAnsi="Arial" w:cs="Arial"/>
                <w:i/>
                <w:iCs/>
              </w:rPr>
              <w:t>. The weight of the performance hurdle should also be disclosed.</w:t>
            </w:r>
            <w:r w:rsidRPr="00701F1E">
              <w:rPr>
                <w:rFonts w:ascii="Arial" w:hAnsi="Arial" w:cs="Arial"/>
                <w:i/>
                <w:iCs/>
              </w:rPr>
              <w:t xml:space="preserve"> </w:t>
            </w:r>
            <w:r w:rsidR="007D7E5A" w:rsidRPr="00701F1E">
              <w:rPr>
                <w:rFonts w:ascii="Arial" w:hAnsi="Arial" w:cs="Arial"/>
                <w:i/>
                <w:iCs/>
              </w:rPr>
              <w:t>However, issuers</w:t>
            </w:r>
            <w:r w:rsidR="00701F1E">
              <w:rPr>
                <w:rFonts w:ascii="Arial" w:hAnsi="Arial" w:cs="Arial"/>
                <w:i/>
                <w:iCs/>
              </w:rPr>
              <w:t xml:space="preserve"> </w:t>
            </w:r>
            <w:r w:rsidRPr="00701F1E">
              <w:rPr>
                <w:rFonts w:ascii="Arial" w:hAnsi="Arial" w:cs="Arial"/>
                <w:i/>
                <w:iCs/>
              </w:rPr>
              <w:t xml:space="preserve">do not need to </w:t>
            </w:r>
            <w:r w:rsidR="00EE7C05" w:rsidRPr="00701F1E">
              <w:rPr>
                <w:rFonts w:ascii="Arial" w:hAnsi="Arial" w:cs="Arial"/>
                <w:i/>
                <w:iCs/>
              </w:rPr>
              <w:t>disclose</w:t>
            </w:r>
            <w:r w:rsidRPr="00701F1E">
              <w:rPr>
                <w:rFonts w:ascii="Arial" w:hAnsi="Arial" w:cs="Arial"/>
                <w:i/>
                <w:iCs/>
              </w:rPr>
              <w:t xml:space="preserve"> </w:t>
            </w:r>
            <w:r w:rsidR="004F26AF" w:rsidRPr="00701F1E">
              <w:rPr>
                <w:rFonts w:ascii="Arial" w:hAnsi="Arial" w:cs="Arial"/>
                <w:i/>
                <w:iCs/>
              </w:rPr>
              <w:t xml:space="preserve">any commercially sensitive information which relates to </w:t>
            </w:r>
            <w:r w:rsidRPr="00701F1E">
              <w:rPr>
                <w:rFonts w:ascii="Arial" w:hAnsi="Arial" w:cs="Arial"/>
                <w:i/>
                <w:iCs/>
              </w:rPr>
              <w:t xml:space="preserve">the thresholds </w:t>
            </w:r>
            <w:r w:rsidR="00CA1420" w:rsidRPr="00701F1E">
              <w:rPr>
                <w:rFonts w:ascii="Arial" w:hAnsi="Arial" w:cs="Arial"/>
                <w:i/>
                <w:iCs/>
              </w:rPr>
              <w:t>for the</w:t>
            </w:r>
            <w:r w:rsidRPr="00701F1E">
              <w:rPr>
                <w:rFonts w:ascii="Arial" w:hAnsi="Arial" w:cs="Arial"/>
                <w:i/>
                <w:iCs/>
              </w:rPr>
              <w:t xml:space="preserve"> performance </w:t>
            </w:r>
            <w:r w:rsidR="00EB5A91">
              <w:rPr>
                <w:rFonts w:ascii="Arial" w:hAnsi="Arial" w:cs="Arial"/>
                <w:i/>
                <w:iCs/>
              </w:rPr>
              <w:t>hurdle</w:t>
            </w:r>
            <w:r w:rsidRPr="00701F1E">
              <w:rPr>
                <w:rFonts w:ascii="Arial" w:hAnsi="Arial" w:cs="Arial"/>
                <w:i/>
                <w:iCs/>
              </w:rPr>
              <w:t xml:space="preserve"> </w:t>
            </w:r>
            <w:r w:rsidR="00E65304" w:rsidRPr="00701F1E">
              <w:rPr>
                <w:rFonts w:ascii="Arial" w:hAnsi="Arial" w:cs="Arial"/>
                <w:i/>
                <w:iCs/>
              </w:rPr>
              <w:t xml:space="preserve">to </w:t>
            </w:r>
            <w:r w:rsidRPr="00701F1E">
              <w:rPr>
                <w:rFonts w:ascii="Arial" w:hAnsi="Arial" w:cs="Arial"/>
                <w:i/>
                <w:iCs/>
              </w:rPr>
              <w:t>be satisfied.</w:t>
            </w:r>
            <w:r w:rsidR="007D7E5A" w:rsidRPr="00701F1E">
              <w:rPr>
                <w:rFonts w:ascii="Arial" w:hAnsi="Arial" w:cs="Arial"/>
                <w:i/>
                <w:iCs/>
              </w:rPr>
              <w:t xml:space="preserve"> </w:t>
            </w:r>
          </w:p>
          <w:p w14:paraId="3E4F332B" w14:textId="29EF5681" w:rsidR="00AB4BC5" w:rsidRPr="00701F1E" w:rsidRDefault="00514444" w:rsidP="00BE1E7C">
            <w:pPr>
              <w:spacing w:before="60" w:after="60"/>
              <w:rPr>
                <w:rFonts w:ascii="Arial" w:hAnsi="Arial" w:cs="Arial"/>
                <w:i/>
                <w:iCs/>
              </w:rPr>
            </w:pPr>
            <w:r w:rsidRPr="00701F1E">
              <w:rPr>
                <w:rFonts w:ascii="Arial" w:hAnsi="Arial" w:cs="Arial"/>
                <w:i/>
                <w:iCs/>
              </w:rPr>
              <w:t xml:space="preserve">An alternative approach may be the disclosure of </w:t>
            </w:r>
            <w:r w:rsidR="00985FFC" w:rsidRPr="00701F1E">
              <w:rPr>
                <w:rFonts w:ascii="Arial" w:hAnsi="Arial" w:cs="Arial"/>
                <w:i/>
                <w:iCs/>
              </w:rPr>
              <w:t xml:space="preserve">thematic </w:t>
            </w:r>
            <w:r w:rsidR="003704C8" w:rsidRPr="00701F1E">
              <w:rPr>
                <w:rFonts w:ascii="Arial" w:hAnsi="Arial" w:cs="Arial"/>
                <w:i/>
                <w:iCs/>
              </w:rPr>
              <w:t xml:space="preserve">target </w:t>
            </w:r>
            <w:r w:rsidRPr="00701F1E">
              <w:rPr>
                <w:rFonts w:ascii="Arial" w:hAnsi="Arial" w:cs="Arial"/>
                <w:i/>
                <w:iCs/>
              </w:rPr>
              <w:t>metric groups</w:t>
            </w:r>
            <w:r w:rsidR="00985FFC" w:rsidRPr="00701F1E">
              <w:rPr>
                <w:rFonts w:ascii="Arial" w:hAnsi="Arial" w:cs="Arial"/>
                <w:i/>
                <w:iCs/>
              </w:rPr>
              <w:t>, particularly in relation to ESG type metrics</w:t>
            </w:r>
            <w:r w:rsidRPr="00701F1E">
              <w:rPr>
                <w:rFonts w:ascii="Arial" w:hAnsi="Arial" w:cs="Arial"/>
                <w:i/>
                <w:iCs/>
              </w:rPr>
              <w:t xml:space="preserve"> rather than specific metrics, the level of achieved described </w:t>
            </w:r>
            <w:r w:rsidR="003704C8" w:rsidRPr="00701F1E">
              <w:rPr>
                <w:rFonts w:ascii="Arial" w:hAnsi="Arial" w:cs="Arial"/>
                <w:i/>
                <w:iCs/>
              </w:rPr>
              <w:t>as a percentage proportion of the target</w:t>
            </w:r>
            <w:r w:rsidRPr="00701F1E">
              <w:rPr>
                <w:rFonts w:ascii="Arial" w:hAnsi="Arial" w:cs="Arial"/>
                <w:i/>
                <w:iCs/>
              </w:rPr>
              <w:t xml:space="preserve">. In either case, there should be sufficient detail provided such that the methodology associated with incentive </w:t>
            </w:r>
            <w:r w:rsidR="00E33DD2" w:rsidRPr="00701F1E">
              <w:rPr>
                <w:rFonts w:ascii="Arial" w:hAnsi="Arial" w:cs="Arial"/>
                <w:i/>
                <w:iCs/>
              </w:rPr>
              <w:t>A</w:t>
            </w:r>
            <w:r w:rsidRPr="00701F1E">
              <w:rPr>
                <w:rFonts w:ascii="Arial" w:hAnsi="Arial" w:cs="Arial"/>
                <w:i/>
                <w:iCs/>
              </w:rPr>
              <w:t xml:space="preserve">wards is understood. </w:t>
            </w:r>
          </w:p>
          <w:p w14:paraId="505960B6" w14:textId="76305482" w:rsidR="00541EA1" w:rsidRPr="00701F1E" w:rsidRDefault="00AE16F7" w:rsidP="00BE1E7C">
            <w:pPr>
              <w:spacing w:before="60" w:after="60"/>
              <w:rPr>
                <w:rFonts w:ascii="Arial" w:hAnsi="Arial" w:cs="Arial"/>
                <w:i/>
                <w:iCs/>
              </w:rPr>
            </w:pPr>
            <w:r w:rsidRPr="00701F1E">
              <w:rPr>
                <w:rFonts w:ascii="Arial" w:hAnsi="Arial" w:cs="Arial"/>
                <w:i/>
                <w:iCs/>
              </w:rPr>
              <w:t xml:space="preserve">Disclosure of the number of </w:t>
            </w:r>
            <w:r w:rsidR="00EB5A91">
              <w:rPr>
                <w:rFonts w:ascii="Arial" w:hAnsi="Arial" w:cs="Arial"/>
                <w:i/>
                <w:iCs/>
              </w:rPr>
              <w:t>Securities</w:t>
            </w:r>
            <w:r w:rsidRPr="00701F1E">
              <w:rPr>
                <w:rFonts w:ascii="Arial" w:hAnsi="Arial" w:cs="Arial"/>
                <w:i/>
                <w:iCs/>
              </w:rPr>
              <w:t xml:space="preserve"> held by a CEO in a personal capacity </w:t>
            </w:r>
            <w:r w:rsidR="00BB0A4D">
              <w:rPr>
                <w:rFonts w:ascii="Arial" w:hAnsi="Arial" w:cs="Arial"/>
                <w:i/>
                <w:iCs/>
              </w:rPr>
              <w:t>may be</w:t>
            </w:r>
            <w:r w:rsidRPr="00701F1E">
              <w:rPr>
                <w:rFonts w:ascii="Arial" w:hAnsi="Arial" w:cs="Arial"/>
                <w:i/>
                <w:iCs/>
              </w:rPr>
              <w:t xml:space="preserve"> useful contextual information for users of the Remuneration </w:t>
            </w:r>
            <w:proofErr w:type="gramStart"/>
            <w:r w:rsidRPr="00701F1E">
              <w:rPr>
                <w:rFonts w:ascii="Arial" w:hAnsi="Arial" w:cs="Arial"/>
                <w:i/>
                <w:iCs/>
              </w:rPr>
              <w:t>Report, but</w:t>
            </w:r>
            <w:proofErr w:type="gramEnd"/>
            <w:r w:rsidRPr="00701F1E">
              <w:rPr>
                <w:rFonts w:ascii="Arial" w:hAnsi="Arial" w:cs="Arial"/>
                <w:i/>
                <w:iCs/>
              </w:rPr>
              <w:t xml:space="preserve"> is an optional disclosure.</w:t>
            </w:r>
          </w:p>
        </w:tc>
      </w:tr>
    </w:tbl>
    <w:p w14:paraId="6F2EEB19" w14:textId="77777777" w:rsidR="00BB0277" w:rsidRDefault="00BB0277" w:rsidP="00BB0277">
      <w:pPr>
        <w:spacing w:after="0"/>
        <w:rPr>
          <w:rFonts w:ascii="Arial" w:hAnsi="Arial" w:cs="Arial"/>
        </w:rPr>
      </w:pPr>
    </w:p>
    <w:p w14:paraId="06AA1B16" w14:textId="324DD69C" w:rsidR="005E3DB0" w:rsidRPr="00701F1E" w:rsidRDefault="00C35054" w:rsidP="001F6331">
      <w:pPr>
        <w:spacing w:after="120"/>
        <w:ind w:left="567" w:right="249"/>
        <w:rPr>
          <w:rFonts w:ascii="Arial" w:hAnsi="Arial" w:cs="Arial"/>
          <w:i/>
          <w:iCs/>
        </w:rPr>
      </w:pPr>
      <w:r w:rsidRPr="00701F1E">
        <w:rPr>
          <w:rFonts w:ascii="Arial" w:hAnsi="Arial" w:cs="Arial"/>
        </w:rPr>
        <w:t>[Insert explanation</w:t>
      </w:r>
      <w:r w:rsidR="00452C8A" w:rsidRPr="00701F1E">
        <w:rPr>
          <w:rFonts w:ascii="Arial" w:hAnsi="Arial" w:cs="Arial"/>
        </w:rPr>
        <w:t xml:space="preserve"> of</w:t>
      </w:r>
      <w:r w:rsidR="005E3DB0" w:rsidRPr="00701F1E">
        <w:rPr>
          <w:rFonts w:ascii="Arial" w:hAnsi="Arial" w:cs="Arial"/>
        </w:rPr>
        <w:t xml:space="preserve">: </w:t>
      </w:r>
    </w:p>
    <w:p w14:paraId="44D6AE5B" w14:textId="3ED09BE0" w:rsidR="005E3DB0" w:rsidRPr="00BB0277" w:rsidRDefault="00452C8A" w:rsidP="001F6331">
      <w:pPr>
        <w:pStyle w:val="ListParagraph"/>
        <w:numPr>
          <w:ilvl w:val="0"/>
          <w:numId w:val="24"/>
        </w:numPr>
        <w:spacing w:after="60"/>
        <w:ind w:left="993" w:right="249" w:hanging="357"/>
        <w:contextualSpacing w:val="0"/>
        <w:rPr>
          <w:rFonts w:ascii="Arial" w:hAnsi="Arial" w:cs="Arial"/>
          <w:i/>
          <w:iCs/>
        </w:rPr>
      </w:pPr>
      <w:r w:rsidRPr="00BB0277">
        <w:rPr>
          <w:rFonts w:ascii="Arial" w:hAnsi="Arial" w:cs="Arial"/>
          <w:i/>
          <w:iCs/>
        </w:rPr>
        <w:t>the period and prior comparable period to which the disclosures relate</w:t>
      </w:r>
      <w:r w:rsidR="00C122F6">
        <w:rPr>
          <w:rFonts w:ascii="Arial" w:hAnsi="Arial" w:cs="Arial"/>
          <w:i/>
          <w:iCs/>
        </w:rPr>
        <w:t>.</w:t>
      </w:r>
    </w:p>
    <w:p w14:paraId="4ECC0163" w14:textId="5682D35E" w:rsidR="00452C8A" w:rsidRPr="00BB0277" w:rsidRDefault="00452C8A" w:rsidP="001F6331">
      <w:pPr>
        <w:pStyle w:val="ListParagraph"/>
        <w:numPr>
          <w:ilvl w:val="0"/>
          <w:numId w:val="24"/>
        </w:numPr>
        <w:spacing w:after="60"/>
        <w:ind w:left="993" w:right="249" w:hanging="357"/>
        <w:contextualSpacing w:val="0"/>
        <w:rPr>
          <w:rFonts w:ascii="Arial" w:hAnsi="Arial" w:cs="Arial"/>
          <w:i/>
          <w:iCs/>
        </w:rPr>
      </w:pPr>
      <w:r w:rsidRPr="00BB0277">
        <w:rPr>
          <w:rFonts w:ascii="Arial" w:hAnsi="Arial" w:cs="Arial"/>
          <w:i/>
          <w:iCs/>
        </w:rPr>
        <w:t>the</w:t>
      </w:r>
      <w:r w:rsidR="005E3DB0" w:rsidRPr="00BB0277">
        <w:rPr>
          <w:rFonts w:ascii="Arial" w:hAnsi="Arial" w:cs="Arial"/>
          <w:i/>
          <w:iCs/>
        </w:rPr>
        <w:t xml:space="preserve"> </w:t>
      </w:r>
      <w:r w:rsidR="00CA1420" w:rsidRPr="00BB0277">
        <w:rPr>
          <w:rFonts w:ascii="Arial" w:hAnsi="Arial" w:cs="Arial"/>
          <w:i/>
          <w:iCs/>
        </w:rPr>
        <w:t>outcomes of</w:t>
      </w:r>
      <w:r w:rsidR="005E3DB0" w:rsidRPr="00BB0277">
        <w:rPr>
          <w:rFonts w:ascii="Arial" w:hAnsi="Arial" w:cs="Arial"/>
          <w:i/>
          <w:iCs/>
        </w:rPr>
        <w:t xml:space="preserve"> </w:t>
      </w:r>
      <w:r w:rsidR="00E65304" w:rsidRPr="00BB0277">
        <w:rPr>
          <w:rFonts w:ascii="Arial" w:hAnsi="Arial" w:cs="Arial"/>
          <w:i/>
          <w:iCs/>
        </w:rPr>
        <w:t xml:space="preserve">any </w:t>
      </w:r>
      <w:r w:rsidR="005E3DB0" w:rsidRPr="00BB0277">
        <w:rPr>
          <w:rFonts w:ascii="Arial" w:hAnsi="Arial" w:cs="Arial"/>
          <w:i/>
          <w:iCs/>
        </w:rPr>
        <w:t>STI and LTI performance hurdle</w:t>
      </w:r>
      <w:r w:rsidRPr="00BB0277">
        <w:rPr>
          <w:rFonts w:ascii="Arial" w:hAnsi="Arial" w:cs="Arial"/>
          <w:i/>
          <w:iCs/>
        </w:rPr>
        <w:t>s, including a description of the relevant hurdles</w:t>
      </w:r>
      <w:r w:rsidR="00D504CC" w:rsidRPr="00BB0277">
        <w:rPr>
          <w:rFonts w:ascii="Arial" w:hAnsi="Arial" w:cs="Arial"/>
          <w:i/>
          <w:iCs/>
        </w:rPr>
        <w:t xml:space="preserve"> and</w:t>
      </w:r>
      <w:r w:rsidR="003A15BE" w:rsidRPr="00BB0277">
        <w:rPr>
          <w:rFonts w:ascii="Arial" w:hAnsi="Arial" w:cs="Arial"/>
          <w:i/>
          <w:iCs/>
        </w:rPr>
        <w:t xml:space="preserve"> where Securities Vest in the reporting period due to the application of performance hurdles which differ from the performance hurdles</w:t>
      </w:r>
      <w:r w:rsidR="00D504CC" w:rsidRPr="00BB0277">
        <w:rPr>
          <w:rFonts w:ascii="Arial" w:hAnsi="Arial" w:cs="Arial"/>
          <w:i/>
          <w:iCs/>
        </w:rPr>
        <w:t xml:space="preserve"> for Securities awarded in the reporting period</w:t>
      </w:r>
      <w:r w:rsidR="003A15BE" w:rsidRPr="00BB0277">
        <w:rPr>
          <w:rFonts w:ascii="Arial" w:hAnsi="Arial" w:cs="Arial"/>
          <w:i/>
          <w:iCs/>
        </w:rPr>
        <w:t>, this should be disclosed</w:t>
      </w:r>
      <w:r w:rsidR="00C122F6">
        <w:rPr>
          <w:rFonts w:ascii="Arial" w:hAnsi="Arial" w:cs="Arial"/>
          <w:i/>
          <w:iCs/>
        </w:rPr>
        <w:t>.</w:t>
      </w:r>
    </w:p>
    <w:p w14:paraId="2B00C584" w14:textId="6701EAE5" w:rsidR="00D42770" w:rsidRPr="00BB0277" w:rsidRDefault="00E66D87" w:rsidP="001F6331">
      <w:pPr>
        <w:pStyle w:val="ListParagraph"/>
        <w:numPr>
          <w:ilvl w:val="0"/>
          <w:numId w:val="24"/>
        </w:numPr>
        <w:spacing w:after="60"/>
        <w:ind w:left="993" w:right="249" w:hanging="357"/>
        <w:contextualSpacing w:val="0"/>
        <w:rPr>
          <w:rFonts w:ascii="Arial" w:hAnsi="Arial" w:cs="Arial"/>
          <w:i/>
          <w:iCs/>
        </w:rPr>
      </w:pPr>
      <w:r w:rsidRPr="00BB0277">
        <w:rPr>
          <w:rFonts w:ascii="Arial" w:hAnsi="Arial" w:cs="Arial"/>
          <w:i/>
          <w:iCs/>
        </w:rPr>
        <w:t>B</w:t>
      </w:r>
      <w:r w:rsidR="00D42770" w:rsidRPr="00BB0277">
        <w:rPr>
          <w:rFonts w:ascii="Arial" w:hAnsi="Arial" w:cs="Arial"/>
          <w:i/>
          <w:iCs/>
        </w:rPr>
        <w:t xml:space="preserve">ase </w:t>
      </w:r>
      <w:r w:rsidRPr="00BB0277">
        <w:rPr>
          <w:rFonts w:ascii="Arial" w:hAnsi="Arial" w:cs="Arial"/>
          <w:i/>
          <w:iCs/>
        </w:rPr>
        <w:t>Salary</w:t>
      </w:r>
      <w:r w:rsidR="00D42770" w:rsidRPr="00BB0277">
        <w:rPr>
          <w:rFonts w:ascii="Arial" w:hAnsi="Arial" w:cs="Arial"/>
          <w:i/>
          <w:iCs/>
        </w:rPr>
        <w:t xml:space="preserve">, </w:t>
      </w:r>
      <w:r w:rsidR="00AA6AF0" w:rsidRPr="00BB0277">
        <w:rPr>
          <w:rFonts w:ascii="Arial" w:hAnsi="Arial" w:cs="Arial"/>
          <w:i/>
          <w:iCs/>
        </w:rPr>
        <w:t xml:space="preserve">other benefits, </w:t>
      </w:r>
      <w:r w:rsidR="00D42770" w:rsidRPr="00BB0277">
        <w:rPr>
          <w:rFonts w:ascii="Arial" w:hAnsi="Arial" w:cs="Arial"/>
          <w:i/>
          <w:iCs/>
        </w:rPr>
        <w:t>STI and LTI cash</w:t>
      </w:r>
      <w:r w:rsidR="005E3DB0" w:rsidRPr="00BB0277">
        <w:rPr>
          <w:rFonts w:ascii="Arial" w:hAnsi="Arial" w:cs="Arial"/>
          <w:i/>
          <w:iCs/>
        </w:rPr>
        <w:t xml:space="preserve"> </w:t>
      </w:r>
      <w:r w:rsidR="00452C8A" w:rsidRPr="00BB0277">
        <w:rPr>
          <w:rFonts w:ascii="Arial" w:hAnsi="Arial" w:cs="Arial"/>
          <w:i/>
          <w:iCs/>
        </w:rPr>
        <w:t xml:space="preserve">amounts, </w:t>
      </w:r>
      <w:r w:rsidR="00E33DD2" w:rsidRPr="00BB0277">
        <w:rPr>
          <w:rFonts w:ascii="Arial" w:hAnsi="Arial" w:cs="Arial"/>
          <w:i/>
          <w:iCs/>
        </w:rPr>
        <w:t>E</w:t>
      </w:r>
      <w:r w:rsidR="00685FD8" w:rsidRPr="00BB0277">
        <w:rPr>
          <w:rFonts w:ascii="Arial" w:hAnsi="Arial" w:cs="Arial"/>
          <w:i/>
          <w:iCs/>
        </w:rPr>
        <w:t>arned and</w:t>
      </w:r>
      <w:r w:rsidR="00452C8A" w:rsidRPr="00BB0277">
        <w:rPr>
          <w:rFonts w:ascii="Arial" w:hAnsi="Arial" w:cs="Arial"/>
          <w:i/>
          <w:iCs/>
        </w:rPr>
        <w:t xml:space="preserve"> </w:t>
      </w:r>
      <w:r w:rsidR="00D504CC" w:rsidRPr="00BB0277">
        <w:rPr>
          <w:rFonts w:ascii="Arial" w:hAnsi="Arial" w:cs="Arial"/>
          <w:i/>
          <w:iCs/>
        </w:rPr>
        <w:t>P</w:t>
      </w:r>
      <w:r w:rsidR="00452C8A" w:rsidRPr="00BB0277">
        <w:rPr>
          <w:rFonts w:ascii="Arial" w:hAnsi="Arial" w:cs="Arial"/>
          <w:i/>
          <w:iCs/>
        </w:rPr>
        <w:t>aid during</w:t>
      </w:r>
      <w:r w:rsidR="00D42770" w:rsidRPr="00BB0277">
        <w:rPr>
          <w:rFonts w:ascii="Arial" w:hAnsi="Arial" w:cs="Arial"/>
          <w:i/>
          <w:iCs/>
        </w:rPr>
        <w:t>, or in respect of,</w:t>
      </w:r>
      <w:r w:rsidR="00452C8A" w:rsidRPr="00BB0277">
        <w:rPr>
          <w:rFonts w:ascii="Arial" w:hAnsi="Arial" w:cs="Arial"/>
          <w:i/>
          <w:iCs/>
        </w:rPr>
        <w:t xml:space="preserve"> the reporting period</w:t>
      </w:r>
      <w:r w:rsidR="00517548" w:rsidRPr="00BB0277">
        <w:rPr>
          <w:rFonts w:ascii="Arial" w:hAnsi="Arial" w:cs="Arial"/>
          <w:i/>
          <w:iCs/>
        </w:rPr>
        <w:t>.</w:t>
      </w:r>
      <w:r w:rsidR="00517548" w:rsidRPr="00BB0277">
        <w:rPr>
          <w:rFonts w:ascii="Arial" w:hAnsi="Arial" w:cs="Arial"/>
        </w:rPr>
        <w:t xml:space="preserve"> </w:t>
      </w:r>
      <w:r w:rsidR="007A0F20" w:rsidRPr="00BB0277">
        <w:rPr>
          <w:rFonts w:ascii="Arial" w:hAnsi="Arial" w:cs="Arial"/>
        </w:rPr>
        <w:t>(</w:t>
      </w:r>
      <w:r w:rsidR="00517548" w:rsidRPr="00BB0277">
        <w:rPr>
          <w:rFonts w:ascii="Arial" w:hAnsi="Arial" w:cs="Arial"/>
          <w:i/>
          <w:iCs/>
        </w:rPr>
        <w:t xml:space="preserve">For LTI remuneration, this may cover </w:t>
      </w:r>
      <w:r w:rsidR="00E33DD2" w:rsidRPr="00BB0277">
        <w:rPr>
          <w:rFonts w:ascii="Arial" w:hAnsi="Arial" w:cs="Arial"/>
          <w:i/>
          <w:iCs/>
        </w:rPr>
        <w:t>A</w:t>
      </w:r>
      <w:r w:rsidR="00517548" w:rsidRPr="00BB0277">
        <w:rPr>
          <w:rFonts w:ascii="Arial" w:hAnsi="Arial" w:cs="Arial"/>
          <w:i/>
          <w:iCs/>
        </w:rPr>
        <w:t>wards made in multiple prior years</w:t>
      </w:r>
      <w:r w:rsidR="007A0F20" w:rsidRPr="00BB0277">
        <w:rPr>
          <w:rFonts w:ascii="Arial" w:hAnsi="Arial" w:cs="Arial"/>
          <w:i/>
          <w:iCs/>
        </w:rPr>
        <w:t>, however this</w:t>
      </w:r>
      <w:r w:rsidR="00CD682C" w:rsidRPr="00BB0277">
        <w:rPr>
          <w:rFonts w:ascii="Arial" w:hAnsi="Arial" w:cs="Arial"/>
          <w:i/>
          <w:iCs/>
        </w:rPr>
        <w:t xml:space="preserve"> </w:t>
      </w:r>
      <w:r w:rsidR="007A506E" w:rsidRPr="00BB0277">
        <w:rPr>
          <w:rFonts w:ascii="Arial" w:hAnsi="Arial" w:cs="Arial"/>
          <w:i/>
          <w:iCs/>
        </w:rPr>
        <w:t xml:space="preserve">additional disclosure </w:t>
      </w:r>
      <w:r w:rsidR="00D13E36" w:rsidRPr="00BB0277">
        <w:rPr>
          <w:rFonts w:ascii="Arial" w:hAnsi="Arial" w:cs="Arial"/>
          <w:i/>
          <w:iCs/>
        </w:rPr>
        <w:t>is optional</w:t>
      </w:r>
      <w:r w:rsidR="00D13E36" w:rsidRPr="00BB0277">
        <w:rPr>
          <w:rFonts w:ascii="Arial" w:hAnsi="Arial" w:cs="Arial"/>
        </w:rPr>
        <w:t>)</w:t>
      </w:r>
      <w:r w:rsidR="00C122F6">
        <w:rPr>
          <w:rFonts w:ascii="Arial" w:hAnsi="Arial" w:cs="Arial"/>
          <w:i/>
          <w:iCs/>
        </w:rPr>
        <w:t>.</w:t>
      </w:r>
    </w:p>
    <w:p w14:paraId="3DFB2357" w14:textId="5CEF4E83" w:rsidR="00517548" w:rsidRPr="00BB0A4D" w:rsidRDefault="004953BC" w:rsidP="00BB0A4D">
      <w:pPr>
        <w:pStyle w:val="ListParagraph"/>
        <w:numPr>
          <w:ilvl w:val="0"/>
          <w:numId w:val="24"/>
        </w:numPr>
        <w:spacing w:after="60"/>
        <w:ind w:left="993" w:right="249" w:hanging="357"/>
        <w:contextualSpacing w:val="0"/>
        <w:rPr>
          <w:rFonts w:ascii="Arial" w:hAnsi="Arial" w:cs="Arial"/>
          <w:i/>
          <w:iCs/>
        </w:rPr>
      </w:pPr>
      <w:r w:rsidRPr="00BB0277">
        <w:rPr>
          <w:rFonts w:ascii="Arial" w:hAnsi="Arial" w:cs="Arial"/>
          <w:i/>
          <w:iCs/>
        </w:rPr>
        <w:t xml:space="preserve">the number and market price (at </w:t>
      </w:r>
      <w:r w:rsidR="00E33DD2" w:rsidRPr="00BB0277">
        <w:rPr>
          <w:rFonts w:ascii="Arial" w:hAnsi="Arial" w:cs="Arial"/>
          <w:i/>
          <w:iCs/>
        </w:rPr>
        <w:t>A</w:t>
      </w:r>
      <w:r w:rsidRPr="00BB0277">
        <w:rPr>
          <w:rFonts w:ascii="Arial" w:hAnsi="Arial" w:cs="Arial"/>
          <w:i/>
          <w:iCs/>
        </w:rPr>
        <w:t>ward and the later of</w:t>
      </w:r>
      <w:r w:rsidR="00154194" w:rsidRPr="00BB0277">
        <w:rPr>
          <w:rFonts w:ascii="Arial" w:hAnsi="Arial" w:cs="Arial"/>
          <w:i/>
          <w:iCs/>
        </w:rPr>
        <w:t xml:space="preserve"> the</w:t>
      </w:r>
      <w:r w:rsidRPr="00BB0277">
        <w:rPr>
          <w:rFonts w:ascii="Arial" w:hAnsi="Arial" w:cs="Arial"/>
          <w:i/>
          <w:iCs/>
        </w:rPr>
        <w:t xml:space="preserve"> </w:t>
      </w:r>
      <w:r w:rsidR="00154194" w:rsidRPr="00BB0277">
        <w:rPr>
          <w:rFonts w:ascii="Arial" w:hAnsi="Arial" w:cs="Arial"/>
          <w:i/>
          <w:iCs/>
        </w:rPr>
        <w:t>V</w:t>
      </w:r>
      <w:r w:rsidRPr="00BB0277">
        <w:rPr>
          <w:rFonts w:ascii="Arial" w:hAnsi="Arial" w:cs="Arial"/>
          <w:i/>
          <w:iCs/>
        </w:rPr>
        <w:t>esting</w:t>
      </w:r>
      <w:r w:rsidR="00154194" w:rsidRPr="00BB0277">
        <w:rPr>
          <w:rFonts w:ascii="Arial" w:hAnsi="Arial" w:cs="Arial"/>
          <w:i/>
          <w:iCs/>
        </w:rPr>
        <w:t xml:space="preserve"> Date</w:t>
      </w:r>
      <w:r w:rsidRPr="00BB0277">
        <w:rPr>
          <w:rFonts w:ascii="Arial" w:hAnsi="Arial" w:cs="Arial"/>
          <w:i/>
          <w:iCs/>
        </w:rPr>
        <w:t xml:space="preserve"> or issue/transfer</w:t>
      </w:r>
      <w:r w:rsidR="00154194" w:rsidRPr="00BB0277">
        <w:rPr>
          <w:rFonts w:ascii="Arial" w:hAnsi="Arial" w:cs="Arial"/>
          <w:i/>
          <w:iCs/>
        </w:rPr>
        <w:t xml:space="preserve"> date</w:t>
      </w:r>
      <w:r w:rsidRPr="00BB0277">
        <w:rPr>
          <w:rFonts w:ascii="Arial" w:hAnsi="Arial" w:cs="Arial"/>
          <w:i/>
          <w:iCs/>
        </w:rPr>
        <w:t xml:space="preserve">) of any Securities </w:t>
      </w:r>
      <w:r w:rsidR="00154194" w:rsidRPr="00BB0277">
        <w:rPr>
          <w:rFonts w:ascii="Arial" w:hAnsi="Arial" w:cs="Arial"/>
          <w:i/>
          <w:iCs/>
        </w:rPr>
        <w:t>A</w:t>
      </w:r>
      <w:r w:rsidR="00D42770" w:rsidRPr="00BB0277">
        <w:rPr>
          <w:rFonts w:ascii="Arial" w:hAnsi="Arial" w:cs="Arial"/>
          <w:i/>
          <w:iCs/>
        </w:rPr>
        <w:t>warded</w:t>
      </w:r>
      <w:r w:rsidRPr="00BB0277">
        <w:rPr>
          <w:rFonts w:ascii="Arial" w:hAnsi="Arial" w:cs="Arial"/>
          <w:i/>
          <w:iCs/>
        </w:rPr>
        <w:t xml:space="preserve">, </w:t>
      </w:r>
      <w:proofErr w:type="gramStart"/>
      <w:r w:rsidR="00154194" w:rsidRPr="00BB0277">
        <w:rPr>
          <w:rFonts w:ascii="Arial" w:hAnsi="Arial" w:cs="Arial"/>
          <w:i/>
          <w:iCs/>
        </w:rPr>
        <w:t>V</w:t>
      </w:r>
      <w:r w:rsidRPr="00BB0277">
        <w:rPr>
          <w:rFonts w:ascii="Arial" w:hAnsi="Arial" w:cs="Arial"/>
          <w:i/>
          <w:iCs/>
        </w:rPr>
        <w:t>ested</w:t>
      </w:r>
      <w:proofErr w:type="gramEnd"/>
      <w:r w:rsidR="00D42770" w:rsidRPr="00BB0277">
        <w:rPr>
          <w:rFonts w:ascii="Arial" w:hAnsi="Arial" w:cs="Arial"/>
          <w:i/>
          <w:iCs/>
        </w:rPr>
        <w:t xml:space="preserve"> </w:t>
      </w:r>
      <w:r w:rsidR="00CA1420" w:rsidRPr="00BB0277">
        <w:rPr>
          <w:rFonts w:ascii="Arial" w:hAnsi="Arial" w:cs="Arial"/>
          <w:i/>
          <w:iCs/>
        </w:rPr>
        <w:t>or issued</w:t>
      </w:r>
      <w:r w:rsidRPr="00BB0277">
        <w:rPr>
          <w:rFonts w:ascii="Arial" w:hAnsi="Arial" w:cs="Arial"/>
          <w:i/>
          <w:iCs/>
        </w:rPr>
        <w:t xml:space="preserve">/transferred </w:t>
      </w:r>
      <w:r w:rsidR="00D504CC" w:rsidRPr="00BB0277">
        <w:rPr>
          <w:rFonts w:ascii="Arial" w:hAnsi="Arial" w:cs="Arial"/>
          <w:i/>
          <w:iCs/>
        </w:rPr>
        <w:t xml:space="preserve">following Vesting </w:t>
      </w:r>
      <w:r w:rsidRPr="00BB0277">
        <w:rPr>
          <w:rFonts w:ascii="Arial" w:hAnsi="Arial" w:cs="Arial"/>
          <w:i/>
          <w:iCs/>
        </w:rPr>
        <w:t>in</w:t>
      </w:r>
      <w:r w:rsidR="00D42770" w:rsidRPr="00BB0277">
        <w:rPr>
          <w:rFonts w:ascii="Arial" w:hAnsi="Arial" w:cs="Arial"/>
          <w:i/>
          <w:iCs/>
        </w:rPr>
        <w:t xml:space="preserve">, the reporting period, </w:t>
      </w:r>
      <w:r w:rsidR="00452C8A" w:rsidRPr="00BB0277">
        <w:rPr>
          <w:rFonts w:ascii="Arial" w:hAnsi="Arial" w:cs="Arial"/>
          <w:i/>
          <w:iCs/>
        </w:rPr>
        <w:t xml:space="preserve">and any applicable </w:t>
      </w:r>
      <w:r w:rsidR="00154194" w:rsidRPr="00BB0277">
        <w:rPr>
          <w:rFonts w:ascii="Arial" w:hAnsi="Arial" w:cs="Arial"/>
          <w:i/>
          <w:iCs/>
        </w:rPr>
        <w:t>V</w:t>
      </w:r>
      <w:r w:rsidR="00452C8A" w:rsidRPr="00BB0277">
        <w:rPr>
          <w:rFonts w:ascii="Arial" w:hAnsi="Arial" w:cs="Arial"/>
          <w:i/>
          <w:iCs/>
        </w:rPr>
        <w:t xml:space="preserve">esting </w:t>
      </w:r>
      <w:r w:rsidR="00154194" w:rsidRPr="00BB0277">
        <w:rPr>
          <w:rFonts w:ascii="Arial" w:hAnsi="Arial" w:cs="Arial"/>
          <w:i/>
          <w:iCs/>
        </w:rPr>
        <w:t>P</w:t>
      </w:r>
      <w:r w:rsidR="00452C8A" w:rsidRPr="00BB0277">
        <w:rPr>
          <w:rFonts w:ascii="Arial" w:hAnsi="Arial" w:cs="Arial"/>
          <w:i/>
          <w:iCs/>
        </w:rPr>
        <w:t>eriods</w:t>
      </w:r>
      <w:r w:rsidR="00D42770" w:rsidRPr="00BB0277">
        <w:rPr>
          <w:rFonts w:ascii="Arial" w:hAnsi="Arial" w:cs="Arial"/>
          <w:i/>
          <w:iCs/>
        </w:rPr>
        <w:t xml:space="preserve">, along with any </w:t>
      </w:r>
      <w:r w:rsidR="00C72FA6" w:rsidRPr="00BB0277">
        <w:rPr>
          <w:rFonts w:ascii="Arial" w:hAnsi="Arial" w:cs="Arial"/>
          <w:i/>
          <w:iCs/>
        </w:rPr>
        <w:t>additional</w:t>
      </w:r>
      <w:r w:rsidR="00D42770" w:rsidRPr="00BB0277">
        <w:rPr>
          <w:rFonts w:ascii="Arial" w:hAnsi="Arial" w:cs="Arial"/>
          <w:i/>
          <w:iCs/>
        </w:rPr>
        <w:t xml:space="preserve"> hurdles that must be met for </w:t>
      </w:r>
      <w:r w:rsidR="00E33DD2" w:rsidRPr="00BB0277">
        <w:rPr>
          <w:rFonts w:ascii="Arial" w:hAnsi="Arial" w:cs="Arial"/>
          <w:i/>
          <w:iCs/>
        </w:rPr>
        <w:t>V</w:t>
      </w:r>
      <w:r w:rsidR="00D42770" w:rsidRPr="00BB0277">
        <w:rPr>
          <w:rFonts w:ascii="Arial" w:hAnsi="Arial" w:cs="Arial"/>
          <w:i/>
          <w:iCs/>
        </w:rPr>
        <w:t>esting</w:t>
      </w:r>
      <w:r w:rsidR="00C122F6">
        <w:rPr>
          <w:rFonts w:ascii="Arial" w:hAnsi="Arial" w:cs="Arial"/>
          <w:i/>
          <w:iCs/>
        </w:rPr>
        <w:t>.</w:t>
      </w:r>
      <w:r w:rsidR="005E3DB0" w:rsidRPr="00BB0A4D">
        <w:rPr>
          <w:rFonts w:ascii="Arial" w:hAnsi="Arial" w:cs="Arial"/>
          <w:i/>
          <w:iCs/>
        </w:rPr>
        <w:t>]</w:t>
      </w:r>
    </w:p>
    <w:p w14:paraId="1AAD45A8" w14:textId="77777777" w:rsidR="00C122F6" w:rsidRDefault="00C122F6" w:rsidP="00C122F6">
      <w:pPr>
        <w:pStyle w:val="ListParagraph"/>
        <w:spacing w:after="60"/>
        <w:ind w:left="993" w:right="249"/>
        <w:contextualSpacing w:val="0"/>
        <w:rPr>
          <w:rFonts w:ascii="Arial" w:hAnsi="Arial" w:cs="Arial"/>
          <w:i/>
          <w:iCs/>
        </w:rPr>
      </w:pPr>
    </w:p>
    <w:p w14:paraId="7224429E" w14:textId="77777777" w:rsidR="00C122F6" w:rsidRPr="00C122F6" w:rsidRDefault="00C122F6" w:rsidP="00C122F6">
      <w:pPr>
        <w:pStyle w:val="ListParagraph"/>
        <w:spacing w:after="60"/>
        <w:ind w:left="993" w:right="249"/>
        <w:contextualSpacing w:val="0"/>
        <w:rPr>
          <w:rFonts w:ascii="Arial" w:hAnsi="Arial" w:cs="Arial"/>
          <w:i/>
          <w:iCs/>
        </w:rPr>
      </w:pPr>
    </w:p>
    <w:p w14:paraId="58ABFEB5" w14:textId="3442E7C8" w:rsidR="00A00A6F" w:rsidRDefault="00C122F6" w:rsidP="00F55799">
      <w:pPr>
        <w:rPr>
          <w:b/>
          <w:bCs/>
        </w:rPr>
      </w:pPr>
      <w:r w:rsidRPr="00701F1E">
        <w:rPr>
          <w:rStyle w:val="Strong"/>
        </w:rPr>
        <w:t>See the below example for illustrative purposes, which contains a suggested layout and partially worked example of the proposed template disclosure.</w:t>
      </w:r>
    </w:p>
    <w:p w14:paraId="77EA82A4" w14:textId="77777777" w:rsidR="00C122F6" w:rsidRDefault="00C122F6" w:rsidP="00F55799">
      <w:pPr>
        <w:rPr>
          <w:b/>
          <w:bCs/>
        </w:rPr>
        <w:sectPr w:rsidR="00C122F6" w:rsidSect="001F6331">
          <w:pgSz w:w="11906" w:h="16838"/>
          <w:pgMar w:top="1440" w:right="1080" w:bottom="1440" w:left="1080" w:header="709" w:footer="709" w:gutter="0"/>
          <w:cols w:space="709"/>
          <w:docGrid w:linePitch="360"/>
        </w:sectPr>
      </w:pPr>
    </w:p>
    <w:p w14:paraId="69DFAA1B" w14:textId="741C9A43" w:rsidR="00D504CC" w:rsidRDefault="00D504CC" w:rsidP="00701F1E">
      <w:pPr>
        <w:spacing w:after="120"/>
        <w:rPr>
          <w:rStyle w:val="Strong"/>
        </w:rPr>
      </w:pPr>
    </w:p>
    <w:tbl>
      <w:tblPr>
        <w:tblStyle w:val="TableGrid"/>
        <w:tblW w:w="15345" w:type="dxa"/>
        <w:tblInd w:w="-714" w:type="dxa"/>
        <w:tblLook w:val="04A0" w:firstRow="1" w:lastRow="0" w:firstColumn="1" w:lastColumn="0" w:noHBand="0" w:noVBand="1"/>
      </w:tblPr>
      <w:tblGrid>
        <w:gridCol w:w="15345"/>
      </w:tblGrid>
      <w:tr w:rsidR="00DB4600" w14:paraId="33DC2F05" w14:textId="77777777" w:rsidTr="00BB0277">
        <w:trPr>
          <w:trHeight w:val="5094"/>
        </w:trPr>
        <w:tc>
          <w:tcPr>
            <w:tcW w:w="15345" w:type="dxa"/>
            <w:shd w:val="clear" w:color="auto" w:fill="4472C4" w:themeFill="accent1"/>
          </w:tcPr>
          <w:p w14:paraId="1738C5C7" w14:textId="2ABB2DFA" w:rsidR="00DB4600" w:rsidRPr="00701F1E" w:rsidRDefault="00DB4600" w:rsidP="00BE1E7C">
            <w:pPr>
              <w:pStyle w:val="ListParagraph"/>
              <w:numPr>
                <w:ilvl w:val="0"/>
                <w:numId w:val="11"/>
              </w:numPr>
              <w:spacing w:before="40" w:after="120"/>
              <w:ind w:left="283" w:hanging="357"/>
              <w:contextualSpacing w:val="0"/>
              <w:rPr>
                <w:rFonts w:ascii="Arial" w:hAnsi="Arial" w:cs="Arial"/>
                <w:b/>
                <w:bCs/>
                <w:color w:val="FFFFFF" w:themeColor="background1"/>
                <w:sz w:val="18"/>
                <w:szCs w:val="18"/>
              </w:rPr>
            </w:pPr>
            <w:r w:rsidRPr="00701F1E">
              <w:rPr>
                <w:rFonts w:ascii="Arial" w:hAnsi="Arial" w:cs="Arial"/>
                <w:b/>
                <w:bCs/>
                <w:color w:val="FFFFFF" w:themeColor="background1"/>
                <w:sz w:val="18"/>
                <w:szCs w:val="18"/>
              </w:rPr>
              <w:t xml:space="preserve">CEO FY22 Remuneration Outcomes </w:t>
            </w:r>
          </w:p>
          <w:p w14:paraId="78082B39" w14:textId="77777777" w:rsidR="00DB4600" w:rsidRPr="00701F1E" w:rsidRDefault="00DB4600" w:rsidP="00DB4600">
            <w:pPr>
              <w:pStyle w:val="ListParagraph"/>
              <w:numPr>
                <w:ilvl w:val="0"/>
                <w:numId w:val="12"/>
              </w:numPr>
              <w:ind w:left="284"/>
              <w:rPr>
                <w:rFonts w:ascii="Arial" w:hAnsi="Arial" w:cs="Arial"/>
                <w:b/>
                <w:bCs/>
                <w:color w:val="FFFFFF" w:themeColor="background1"/>
                <w:sz w:val="18"/>
                <w:szCs w:val="18"/>
              </w:rPr>
            </w:pPr>
            <w:r w:rsidRPr="00701F1E">
              <w:rPr>
                <w:rFonts w:ascii="Arial" w:hAnsi="Arial" w:cs="Arial"/>
                <w:b/>
                <w:bCs/>
                <w:color w:val="FFFFFF" w:themeColor="background1"/>
                <w:sz w:val="18"/>
                <w:szCs w:val="18"/>
              </w:rPr>
              <w:t xml:space="preserve">Overall FY22 Remuneration </w:t>
            </w: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18"/>
              <w:gridCol w:w="1273"/>
              <w:gridCol w:w="1167"/>
              <w:gridCol w:w="1484"/>
              <w:gridCol w:w="1423"/>
              <w:gridCol w:w="1299"/>
              <w:gridCol w:w="1408"/>
              <w:gridCol w:w="2269"/>
              <w:gridCol w:w="1843"/>
            </w:tblGrid>
            <w:tr w:rsidR="00BB0A4D" w:rsidRPr="00701F1E" w14:paraId="535295BD" w14:textId="227B28BD" w:rsidTr="00267A75">
              <w:trPr>
                <w:trHeight w:val="794"/>
              </w:trPr>
              <w:tc>
                <w:tcPr>
                  <w:tcW w:w="878" w:type="dxa"/>
                  <w:shd w:val="clear" w:color="auto" w:fill="auto"/>
                  <w:noWrap/>
                  <w:hideMark/>
                </w:tcPr>
                <w:p w14:paraId="7AFBB5B4"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Year</w:t>
                  </w:r>
                </w:p>
              </w:tc>
              <w:tc>
                <w:tcPr>
                  <w:tcW w:w="2291" w:type="dxa"/>
                  <w:gridSpan w:val="2"/>
                  <w:shd w:val="clear" w:color="auto" w:fill="auto"/>
                  <w:noWrap/>
                  <w:hideMark/>
                </w:tcPr>
                <w:p w14:paraId="2576A71D"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Fixed Remuneration</w:t>
                  </w:r>
                </w:p>
              </w:tc>
              <w:tc>
                <w:tcPr>
                  <w:tcW w:w="2651" w:type="dxa"/>
                  <w:gridSpan w:val="2"/>
                  <w:shd w:val="clear" w:color="auto" w:fill="auto"/>
                  <w:noWrap/>
                  <w:hideMark/>
                </w:tcPr>
                <w:p w14:paraId="53F5CC97"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Short Term Incentive (STI)</w:t>
                  </w:r>
                </w:p>
              </w:tc>
              <w:tc>
                <w:tcPr>
                  <w:tcW w:w="1423" w:type="dxa"/>
                </w:tcPr>
                <w:p w14:paraId="65DA07F6"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p>
              </w:tc>
              <w:tc>
                <w:tcPr>
                  <w:tcW w:w="4976" w:type="dxa"/>
                  <w:gridSpan w:val="3"/>
                </w:tcPr>
                <w:p w14:paraId="2F15AE9F" w14:textId="1695B2E1"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Pr>
                      <w:rFonts w:ascii="Arial" w:eastAsia="Times New Roman" w:hAnsi="Arial" w:cs="Arial"/>
                      <w:color w:val="FFFFFF" w:themeColor="background1"/>
                      <w:sz w:val="18"/>
                      <w:szCs w:val="18"/>
                      <w:lang w:eastAsia="en-NZ"/>
                    </w:rPr>
                    <w:t>Long Term incentive (LTI)</w:t>
                  </w:r>
                </w:p>
              </w:tc>
              <w:tc>
                <w:tcPr>
                  <w:tcW w:w="1843" w:type="dxa"/>
                </w:tcPr>
                <w:p w14:paraId="69D6A9DB" w14:textId="7722F091"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Pr>
                      <w:rFonts w:ascii="Arial" w:eastAsia="Times New Roman" w:hAnsi="Arial" w:cs="Arial"/>
                      <w:color w:val="FFFFFF" w:themeColor="background1"/>
                      <w:sz w:val="18"/>
                      <w:szCs w:val="18"/>
                      <w:lang w:eastAsia="en-NZ"/>
                    </w:rPr>
                    <w:t>Total</w:t>
                  </w:r>
                </w:p>
              </w:tc>
            </w:tr>
            <w:tr w:rsidR="00BB0A4D" w:rsidRPr="00701F1E" w14:paraId="7B520B11" w14:textId="77777777" w:rsidTr="00267A75">
              <w:trPr>
                <w:trHeight w:val="143"/>
              </w:trPr>
              <w:tc>
                <w:tcPr>
                  <w:tcW w:w="878" w:type="dxa"/>
                  <w:shd w:val="clear" w:color="auto" w:fill="auto"/>
                  <w:noWrap/>
                  <w:vAlign w:val="bottom"/>
                  <w:hideMark/>
                </w:tcPr>
                <w:p w14:paraId="2247610F"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p>
              </w:tc>
              <w:tc>
                <w:tcPr>
                  <w:tcW w:w="1018" w:type="dxa"/>
                  <w:shd w:val="clear" w:color="auto" w:fill="auto"/>
                  <w:noWrap/>
                  <w:hideMark/>
                </w:tcPr>
                <w:p w14:paraId="2763376B"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Base Salary</w:t>
                  </w:r>
                </w:p>
                <w:p w14:paraId="044874F7"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p>
                <w:p w14:paraId="2451DBD7"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p>
              </w:tc>
              <w:tc>
                <w:tcPr>
                  <w:tcW w:w="1273" w:type="dxa"/>
                  <w:shd w:val="clear" w:color="auto" w:fill="auto"/>
                  <w:hideMark/>
                </w:tcPr>
                <w:p w14:paraId="7EB4A781" w14:textId="2AF28E48"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Oth</w:t>
                  </w:r>
                  <w:r w:rsidR="00267A75">
                    <w:rPr>
                      <w:rFonts w:ascii="Arial" w:eastAsia="Times New Roman" w:hAnsi="Arial" w:cs="Arial"/>
                      <w:color w:val="FFFFFF" w:themeColor="background1"/>
                      <w:sz w:val="18"/>
                      <w:szCs w:val="18"/>
                      <w:lang w:eastAsia="en-NZ"/>
                    </w:rPr>
                    <w:t>e</w:t>
                  </w:r>
                  <w:r w:rsidRPr="00701F1E">
                    <w:rPr>
                      <w:rFonts w:ascii="Arial" w:eastAsia="Times New Roman" w:hAnsi="Arial" w:cs="Arial"/>
                      <w:color w:val="FFFFFF" w:themeColor="background1"/>
                      <w:sz w:val="18"/>
                      <w:szCs w:val="18"/>
                      <w:lang w:eastAsia="en-NZ"/>
                    </w:rPr>
                    <w:t>r Benefits</w:t>
                  </w:r>
                </w:p>
                <w:p w14:paraId="738AEB15" w14:textId="07FC1225"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p>
              </w:tc>
              <w:tc>
                <w:tcPr>
                  <w:tcW w:w="1167" w:type="dxa"/>
                  <w:shd w:val="clear" w:color="auto" w:fill="auto"/>
                  <w:noWrap/>
                  <w:hideMark/>
                </w:tcPr>
                <w:p w14:paraId="5CC614EB" w14:textId="4555814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Earned</w:t>
                  </w:r>
                </w:p>
                <w:p w14:paraId="3ACA1FED"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p>
                <w:p w14:paraId="361D5E81"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p>
                <w:p w14:paraId="1FBF3A41"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p>
              </w:tc>
              <w:tc>
                <w:tcPr>
                  <w:tcW w:w="1484" w:type="dxa"/>
                  <w:shd w:val="clear" w:color="auto" w:fill="auto"/>
                  <w:hideMark/>
                </w:tcPr>
                <w:p w14:paraId="062A9CB8" w14:textId="6C50D5F4"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Amount Earned as a % of maximum Award</w:t>
                  </w:r>
                </w:p>
              </w:tc>
              <w:tc>
                <w:tcPr>
                  <w:tcW w:w="1423" w:type="dxa"/>
                </w:tcPr>
                <w:p w14:paraId="09351410" w14:textId="2584E6C1"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Total cash-based remuneration Earned</w:t>
                  </w:r>
                  <w:r w:rsidRPr="00701F1E">
                    <w:rPr>
                      <w:rStyle w:val="FootnoteReference"/>
                      <w:rFonts w:ascii="Arial" w:eastAsia="Times New Roman" w:hAnsi="Arial" w:cs="Arial"/>
                      <w:color w:val="FFFFFF" w:themeColor="background1"/>
                      <w:sz w:val="18"/>
                      <w:szCs w:val="18"/>
                      <w:lang w:eastAsia="en-NZ"/>
                    </w:rPr>
                    <w:footnoteReference w:id="2"/>
                  </w:r>
                </w:p>
              </w:tc>
              <w:tc>
                <w:tcPr>
                  <w:tcW w:w="1299" w:type="dxa"/>
                </w:tcPr>
                <w:p w14:paraId="0C2651D3"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Number of Shares Vested</w:t>
                  </w:r>
                </w:p>
                <w:p w14:paraId="3CBAC7D3"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p>
              </w:tc>
              <w:tc>
                <w:tcPr>
                  <w:tcW w:w="1408" w:type="dxa"/>
                </w:tcPr>
                <w:p w14:paraId="19834506" w14:textId="7461B825"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 of Maximum</w:t>
                  </w:r>
                  <w:r>
                    <w:rPr>
                      <w:rFonts w:ascii="Arial" w:eastAsia="Times New Roman" w:hAnsi="Arial" w:cs="Arial"/>
                      <w:color w:val="FFFFFF" w:themeColor="background1"/>
                      <w:sz w:val="18"/>
                      <w:szCs w:val="18"/>
                      <w:lang w:eastAsia="en-NZ"/>
                    </w:rPr>
                    <w:t xml:space="preserve"> </w:t>
                  </w:r>
                  <w:r w:rsidRPr="00701F1E">
                    <w:rPr>
                      <w:rFonts w:ascii="Arial" w:eastAsia="Times New Roman" w:hAnsi="Arial" w:cs="Arial"/>
                      <w:color w:val="FFFFFF" w:themeColor="background1"/>
                      <w:sz w:val="18"/>
                      <w:szCs w:val="18"/>
                      <w:lang w:eastAsia="en-NZ"/>
                    </w:rPr>
                    <w:t>Awarded for the relevant performance period</w:t>
                  </w:r>
                </w:p>
              </w:tc>
              <w:tc>
                <w:tcPr>
                  <w:tcW w:w="2269" w:type="dxa"/>
                </w:tcPr>
                <w:p w14:paraId="33C8C651" w14:textId="20AA3650"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Market Price at Vesting Date</w:t>
                  </w:r>
                </w:p>
              </w:tc>
              <w:tc>
                <w:tcPr>
                  <w:tcW w:w="1843" w:type="dxa"/>
                </w:tcPr>
                <w:p w14:paraId="4779DC0A"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(Fixed rem + STI Earned+ LTI Vested)</w:t>
                  </w:r>
                </w:p>
                <w:p w14:paraId="731C08E6" w14:textId="77777777" w:rsidR="00BB0A4D" w:rsidRPr="00701F1E" w:rsidRDefault="00BB0A4D" w:rsidP="00267A75">
                  <w:pPr>
                    <w:spacing w:after="0" w:line="240" w:lineRule="auto"/>
                    <w:jc w:val="center"/>
                    <w:rPr>
                      <w:rFonts w:ascii="Arial" w:eastAsia="Times New Roman" w:hAnsi="Arial" w:cs="Arial"/>
                      <w:color w:val="FFFFFF" w:themeColor="background1"/>
                      <w:sz w:val="18"/>
                      <w:szCs w:val="18"/>
                      <w:lang w:eastAsia="en-NZ"/>
                    </w:rPr>
                  </w:pPr>
                </w:p>
              </w:tc>
            </w:tr>
            <w:tr w:rsidR="00BB0A4D" w:rsidRPr="00701F1E" w14:paraId="63530D40" w14:textId="77777777" w:rsidTr="00BB0A4D">
              <w:trPr>
                <w:trHeight w:val="270"/>
              </w:trPr>
              <w:tc>
                <w:tcPr>
                  <w:tcW w:w="878" w:type="dxa"/>
                  <w:shd w:val="clear" w:color="auto" w:fill="auto"/>
                  <w:noWrap/>
                  <w:vAlign w:val="bottom"/>
                  <w:hideMark/>
                </w:tcPr>
                <w:p w14:paraId="157F7C9F"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FY22</w:t>
                  </w:r>
                </w:p>
              </w:tc>
              <w:tc>
                <w:tcPr>
                  <w:tcW w:w="1018" w:type="dxa"/>
                  <w:shd w:val="clear" w:color="auto" w:fill="auto"/>
                  <w:noWrap/>
                  <w:vAlign w:val="bottom"/>
                  <w:hideMark/>
                </w:tcPr>
                <w:p w14:paraId="56DC9389"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__ -</w:t>
                  </w:r>
                </w:p>
              </w:tc>
              <w:tc>
                <w:tcPr>
                  <w:tcW w:w="1273" w:type="dxa"/>
                  <w:shd w:val="clear" w:color="auto" w:fill="auto"/>
                  <w:noWrap/>
                  <w:vAlign w:val="bottom"/>
                  <w:hideMark/>
                </w:tcPr>
                <w:p w14:paraId="6714DC50"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-_</w:t>
                  </w:r>
                </w:p>
              </w:tc>
              <w:tc>
                <w:tcPr>
                  <w:tcW w:w="1167" w:type="dxa"/>
                  <w:shd w:val="clear" w:color="auto" w:fill="auto"/>
                  <w:noWrap/>
                  <w:vAlign w:val="bottom"/>
                  <w:hideMark/>
                </w:tcPr>
                <w:p w14:paraId="2654D855"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-_</w:t>
                  </w:r>
                </w:p>
              </w:tc>
              <w:tc>
                <w:tcPr>
                  <w:tcW w:w="1484" w:type="dxa"/>
                  <w:shd w:val="clear" w:color="auto" w:fill="auto"/>
                  <w:noWrap/>
                  <w:vAlign w:val="bottom"/>
                  <w:hideMark/>
                </w:tcPr>
                <w:p w14:paraId="1FFC049B"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-_</w:t>
                  </w:r>
                </w:p>
              </w:tc>
              <w:tc>
                <w:tcPr>
                  <w:tcW w:w="1423" w:type="dxa"/>
                </w:tcPr>
                <w:p w14:paraId="03FFAE74" w14:textId="5710A859"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Pr>
                      <w:rFonts w:ascii="Arial" w:eastAsia="Times New Roman" w:hAnsi="Arial" w:cs="Arial"/>
                      <w:color w:val="FFFFFF" w:themeColor="background1"/>
                      <w:sz w:val="18"/>
                      <w:szCs w:val="18"/>
                      <w:lang w:eastAsia="en-NZ"/>
                    </w:rPr>
                    <w:t>-</w:t>
                  </w:r>
                </w:p>
              </w:tc>
              <w:tc>
                <w:tcPr>
                  <w:tcW w:w="1299" w:type="dxa"/>
                  <w:vAlign w:val="bottom"/>
                </w:tcPr>
                <w:p w14:paraId="1F91B6FE" w14:textId="351DB696"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-_</w:t>
                  </w:r>
                </w:p>
              </w:tc>
              <w:tc>
                <w:tcPr>
                  <w:tcW w:w="1408" w:type="dxa"/>
                  <w:vAlign w:val="bottom"/>
                </w:tcPr>
                <w:p w14:paraId="62EB2863" w14:textId="63E252C8"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-_</w:t>
                  </w:r>
                </w:p>
              </w:tc>
              <w:tc>
                <w:tcPr>
                  <w:tcW w:w="2269" w:type="dxa"/>
                  <w:vAlign w:val="bottom"/>
                </w:tcPr>
                <w:p w14:paraId="45CF5E45" w14:textId="3CF26744"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-_</w:t>
                  </w:r>
                </w:p>
              </w:tc>
              <w:tc>
                <w:tcPr>
                  <w:tcW w:w="1843" w:type="dxa"/>
                  <w:vAlign w:val="bottom"/>
                </w:tcPr>
                <w:p w14:paraId="0E0894C0" w14:textId="28FB42ED"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-_</w:t>
                  </w:r>
                </w:p>
              </w:tc>
            </w:tr>
            <w:tr w:rsidR="00BB0A4D" w:rsidRPr="00701F1E" w14:paraId="25FF27A8" w14:textId="77777777" w:rsidTr="00BB0A4D">
              <w:trPr>
                <w:trHeight w:val="270"/>
              </w:trPr>
              <w:tc>
                <w:tcPr>
                  <w:tcW w:w="878" w:type="dxa"/>
                  <w:shd w:val="clear" w:color="auto" w:fill="auto"/>
                  <w:noWrap/>
                  <w:vAlign w:val="bottom"/>
                  <w:hideMark/>
                </w:tcPr>
                <w:p w14:paraId="04304A16"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FY21</w:t>
                  </w:r>
                </w:p>
              </w:tc>
              <w:tc>
                <w:tcPr>
                  <w:tcW w:w="1018" w:type="dxa"/>
                  <w:shd w:val="clear" w:color="auto" w:fill="auto"/>
                  <w:noWrap/>
                  <w:vAlign w:val="bottom"/>
                  <w:hideMark/>
                </w:tcPr>
                <w:p w14:paraId="4B96EECE"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 xml:space="preserve">     -</w:t>
                  </w:r>
                </w:p>
              </w:tc>
              <w:tc>
                <w:tcPr>
                  <w:tcW w:w="1273" w:type="dxa"/>
                  <w:shd w:val="clear" w:color="auto" w:fill="auto"/>
                  <w:noWrap/>
                  <w:vAlign w:val="bottom"/>
                  <w:hideMark/>
                </w:tcPr>
                <w:p w14:paraId="7854333E"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w:t>
                  </w:r>
                </w:p>
              </w:tc>
              <w:tc>
                <w:tcPr>
                  <w:tcW w:w="1167" w:type="dxa"/>
                  <w:shd w:val="clear" w:color="auto" w:fill="auto"/>
                  <w:noWrap/>
                  <w:vAlign w:val="bottom"/>
                  <w:hideMark/>
                </w:tcPr>
                <w:p w14:paraId="513ECCA1"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w:t>
                  </w:r>
                </w:p>
              </w:tc>
              <w:tc>
                <w:tcPr>
                  <w:tcW w:w="1484" w:type="dxa"/>
                  <w:shd w:val="clear" w:color="auto" w:fill="auto"/>
                  <w:noWrap/>
                  <w:vAlign w:val="bottom"/>
                  <w:hideMark/>
                </w:tcPr>
                <w:p w14:paraId="713D271C" w14:textId="7777777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w:t>
                  </w:r>
                </w:p>
              </w:tc>
              <w:tc>
                <w:tcPr>
                  <w:tcW w:w="1423" w:type="dxa"/>
                </w:tcPr>
                <w:p w14:paraId="27C162EA" w14:textId="351755D8"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Pr>
                      <w:rFonts w:ascii="Arial" w:eastAsia="Times New Roman" w:hAnsi="Arial" w:cs="Arial"/>
                      <w:color w:val="FFFFFF" w:themeColor="background1"/>
                      <w:sz w:val="18"/>
                      <w:szCs w:val="18"/>
                      <w:lang w:eastAsia="en-NZ"/>
                    </w:rPr>
                    <w:t>-</w:t>
                  </w:r>
                </w:p>
              </w:tc>
              <w:tc>
                <w:tcPr>
                  <w:tcW w:w="1299" w:type="dxa"/>
                  <w:vAlign w:val="bottom"/>
                </w:tcPr>
                <w:p w14:paraId="2EAB1965" w14:textId="4FF2756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w:t>
                  </w:r>
                </w:p>
              </w:tc>
              <w:tc>
                <w:tcPr>
                  <w:tcW w:w="1408" w:type="dxa"/>
                  <w:vAlign w:val="bottom"/>
                </w:tcPr>
                <w:p w14:paraId="33EDB701" w14:textId="7C8EBFDC"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w:t>
                  </w:r>
                </w:p>
              </w:tc>
              <w:tc>
                <w:tcPr>
                  <w:tcW w:w="2269" w:type="dxa"/>
                  <w:vAlign w:val="bottom"/>
                </w:tcPr>
                <w:p w14:paraId="704E78CB" w14:textId="3A706B21"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w:t>
                  </w:r>
                </w:p>
              </w:tc>
              <w:tc>
                <w:tcPr>
                  <w:tcW w:w="1843" w:type="dxa"/>
                  <w:vAlign w:val="bottom"/>
                </w:tcPr>
                <w:p w14:paraId="6702CCE7" w14:textId="4A434907" w:rsidR="00BB0A4D" w:rsidRPr="00701F1E" w:rsidRDefault="00BB0A4D" w:rsidP="00BB0A4D">
                  <w:pPr>
                    <w:spacing w:after="0" w:line="240" w:lineRule="auto"/>
                    <w:rPr>
                      <w:rFonts w:ascii="Arial" w:eastAsia="Times New Roman" w:hAnsi="Arial" w:cs="Arial"/>
                      <w:color w:val="FFFFFF" w:themeColor="background1"/>
                      <w:sz w:val="18"/>
                      <w:szCs w:val="18"/>
                      <w:lang w:eastAsia="en-NZ"/>
                    </w:rPr>
                  </w:pPr>
                  <w:r w:rsidRPr="00701F1E">
                    <w:rPr>
                      <w:rFonts w:ascii="Arial" w:eastAsia="Times New Roman" w:hAnsi="Arial" w:cs="Arial"/>
                      <w:color w:val="FFFFFF" w:themeColor="background1"/>
                      <w:sz w:val="18"/>
                      <w:szCs w:val="18"/>
                      <w:lang w:eastAsia="en-NZ"/>
                    </w:rPr>
                    <w:t>-</w:t>
                  </w:r>
                </w:p>
              </w:tc>
            </w:tr>
          </w:tbl>
          <w:p w14:paraId="63FDF8A6" w14:textId="77777777" w:rsidR="00DB4600" w:rsidRPr="00701F1E" w:rsidRDefault="00DB4600" w:rsidP="00B45915">
            <w:pPr>
              <w:ind w:left="720"/>
              <w:rPr>
                <w:rFonts w:ascii="Arial" w:hAnsi="Arial" w:cs="Arial"/>
                <w:b/>
                <w:bCs/>
                <w:color w:val="FFFFFF" w:themeColor="background1"/>
                <w:sz w:val="18"/>
                <w:szCs w:val="18"/>
              </w:rPr>
            </w:pPr>
          </w:p>
          <w:p w14:paraId="2138DF8F" w14:textId="6481B4BA" w:rsidR="00DB4600" w:rsidRPr="00BE1E7C" w:rsidRDefault="00DB4600" w:rsidP="00BE1E7C">
            <w:pPr>
              <w:spacing w:after="160"/>
              <w:rPr>
                <w:rFonts w:ascii="Arial" w:hAnsi="Arial" w:cs="Arial"/>
                <w:color w:val="FFFFFF" w:themeColor="background1"/>
                <w:sz w:val="18"/>
                <w:szCs w:val="18"/>
              </w:rPr>
            </w:pPr>
            <w:r w:rsidRPr="00BE1E7C">
              <w:rPr>
                <w:rFonts w:ascii="Arial" w:hAnsi="Arial" w:cs="Arial"/>
                <w:color w:val="FFFFFF" w:themeColor="background1"/>
                <w:sz w:val="18"/>
                <w:szCs w:val="18"/>
              </w:rPr>
              <w:t xml:space="preserve">The </w:t>
            </w:r>
            <w:r w:rsidR="00AA6AF0" w:rsidRPr="00BE1E7C">
              <w:rPr>
                <w:rFonts w:ascii="Arial" w:hAnsi="Arial" w:cs="Arial"/>
                <w:color w:val="FFFFFF" w:themeColor="background1"/>
                <w:sz w:val="18"/>
                <w:szCs w:val="18"/>
              </w:rPr>
              <w:t xml:space="preserve">FY22 </w:t>
            </w:r>
            <w:r w:rsidRPr="00BE1E7C">
              <w:rPr>
                <w:rFonts w:ascii="Arial" w:hAnsi="Arial" w:cs="Arial"/>
                <w:color w:val="FFFFFF" w:themeColor="background1"/>
                <w:sz w:val="18"/>
                <w:szCs w:val="18"/>
              </w:rPr>
              <w:t xml:space="preserve">STI is the amount </w:t>
            </w:r>
            <w:r w:rsidR="00AA6AF0" w:rsidRPr="00BE1E7C">
              <w:rPr>
                <w:rFonts w:ascii="Arial" w:hAnsi="Arial" w:cs="Arial"/>
                <w:color w:val="FFFFFF" w:themeColor="background1"/>
                <w:sz w:val="18"/>
                <w:szCs w:val="18"/>
              </w:rPr>
              <w:t xml:space="preserve">assessed as </w:t>
            </w:r>
            <w:r w:rsidR="00E33DD2" w:rsidRPr="00BE1E7C">
              <w:rPr>
                <w:rFonts w:ascii="Arial" w:hAnsi="Arial" w:cs="Arial"/>
                <w:color w:val="FFFFFF" w:themeColor="background1"/>
                <w:sz w:val="18"/>
                <w:szCs w:val="18"/>
              </w:rPr>
              <w:t>E</w:t>
            </w:r>
            <w:r w:rsidRPr="00BE1E7C">
              <w:rPr>
                <w:rFonts w:ascii="Arial" w:hAnsi="Arial" w:cs="Arial"/>
                <w:color w:val="FFFFFF" w:themeColor="background1"/>
                <w:sz w:val="18"/>
                <w:szCs w:val="18"/>
              </w:rPr>
              <w:t xml:space="preserve">arned in FY22 but </w:t>
            </w:r>
            <w:r w:rsidR="00AA6AF0" w:rsidRPr="00BE1E7C">
              <w:rPr>
                <w:rFonts w:ascii="Arial" w:hAnsi="Arial" w:cs="Arial"/>
                <w:color w:val="FFFFFF" w:themeColor="background1"/>
                <w:sz w:val="18"/>
                <w:szCs w:val="18"/>
              </w:rPr>
              <w:t xml:space="preserve">will be </w:t>
            </w:r>
            <w:r w:rsidR="00D504CC" w:rsidRPr="00BE1E7C">
              <w:rPr>
                <w:rFonts w:ascii="Arial" w:hAnsi="Arial" w:cs="Arial"/>
                <w:color w:val="FFFFFF" w:themeColor="background1"/>
                <w:sz w:val="18"/>
                <w:szCs w:val="18"/>
              </w:rPr>
              <w:t>P</w:t>
            </w:r>
            <w:r w:rsidRPr="00BE1E7C">
              <w:rPr>
                <w:rFonts w:ascii="Arial" w:hAnsi="Arial" w:cs="Arial"/>
                <w:color w:val="FFFFFF" w:themeColor="background1"/>
                <w:sz w:val="18"/>
                <w:szCs w:val="18"/>
              </w:rPr>
              <w:t xml:space="preserve">aid in FY23 (as the assessment of the STI performance hurdle </w:t>
            </w:r>
            <w:r w:rsidR="00AA6AF0" w:rsidRPr="00BE1E7C">
              <w:rPr>
                <w:rFonts w:ascii="Arial" w:hAnsi="Arial" w:cs="Arial"/>
                <w:color w:val="FFFFFF" w:themeColor="background1"/>
                <w:sz w:val="18"/>
                <w:szCs w:val="18"/>
              </w:rPr>
              <w:t>was</w:t>
            </w:r>
            <w:r w:rsidRPr="00BE1E7C">
              <w:rPr>
                <w:rFonts w:ascii="Arial" w:hAnsi="Arial" w:cs="Arial"/>
                <w:color w:val="FFFFFF" w:themeColor="background1"/>
                <w:sz w:val="18"/>
                <w:szCs w:val="18"/>
              </w:rPr>
              <w:t xml:space="preserve"> made after</w:t>
            </w:r>
            <w:r w:rsidR="00AA6AF0" w:rsidRPr="00BE1E7C">
              <w:rPr>
                <w:rFonts w:ascii="Arial" w:hAnsi="Arial" w:cs="Arial"/>
                <w:color w:val="FFFFFF" w:themeColor="background1"/>
                <w:sz w:val="18"/>
                <w:szCs w:val="18"/>
              </w:rPr>
              <w:t xml:space="preserve"> the FY22</w:t>
            </w:r>
            <w:r w:rsidRPr="00BE1E7C">
              <w:rPr>
                <w:rFonts w:ascii="Arial" w:hAnsi="Arial" w:cs="Arial"/>
                <w:color w:val="FFFFFF" w:themeColor="background1"/>
                <w:sz w:val="18"/>
                <w:szCs w:val="18"/>
              </w:rPr>
              <w:t xml:space="preserve"> balance date). </w:t>
            </w:r>
            <w:r w:rsidR="002A14DC" w:rsidRPr="00BE1E7C">
              <w:rPr>
                <w:rFonts w:ascii="Arial" w:hAnsi="Arial" w:cs="Arial"/>
                <w:color w:val="FFFFFF" w:themeColor="background1"/>
                <w:sz w:val="18"/>
                <w:szCs w:val="18"/>
              </w:rPr>
              <w:t xml:space="preserve">The amounts </w:t>
            </w:r>
            <w:r w:rsidR="00D504CC" w:rsidRPr="00BE1E7C">
              <w:rPr>
                <w:rFonts w:ascii="Arial" w:hAnsi="Arial" w:cs="Arial"/>
                <w:color w:val="FFFFFF" w:themeColor="background1"/>
                <w:sz w:val="18"/>
                <w:szCs w:val="18"/>
              </w:rPr>
              <w:t>P</w:t>
            </w:r>
            <w:r w:rsidR="002A14DC" w:rsidRPr="00BE1E7C">
              <w:rPr>
                <w:rFonts w:ascii="Arial" w:hAnsi="Arial" w:cs="Arial"/>
                <w:color w:val="FFFFFF" w:themeColor="background1"/>
                <w:sz w:val="18"/>
                <w:szCs w:val="18"/>
              </w:rPr>
              <w:t>aid in a particular period (</w:t>
            </w:r>
            <w:r w:rsidR="00B65030" w:rsidRPr="00BE1E7C">
              <w:rPr>
                <w:rFonts w:ascii="Arial" w:hAnsi="Arial" w:cs="Arial"/>
                <w:color w:val="FFFFFF" w:themeColor="background1"/>
                <w:sz w:val="18"/>
                <w:szCs w:val="18"/>
              </w:rPr>
              <w:t>e.g.,</w:t>
            </w:r>
            <w:r w:rsidR="002A14DC" w:rsidRPr="00BE1E7C">
              <w:rPr>
                <w:rFonts w:ascii="Arial" w:hAnsi="Arial" w:cs="Arial"/>
                <w:color w:val="FFFFFF" w:themeColor="background1"/>
                <w:sz w:val="18"/>
                <w:szCs w:val="18"/>
              </w:rPr>
              <w:t xml:space="preserve"> FY 22) may relate to prior periods in which those amounts were </w:t>
            </w:r>
            <w:r w:rsidR="00E33DD2" w:rsidRPr="00BE1E7C">
              <w:rPr>
                <w:rFonts w:ascii="Arial" w:hAnsi="Arial" w:cs="Arial"/>
                <w:color w:val="FFFFFF" w:themeColor="background1"/>
                <w:sz w:val="18"/>
                <w:szCs w:val="18"/>
              </w:rPr>
              <w:t>E</w:t>
            </w:r>
            <w:r w:rsidR="002A14DC" w:rsidRPr="00BE1E7C">
              <w:rPr>
                <w:rFonts w:ascii="Arial" w:hAnsi="Arial" w:cs="Arial"/>
                <w:color w:val="FFFFFF" w:themeColor="background1"/>
                <w:sz w:val="18"/>
                <w:szCs w:val="18"/>
              </w:rPr>
              <w:t>arned (</w:t>
            </w:r>
            <w:r w:rsidR="00B65030" w:rsidRPr="00BE1E7C">
              <w:rPr>
                <w:rFonts w:ascii="Arial" w:hAnsi="Arial" w:cs="Arial"/>
                <w:color w:val="FFFFFF" w:themeColor="background1"/>
                <w:sz w:val="18"/>
                <w:szCs w:val="18"/>
              </w:rPr>
              <w:t>e.g.,</w:t>
            </w:r>
            <w:r w:rsidR="002A14DC" w:rsidRPr="00BE1E7C">
              <w:rPr>
                <w:rFonts w:ascii="Arial" w:hAnsi="Arial" w:cs="Arial"/>
                <w:color w:val="FFFFFF" w:themeColor="background1"/>
                <w:sz w:val="18"/>
                <w:szCs w:val="18"/>
              </w:rPr>
              <w:t xml:space="preserve"> FY 21).</w:t>
            </w:r>
            <w:r w:rsidR="0077215F" w:rsidRPr="00BE1E7C">
              <w:rPr>
                <w:rFonts w:ascii="Arial" w:hAnsi="Arial" w:cs="Arial"/>
                <w:color w:val="FFFFFF" w:themeColor="background1"/>
                <w:sz w:val="18"/>
                <w:szCs w:val="18"/>
              </w:rPr>
              <w:t xml:space="preserve"> </w:t>
            </w:r>
            <w:r w:rsidR="0025116E" w:rsidRPr="00BE1E7C">
              <w:rPr>
                <w:rFonts w:ascii="Arial" w:hAnsi="Arial" w:cs="Arial"/>
                <w:color w:val="FFFFFF" w:themeColor="background1"/>
                <w:sz w:val="18"/>
                <w:szCs w:val="18"/>
              </w:rPr>
              <w:t>I</w:t>
            </w:r>
            <w:r w:rsidR="0077215F" w:rsidRPr="00BE1E7C">
              <w:rPr>
                <w:rFonts w:ascii="Arial" w:hAnsi="Arial" w:cs="Arial"/>
                <w:color w:val="FFFFFF" w:themeColor="background1"/>
                <w:sz w:val="18"/>
                <w:szCs w:val="18"/>
              </w:rPr>
              <w:t xml:space="preserve">ssuers may wish to separately disclose the amount </w:t>
            </w:r>
            <w:r w:rsidR="00D504CC" w:rsidRPr="00BE1E7C">
              <w:rPr>
                <w:rFonts w:ascii="Arial" w:hAnsi="Arial" w:cs="Arial"/>
                <w:color w:val="FFFFFF" w:themeColor="background1"/>
                <w:sz w:val="18"/>
                <w:szCs w:val="18"/>
              </w:rPr>
              <w:t>P</w:t>
            </w:r>
            <w:r w:rsidR="0077215F" w:rsidRPr="00BE1E7C">
              <w:rPr>
                <w:rFonts w:ascii="Arial" w:hAnsi="Arial" w:cs="Arial"/>
                <w:color w:val="FFFFFF" w:themeColor="background1"/>
                <w:sz w:val="18"/>
                <w:szCs w:val="18"/>
              </w:rPr>
              <w:t>aid during the reporting period. I</w:t>
            </w:r>
            <w:r w:rsidR="0025116E" w:rsidRPr="00BE1E7C">
              <w:rPr>
                <w:rFonts w:ascii="Arial" w:hAnsi="Arial" w:cs="Arial"/>
                <w:color w:val="FFFFFF" w:themeColor="background1"/>
                <w:sz w:val="18"/>
                <w:szCs w:val="18"/>
              </w:rPr>
              <w:t>f the</w:t>
            </w:r>
            <w:r w:rsidR="002A4CAD" w:rsidRPr="00BE1E7C">
              <w:rPr>
                <w:rFonts w:ascii="Arial" w:hAnsi="Arial" w:cs="Arial"/>
                <w:color w:val="FFFFFF" w:themeColor="background1"/>
                <w:sz w:val="18"/>
                <w:szCs w:val="18"/>
              </w:rPr>
              <w:t xml:space="preserve"> STI </w:t>
            </w:r>
            <w:r w:rsidR="00E33DD2" w:rsidRPr="00BE1E7C">
              <w:rPr>
                <w:rFonts w:ascii="Arial" w:hAnsi="Arial" w:cs="Arial"/>
                <w:color w:val="FFFFFF" w:themeColor="background1"/>
                <w:sz w:val="18"/>
                <w:szCs w:val="18"/>
              </w:rPr>
              <w:t>E</w:t>
            </w:r>
            <w:r w:rsidR="00230A44" w:rsidRPr="00BE1E7C">
              <w:rPr>
                <w:rFonts w:ascii="Arial" w:hAnsi="Arial" w:cs="Arial"/>
                <w:color w:val="FFFFFF" w:themeColor="background1"/>
                <w:sz w:val="18"/>
                <w:szCs w:val="18"/>
              </w:rPr>
              <w:t xml:space="preserve">arned and </w:t>
            </w:r>
            <w:r w:rsidR="00D504CC" w:rsidRPr="00BE1E7C">
              <w:rPr>
                <w:rFonts w:ascii="Arial" w:hAnsi="Arial" w:cs="Arial"/>
                <w:color w:val="FFFFFF" w:themeColor="background1"/>
                <w:sz w:val="18"/>
                <w:szCs w:val="18"/>
              </w:rPr>
              <w:t>P</w:t>
            </w:r>
            <w:r w:rsidR="00230A44" w:rsidRPr="00BE1E7C">
              <w:rPr>
                <w:rFonts w:ascii="Arial" w:hAnsi="Arial" w:cs="Arial"/>
                <w:color w:val="FFFFFF" w:themeColor="background1"/>
                <w:sz w:val="18"/>
                <w:szCs w:val="18"/>
              </w:rPr>
              <w:t>aid is the same amount</w:t>
            </w:r>
            <w:r w:rsidR="00FB03B7" w:rsidRPr="00BE1E7C">
              <w:rPr>
                <w:rFonts w:ascii="Arial" w:hAnsi="Arial" w:cs="Arial"/>
                <w:color w:val="FFFFFF" w:themeColor="background1"/>
                <w:sz w:val="18"/>
                <w:szCs w:val="18"/>
              </w:rPr>
              <w:t xml:space="preserve">, then issuers do not need to </w:t>
            </w:r>
            <w:r w:rsidR="00245F63" w:rsidRPr="00BE1E7C">
              <w:rPr>
                <w:rFonts w:ascii="Arial" w:hAnsi="Arial" w:cs="Arial"/>
                <w:color w:val="FFFFFF" w:themeColor="background1"/>
                <w:sz w:val="18"/>
                <w:szCs w:val="18"/>
              </w:rPr>
              <w:t xml:space="preserve">make this </w:t>
            </w:r>
            <w:r w:rsidR="00093D7A" w:rsidRPr="00BE1E7C">
              <w:rPr>
                <w:rFonts w:ascii="Arial" w:hAnsi="Arial" w:cs="Arial"/>
                <w:color w:val="FFFFFF" w:themeColor="background1"/>
                <w:sz w:val="18"/>
                <w:szCs w:val="18"/>
              </w:rPr>
              <w:t>disclos</w:t>
            </w:r>
            <w:r w:rsidR="00E33DD2" w:rsidRPr="00BE1E7C">
              <w:rPr>
                <w:rFonts w:ascii="Arial" w:hAnsi="Arial" w:cs="Arial"/>
                <w:color w:val="FFFFFF" w:themeColor="background1"/>
                <w:sz w:val="18"/>
                <w:szCs w:val="18"/>
              </w:rPr>
              <w:t>ure</w:t>
            </w:r>
            <w:r w:rsidR="00093D7A" w:rsidRPr="00BE1E7C">
              <w:rPr>
                <w:rFonts w:ascii="Arial" w:hAnsi="Arial" w:cs="Arial"/>
                <w:color w:val="FFFFFF" w:themeColor="background1"/>
                <w:sz w:val="18"/>
                <w:szCs w:val="18"/>
              </w:rPr>
              <w:t xml:space="preserve"> twice. </w:t>
            </w:r>
            <w:r w:rsidR="00E44F18" w:rsidRPr="00BE1E7C">
              <w:rPr>
                <w:rFonts w:ascii="Arial" w:hAnsi="Arial" w:cs="Arial"/>
                <w:color w:val="FFFFFF" w:themeColor="background1"/>
                <w:sz w:val="18"/>
                <w:szCs w:val="18"/>
              </w:rPr>
              <w:t>Where an issuer has decide</w:t>
            </w:r>
            <w:r w:rsidR="00E33DD2" w:rsidRPr="00BE1E7C">
              <w:rPr>
                <w:rFonts w:ascii="Arial" w:hAnsi="Arial" w:cs="Arial"/>
                <w:color w:val="FFFFFF" w:themeColor="background1"/>
                <w:sz w:val="18"/>
                <w:szCs w:val="18"/>
              </w:rPr>
              <w:t>d</w:t>
            </w:r>
            <w:r w:rsidR="00E44F18" w:rsidRPr="00BE1E7C">
              <w:rPr>
                <w:rFonts w:ascii="Arial" w:hAnsi="Arial" w:cs="Arial"/>
                <w:color w:val="FFFFFF" w:themeColor="background1"/>
                <w:sz w:val="18"/>
                <w:szCs w:val="18"/>
              </w:rPr>
              <w:t xml:space="preserve"> to defer STI payments, the issuer may wish to include a footnote to explain when amounts </w:t>
            </w:r>
            <w:r w:rsidR="00E33DD2" w:rsidRPr="00BE1E7C">
              <w:rPr>
                <w:rFonts w:ascii="Arial" w:hAnsi="Arial" w:cs="Arial"/>
                <w:color w:val="FFFFFF" w:themeColor="background1"/>
                <w:sz w:val="18"/>
                <w:szCs w:val="18"/>
              </w:rPr>
              <w:t>E</w:t>
            </w:r>
            <w:r w:rsidR="00E44F18" w:rsidRPr="00BE1E7C">
              <w:rPr>
                <w:rFonts w:ascii="Arial" w:hAnsi="Arial" w:cs="Arial"/>
                <w:color w:val="FFFFFF" w:themeColor="background1"/>
                <w:sz w:val="18"/>
                <w:szCs w:val="18"/>
              </w:rPr>
              <w:t xml:space="preserve">arned for the reporting period will be </w:t>
            </w:r>
            <w:r w:rsidR="00D504CC" w:rsidRPr="00BE1E7C">
              <w:rPr>
                <w:rFonts w:ascii="Arial" w:hAnsi="Arial" w:cs="Arial"/>
                <w:color w:val="FFFFFF" w:themeColor="background1"/>
                <w:sz w:val="18"/>
                <w:szCs w:val="18"/>
              </w:rPr>
              <w:t>P</w:t>
            </w:r>
            <w:r w:rsidR="00E44F18" w:rsidRPr="00BE1E7C">
              <w:rPr>
                <w:rFonts w:ascii="Arial" w:hAnsi="Arial" w:cs="Arial"/>
                <w:color w:val="FFFFFF" w:themeColor="background1"/>
                <w:sz w:val="18"/>
                <w:szCs w:val="18"/>
              </w:rPr>
              <w:t>aid.</w:t>
            </w:r>
          </w:p>
          <w:p w14:paraId="672CF6D7" w14:textId="3BF1892D" w:rsidR="00E57476" w:rsidRPr="00BE1E7C" w:rsidRDefault="00267A75" w:rsidP="00BE1E7C">
            <w:pPr>
              <w:spacing w:after="160"/>
              <w:rPr>
                <w:rFonts w:ascii="Arial" w:hAnsi="Arial" w:cs="Arial"/>
                <w:color w:val="FFFFFF" w:themeColor="background1"/>
                <w:sz w:val="18"/>
                <w:szCs w:val="18"/>
              </w:rPr>
            </w:pPr>
            <w:r>
              <w:rPr>
                <w:rFonts w:ascii="Arial" w:hAnsi="Arial" w:cs="Arial"/>
                <w:color w:val="FFFFFF" w:themeColor="background1"/>
                <w:sz w:val="18"/>
                <w:szCs w:val="18"/>
              </w:rPr>
              <w:t>[</w:t>
            </w:r>
            <w:r w:rsidR="00E57476" w:rsidRPr="00267A75">
              <w:rPr>
                <w:rFonts w:ascii="Arial" w:hAnsi="Arial" w:cs="Arial"/>
                <w:i/>
                <w:iCs/>
                <w:color w:val="FFFFFF" w:themeColor="background1"/>
                <w:sz w:val="18"/>
                <w:szCs w:val="18"/>
              </w:rPr>
              <w:t xml:space="preserve">If an </w:t>
            </w:r>
            <w:r w:rsidR="00E44F18" w:rsidRPr="00267A75">
              <w:rPr>
                <w:rFonts w:ascii="Arial" w:hAnsi="Arial" w:cs="Arial"/>
                <w:i/>
                <w:iCs/>
                <w:color w:val="FFFFFF" w:themeColor="background1"/>
                <w:sz w:val="18"/>
                <w:szCs w:val="18"/>
              </w:rPr>
              <w:t>i</w:t>
            </w:r>
            <w:r w:rsidR="00E57476" w:rsidRPr="00267A75">
              <w:rPr>
                <w:rFonts w:ascii="Arial" w:hAnsi="Arial" w:cs="Arial"/>
                <w:i/>
                <w:iCs/>
                <w:color w:val="FFFFFF" w:themeColor="background1"/>
                <w:sz w:val="18"/>
                <w:szCs w:val="18"/>
              </w:rPr>
              <w:t xml:space="preserve">ssuer has an STI scheme that includes Awards of </w:t>
            </w:r>
            <w:r w:rsidR="00E33DD2" w:rsidRPr="00267A75">
              <w:rPr>
                <w:rFonts w:ascii="Arial" w:hAnsi="Arial" w:cs="Arial"/>
                <w:i/>
                <w:iCs/>
                <w:color w:val="FFFFFF" w:themeColor="background1"/>
                <w:sz w:val="18"/>
                <w:szCs w:val="18"/>
              </w:rPr>
              <w:t>s</w:t>
            </w:r>
            <w:r w:rsidR="00E57476" w:rsidRPr="00267A75">
              <w:rPr>
                <w:rFonts w:ascii="Arial" w:hAnsi="Arial" w:cs="Arial"/>
                <w:i/>
                <w:iCs/>
                <w:color w:val="FFFFFF" w:themeColor="background1"/>
                <w:sz w:val="18"/>
                <w:szCs w:val="18"/>
              </w:rPr>
              <w:t xml:space="preserve">hares the Issuer may wish to include additional columns to show the </w:t>
            </w:r>
            <w:proofErr w:type="gramStart"/>
            <w:r w:rsidR="00E57476" w:rsidRPr="00267A75">
              <w:rPr>
                <w:rFonts w:ascii="Arial" w:hAnsi="Arial" w:cs="Arial"/>
                <w:i/>
                <w:iCs/>
                <w:color w:val="FFFFFF" w:themeColor="background1"/>
                <w:sz w:val="18"/>
                <w:szCs w:val="18"/>
              </w:rPr>
              <w:t>amount</w:t>
            </w:r>
            <w:proofErr w:type="gramEnd"/>
            <w:r w:rsidR="00E57476" w:rsidRPr="00267A75">
              <w:rPr>
                <w:rFonts w:ascii="Arial" w:hAnsi="Arial" w:cs="Arial"/>
                <w:i/>
                <w:iCs/>
                <w:color w:val="FFFFFF" w:themeColor="background1"/>
                <w:sz w:val="18"/>
                <w:szCs w:val="18"/>
              </w:rPr>
              <w:t xml:space="preserve"> of shares that have Vested and the percentage that amount represents of the shares Awarded under the STI for the reporting period</w:t>
            </w:r>
            <w:r w:rsidR="00C56D33" w:rsidRPr="00267A75">
              <w:rPr>
                <w:rFonts w:ascii="Arial" w:hAnsi="Arial" w:cs="Arial"/>
                <w:i/>
                <w:iCs/>
                <w:color w:val="FFFFFF" w:themeColor="background1"/>
                <w:sz w:val="18"/>
                <w:szCs w:val="18"/>
              </w:rPr>
              <w:t>, or to provide this disclosure through a separate table or narrat</w:t>
            </w:r>
            <w:r w:rsidR="00E44F18" w:rsidRPr="00267A75">
              <w:rPr>
                <w:rFonts w:ascii="Arial" w:hAnsi="Arial" w:cs="Arial"/>
                <w:i/>
                <w:iCs/>
                <w:color w:val="FFFFFF" w:themeColor="background1"/>
                <w:sz w:val="18"/>
                <w:szCs w:val="18"/>
              </w:rPr>
              <w:t>ive disclosure</w:t>
            </w:r>
            <w:r w:rsidR="003615FB" w:rsidRPr="00267A75">
              <w:rPr>
                <w:rFonts w:ascii="Arial" w:hAnsi="Arial" w:cs="Arial"/>
                <w:i/>
                <w:iCs/>
                <w:color w:val="FFFFFF" w:themeColor="background1"/>
                <w:sz w:val="18"/>
                <w:szCs w:val="18"/>
              </w:rPr>
              <w:t>. This has not been included in the example above as we understand</w:t>
            </w:r>
            <w:r w:rsidR="00AE16F7" w:rsidRPr="00267A75">
              <w:rPr>
                <w:rFonts w:ascii="Arial" w:hAnsi="Arial" w:cs="Arial"/>
                <w:i/>
                <w:iCs/>
                <w:color w:val="FFFFFF" w:themeColor="background1"/>
                <w:sz w:val="18"/>
                <w:szCs w:val="18"/>
              </w:rPr>
              <w:t xml:space="preserve"> STI with Securities components are</w:t>
            </w:r>
            <w:r w:rsidR="003615FB" w:rsidRPr="00267A75">
              <w:rPr>
                <w:rFonts w:ascii="Arial" w:hAnsi="Arial" w:cs="Arial"/>
                <w:i/>
                <w:iCs/>
                <w:color w:val="FFFFFF" w:themeColor="background1"/>
                <w:sz w:val="18"/>
                <w:szCs w:val="18"/>
              </w:rPr>
              <w:t xml:space="preserve"> not common in New Zealand.</w:t>
            </w:r>
            <w:r w:rsidRPr="00267A75">
              <w:rPr>
                <w:rFonts w:ascii="Arial" w:hAnsi="Arial" w:cs="Arial"/>
                <w:color w:val="FFFFFF" w:themeColor="background1"/>
                <w:sz w:val="18"/>
                <w:szCs w:val="18"/>
              </w:rPr>
              <w:t>]</w:t>
            </w:r>
          </w:p>
          <w:p w14:paraId="1C67C493" w14:textId="0416DD8A" w:rsidR="003E5672" w:rsidRPr="00BE1E7C" w:rsidRDefault="00DB4600" w:rsidP="00BE1E7C">
            <w:pPr>
              <w:spacing w:after="160"/>
              <w:rPr>
                <w:rFonts w:ascii="Arial" w:hAnsi="Arial" w:cs="Arial"/>
                <w:color w:val="FFFFFF" w:themeColor="background1"/>
                <w:sz w:val="18"/>
                <w:szCs w:val="18"/>
                <w:shd w:val="clear" w:color="auto" w:fill="FFFF00"/>
              </w:rPr>
            </w:pPr>
            <w:r w:rsidRPr="00BE1E7C">
              <w:rPr>
                <w:rFonts w:ascii="Arial" w:hAnsi="Arial" w:cs="Arial"/>
                <w:color w:val="FFFFFF" w:themeColor="background1"/>
                <w:sz w:val="18"/>
                <w:szCs w:val="18"/>
              </w:rPr>
              <w:t xml:space="preserve">The market value of the LTI shares </w:t>
            </w:r>
            <w:r w:rsidR="00E33DD2" w:rsidRPr="00BE1E7C">
              <w:rPr>
                <w:rFonts w:ascii="Arial" w:hAnsi="Arial" w:cs="Arial"/>
                <w:color w:val="FFFFFF" w:themeColor="background1"/>
                <w:sz w:val="18"/>
                <w:szCs w:val="18"/>
              </w:rPr>
              <w:t>V</w:t>
            </w:r>
            <w:r w:rsidRPr="00BE1E7C">
              <w:rPr>
                <w:rFonts w:ascii="Arial" w:hAnsi="Arial" w:cs="Arial"/>
                <w:color w:val="FFFFFF" w:themeColor="background1"/>
                <w:sz w:val="18"/>
                <w:szCs w:val="18"/>
              </w:rPr>
              <w:t xml:space="preserve">ested </w:t>
            </w:r>
            <w:r w:rsidR="002B37D8" w:rsidRPr="00BE1E7C">
              <w:rPr>
                <w:rFonts w:ascii="Arial" w:hAnsi="Arial" w:cs="Arial"/>
                <w:color w:val="FFFFFF" w:themeColor="background1"/>
                <w:sz w:val="18"/>
                <w:szCs w:val="18"/>
              </w:rPr>
              <w:t xml:space="preserve">in FY22 </w:t>
            </w:r>
            <w:r w:rsidRPr="00BE1E7C">
              <w:rPr>
                <w:rFonts w:ascii="Arial" w:hAnsi="Arial" w:cs="Arial"/>
                <w:color w:val="FFFFFF" w:themeColor="background1"/>
                <w:sz w:val="18"/>
                <w:szCs w:val="18"/>
              </w:rPr>
              <w:t xml:space="preserve">refers to the </w:t>
            </w:r>
            <w:r w:rsidR="00E33DD2" w:rsidRPr="00BE1E7C">
              <w:rPr>
                <w:rFonts w:ascii="Arial" w:hAnsi="Arial" w:cs="Arial"/>
                <w:color w:val="FFFFFF" w:themeColor="background1"/>
                <w:sz w:val="18"/>
                <w:szCs w:val="18"/>
              </w:rPr>
              <w:t>V</w:t>
            </w:r>
            <w:r w:rsidRPr="00BE1E7C">
              <w:rPr>
                <w:rFonts w:ascii="Arial" w:hAnsi="Arial" w:cs="Arial"/>
                <w:color w:val="FFFFFF" w:themeColor="background1"/>
                <w:sz w:val="18"/>
                <w:szCs w:val="18"/>
              </w:rPr>
              <w:t xml:space="preserve">esting that occurred in </w:t>
            </w:r>
            <w:r w:rsidR="00E30995" w:rsidRPr="00BE1E7C">
              <w:rPr>
                <w:rFonts w:ascii="Arial" w:hAnsi="Arial" w:cs="Arial"/>
                <w:color w:val="FFFFFF" w:themeColor="background1"/>
                <w:sz w:val="18"/>
                <w:szCs w:val="18"/>
              </w:rPr>
              <w:t xml:space="preserve">respect of the CEO’s performance during </w:t>
            </w:r>
            <w:r w:rsidRPr="00BE1E7C">
              <w:rPr>
                <w:rFonts w:ascii="Arial" w:hAnsi="Arial" w:cs="Arial"/>
                <w:color w:val="FFFFFF" w:themeColor="background1"/>
                <w:sz w:val="18"/>
                <w:szCs w:val="18"/>
              </w:rPr>
              <w:t xml:space="preserve">2021 (as the assessment of the LTI performance hurdles for FY22 is made </w:t>
            </w:r>
            <w:r w:rsidR="003615FB" w:rsidRPr="00BE1E7C">
              <w:rPr>
                <w:rFonts w:ascii="Arial" w:hAnsi="Arial" w:cs="Arial"/>
                <w:color w:val="FFFFFF" w:themeColor="background1"/>
                <w:sz w:val="18"/>
                <w:szCs w:val="18"/>
              </w:rPr>
              <w:t xml:space="preserve">at a Vesting Date that is </w:t>
            </w:r>
            <w:r w:rsidRPr="00BE1E7C">
              <w:rPr>
                <w:rFonts w:ascii="Arial" w:hAnsi="Arial" w:cs="Arial"/>
                <w:color w:val="FFFFFF" w:themeColor="background1"/>
                <w:sz w:val="18"/>
                <w:szCs w:val="18"/>
              </w:rPr>
              <w:t xml:space="preserve">after </w:t>
            </w:r>
            <w:r w:rsidR="002B37D8" w:rsidRPr="00BE1E7C">
              <w:rPr>
                <w:rFonts w:ascii="Arial" w:hAnsi="Arial" w:cs="Arial"/>
                <w:color w:val="FFFFFF" w:themeColor="background1"/>
                <w:sz w:val="18"/>
                <w:szCs w:val="18"/>
              </w:rPr>
              <w:t xml:space="preserve">the FY22 </w:t>
            </w:r>
            <w:r w:rsidRPr="00BE1E7C">
              <w:rPr>
                <w:rFonts w:ascii="Arial" w:hAnsi="Arial" w:cs="Arial"/>
                <w:color w:val="FFFFFF" w:themeColor="background1"/>
                <w:sz w:val="18"/>
                <w:szCs w:val="18"/>
              </w:rPr>
              <w:t>balance date).</w:t>
            </w:r>
            <w:r w:rsidR="00412647" w:rsidRPr="00BE1E7C">
              <w:rPr>
                <w:rFonts w:ascii="Arial" w:hAnsi="Arial" w:cs="Arial"/>
                <w:color w:val="FFFFFF" w:themeColor="background1"/>
                <w:sz w:val="18"/>
                <w:szCs w:val="18"/>
              </w:rPr>
              <w:t xml:space="preserve"> The actual remuneration costs that are borne by an issuer in relation to a reporting period will be disclosed in the statement of financial performance for the relevant reporting period</w:t>
            </w:r>
            <w:r w:rsidR="00ED6EAD">
              <w:rPr>
                <w:rFonts w:ascii="Arial" w:hAnsi="Arial" w:cs="Arial"/>
                <w:color w:val="FFFFFF" w:themeColor="background1"/>
                <w:sz w:val="18"/>
                <w:szCs w:val="18"/>
              </w:rPr>
              <w:t>.</w:t>
            </w:r>
            <w:r w:rsidR="00412647" w:rsidRPr="00BE1E7C">
              <w:rPr>
                <w:rFonts w:ascii="Arial" w:hAnsi="Arial" w:cs="Arial"/>
                <w:color w:val="FFFFFF" w:themeColor="background1"/>
                <w:sz w:val="18"/>
                <w:szCs w:val="18"/>
              </w:rPr>
              <w:t xml:space="preserve"> </w:t>
            </w:r>
            <w:r w:rsidR="00ED6EAD">
              <w:rPr>
                <w:rFonts w:ascii="Arial" w:hAnsi="Arial" w:cs="Arial"/>
                <w:color w:val="FFFFFF" w:themeColor="background1"/>
                <w:sz w:val="18"/>
                <w:szCs w:val="18"/>
              </w:rPr>
              <w:t>[</w:t>
            </w:r>
            <w:r w:rsidR="00ED6EAD" w:rsidRPr="00ED6EAD">
              <w:rPr>
                <w:rFonts w:ascii="Arial" w:hAnsi="Arial" w:cs="Arial"/>
                <w:i/>
                <w:iCs/>
                <w:color w:val="FFFFFF" w:themeColor="background1"/>
                <w:sz w:val="18"/>
                <w:szCs w:val="18"/>
              </w:rPr>
              <w:t>A</w:t>
            </w:r>
            <w:r w:rsidR="00412647" w:rsidRPr="00ED6EAD">
              <w:rPr>
                <w:rFonts w:ascii="Arial" w:hAnsi="Arial" w:cs="Arial"/>
                <w:i/>
                <w:iCs/>
                <w:color w:val="FFFFFF" w:themeColor="background1"/>
                <w:sz w:val="18"/>
                <w:szCs w:val="18"/>
              </w:rPr>
              <w:t xml:space="preserve">n issuer may wish to include a cross-reference to the appropriate note in the financial statements where </w:t>
            </w:r>
            <w:r w:rsidR="00B952E3" w:rsidRPr="00ED6EAD">
              <w:rPr>
                <w:rFonts w:ascii="Arial" w:hAnsi="Arial" w:cs="Arial"/>
                <w:i/>
                <w:iCs/>
                <w:color w:val="FFFFFF" w:themeColor="background1"/>
                <w:sz w:val="18"/>
                <w:szCs w:val="18"/>
              </w:rPr>
              <w:t xml:space="preserve">that </w:t>
            </w:r>
            <w:r w:rsidR="00412647" w:rsidRPr="00ED6EAD">
              <w:rPr>
                <w:rFonts w:ascii="Arial" w:hAnsi="Arial" w:cs="Arial"/>
                <w:i/>
                <w:iCs/>
                <w:color w:val="FFFFFF" w:themeColor="background1"/>
                <w:sz w:val="18"/>
                <w:szCs w:val="18"/>
              </w:rPr>
              <w:t>information is available</w:t>
            </w:r>
            <w:r w:rsidR="00AD6C7C" w:rsidRPr="00ED6EAD">
              <w:rPr>
                <w:rFonts w:ascii="Arial" w:hAnsi="Arial" w:cs="Arial"/>
                <w:i/>
                <w:iCs/>
                <w:color w:val="FFFFFF" w:themeColor="background1"/>
                <w:sz w:val="18"/>
                <w:szCs w:val="18"/>
              </w:rPr>
              <w:t xml:space="preserve"> and provide an explanation for the difference between that disclosure and the disclosure set out in the table above</w:t>
            </w:r>
            <w:r w:rsidR="00412647" w:rsidRPr="00ED6EAD">
              <w:rPr>
                <w:rFonts w:ascii="Arial" w:hAnsi="Arial" w:cs="Arial"/>
                <w:i/>
                <w:iCs/>
                <w:color w:val="FFFFFF" w:themeColor="background1"/>
                <w:sz w:val="18"/>
                <w:szCs w:val="18"/>
              </w:rPr>
              <w:t>.</w:t>
            </w:r>
            <w:r w:rsidR="00ED6EAD" w:rsidRPr="00ED6EAD">
              <w:rPr>
                <w:rFonts w:ascii="Arial" w:hAnsi="Arial" w:cs="Arial"/>
                <w:i/>
                <w:iCs/>
                <w:color w:val="FFFFFF" w:themeColor="background1"/>
                <w:sz w:val="18"/>
                <w:szCs w:val="18"/>
              </w:rPr>
              <w:t>]</w:t>
            </w:r>
          </w:p>
          <w:p w14:paraId="3A2B42BD" w14:textId="2B174254" w:rsidR="00E30995" w:rsidRPr="00ED6EAD" w:rsidRDefault="00267A75" w:rsidP="00BE1E7C">
            <w:pPr>
              <w:spacing w:after="160"/>
              <w:rPr>
                <w:rFonts w:ascii="Arial" w:hAnsi="Arial" w:cs="Arial"/>
                <w:i/>
                <w:iCs/>
                <w:color w:val="FFFFFF" w:themeColor="background1"/>
                <w:sz w:val="18"/>
                <w:szCs w:val="18"/>
              </w:rPr>
            </w:pPr>
            <w:r>
              <w:rPr>
                <w:rFonts w:ascii="Arial" w:hAnsi="Arial" w:cs="Arial"/>
                <w:color w:val="FFFFFF" w:themeColor="background1"/>
                <w:sz w:val="18"/>
                <w:szCs w:val="18"/>
              </w:rPr>
              <w:t>[</w:t>
            </w:r>
            <w:r w:rsidR="00AE16F7" w:rsidRPr="00ED6EAD">
              <w:rPr>
                <w:rFonts w:ascii="Arial" w:hAnsi="Arial" w:cs="Arial"/>
                <w:i/>
                <w:iCs/>
                <w:color w:val="FFFFFF" w:themeColor="background1"/>
                <w:sz w:val="18"/>
                <w:szCs w:val="18"/>
              </w:rPr>
              <w:t>An i</w:t>
            </w:r>
            <w:r w:rsidR="00B952E3" w:rsidRPr="00ED6EAD">
              <w:rPr>
                <w:rFonts w:ascii="Arial" w:hAnsi="Arial" w:cs="Arial"/>
                <w:i/>
                <w:iCs/>
                <w:color w:val="FFFFFF" w:themeColor="background1"/>
                <w:sz w:val="18"/>
                <w:szCs w:val="18"/>
              </w:rPr>
              <w:t xml:space="preserve">ssuer may wish to additionally disclose the Base Salary and STI amounts </w:t>
            </w:r>
            <w:r w:rsidR="00A037B2" w:rsidRPr="00ED6EAD">
              <w:rPr>
                <w:rFonts w:ascii="Arial" w:hAnsi="Arial" w:cs="Arial"/>
                <w:i/>
                <w:iCs/>
                <w:color w:val="FFFFFF" w:themeColor="background1"/>
                <w:sz w:val="18"/>
                <w:szCs w:val="18"/>
              </w:rPr>
              <w:t>E</w:t>
            </w:r>
            <w:r w:rsidR="00B952E3" w:rsidRPr="00ED6EAD">
              <w:rPr>
                <w:rFonts w:ascii="Arial" w:hAnsi="Arial" w:cs="Arial"/>
                <w:i/>
                <w:iCs/>
                <w:color w:val="FFFFFF" w:themeColor="background1"/>
                <w:sz w:val="18"/>
                <w:szCs w:val="18"/>
              </w:rPr>
              <w:t xml:space="preserve">arned for a reporting period and the LTI amount that has </w:t>
            </w:r>
            <w:r w:rsidR="00E66D87" w:rsidRPr="00ED6EAD">
              <w:rPr>
                <w:rFonts w:ascii="Arial" w:hAnsi="Arial" w:cs="Arial"/>
                <w:i/>
                <w:iCs/>
                <w:color w:val="FFFFFF" w:themeColor="background1"/>
                <w:sz w:val="18"/>
                <w:szCs w:val="18"/>
              </w:rPr>
              <w:t>V</w:t>
            </w:r>
            <w:r w:rsidR="00B952E3" w:rsidRPr="00ED6EAD">
              <w:rPr>
                <w:rFonts w:ascii="Arial" w:hAnsi="Arial" w:cs="Arial"/>
                <w:i/>
                <w:iCs/>
                <w:color w:val="FFFFFF" w:themeColor="background1"/>
                <w:sz w:val="18"/>
                <w:szCs w:val="18"/>
              </w:rPr>
              <w:t>ested that relates to that reporting period, t</w:t>
            </w:r>
            <w:r w:rsidR="00E05C8B" w:rsidRPr="00ED6EAD">
              <w:rPr>
                <w:rFonts w:ascii="Arial" w:hAnsi="Arial" w:cs="Arial"/>
                <w:i/>
                <w:iCs/>
                <w:color w:val="FFFFFF" w:themeColor="background1"/>
                <w:sz w:val="18"/>
                <w:szCs w:val="18"/>
              </w:rPr>
              <w:t>o</w:t>
            </w:r>
            <w:r w:rsidR="00B952E3" w:rsidRPr="00ED6EAD">
              <w:rPr>
                <w:rFonts w:ascii="Arial" w:hAnsi="Arial" w:cs="Arial"/>
                <w:i/>
                <w:iCs/>
                <w:color w:val="FFFFFF" w:themeColor="background1"/>
                <w:sz w:val="18"/>
                <w:szCs w:val="18"/>
              </w:rPr>
              <w:t xml:space="preserve"> provide full disclosure of the compensation received by the CEO in relation to the CEO’s performance for a part</w:t>
            </w:r>
            <w:r w:rsidR="00E05C8B" w:rsidRPr="00ED6EAD">
              <w:rPr>
                <w:rFonts w:ascii="Arial" w:hAnsi="Arial" w:cs="Arial"/>
                <w:i/>
                <w:iCs/>
                <w:color w:val="FFFFFF" w:themeColor="background1"/>
                <w:sz w:val="18"/>
                <w:szCs w:val="18"/>
              </w:rPr>
              <w:t>ic</w:t>
            </w:r>
            <w:r w:rsidR="00B952E3" w:rsidRPr="00ED6EAD">
              <w:rPr>
                <w:rFonts w:ascii="Arial" w:hAnsi="Arial" w:cs="Arial"/>
                <w:i/>
                <w:iCs/>
                <w:color w:val="FFFFFF" w:themeColor="background1"/>
                <w:sz w:val="18"/>
                <w:szCs w:val="18"/>
              </w:rPr>
              <w:t>ular reporting period.</w:t>
            </w:r>
          </w:p>
          <w:p w14:paraId="7CF04A40" w14:textId="25C195E3" w:rsidR="008E4285" w:rsidRPr="00ED6EAD" w:rsidRDefault="008E4285" w:rsidP="00BE1E7C">
            <w:pPr>
              <w:spacing w:after="160"/>
              <w:rPr>
                <w:rFonts w:ascii="Arial" w:hAnsi="Arial" w:cs="Arial"/>
                <w:color w:val="FFFFFF" w:themeColor="background1"/>
                <w:sz w:val="18"/>
                <w:szCs w:val="18"/>
              </w:rPr>
            </w:pPr>
            <w:r w:rsidRPr="00ED6EAD">
              <w:rPr>
                <w:rFonts w:ascii="Arial" w:hAnsi="Arial" w:cs="Arial"/>
                <w:i/>
                <w:iCs/>
                <w:color w:val="FFFFFF" w:themeColor="background1"/>
                <w:sz w:val="18"/>
                <w:szCs w:val="18"/>
              </w:rPr>
              <w:t xml:space="preserve">Issuers may wish to also include disclosures of any policies that restrict the CEO from selling shares </w:t>
            </w:r>
            <w:r w:rsidR="00D504CC" w:rsidRPr="00ED6EAD">
              <w:rPr>
                <w:rFonts w:ascii="Arial" w:hAnsi="Arial" w:cs="Arial"/>
                <w:i/>
                <w:iCs/>
                <w:color w:val="FFFFFF" w:themeColor="background1"/>
                <w:sz w:val="18"/>
                <w:szCs w:val="18"/>
              </w:rPr>
              <w:t xml:space="preserve">issued or transferred following Vesting </w:t>
            </w:r>
            <w:r w:rsidRPr="00ED6EAD">
              <w:rPr>
                <w:rFonts w:ascii="Arial" w:hAnsi="Arial" w:cs="Arial"/>
                <w:i/>
                <w:iCs/>
                <w:color w:val="FFFFFF" w:themeColor="background1"/>
                <w:sz w:val="18"/>
                <w:szCs w:val="18"/>
              </w:rPr>
              <w:t>for a period.</w:t>
            </w:r>
            <w:r w:rsidR="00ED6EAD">
              <w:rPr>
                <w:rFonts w:ascii="Arial" w:hAnsi="Arial" w:cs="Arial"/>
                <w:color w:val="FFFFFF" w:themeColor="background1"/>
                <w:sz w:val="18"/>
                <w:szCs w:val="18"/>
              </w:rPr>
              <w:t>]</w:t>
            </w:r>
          </w:p>
          <w:tbl>
            <w:tblPr>
              <w:tblpPr w:leftFromText="180" w:rightFromText="180" w:vertAnchor="text" w:horzAnchor="margin" w:tblpXSpec="right" w:tblpY="363"/>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140"/>
              <w:gridCol w:w="1140"/>
            </w:tblGrid>
            <w:tr w:rsidR="00DB4600" w:rsidRPr="00AF28C3" w14:paraId="32F35562" w14:textId="77777777" w:rsidTr="008648BD">
              <w:trPr>
                <w:trHeight w:val="580"/>
              </w:trPr>
              <w:tc>
                <w:tcPr>
                  <w:tcW w:w="2280" w:type="dxa"/>
                  <w:shd w:val="clear" w:color="auto" w:fill="auto"/>
                  <w:noWrap/>
                  <w:vAlign w:val="center"/>
                  <w:hideMark/>
                </w:tcPr>
                <w:p w14:paraId="7C6DE75A"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lastRenderedPageBreak/>
                    <w:t xml:space="preserve">Performance Hurdles </w:t>
                  </w:r>
                </w:p>
              </w:tc>
              <w:tc>
                <w:tcPr>
                  <w:tcW w:w="1140" w:type="dxa"/>
                  <w:shd w:val="clear" w:color="auto" w:fill="auto"/>
                  <w:vAlign w:val="center"/>
                  <w:hideMark/>
                </w:tcPr>
                <w:p w14:paraId="1F51529F"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STI Weighting </w:t>
                  </w:r>
                </w:p>
              </w:tc>
              <w:tc>
                <w:tcPr>
                  <w:tcW w:w="1140" w:type="dxa"/>
                  <w:shd w:val="clear" w:color="auto" w:fill="auto"/>
                  <w:vAlign w:val="center"/>
                  <w:hideMark/>
                </w:tcPr>
                <w:p w14:paraId="0DDB5909"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Weighted Outcome </w:t>
                  </w:r>
                </w:p>
              </w:tc>
            </w:tr>
            <w:tr w:rsidR="00DB4600" w:rsidRPr="00AF28C3" w14:paraId="5F1024BF" w14:textId="77777777" w:rsidTr="008648BD">
              <w:trPr>
                <w:trHeight w:val="290"/>
              </w:trPr>
              <w:tc>
                <w:tcPr>
                  <w:tcW w:w="2280" w:type="dxa"/>
                  <w:shd w:val="clear" w:color="auto" w:fill="auto"/>
                  <w:noWrap/>
                  <w:vAlign w:val="bottom"/>
                  <w:hideMark/>
                </w:tcPr>
                <w:p w14:paraId="3C1F6366"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p>
              </w:tc>
              <w:tc>
                <w:tcPr>
                  <w:tcW w:w="1140" w:type="dxa"/>
                  <w:shd w:val="clear" w:color="auto" w:fill="auto"/>
                  <w:noWrap/>
                  <w:vAlign w:val="bottom"/>
                  <w:hideMark/>
                </w:tcPr>
                <w:p w14:paraId="1B350EE2"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40" w:type="dxa"/>
                  <w:shd w:val="clear" w:color="auto" w:fill="auto"/>
                  <w:noWrap/>
                  <w:vAlign w:val="bottom"/>
                  <w:hideMark/>
                </w:tcPr>
                <w:p w14:paraId="5D88AADF"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r>
            <w:tr w:rsidR="00DB4600" w:rsidRPr="00AF28C3" w14:paraId="3C1B48E7" w14:textId="77777777" w:rsidTr="008648BD">
              <w:trPr>
                <w:trHeight w:val="290"/>
              </w:trPr>
              <w:tc>
                <w:tcPr>
                  <w:tcW w:w="2280" w:type="dxa"/>
                  <w:shd w:val="clear" w:color="auto" w:fill="auto"/>
                  <w:noWrap/>
                  <w:vAlign w:val="bottom"/>
                  <w:hideMark/>
                </w:tcPr>
                <w:p w14:paraId="095E9745"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Financial Performance </w:t>
                  </w:r>
                </w:p>
              </w:tc>
              <w:tc>
                <w:tcPr>
                  <w:tcW w:w="1140" w:type="dxa"/>
                  <w:shd w:val="clear" w:color="auto" w:fill="auto"/>
                  <w:noWrap/>
                  <w:vAlign w:val="bottom"/>
                  <w:hideMark/>
                </w:tcPr>
                <w:p w14:paraId="0CDDEA6A"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40" w:type="dxa"/>
                  <w:shd w:val="clear" w:color="auto" w:fill="auto"/>
                  <w:noWrap/>
                  <w:vAlign w:val="bottom"/>
                  <w:hideMark/>
                </w:tcPr>
                <w:p w14:paraId="3876AEC3"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r>
            <w:tr w:rsidR="00DB4600" w:rsidRPr="00AF28C3" w14:paraId="7D7B2CDB" w14:textId="77777777" w:rsidTr="008648BD">
              <w:trPr>
                <w:trHeight w:val="290"/>
              </w:trPr>
              <w:tc>
                <w:tcPr>
                  <w:tcW w:w="2280" w:type="dxa"/>
                  <w:shd w:val="clear" w:color="auto" w:fill="auto"/>
                  <w:noWrap/>
                  <w:vAlign w:val="bottom"/>
                  <w:hideMark/>
                </w:tcPr>
                <w:p w14:paraId="7DC8AC7E"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Health &amp; Safety </w:t>
                  </w:r>
                </w:p>
              </w:tc>
              <w:tc>
                <w:tcPr>
                  <w:tcW w:w="1140" w:type="dxa"/>
                  <w:shd w:val="clear" w:color="auto" w:fill="auto"/>
                  <w:noWrap/>
                  <w:vAlign w:val="bottom"/>
                  <w:hideMark/>
                </w:tcPr>
                <w:p w14:paraId="168E512A"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40" w:type="dxa"/>
                  <w:shd w:val="clear" w:color="auto" w:fill="auto"/>
                  <w:noWrap/>
                  <w:vAlign w:val="bottom"/>
                  <w:hideMark/>
                </w:tcPr>
                <w:p w14:paraId="6CCC879B"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r>
            <w:tr w:rsidR="00DB4600" w:rsidRPr="00AF28C3" w14:paraId="54FCE56A" w14:textId="77777777" w:rsidTr="008648BD">
              <w:trPr>
                <w:trHeight w:val="290"/>
              </w:trPr>
              <w:tc>
                <w:tcPr>
                  <w:tcW w:w="2280" w:type="dxa"/>
                  <w:shd w:val="clear" w:color="auto" w:fill="auto"/>
                  <w:noWrap/>
                  <w:vAlign w:val="bottom"/>
                  <w:hideMark/>
                </w:tcPr>
                <w:p w14:paraId="7974CEF5"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Strategic Initiatives </w:t>
                  </w:r>
                </w:p>
              </w:tc>
              <w:tc>
                <w:tcPr>
                  <w:tcW w:w="1140" w:type="dxa"/>
                  <w:shd w:val="clear" w:color="auto" w:fill="auto"/>
                  <w:noWrap/>
                  <w:vAlign w:val="bottom"/>
                  <w:hideMark/>
                </w:tcPr>
                <w:p w14:paraId="11348185"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40" w:type="dxa"/>
                  <w:shd w:val="clear" w:color="auto" w:fill="auto"/>
                  <w:noWrap/>
                  <w:vAlign w:val="bottom"/>
                  <w:hideMark/>
                </w:tcPr>
                <w:p w14:paraId="2659902D"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r>
            <w:tr w:rsidR="00DB4600" w:rsidRPr="00AF28C3" w14:paraId="6CFA0D3B" w14:textId="77777777" w:rsidTr="008648BD">
              <w:trPr>
                <w:trHeight w:val="290"/>
              </w:trPr>
              <w:tc>
                <w:tcPr>
                  <w:tcW w:w="2280" w:type="dxa"/>
                  <w:shd w:val="clear" w:color="auto" w:fill="auto"/>
                  <w:noWrap/>
                  <w:vAlign w:val="bottom"/>
                  <w:hideMark/>
                </w:tcPr>
                <w:p w14:paraId="04F9EFE6"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Sustainability </w:t>
                  </w:r>
                </w:p>
              </w:tc>
              <w:tc>
                <w:tcPr>
                  <w:tcW w:w="1140" w:type="dxa"/>
                  <w:shd w:val="clear" w:color="auto" w:fill="auto"/>
                  <w:noWrap/>
                  <w:vAlign w:val="bottom"/>
                  <w:hideMark/>
                </w:tcPr>
                <w:p w14:paraId="0374FC9C"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40" w:type="dxa"/>
                  <w:shd w:val="clear" w:color="auto" w:fill="auto"/>
                  <w:noWrap/>
                  <w:vAlign w:val="bottom"/>
                  <w:hideMark/>
                </w:tcPr>
                <w:p w14:paraId="3A0BAD09"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r>
            <w:tr w:rsidR="00DB4600" w:rsidRPr="00AF28C3" w14:paraId="368A7DFC" w14:textId="77777777" w:rsidTr="008648BD">
              <w:trPr>
                <w:trHeight w:val="290"/>
              </w:trPr>
              <w:tc>
                <w:tcPr>
                  <w:tcW w:w="2280" w:type="dxa"/>
                  <w:shd w:val="clear" w:color="auto" w:fill="auto"/>
                  <w:noWrap/>
                  <w:vAlign w:val="bottom"/>
                  <w:hideMark/>
                </w:tcPr>
                <w:p w14:paraId="4FDA7DE7"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40" w:type="dxa"/>
                  <w:shd w:val="clear" w:color="auto" w:fill="auto"/>
                  <w:noWrap/>
                  <w:vAlign w:val="bottom"/>
                  <w:hideMark/>
                </w:tcPr>
                <w:p w14:paraId="0C1CEF4C" w14:textId="77777777" w:rsidR="00DB4600" w:rsidRPr="00AF28C3" w:rsidRDefault="00DB4600"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w:t>
                  </w:r>
                </w:p>
              </w:tc>
              <w:tc>
                <w:tcPr>
                  <w:tcW w:w="1140" w:type="dxa"/>
                  <w:shd w:val="clear" w:color="auto" w:fill="auto"/>
                  <w:noWrap/>
                  <w:vAlign w:val="bottom"/>
                  <w:hideMark/>
                </w:tcPr>
                <w:p w14:paraId="4D14EB0F" w14:textId="77777777" w:rsidR="00DB4600" w:rsidRPr="00AF28C3" w:rsidRDefault="00DB4600"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w:t>
                  </w:r>
                </w:p>
              </w:tc>
            </w:tr>
          </w:tbl>
          <w:p w14:paraId="7A0FF6B9" w14:textId="2927F250" w:rsidR="00DB4600" w:rsidRPr="00AF28C3" w:rsidRDefault="00DB4600" w:rsidP="00BE1E7C">
            <w:pPr>
              <w:pStyle w:val="ListParagraph"/>
              <w:numPr>
                <w:ilvl w:val="0"/>
                <w:numId w:val="12"/>
              </w:numPr>
              <w:spacing w:before="40"/>
              <w:ind w:left="284"/>
              <w:rPr>
                <w:rFonts w:ascii="Arial" w:hAnsi="Arial" w:cs="Arial"/>
                <w:b/>
                <w:bCs/>
                <w:color w:val="FFFFFF" w:themeColor="background1"/>
                <w:sz w:val="20"/>
                <w:szCs w:val="20"/>
              </w:rPr>
            </w:pPr>
            <w:r w:rsidRPr="00AF28C3">
              <w:rPr>
                <w:rFonts w:ascii="Arial" w:hAnsi="Arial" w:cs="Arial"/>
                <w:b/>
                <w:bCs/>
                <w:color w:val="FFFFFF" w:themeColor="background1"/>
                <w:sz w:val="20"/>
                <w:szCs w:val="20"/>
              </w:rPr>
              <w:t xml:space="preserve">FY22 STI Outcomes </w:t>
            </w:r>
            <w:r w:rsidR="00517548" w:rsidRPr="00AF28C3">
              <w:rPr>
                <w:rFonts w:ascii="Arial" w:hAnsi="Arial" w:cs="Arial"/>
                <w:b/>
                <w:bCs/>
                <w:color w:val="FFFFFF" w:themeColor="background1"/>
                <w:sz w:val="20"/>
                <w:szCs w:val="20"/>
              </w:rPr>
              <w:t>(Earned)</w:t>
            </w:r>
          </w:p>
          <w:p w14:paraId="517910AA" w14:textId="0BD0CA74" w:rsidR="00DB4600" w:rsidRPr="00ED6EAD" w:rsidRDefault="00DB4600" w:rsidP="00BE1E7C">
            <w:pPr>
              <w:spacing w:after="160"/>
              <w:ind w:right="4207"/>
              <w:rPr>
                <w:rFonts w:ascii="Arial" w:hAnsi="Arial" w:cs="Arial"/>
                <w:color w:val="FFFFFF" w:themeColor="background1"/>
                <w:sz w:val="18"/>
                <w:szCs w:val="18"/>
              </w:rPr>
            </w:pPr>
            <w:r w:rsidRPr="00ED6EAD">
              <w:rPr>
                <w:rFonts w:ascii="Arial" w:hAnsi="Arial" w:cs="Arial"/>
                <w:color w:val="FFFFFF" w:themeColor="background1"/>
                <w:sz w:val="18"/>
                <w:szCs w:val="18"/>
              </w:rPr>
              <w:t>FY22 STI – Disclose summary of targets [</w:t>
            </w:r>
            <w:r w:rsidRPr="00ED6EAD">
              <w:rPr>
                <w:rFonts w:ascii="Arial" w:hAnsi="Arial" w:cs="Arial"/>
                <w:i/>
                <w:iCs/>
                <w:color w:val="FFFFFF" w:themeColor="background1"/>
                <w:sz w:val="18"/>
                <w:szCs w:val="18"/>
              </w:rPr>
              <w:t xml:space="preserve">For example: Set at a target of 75% of </w:t>
            </w:r>
            <w:r w:rsidR="00D504CC" w:rsidRPr="00ED6EAD">
              <w:rPr>
                <w:rFonts w:ascii="Arial" w:hAnsi="Arial" w:cs="Arial"/>
                <w:i/>
                <w:iCs/>
                <w:color w:val="FFFFFF" w:themeColor="background1"/>
                <w:sz w:val="18"/>
                <w:szCs w:val="18"/>
              </w:rPr>
              <w:t>B</w:t>
            </w:r>
            <w:r w:rsidRPr="00ED6EAD">
              <w:rPr>
                <w:rFonts w:ascii="Arial" w:hAnsi="Arial" w:cs="Arial"/>
                <w:i/>
                <w:iCs/>
                <w:color w:val="FFFFFF" w:themeColor="background1"/>
                <w:sz w:val="18"/>
                <w:szCs w:val="18"/>
              </w:rPr>
              <w:t xml:space="preserve">ase </w:t>
            </w:r>
            <w:r w:rsidR="00D504CC" w:rsidRPr="00ED6EAD">
              <w:rPr>
                <w:rFonts w:ascii="Arial" w:hAnsi="Arial" w:cs="Arial"/>
                <w:i/>
                <w:iCs/>
                <w:color w:val="FFFFFF" w:themeColor="background1"/>
                <w:sz w:val="18"/>
                <w:szCs w:val="18"/>
              </w:rPr>
              <w:t>S</w:t>
            </w:r>
            <w:r w:rsidRPr="00ED6EAD">
              <w:rPr>
                <w:rFonts w:ascii="Arial" w:hAnsi="Arial" w:cs="Arial"/>
                <w:i/>
                <w:iCs/>
                <w:color w:val="FFFFFF" w:themeColor="background1"/>
                <w:sz w:val="18"/>
                <w:szCs w:val="18"/>
              </w:rPr>
              <w:t>alary up to a maximum of 125% of base salary if outperformance occurs in the performance hurdles.]</w:t>
            </w:r>
          </w:p>
          <w:p w14:paraId="2C813488" w14:textId="14D6C1C2" w:rsidR="00DB4600" w:rsidRPr="00ED6EAD" w:rsidRDefault="00DB4600" w:rsidP="00BE1E7C">
            <w:pPr>
              <w:spacing w:after="160"/>
              <w:ind w:right="4207"/>
              <w:rPr>
                <w:rFonts w:ascii="Arial" w:hAnsi="Arial" w:cs="Arial"/>
                <w:color w:val="FFFFFF" w:themeColor="background1"/>
                <w:sz w:val="18"/>
                <w:szCs w:val="18"/>
              </w:rPr>
            </w:pPr>
            <w:r w:rsidRPr="00ED6EAD">
              <w:rPr>
                <w:rFonts w:ascii="Arial" w:hAnsi="Arial" w:cs="Arial"/>
                <w:color w:val="FFFFFF" w:themeColor="background1"/>
                <w:sz w:val="18"/>
                <w:szCs w:val="18"/>
              </w:rPr>
              <w:t xml:space="preserve">The STI </w:t>
            </w:r>
            <w:r w:rsidR="006615A1" w:rsidRPr="00ED6EAD">
              <w:rPr>
                <w:rFonts w:ascii="Arial" w:hAnsi="Arial" w:cs="Arial"/>
                <w:color w:val="FFFFFF" w:themeColor="background1"/>
                <w:sz w:val="18"/>
                <w:szCs w:val="18"/>
              </w:rPr>
              <w:t>E</w:t>
            </w:r>
            <w:r w:rsidR="00904DA6" w:rsidRPr="00ED6EAD">
              <w:rPr>
                <w:rFonts w:ascii="Arial" w:hAnsi="Arial" w:cs="Arial"/>
                <w:color w:val="FFFFFF" w:themeColor="background1"/>
                <w:sz w:val="18"/>
                <w:szCs w:val="18"/>
              </w:rPr>
              <w:t xml:space="preserve">arned </w:t>
            </w:r>
            <w:r w:rsidRPr="00ED6EAD">
              <w:rPr>
                <w:rFonts w:ascii="Arial" w:hAnsi="Arial" w:cs="Arial"/>
                <w:color w:val="FFFFFF" w:themeColor="background1"/>
                <w:sz w:val="18"/>
                <w:szCs w:val="18"/>
              </w:rPr>
              <w:t>is paid as cash remuneration.</w:t>
            </w:r>
          </w:p>
          <w:p w14:paraId="73C91906" w14:textId="6C109154" w:rsidR="00DB4600" w:rsidRPr="00ED6EAD" w:rsidRDefault="00DB4600" w:rsidP="00BE1E7C">
            <w:pPr>
              <w:spacing w:after="160"/>
              <w:ind w:right="4207"/>
              <w:rPr>
                <w:rFonts w:ascii="Arial" w:hAnsi="Arial" w:cs="Arial"/>
                <w:color w:val="FFFFFF" w:themeColor="background1"/>
                <w:sz w:val="18"/>
                <w:szCs w:val="18"/>
              </w:rPr>
            </w:pPr>
            <w:r w:rsidRPr="00ED6EAD">
              <w:rPr>
                <w:rFonts w:ascii="Arial" w:hAnsi="Arial" w:cs="Arial"/>
                <w:color w:val="FFFFFF" w:themeColor="background1"/>
                <w:sz w:val="18"/>
                <w:szCs w:val="18"/>
              </w:rPr>
              <w:t>[</w:t>
            </w:r>
            <w:r w:rsidRPr="00ED6EAD">
              <w:rPr>
                <w:rFonts w:ascii="Arial" w:hAnsi="Arial" w:cs="Arial"/>
                <w:i/>
                <w:iCs/>
                <w:color w:val="FFFFFF" w:themeColor="background1"/>
                <w:sz w:val="18"/>
                <w:szCs w:val="18"/>
              </w:rPr>
              <w:t>Explanation of performance hurdles</w:t>
            </w:r>
            <w:r w:rsidR="00D42770" w:rsidRPr="00ED6EAD">
              <w:rPr>
                <w:rFonts w:ascii="Arial" w:hAnsi="Arial" w:cs="Arial"/>
                <w:i/>
                <w:iCs/>
                <w:color w:val="FFFFFF" w:themeColor="background1"/>
                <w:sz w:val="18"/>
                <w:szCs w:val="18"/>
              </w:rPr>
              <w:t xml:space="preserve">, </w:t>
            </w:r>
            <w:r w:rsidR="00C60B57" w:rsidRPr="00ED6EAD">
              <w:rPr>
                <w:rFonts w:ascii="Arial" w:hAnsi="Arial" w:cs="Arial"/>
                <w:i/>
                <w:iCs/>
                <w:color w:val="FFFFFF" w:themeColor="background1"/>
                <w:sz w:val="18"/>
                <w:szCs w:val="18"/>
              </w:rPr>
              <w:t>e.g.,</w:t>
            </w:r>
            <w:r w:rsidR="00D42770" w:rsidRPr="00ED6EAD">
              <w:rPr>
                <w:rFonts w:ascii="Arial" w:hAnsi="Arial" w:cs="Arial"/>
                <w:i/>
                <w:iCs/>
                <w:color w:val="FFFFFF" w:themeColor="background1"/>
                <w:sz w:val="18"/>
                <w:szCs w:val="18"/>
              </w:rPr>
              <w:t xml:space="preserve"> Financial Performance relates to EBIT and Reported Revenue, Strategic Initiatives relates to completion of strategy refresh, delivering on diversity targets, delivery on operational excellence </w:t>
            </w:r>
            <w:r w:rsidR="00C60B57" w:rsidRPr="00ED6EAD">
              <w:rPr>
                <w:rFonts w:ascii="Arial" w:hAnsi="Arial" w:cs="Arial"/>
                <w:i/>
                <w:iCs/>
                <w:color w:val="FFFFFF" w:themeColor="background1"/>
                <w:sz w:val="18"/>
                <w:szCs w:val="18"/>
              </w:rPr>
              <w:t>measures</w:t>
            </w:r>
            <w:r w:rsidR="00B65030" w:rsidRPr="00ED6EAD">
              <w:rPr>
                <w:rFonts w:ascii="Arial" w:hAnsi="Arial" w:cs="Arial"/>
                <w:i/>
                <w:iCs/>
                <w:color w:val="FFFFFF" w:themeColor="background1"/>
                <w:sz w:val="18"/>
                <w:szCs w:val="18"/>
              </w:rPr>
              <w:t>.</w:t>
            </w:r>
            <w:r w:rsidR="00C60B57" w:rsidRPr="00ED6EAD">
              <w:rPr>
                <w:rFonts w:ascii="Arial" w:hAnsi="Arial" w:cs="Arial"/>
                <w:i/>
                <w:iCs/>
                <w:color w:val="FFFFFF" w:themeColor="background1"/>
                <w:sz w:val="18"/>
                <w:szCs w:val="18"/>
              </w:rPr>
              <w:t>]</w:t>
            </w:r>
          </w:p>
          <w:p w14:paraId="04D1F04C" w14:textId="77777777" w:rsidR="00DB4600" w:rsidRPr="00AF28C3" w:rsidRDefault="00DB4600" w:rsidP="00DB4600">
            <w:pPr>
              <w:rPr>
                <w:rFonts w:ascii="Arial" w:hAnsi="Arial" w:cs="Arial"/>
                <w:b/>
                <w:bCs/>
                <w:color w:val="FFFFFF" w:themeColor="background1"/>
                <w:sz w:val="20"/>
                <w:szCs w:val="20"/>
              </w:rPr>
            </w:pP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180"/>
              <w:gridCol w:w="1180"/>
              <w:gridCol w:w="1180"/>
              <w:gridCol w:w="1180"/>
              <w:gridCol w:w="1500"/>
              <w:gridCol w:w="1500"/>
            </w:tblGrid>
            <w:tr w:rsidR="00DB4600" w:rsidRPr="00AF28C3" w14:paraId="12E560DE" w14:textId="77777777" w:rsidTr="008648BD">
              <w:trPr>
                <w:trHeight w:val="580"/>
              </w:trPr>
              <w:tc>
                <w:tcPr>
                  <w:tcW w:w="2360" w:type="dxa"/>
                  <w:gridSpan w:val="2"/>
                  <w:shd w:val="clear" w:color="auto" w:fill="auto"/>
                  <w:noWrap/>
                  <w:vAlign w:val="center"/>
                  <w:hideMark/>
                </w:tcPr>
                <w:p w14:paraId="04FC437E" w14:textId="09C7F8CC"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    STI </w:t>
                  </w:r>
                  <w:r w:rsidR="00E30995" w:rsidRPr="00AF28C3">
                    <w:rPr>
                      <w:rFonts w:ascii="Arial" w:eastAsia="Times New Roman" w:hAnsi="Arial" w:cs="Arial"/>
                      <w:color w:val="FFFFFF" w:themeColor="background1"/>
                      <w:sz w:val="20"/>
                      <w:szCs w:val="20"/>
                      <w:lang w:eastAsia="en-NZ"/>
                    </w:rPr>
                    <w:t>Target</w:t>
                  </w:r>
                </w:p>
              </w:tc>
              <w:tc>
                <w:tcPr>
                  <w:tcW w:w="2360" w:type="dxa"/>
                  <w:gridSpan w:val="2"/>
                  <w:shd w:val="clear" w:color="auto" w:fill="auto"/>
                  <w:noWrap/>
                  <w:vAlign w:val="center"/>
                  <w:hideMark/>
                </w:tcPr>
                <w:p w14:paraId="5CB5EEDF" w14:textId="4278D3A8"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  STI </w:t>
                  </w:r>
                  <w:r w:rsidR="00E30995" w:rsidRPr="00AF28C3">
                    <w:rPr>
                      <w:rFonts w:ascii="Arial" w:eastAsia="Times New Roman" w:hAnsi="Arial" w:cs="Arial"/>
                      <w:color w:val="FFFFFF" w:themeColor="background1"/>
                      <w:sz w:val="20"/>
                      <w:szCs w:val="20"/>
                      <w:lang w:eastAsia="en-NZ"/>
                    </w:rPr>
                    <w:t>Awarded</w:t>
                  </w:r>
                </w:p>
              </w:tc>
              <w:tc>
                <w:tcPr>
                  <w:tcW w:w="1180" w:type="dxa"/>
                  <w:shd w:val="clear" w:color="auto" w:fill="auto"/>
                  <w:noWrap/>
                  <w:vAlign w:val="center"/>
                  <w:hideMark/>
                </w:tcPr>
                <w:p w14:paraId="4A99C065" w14:textId="2A687BD0" w:rsidR="00DB4600" w:rsidRPr="00AF28C3" w:rsidRDefault="00E30995"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Earned</w:t>
                  </w:r>
                </w:p>
              </w:tc>
              <w:tc>
                <w:tcPr>
                  <w:tcW w:w="1500" w:type="dxa"/>
                  <w:shd w:val="clear" w:color="auto" w:fill="auto"/>
                  <w:vAlign w:val="bottom"/>
                  <w:hideMark/>
                </w:tcPr>
                <w:p w14:paraId="0776C54D" w14:textId="0562ACC3"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 </w:t>
                  </w:r>
                  <w:r w:rsidR="00E30995" w:rsidRPr="00AF28C3">
                    <w:rPr>
                      <w:rFonts w:ascii="Arial" w:eastAsia="Times New Roman" w:hAnsi="Arial" w:cs="Arial"/>
                      <w:color w:val="FFFFFF" w:themeColor="background1"/>
                      <w:sz w:val="20"/>
                      <w:szCs w:val="20"/>
                      <w:lang w:eastAsia="en-NZ"/>
                    </w:rPr>
                    <w:t xml:space="preserve">Earned </w:t>
                  </w:r>
                  <w:r w:rsidRPr="00AF28C3">
                    <w:rPr>
                      <w:rFonts w:ascii="Arial" w:eastAsia="Times New Roman" w:hAnsi="Arial" w:cs="Arial"/>
                      <w:color w:val="FFFFFF" w:themeColor="background1"/>
                      <w:sz w:val="20"/>
                      <w:szCs w:val="20"/>
                      <w:lang w:eastAsia="en-NZ"/>
                    </w:rPr>
                    <w:t xml:space="preserve">of Awarded </w:t>
                  </w:r>
                </w:p>
              </w:tc>
              <w:tc>
                <w:tcPr>
                  <w:tcW w:w="1500" w:type="dxa"/>
                </w:tcPr>
                <w:p w14:paraId="5BAB867A" w14:textId="77777777" w:rsidR="00E30995"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 of </w:t>
                  </w:r>
                  <w:r w:rsidR="00E30995" w:rsidRPr="00AF28C3">
                    <w:rPr>
                      <w:rFonts w:ascii="Arial" w:eastAsia="Times New Roman" w:hAnsi="Arial" w:cs="Arial"/>
                      <w:color w:val="FFFFFF" w:themeColor="background1"/>
                      <w:sz w:val="20"/>
                      <w:szCs w:val="20"/>
                      <w:lang w:eastAsia="en-NZ"/>
                    </w:rPr>
                    <w:t>Target</w:t>
                  </w:r>
                </w:p>
                <w:p w14:paraId="727BCFF2" w14:textId="059C63C1"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Awarded</w:t>
                  </w:r>
                </w:p>
              </w:tc>
            </w:tr>
            <w:tr w:rsidR="00DB4600" w:rsidRPr="00AF28C3" w14:paraId="38E93F11" w14:textId="77777777" w:rsidTr="008648BD">
              <w:trPr>
                <w:trHeight w:val="290"/>
              </w:trPr>
              <w:tc>
                <w:tcPr>
                  <w:tcW w:w="1180" w:type="dxa"/>
                  <w:shd w:val="clear" w:color="auto" w:fill="auto"/>
                  <w:noWrap/>
                  <w:vAlign w:val="bottom"/>
                  <w:hideMark/>
                </w:tcPr>
                <w:p w14:paraId="04C1D222"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80" w:type="dxa"/>
                  <w:shd w:val="clear" w:color="auto" w:fill="auto"/>
                  <w:noWrap/>
                  <w:vAlign w:val="bottom"/>
                  <w:hideMark/>
                </w:tcPr>
                <w:p w14:paraId="1AA71FA5"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80" w:type="dxa"/>
                  <w:shd w:val="clear" w:color="auto" w:fill="auto"/>
                  <w:noWrap/>
                  <w:vAlign w:val="bottom"/>
                  <w:hideMark/>
                </w:tcPr>
                <w:p w14:paraId="1875C6C0"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80" w:type="dxa"/>
                  <w:shd w:val="clear" w:color="auto" w:fill="auto"/>
                  <w:noWrap/>
                  <w:vAlign w:val="bottom"/>
                  <w:hideMark/>
                </w:tcPr>
                <w:p w14:paraId="79566400"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80" w:type="dxa"/>
                  <w:shd w:val="clear" w:color="auto" w:fill="auto"/>
                  <w:noWrap/>
                  <w:vAlign w:val="bottom"/>
                  <w:hideMark/>
                </w:tcPr>
                <w:p w14:paraId="0247534F"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500" w:type="dxa"/>
                  <w:shd w:val="clear" w:color="auto" w:fill="auto"/>
                  <w:noWrap/>
                  <w:vAlign w:val="bottom"/>
                  <w:hideMark/>
                </w:tcPr>
                <w:p w14:paraId="0553A231"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500" w:type="dxa"/>
                </w:tcPr>
                <w:p w14:paraId="7481F6E2"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r>
            <w:tr w:rsidR="00DB4600" w:rsidRPr="00AF28C3" w14:paraId="79149445" w14:textId="77777777" w:rsidTr="008648BD">
              <w:trPr>
                <w:trHeight w:val="290"/>
              </w:trPr>
              <w:tc>
                <w:tcPr>
                  <w:tcW w:w="1180" w:type="dxa"/>
                  <w:shd w:val="clear" w:color="auto" w:fill="auto"/>
                  <w:noWrap/>
                  <w:vAlign w:val="bottom"/>
                  <w:hideMark/>
                </w:tcPr>
                <w:p w14:paraId="67254D5C"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80" w:type="dxa"/>
                  <w:shd w:val="clear" w:color="auto" w:fill="auto"/>
                  <w:noWrap/>
                  <w:vAlign w:val="bottom"/>
                  <w:hideMark/>
                </w:tcPr>
                <w:p w14:paraId="1D15A8A0"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80" w:type="dxa"/>
                  <w:shd w:val="clear" w:color="auto" w:fill="auto"/>
                  <w:noWrap/>
                  <w:vAlign w:val="bottom"/>
                  <w:hideMark/>
                </w:tcPr>
                <w:p w14:paraId="62F2D2AC"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80" w:type="dxa"/>
                  <w:shd w:val="clear" w:color="auto" w:fill="auto"/>
                  <w:noWrap/>
                  <w:vAlign w:val="bottom"/>
                  <w:hideMark/>
                </w:tcPr>
                <w:p w14:paraId="1888F471"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80" w:type="dxa"/>
                  <w:shd w:val="clear" w:color="auto" w:fill="auto"/>
                  <w:noWrap/>
                  <w:vAlign w:val="bottom"/>
                  <w:hideMark/>
                </w:tcPr>
                <w:p w14:paraId="5916525D"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500" w:type="dxa"/>
                  <w:shd w:val="clear" w:color="auto" w:fill="auto"/>
                  <w:noWrap/>
                  <w:vAlign w:val="bottom"/>
                  <w:hideMark/>
                </w:tcPr>
                <w:p w14:paraId="4862A648"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500" w:type="dxa"/>
                </w:tcPr>
                <w:p w14:paraId="0B91F299"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r>
            <w:tr w:rsidR="00DB4600" w:rsidRPr="00AF28C3" w14:paraId="42390A25" w14:textId="77777777" w:rsidTr="008648BD">
              <w:trPr>
                <w:trHeight w:val="290"/>
              </w:trPr>
              <w:tc>
                <w:tcPr>
                  <w:tcW w:w="1180" w:type="dxa"/>
                  <w:shd w:val="clear" w:color="auto" w:fill="auto"/>
                  <w:noWrap/>
                  <w:vAlign w:val="bottom"/>
                  <w:hideMark/>
                </w:tcPr>
                <w:p w14:paraId="25892037"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80" w:type="dxa"/>
                  <w:shd w:val="clear" w:color="auto" w:fill="auto"/>
                  <w:noWrap/>
                  <w:vAlign w:val="bottom"/>
                  <w:hideMark/>
                </w:tcPr>
                <w:p w14:paraId="18A5AF48"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80" w:type="dxa"/>
                  <w:shd w:val="clear" w:color="auto" w:fill="auto"/>
                  <w:noWrap/>
                  <w:vAlign w:val="bottom"/>
                  <w:hideMark/>
                </w:tcPr>
                <w:p w14:paraId="274213B5"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80" w:type="dxa"/>
                  <w:shd w:val="clear" w:color="auto" w:fill="auto"/>
                  <w:noWrap/>
                  <w:vAlign w:val="bottom"/>
                  <w:hideMark/>
                </w:tcPr>
                <w:p w14:paraId="2CFAC339"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80" w:type="dxa"/>
                  <w:shd w:val="clear" w:color="auto" w:fill="auto"/>
                  <w:noWrap/>
                  <w:vAlign w:val="bottom"/>
                  <w:hideMark/>
                </w:tcPr>
                <w:p w14:paraId="2B202B97"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500" w:type="dxa"/>
                  <w:shd w:val="clear" w:color="auto" w:fill="auto"/>
                  <w:noWrap/>
                  <w:vAlign w:val="bottom"/>
                  <w:hideMark/>
                </w:tcPr>
                <w:p w14:paraId="0C34F715"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500" w:type="dxa"/>
                </w:tcPr>
                <w:p w14:paraId="66F78F15"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r>
          </w:tbl>
          <w:p w14:paraId="36649CF6" w14:textId="77777777" w:rsidR="003615FB" w:rsidRPr="00AF28C3" w:rsidRDefault="003615FB" w:rsidP="00DB4600">
            <w:pPr>
              <w:rPr>
                <w:rFonts w:ascii="Arial" w:hAnsi="Arial" w:cs="Arial"/>
                <w:b/>
                <w:bCs/>
                <w:color w:val="FFFFFF" w:themeColor="background1"/>
                <w:sz w:val="20"/>
                <w:szCs w:val="20"/>
              </w:rPr>
            </w:pPr>
          </w:p>
          <w:p w14:paraId="3E003A8B" w14:textId="4949DEBF" w:rsidR="00DB4600" w:rsidRPr="00AF28C3" w:rsidRDefault="00DB4600" w:rsidP="00BE1E7C">
            <w:pPr>
              <w:pStyle w:val="ListParagraph"/>
              <w:numPr>
                <w:ilvl w:val="0"/>
                <w:numId w:val="12"/>
              </w:numPr>
              <w:ind w:left="283" w:hanging="357"/>
              <w:contextualSpacing w:val="0"/>
              <w:rPr>
                <w:rFonts w:ascii="Arial" w:hAnsi="Arial" w:cs="Arial"/>
                <w:b/>
                <w:bCs/>
                <w:color w:val="FFFFFF" w:themeColor="background1"/>
                <w:sz w:val="20"/>
                <w:szCs w:val="20"/>
              </w:rPr>
            </w:pPr>
            <w:r w:rsidRPr="00AF28C3">
              <w:rPr>
                <w:rFonts w:ascii="Arial" w:hAnsi="Arial" w:cs="Arial"/>
                <w:b/>
                <w:bCs/>
                <w:color w:val="FFFFFF" w:themeColor="background1"/>
                <w:sz w:val="20"/>
                <w:szCs w:val="20"/>
              </w:rPr>
              <w:t xml:space="preserve">FY22 LTI Outcomes </w:t>
            </w:r>
            <w:r w:rsidR="00517548" w:rsidRPr="00AF28C3">
              <w:rPr>
                <w:rFonts w:ascii="Arial" w:hAnsi="Arial" w:cs="Arial"/>
                <w:b/>
                <w:bCs/>
                <w:color w:val="FFFFFF" w:themeColor="background1"/>
                <w:sz w:val="20"/>
                <w:szCs w:val="20"/>
              </w:rPr>
              <w:t>(Awarded)</w:t>
            </w:r>
          </w:p>
          <w:tbl>
            <w:tblPr>
              <w:tblpPr w:leftFromText="180" w:rightFromText="180" w:vertAnchor="text" w:horzAnchor="margin" w:tblpXSpec="right" w:tblpY="-67"/>
              <w:tblW w:w="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140"/>
              <w:gridCol w:w="1160"/>
            </w:tblGrid>
            <w:tr w:rsidR="00DB4600" w:rsidRPr="00AF28C3" w14:paraId="6E5966C5" w14:textId="77777777" w:rsidTr="008648BD">
              <w:trPr>
                <w:trHeight w:val="580"/>
              </w:trPr>
              <w:tc>
                <w:tcPr>
                  <w:tcW w:w="2207" w:type="dxa"/>
                  <w:shd w:val="clear" w:color="auto" w:fill="auto"/>
                  <w:noWrap/>
                  <w:vAlign w:val="center"/>
                  <w:hideMark/>
                </w:tcPr>
                <w:p w14:paraId="29D2B805"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Performance hurdles </w:t>
                  </w:r>
                </w:p>
              </w:tc>
              <w:tc>
                <w:tcPr>
                  <w:tcW w:w="1140" w:type="dxa"/>
                  <w:shd w:val="clear" w:color="auto" w:fill="auto"/>
                  <w:vAlign w:val="center"/>
                  <w:hideMark/>
                </w:tcPr>
                <w:p w14:paraId="13EA6346"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LTI Weighting </w:t>
                  </w:r>
                </w:p>
              </w:tc>
              <w:tc>
                <w:tcPr>
                  <w:tcW w:w="1160" w:type="dxa"/>
                  <w:shd w:val="clear" w:color="auto" w:fill="auto"/>
                  <w:vAlign w:val="center"/>
                  <w:hideMark/>
                </w:tcPr>
                <w:p w14:paraId="21EF2489"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Weighted Outcome </w:t>
                  </w:r>
                </w:p>
              </w:tc>
            </w:tr>
            <w:tr w:rsidR="00DB4600" w:rsidRPr="00AF28C3" w14:paraId="36CB63DE" w14:textId="77777777" w:rsidTr="008648BD">
              <w:trPr>
                <w:trHeight w:val="290"/>
              </w:trPr>
              <w:tc>
                <w:tcPr>
                  <w:tcW w:w="2207" w:type="dxa"/>
                  <w:shd w:val="clear" w:color="auto" w:fill="auto"/>
                  <w:noWrap/>
                  <w:vAlign w:val="bottom"/>
                  <w:hideMark/>
                </w:tcPr>
                <w:p w14:paraId="76C88CF2"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40" w:type="dxa"/>
                  <w:shd w:val="clear" w:color="auto" w:fill="auto"/>
                  <w:noWrap/>
                  <w:vAlign w:val="bottom"/>
                  <w:hideMark/>
                </w:tcPr>
                <w:p w14:paraId="06D42A03"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60" w:type="dxa"/>
                  <w:shd w:val="clear" w:color="auto" w:fill="auto"/>
                  <w:noWrap/>
                  <w:vAlign w:val="bottom"/>
                  <w:hideMark/>
                </w:tcPr>
                <w:p w14:paraId="145C5F94"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r>
            <w:tr w:rsidR="00DB4600" w:rsidRPr="00AF28C3" w14:paraId="0751E279" w14:textId="77777777" w:rsidTr="008648BD">
              <w:trPr>
                <w:trHeight w:val="290"/>
              </w:trPr>
              <w:tc>
                <w:tcPr>
                  <w:tcW w:w="2207" w:type="dxa"/>
                  <w:shd w:val="clear" w:color="auto" w:fill="auto"/>
                  <w:noWrap/>
                  <w:vAlign w:val="bottom"/>
                  <w:hideMark/>
                </w:tcPr>
                <w:p w14:paraId="33C310D8"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Absolute TSR</w:t>
                  </w:r>
                </w:p>
              </w:tc>
              <w:tc>
                <w:tcPr>
                  <w:tcW w:w="1140" w:type="dxa"/>
                  <w:shd w:val="clear" w:color="auto" w:fill="auto"/>
                  <w:noWrap/>
                  <w:vAlign w:val="bottom"/>
                  <w:hideMark/>
                </w:tcPr>
                <w:p w14:paraId="5D69F619"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60" w:type="dxa"/>
                  <w:shd w:val="clear" w:color="auto" w:fill="auto"/>
                  <w:noWrap/>
                  <w:vAlign w:val="bottom"/>
                  <w:hideMark/>
                </w:tcPr>
                <w:p w14:paraId="45130FCC"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r>
            <w:tr w:rsidR="00DB4600" w:rsidRPr="00AF28C3" w14:paraId="6246A26D" w14:textId="77777777" w:rsidTr="008648BD">
              <w:trPr>
                <w:trHeight w:val="290"/>
              </w:trPr>
              <w:tc>
                <w:tcPr>
                  <w:tcW w:w="2207" w:type="dxa"/>
                  <w:shd w:val="clear" w:color="auto" w:fill="auto"/>
                  <w:noWrap/>
                  <w:vAlign w:val="bottom"/>
                  <w:hideMark/>
                </w:tcPr>
                <w:p w14:paraId="6B69FBDE"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Relative TSR</w:t>
                  </w:r>
                </w:p>
              </w:tc>
              <w:tc>
                <w:tcPr>
                  <w:tcW w:w="1140" w:type="dxa"/>
                  <w:shd w:val="clear" w:color="auto" w:fill="auto"/>
                  <w:noWrap/>
                  <w:vAlign w:val="bottom"/>
                  <w:hideMark/>
                </w:tcPr>
                <w:p w14:paraId="5BF07187"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c>
                <w:tcPr>
                  <w:tcW w:w="1160" w:type="dxa"/>
                  <w:shd w:val="clear" w:color="auto" w:fill="auto"/>
                  <w:noWrap/>
                  <w:vAlign w:val="bottom"/>
                  <w:hideMark/>
                </w:tcPr>
                <w:p w14:paraId="324027E1" w14:textId="77777777" w:rsidR="00DB4600" w:rsidRPr="00AF28C3" w:rsidRDefault="00DB4600"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w:t>
                  </w:r>
                </w:p>
              </w:tc>
            </w:tr>
            <w:tr w:rsidR="00DB4600" w:rsidRPr="00AF28C3" w14:paraId="052E33D3" w14:textId="77777777" w:rsidTr="008648BD">
              <w:trPr>
                <w:trHeight w:val="290"/>
              </w:trPr>
              <w:tc>
                <w:tcPr>
                  <w:tcW w:w="2207" w:type="dxa"/>
                  <w:shd w:val="clear" w:color="auto" w:fill="auto"/>
                  <w:noWrap/>
                  <w:vAlign w:val="bottom"/>
                  <w:hideMark/>
                </w:tcPr>
                <w:p w14:paraId="4AD21892" w14:textId="77777777" w:rsidR="00DB4600" w:rsidRPr="00AF28C3" w:rsidRDefault="00DB4600" w:rsidP="00DB4600">
                  <w:pPr>
                    <w:spacing w:after="0" w:line="240" w:lineRule="auto"/>
                    <w:rPr>
                      <w:rFonts w:ascii="Arial" w:eastAsia="Times New Roman" w:hAnsi="Arial" w:cs="Arial"/>
                      <w:color w:val="FFFFFF" w:themeColor="background1"/>
                      <w:sz w:val="20"/>
                      <w:szCs w:val="20"/>
                      <w:lang w:eastAsia="en-NZ"/>
                    </w:rPr>
                  </w:pPr>
                </w:p>
              </w:tc>
              <w:tc>
                <w:tcPr>
                  <w:tcW w:w="1140" w:type="dxa"/>
                  <w:shd w:val="clear" w:color="auto" w:fill="auto"/>
                  <w:noWrap/>
                  <w:vAlign w:val="bottom"/>
                  <w:hideMark/>
                </w:tcPr>
                <w:p w14:paraId="7905853B" w14:textId="77777777" w:rsidR="00DB4600" w:rsidRPr="00AF28C3" w:rsidRDefault="00DB4600"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w:t>
                  </w:r>
                </w:p>
              </w:tc>
              <w:tc>
                <w:tcPr>
                  <w:tcW w:w="1160" w:type="dxa"/>
                  <w:shd w:val="clear" w:color="auto" w:fill="auto"/>
                  <w:noWrap/>
                  <w:vAlign w:val="bottom"/>
                  <w:hideMark/>
                </w:tcPr>
                <w:p w14:paraId="63D533B9" w14:textId="77777777" w:rsidR="00DB4600" w:rsidRPr="00AF28C3" w:rsidRDefault="00DB4600"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w:t>
                  </w:r>
                </w:p>
              </w:tc>
            </w:tr>
          </w:tbl>
          <w:p w14:paraId="6106F473" w14:textId="0B18998C" w:rsidR="00C122F6" w:rsidRPr="00ED6EAD" w:rsidRDefault="00DB4600" w:rsidP="00BE1E7C">
            <w:pPr>
              <w:spacing w:after="160"/>
              <w:rPr>
                <w:rFonts w:ascii="Arial" w:hAnsi="Arial" w:cs="Arial"/>
                <w:color w:val="FFFFFF" w:themeColor="background1"/>
                <w:sz w:val="18"/>
                <w:szCs w:val="18"/>
              </w:rPr>
            </w:pPr>
            <w:r w:rsidRPr="00ED6EAD">
              <w:rPr>
                <w:rFonts w:ascii="Arial" w:hAnsi="Arial" w:cs="Arial"/>
                <w:color w:val="FFFFFF" w:themeColor="background1"/>
                <w:sz w:val="18"/>
                <w:szCs w:val="18"/>
              </w:rPr>
              <w:t xml:space="preserve">FY22 LTI – Disclose summary of </w:t>
            </w:r>
            <w:r w:rsidR="00D504CC" w:rsidRPr="00ED6EAD">
              <w:rPr>
                <w:rFonts w:ascii="Arial" w:hAnsi="Arial" w:cs="Arial"/>
                <w:color w:val="FFFFFF" w:themeColor="background1"/>
                <w:sz w:val="18"/>
                <w:szCs w:val="18"/>
              </w:rPr>
              <w:t xml:space="preserve">Awards </w:t>
            </w:r>
            <w:r w:rsidRPr="00ED6EAD">
              <w:rPr>
                <w:rFonts w:ascii="Arial" w:hAnsi="Arial" w:cs="Arial"/>
                <w:color w:val="FFFFFF" w:themeColor="background1"/>
                <w:sz w:val="18"/>
                <w:szCs w:val="18"/>
              </w:rPr>
              <w:t>[</w:t>
            </w:r>
            <w:r w:rsidRPr="00ED6EAD">
              <w:rPr>
                <w:rFonts w:ascii="Arial" w:hAnsi="Arial" w:cs="Arial"/>
                <w:i/>
                <w:iCs/>
                <w:color w:val="FFFFFF" w:themeColor="background1"/>
                <w:sz w:val="18"/>
                <w:szCs w:val="18"/>
              </w:rPr>
              <w:t xml:space="preserve">For example: Based on an annual grant of PSRs set at 50% of </w:t>
            </w:r>
            <w:r w:rsidR="00D504CC" w:rsidRPr="00ED6EAD">
              <w:rPr>
                <w:rFonts w:ascii="Arial" w:hAnsi="Arial" w:cs="Arial"/>
                <w:i/>
                <w:iCs/>
                <w:color w:val="FFFFFF" w:themeColor="background1"/>
                <w:sz w:val="18"/>
                <w:szCs w:val="18"/>
              </w:rPr>
              <w:t>B</w:t>
            </w:r>
            <w:r w:rsidRPr="00ED6EAD">
              <w:rPr>
                <w:rFonts w:ascii="Arial" w:hAnsi="Arial" w:cs="Arial"/>
                <w:i/>
                <w:iCs/>
                <w:color w:val="FFFFFF" w:themeColor="background1"/>
                <w:sz w:val="18"/>
                <w:szCs w:val="18"/>
              </w:rPr>
              <w:t xml:space="preserve">ase </w:t>
            </w:r>
            <w:r w:rsidR="00D504CC" w:rsidRPr="00ED6EAD">
              <w:rPr>
                <w:rFonts w:ascii="Arial" w:hAnsi="Arial" w:cs="Arial"/>
                <w:i/>
                <w:iCs/>
                <w:color w:val="FFFFFF" w:themeColor="background1"/>
                <w:sz w:val="18"/>
                <w:szCs w:val="18"/>
              </w:rPr>
              <w:t>S</w:t>
            </w:r>
            <w:r w:rsidRPr="00ED6EAD">
              <w:rPr>
                <w:rFonts w:ascii="Arial" w:hAnsi="Arial" w:cs="Arial"/>
                <w:i/>
                <w:iCs/>
                <w:color w:val="FFFFFF" w:themeColor="background1"/>
                <w:sz w:val="18"/>
                <w:szCs w:val="18"/>
              </w:rPr>
              <w:t>alary remuneration at the start of the three-year performance period.</w:t>
            </w:r>
            <w:r w:rsidR="003615FB" w:rsidRPr="00ED6EAD">
              <w:rPr>
                <w:rFonts w:ascii="Arial" w:hAnsi="Arial" w:cs="Arial"/>
                <w:i/>
                <w:iCs/>
                <w:color w:val="FFFFFF" w:themeColor="background1"/>
                <w:sz w:val="18"/>
                <w:szCs w:val="18"/>
              </w:rPr>
              <w:t xml:space="preserve"> (Vesting Period)</w:t>
            </w:r>
            <w:r w:rsidRPr="00ED6EAD">
              <w:rPr>
                <w:rFonts w:ascii="Arial" w:hAnsi="Arial" w:cs="Arial"/>
                <w:i/>
                <w:iCs/>
                <w:color w:val="FFFFFF" w:themeColor="background1"/>
                <w:sz w:val="18"/>
                <w:szCs w:val="18"/>
              </w:rPr>
              <w:t xml:space="preserve"> The </w:t>
            </w:r>
            <w:r w:rsidR="003615FB" w:rsidRPr="00ED6EAD">
              <w:rPr>
                <w:rFonts w:ascii="Arial" w:hAnsi="Arial" w:cs="Arial"/>
                <w:i/>
                <w:iCs/>
                <w:color w:val="FFFFFF" w:themeColor="background1"/>
                <w:sz w:val="18"/>
                <w:szCs w:val="18"/>
              </w:rPr>
              <w:t>V</w:t>
            </w:r>
            <w:r w:rsidRPr="00ED6EAD">
              <w:rPr>
                <w:rFonts w:ascii="Arial" w:hAnsi="Arial" w:cs="Arial"/>
                <w:i/>
                <w:iCs/>
                <w:color w:val="FFFFFF" w:themeColor="background1"/>
                <w:sz w:val="18"/>
                <w:szCs w:val="18"/>
              </w:rPr>
              <w:t xml:space="preserve">esting of shares at the end of the </w:t>
            </w:r>
            <w:r w:rsidR="004C47EA" w:rsidRPr="00ED6EAD">
              <w:rPr>
                <w:rFonts w:ascii="Arial" w:hAnsi="Arial" w:cs="Arial"/>
                <w:i/>
                <w:iCs/>
                <w:color w:val="FFFFFF" w:themeColor="background1"/>
                <w:sz w:val="18"/>
                <w:szCs w:val="18"/>
              </w:rPr>
              <w:t>Vesting P</w:t>
            </w:r>
            <w:r w:rsidRPr="00ED6EAD">
              <w:rPr>
                <w:rFonts w:ascii="Arial" w:hAnsi="Arial" w:cs="Arial"/>
                <w:i/>
                <w:iCs/>
                <w:color w:val="FFFFFF" w:themeColor="background1"/>
                <w:sz w:val="18"/>
                <w:szCs w:val="18"/>
              </w:rPr>
              <w:t>eriod is subject to TSR performance hurdles.</w:t>
            </w:r>
            <w:r w:rsidR="00D504CC" w:rsidRPr="00ED6EAD">
              <w:rPr>
                <w:rFonts w:ascii="Arial" w:hAnsi="Arial" w:cs="Arial"/>
                <w:i/>
                <w:iCs/>
                <w:color w:val="FFFFFF" w:themeColor="background1"/>
                <w:sz w:val="18"/>
                <w:szCs w:val="18"/>
              </w:rPr>
              <w:t xml:space="preserve"> Upon Vesting, each PSR shall be eligible to one ordinary share which shall be issued by the issuer or transferred from treasury stock to the CEO.</w:t>
            </w:r>
            <w:r w:rsidR="00C122F6" w:rsidRPr="00ED6EAD">
              <w:rPr>
                <w:rFonts w:ascii="Arial" w:hAnsi="Arial" w:cs="Arial"/>
                <w:color w:val="FFFFFF" w:themeColor="background1"/>
                <w:sz w:val="18"/>
                <w:szCs w:val="18"/>
              </w:rPr>
              <w:t>]</w:t>
            </w:r>
            <w:r w:rsidRPr="00ED6EAD">
              <w:rPr>
                <w:rFonts w:ascii="Arial" w:hAnsi="Arial" w:cs="Arial"/>
                <w:color w:val="FFFFFF" w:themeColor="background1"/>
                <w:sz w:val="18"/>
                <w:szCs w:val="18"/>
              </w:rPr>
              <w:t xml:space="preserve"> </w:t>
            </w:r>
          </w:p>
          <w:p w14:paraId="19D4C7F7" w14:textId="79B2F251" w:rsidR="003E5672" w:rsidRPr="00ED6EAD" w:rsidRDefault="00DB4600" w:rsidP="00BE1E7C">
            <w:pPr>
              <w:spacing w:after="160"/>
              <w:rPr>
                <w:rFonts w:ascii="Arial" w:hAnsi="Arial" w:cs="Arial"/>
                <w:color w:val="FFFFFF" w:themeColor="background1"/>
                <w:sz w:val="18"/>
                <w:szCs w:val="18"/>
              </w:rPr>
            </w:pPr>
            <w:r w:rsidRPr="00ED6EAD">
              <w:rPr>
                <w:rFonts w:ascii="Arial" w:hAnsi="Arial" w:cs="Arial"/>
                <w:color w:val="FFFFFF" w:themeColor="background1"/>
                <w:sz w:val="18"/>
                <w:szCs w:val="18"/>
              </w:rPr>
              <w:t>[</w:t>
            </w:r>
            <w:r w:rsidRPr="00ED6EAD">
              <w:rPr>
                <w:rFonts w:ascii="Arial" w:hAnsi="Arial" w:cs="Arial"/>
                <w:i/>
                <w:iCs/>
                <w:color w:val="FFFFFF" w:themeColor="background1"/>
                <w:sz w:val="18"/>
                <w:szCs w:val="18"/>
              </w:rPr>
              <w:t>Explanation of performance hurdles</w:t>
            </w:r>
            <w:r w:rsidR="004C47EA" w:rsidRPr="00ED6EAD">
              <w:rPr>
                <w:rFonts w:ascii="Arial" w:hAnsi="Arial" w:cs="Arial"/>
                <w:i/>
                <w:iCs/>
                <w:color w:val="FFFFFF" w:themeColor="background1"/>
                <w:sz w:val="18"/>
                <w:szCs w:val="18"/>
              </w:rPr>
              <w:t>, state whether all hurdles must be satisfied, and explain any cross-conditional hurdle</w:t>
            </w:r>
            <w:r w:rsidR="003E5672" w:rsidRPr="00ED6EAD">
              <w:rPr>
                <w:rFonts w:ascii="Arial" w:hAnsi="Arial" w:cs="Arial"/>
                <w:i/>
                <w:iCs/>
                <w:color w:val="FFFFFF" w:themeColor="background1"/>
                <w:sz w:val="18"/>
                <w:szCs w:val="18"/>
              </w:rPr>
              <w:t>s</w:t>
            </w:r>
            <w:r w:rsidR="00C122F6" w:rsidRPr="00ED6EAD">
              <w:rPr>
                <w:rFonts w:ascii="Arial" w:hAnsi="Arial" w:cs="Arial"/>
                <w:i/>
                <w:iCs/>
                <w:color w:val="FFFFFF" w:themeColor="background1"/>
                <w:sz w:val="18"/>
                <w:szCs w:val="18"/>
              </w:rPr>
              <w:t>.</w:t>
            </w:r>
            <w:r w:rsidR="003E5672" w:rsidRPr="00ED6EAD">
              <w:rPr>
                <w:rFonts w:ascii="Arial" w:hAnsi="Arial" w:cs="Arial"/>
                <w:color w:val="FFFFFF" w:themeColor="background1"/>
                <w:sz w:val="18"/>
                <w:szCs w:val="18"/>
              </w:rPr>
              <w:t>]</w:t>
            </w:r>
          </w:p>
          <w:p w14:paraId="4A7369B7" w14:textId="77777777" w:rsidR="003E5672" w:rsidRDefault="003E5672" w:rsidP="00DB4600">
            <w:pPr>
              <w:spacing w:after="160" w:line="259" w:lineRule="auto"/>
              <w:rPr>
                <w:rFonts w:ascii="Arial" w:hAnsi="Arial" w:cs="Arial"/>
                <w:color w:val="FFFFFF" w:themeColor="background1"/>
                <w:sz w:val="20"/>
                <w:szCs w:val="20"/>
              </w:rPr>
            </w:pPr>
          </w:p>
          <w:p w14:paraId="58CD6A2A" w14:textId="77777777" w:rsidR="00ED6EAD" w:rsidRDefault="00ED6EAD" w:rsidP="00DB4600">
            <w:pPr>
              <w:spacing w:after="160" w:line="259" w:lineRule="auto"/>
              <w:rPr>
                <w:rFonts w:ascii="Arial" w:hAnsi="Arial" w:cs="Arial"/>
                <w:color w:val="FFFFFF" w:themeColor="background1"/>
                <w:sz w:val="20"/>
                <w:szCs w:val="20"/>
              </w:rPr>
            </w:pPr>
          </w:p>
          <w:p w14:paraId="41F2E5DA" w14:textId="77777777" w:rsidR="00ED6EAD" w:rsidRDefault="00ED6EAD" w:rsidP="00DB4600">
            <w:pPr>
              <w:spacing w:after="160" w:line="259" w:lineRule="auto"/>
              <w:rPr>
                <w:rFonts w:ascii="Arial" w:hAnsi="Arial" w:cs="Arial"/>
                <w:color w:val="FFFFFF" w:themeColor="background1"/>
                <w:sz w:val="20"/>
                <w:szCs w:val="20"/>
              </w:rPr>
            </w:pPr>
          </w:p>
          <w:p w14:paraId="16F325FE" w14:textId="77777777" w:rsidR="00C122F6" w:rsidRPr="00AF28C3" w:rsidRDefault="00C122F6" w:rsidP="00DB4600">
            <w:pPr>
              <w:spacing w:after="160" w:line="259" w:lineRule="auto"/>
              <w:rPr>
                <w:rFonts w:ascii="Arial" w:hAnsi="Arial" w:cs="Arial"/>
                <w:color w:val="FFFFFF" w:themeColor="background1"/>
                <w:sz w:val="20"/>
                <w:szCs w:val="20"/>
              </w:rPr>
            </w:pPr>
          </w:p>
          <w:p w14:paraId="0DBCCA02" w14:textId="10CF7B0A" w:rsidR="00DB4600" w:rsidRPr="00AF28C3" w:rsidRDefault="00DB4600" w:rsidP="00DB4600">
            <w:pPr>
              <w:spacing w:after="160" w:line="259" w:lineRule="auto"/>
              <w:rPr>
                <w:rFonts w:ascii="Arial" w:hAnsi="Arial" w:cs="Arial"/>
                <w:color w:val="FFFFFF" w:themeColor="background1"/>
                <w:sz w:val="20"/>
                <w:szCs w:val="20"/>
              </w:rPr>
            </w:pPr>
            <w:r w:rsidRPr="00AF28C3">
              <w:rPr>
                <w:rFonts w:ascii="Arial" w:hAnsi="Arial" w:cs="Arial"/>
                <w:color w:val="FFFFFF" w:themeColor="background1"/>
                <w:sz w:val="20"/>
                <w:szCs w:val="20"/>
              </w:rPr>
              <w:lastRenderedPageBreak/>
              <w:t xml:space="preserve">PSRs granted to the CEO as at </w:t>
            </w:r>
            <w:r w:rsidR="003E067B" w:rsidRPr="00AF28C3">
              <w:rPr>
                <w:rFonts w:ascii="Arial" w:hAnsi="Arial" w:cs="Arial"/>
                <w:color w:val="FFFFFF" w:themeColor="background1"/>
                <w:sz w:val="20"/>
                <w:szCs w:val="20"/>
              </w:rPr>
              <w:t>[</w:t>
            </w:r>
            <w:r w:rsidRPr="00AF28C3">
              <w:rPr>
                <w:rFonts w:ascii="Arial" w:hAnsi="Arial" w:cs="Arial"/>
                <w:color w:val="FFFFFF" w:themeColor="background1"/>
                <w:sz w:val="20"/>
                <w:szCs w:val="20"/>
              </w:rPr>
              <w:t>31 March 2022</w:t>
            </w:r>
            <w:r w:rsidR="003E067B" w:rsidRPr="00AF28C3">
              <w:rPr>
                <w:rFonts w:ascii="Arial" w:hAnsi="Arial" w:cs="Arial"/>
                <w:color w:val="FFFFFF" w:themeColor="background1"/>
                <w:sz w:val="20"/>
                <w:szCs w:val="20"/>
              </w:rPr>
              <w:t>]</w:t>
            </w:r>
            <w:r w:rsidR="00464780" w:rsidRPr="00AF28C3">
              <w:rPr>
                <w:rStyle w:val="FootnoteReference"/>
                <w:rFonts w:ascii="Arial" w:hAnsi="Arial" w:cs="Arial"/>
                <w:color w:val="FFFFFF" w:themeColor="background1"/>
                <w:sz w:val="20"/>
                <w:szCs w:val="20"/>
              </w:rPr>
              <w:footnoteReference w:id="3"/>
            </w:r>
          </w:p>
          <w:tbl>
            <w:tblPr>
              <w:tblW w:w="15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482"/>
              <w:gridCol w:w="962"/>
              <w:gridCol w:w="1109"/>
              <w:gridCol w:w="1137"/>
              <w:gridCol w:w="1006"/>
              <w:gridCol w:w="1173"/>
              <w:gridCol w:w="1122"/>
              <w:gridCol w:w="884"/>
              <w:gridCol w:w="1287"/>
              <w:gridCol w:w="1169"/>
              <w:gridCol w:w="958"/>
              <w:gridCol w:w="1494"/>
            </w:tblGrid>
            <w:tr w:rsidR="00560FFA" w:rsidRPr="00AF28C3" w14:paraId="28B4E859" w14:textId="77777777" w:rsidTr="00200892">
              <w:trPr>
                <w:trHeight w:val="290"/>
              </w:trPr>
              <w:tc>
                <w:tcPr>
                  <w:tcW w:w="1336" w:type="dxa"/>
                  <w:tcBorders>
                    <w:bottom w:val="nil"/>
                  </w:tcBorders>
                  <w:shd w:val="clear" w:color="auto" w:fill="auto"/>
                  <w:noWrap/>
                  <w:hideMark/>
                </w:tcPr>
                <w:p w14:paraId="3E18CBD4" w14:textId="77777777"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p>
              </w:tc>
              <w:tc>
                <w:tcPr>
                  <w:tcW w:w="1482" w:type="dxa"/>
                  <w:tcBorders>
                    <w:bottom w:val="nil"/>
                  </w:tcBorders>
                  <w:shd w:val="clear" w:color="auto" w:fill="auto"/>
                  <w:noWrap/>
                  <w:hideMark/>
                </w:tcPr>
                <w:p w14:paraId="585060A0" w14:textId="3FA21239"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p>
              </w:tc>
              <w:tc>
                <w:tcPr>
                  <w:tcW w:w="962" w:type="dxa"/>
                  <w:tcBorders>
                    <w:bottom w:val="nil"/>
                  </w:tcBorders>
                  <w:shd w:val="clear" w:color="auto" w:fill="auto"/>
                  <w:noWrap/>
                  <w:hideMark/>
                </w:tcPr>
                <w:p w14:paraId="1E97C773" w14:textId="414C6B77"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p>
              </w:tc>
              <w:tc>
                <w:tcPr>
                  <w:tcW w:w="2246" w:type="dxa"/>
                  <w:gridSpan w:val="2"/>
                  <w:shd w:val="clear" w:color="auto" w:fill="auto"/>
                  <w:noWrap/>
                  <w:hideMark/>
                </w:tcPr>
                <w:p w14:paraId="0F844F52" w14:textId="1979460B" w:rsidR="00560FFA"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Awarded during the </w:t>
                  </w:r>
                  <w:r w:rsidR="00200892">
                    <w:rPr>
                      <w:rFonts w:ascii="Arial" w:eastAsia="Times New Roman" w:hAnsi="Arial" w:cs="Arial"/>
                      <w:color w:val="FFFFFF" w:themeColor="background1"/>
                      <w:sz w:val="20"/>
                      <w:szCs w:val="20"/>
                      <w:lang w:eastAsia="en-NZ"/>
                    </w:rPr>
                    <w:t xml:space="preserve">reporting </w:t>
                  </w:r>
                  <w:proofErr w:type="gramStart"/>
                  <w:r w:rsidR="00200892">
                    <w:rPr>
                      <w:rFonts w:ascii="Arial" w:eastAsia="Times New Roman" w:hAnsi="Arial" w:cs="Arial"/>
                      <w:color w:val="FFFFFF" w:themeColor="background1"/>
                      <w:sz w:val="20"/>
                      <w:szCs w:val="20"/>
                      <w:lang w:eastAsia="en-NZ"/>
                    </w:rPr>
                    <w:t>period</w:t>
                  </w:r>
                  <w:proofErr w:type="gramEnd"/>
                </w:p>
                <w:p w14:paraId="327B24AD" w14:textId="77777777" w:rsidR="00ED6EAD" w:rsidRPr="00AF28C3" w:rsidRDefault="00ED6EAD" w:rsidP="004442A1">
                  <w:pPr>
                    <w:spacing w:after="0" w:line="240" w:lineRule="auto"/>
                    <w:jc w:val="center"/>
                    <w:rPr>
                      <w:rFonts w:ascii="Arial" w:eastAsia="Times New Roman" w:hAnsi="Arial" w:cs="Arial"/>
                      <w:color w:val="FFFFFF" w:themeColor="background1"/>
                      <w:sz w:val="20"/>
                      <w:szCs w:val="20"/>
                      <w:lang w:eastAsia="en-NZ"/>
                    </w:rPr>
                  </w:pPr>
                </w:p>
                <w:p w14:paraId="3FCB3AC7" w14:textId="133E9922"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p>
              </w:tc>
              <w:tc>
                <w:tcPr>
                  <w:tcW w:w="1006" w:type="dxa"/>
                  <w:tcBorders>
                    <w:bottom w:val="nil"/>
                  </w:tcBorders>
                </w:tcPr>
                <w:p w14:paraId="6871F5AB" w14:textId="57BDF269"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p>
              </w:tc>
              <w:tc>
                <w:tcPr>
                  <w:tcW w:w="3179" w:type="dxa"/>
                  <w:gridSpan w:val="3"/>
                  <w:shd w:val="clear" w:color="auto" w:fill="auto"/>
                  <w:noWrap/>
                  <w:hideMark/>
                </w:tcPr>
                <w:p w14:paraId="7731879E" w14:textId="15B0E89A"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Shares Vested during the reporting period</w:t>
                  </w:r>
                </w:p>
                <w:p w14:paraId="729AC061" w14:textId="3750A64A"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p>
              </w:tc>
              <w:tc>
                <w:tcPr>
                  <w:tcW w:w="3414" w:type="dxa"/>
                  <w:gridSpan w:val="3"/>
                </w:tcPr>
                <w:p w14:paraId="7C2AC753" w14:textId="5DD3946F"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Shares issued/transferred during the reporting period</w:t>
                  </w:r>
                </w:p>
              </w:tc>
              <w:tc>
                <w:tcPr>
                  <w:tcW w:w="1494" w:type="dxa"/>
                  <w:tcBorders>
                    <w:bottom w:val="nil"/>
                  </w:tcBorders>
                  <w:shd w:val="clear" w:color="auto" w:fill="auto"/>
                  <w:noWrap/>
                  <w:hideMark/>
                </w:tcPr>
                <w:p w14:paraId="0151584B" w14:textId="662D8A98"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p>
              </w:tc>
            </w:tr>
            <w:tr w:rsidR="00560FFA" w:rsidRPr="00AF28C3" w14:paraId="5DF9185A" w14:textId="77777777" w:rsidTr="00200892">
              <w:trPr>
                <w:trHeight w:val="1253"/>
              </w:trPr>
              <w:tc>
                <w:tcPr>
                  <w:tcW w:w="1336" w:type="dxa"/>
                  <w:tcBorders>
                    <w:top w:val="nil"/>
                  </w:tcBorders>
                  <w:shd w:val="clear" w:color="auto" w:fill="auto"/>
                  <w:hideMark/>
                </w:tcPr>
                <w:p w14:paraId="7356D52C" w14:textId="339B8EA9"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PSR Award Date</w:t>
                  </w:r>
                </w:p>
              </w:tc>
              <w:tc>
                <w:tcPr>
                  <w:tcW w:w="1482" w:type="dxa"/>
                  <w:tcBorders>
                    <w:top w:val="nil"/>
                  </w:tcBorders>
                  <w:shd w:val="clear" w:color="auto" w:fill="auto"/>
                  <w:hideMark/>
                </w:tcPr>
                <w:p w14:paraId="653CFA4F" w14:textId="70336DA3"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Vesting Date</w:t>
                  </w:r>
                </w:p>
              </w:tc>
              <w:tc>
                <w:tcPr>
                  <w:tcW w:w="962" w:type="dxa"/>
                  <w:tcBorders>
                    <w:top w:val="nil"/>
                  </w:tcBorders>
                  <w:shd w:val="clear" w:color="auto" w:fill="auto"/>
                  <w:hideMark/>
                </w:tcPr>
                <w:p w14:paraId="6F5B9651" w14:textId="0A532183"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Balance of PSRs at 31 March 2021</w:t>
                  </w:r>
                </w:p>
              </w:tc>
              <w:tc>
                <w:tcPr>
                  <w:tcW w:w="1109" w:type="dxa"/>
                  <w:shd w:val="clear" w:color="auto" w:fill="auto"/>
                  <w:hideMark/>
                </w:tcPr>
                <w:p w14:paraId="27A297AA" w14:textId="4B7ABBAE" w:rsidR="00560FFA" w:rsidRPr="00AF28C3" w:rsidRDefault="00560FFA" w:rsidP="00AD1358">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PSRs Awarded</w:t>
                  </w:r>
                </w:p>
              </w:tc>
              <w:tc>
                <w:tcPr>
                  <w:tcW w:w="1137" w:type="dxa"/>
                  <w:shd w:val="clear" w:color="auto" w:fill="auto"/>
                  <w:hideMark/>
                </w:tcPr>
                <w:p w14:paraId="23A12083" w14:textId="536A1280" w:rsidR="00560FFA" w:rsidRPr="00AF28C3" w:rsidRDefault="00560FFA" w:rsidP="00AD1358">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Market Price at Award</w:t>
                  </w:r>
                </w:p>
              </w:tc>
              <w:tc>
                <w:tcPr>
                  <w:tcW w:w="1006" w:type="dxa"/>
                  <w:tcBorders>
                    <w:top w:val="nil"/>
                  </w:tcBorders>
                </w:tcPr>
                <w:p w14:paraId="1E19EE6B" w14:textId="5E451AB2"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PSRs lapsed during the </w:t>
                  </w:r>
                  <w:r w:rsidR="00200892">
                    <w:rPr>
                      <w:rFonts w:ascii="Arial" w:eastAsia="Times New Roman" w:hAnsi="Arial" w:cs="Arial"/>
                      <w:color w:val="FFFFFF" w:themeColor="background1"/>
                      <w:sz w:val="20"/>
                      <w:szCs w:val="20"/>
                      <w:lang w:eastAsia="en-NZ"/>
                    </w:rPr>
                    <w:t>reporting period</w:t>
                  </w:r>
                </w:p>
              </w:tc>
              <w:tc>
                <w:tcPr>
                  <w:tcW w:w="1173" w:type="dxa"/>
                  <w:shd w:val="clear" w:color="auto" w:fill="auto"/>
                  <w:hideMark/>
                </w:tcPr>
                <w:p w14:paraId="77690D90" w14:textId="63A3DDB7"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Shares Vested</w:t>
                  </w:r>
                  <w:r w:rsidR="00BB0A4D">
                    <w:rPr>
                      <w:rStyle w:val="FootnoteReference"/>
                      <w:rFonts w:ascii="Arial" w:eastAsia="Times New Roman" w:hAnsi="Arial" w:cs="Arial"/>
                      <w:color w:val="FFFFFF" w:themeColor="background1"/>
                      <w:sz w:val="20"/>
                      <w:szCs w:val="20"/>
                      <w:lang w:eastAsia="en-NZ"/>
                    </w:rPr>
                    <w:footnoteReference w:id="4"/>
                  </w:r>
                  <w:r w:rsidRPr="00AF28C3">
                    <w:rPr>
                      <w:rFonts w:ascii="Arial" w:eastAsia="Times New Roman" w:hAnsi="Arial" w:cs="Arial"/>
                      <w:color w:val="FFFFFF" w:themeColor="background1"/>
                      <w:sz w:val="20"/>
                      <w:szCs w:val="20"/>
                      <w:lang w:eastAsia="en-NZ"/>
                    </w:rPr>
                    <w:t xml:space="preserve"> </w:t>
                  </w:r>
                </w:p>
              </w:tc>
              <w:tc>
                <w:tcPr>
                  <w:tcW w:w="1122" w:type="dxa"/>
                  <w:shd w:val="clear" w:color="auto" w:fill="auto"/>
                  <w:hideMark/>
                </w:tcPr>
                <w:p w14:paraId="143A5490" w14:textId="722E68E5"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Market Price at Vesting Date </w:t>
                  </w:r>
                </w:p>
              </w:tc>
              <w:tc>
                <w:tcPr>
                  <w:tcW w:w="884" w:type="dxa"/>
                  <w:shd w:val="clear" w:color="auto" w:fill="auto"/>
                  <w:hideMark/>
                </w:tcPr>
                <w:p w14:paraId="143F92EC" w14:textId="77777777"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Vesting</w:t>
                  </w:r>
                </w:p>
                <w:p w14:paraId="1CCAC68C" w14:textId="1F3CDB35"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 xml:space="preserve">Date </w:t>
                  </w:r>
                </w:p>
              </w:tc>
              <w:tc>
                <w:tcPr>
                  <w:tcW w:w="1287" w:type="dxa"/>
                </w:tcPr>
                <w:p w14:paraId="25DB50DD" w14:textId="23BA7AF3"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Shares issued /transferred</w:t>
                  </w:r>
                </w:p>
              </w:tc>
              <w:tc>
                <w:tcPr>
                  <w:tcW w:w="1169" w:type="dxa"/>
                </w:tcPr>
                <w:p w14:paraId="4544B2AC" w14:textId="7E7784E5"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Market Price at issue / transfer date</w:t>
                  </w:r>
                </w:p>
              </w:tc>
              <w:tc>
                <w:tcPr>
                  <w:tcW w:w="958" w:type="dxa"/>
                </w:tcPr>
                <w:p w14:paraId="46485A7E" w14:textId="7CC43F3E"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Issue / transfer date</w:t>
                  </w:r>
                </w:p>
              </w:tc>
              <w:tc>
                <w:tcPr>
                  <w:tcW w:w="1494" w:type="dxa"/>
                  <w:tcBorders>
                    <w:top w:val="nil"/>
                  </w:tcBorders>
                  <w:shd w:val="clear" w:color="auto" w:fill="auto"/>
                  <w:hideMark/>
                </w:tcPr>
                <w:p w14:paraId="7FF7BC20" w14:textId="102DC0C1"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Balance of PSRs @ 31 March 2022</w:t>
                  </w:r>
                </w:p>
              </w:tc>
            </w:tr>
            <w:tr w:rsidR="00560FFA" w:rsidRPr="00AF28C3" w14:paraId="7AC19819" w14:textId="77777777" w:rsidTr="00200892">
              <w:trPr>
                <w:trHeight w:val="290"/>
              </w:trPr>
              <w:tc>
                <w:tcPr>
                  <w:tcW w:w="1336" w:type="dxa"/>
                  <w:shd w:val="clear" w:color="auto" w:fill="auto"/>
                  <w:noWrap/>
                  <w:vAlign w:val="bottom"/>
                  <w:hideMark/>
                </w:tcPr>
                <w:p w14:paraId="741E6B4D"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1482" w:type="dxa"/>
                  <w:shd w:val="clear" w:color="auto" w:fill="auto"/>
                  <w:noWrap/>
                  <w:vAlign w:val="bottom"/>
                  <w:hideMark/>
                </w:tcPr>
                <w:p w14:paraId="4E0757F1"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962" w:type="dxa"/>
                  <w:shd w:val="clear" w:color="auto" w:fill="auto"/>
                  <w:noWrap/>
                  <w:vAlign w:val="bottom"/>
                  <w:hideMark/>
                </w:tcPr>
                <w:p w14:paraId="0AC592D8"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1109" w:type="dxa"/>
                  <w:shd w:val="clear" w:color="auto" w:fill="auto"/>
                  <w:noWrap/>
                  <w:vAlign w:val="bottom"/>
                  <w:hideMark/>
                </w:tcPr>
                <w:p w14:paraId="589F1739"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1137" w:type="dxa"/>
                  <w:shd w:val="clear" w:color="auto" w:fill="auto"/>
                  <w:noWrap/>
                  <w:vAlign w:val="bottom"/>
                  <w:hideMark/>
                </w:tcPr>
                <w:p w14:paraId="6A4ACCBB"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1006" w:type="dxa"/>
                </w:tcPr>
                <w:p w14:paraId="1486AF59"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1173" w:type="dxa"/>
                  <w:shd w:val="clear" w:color="auto" w:fill="auto"/>
                  <w:noWrap/>
                  <w:vAlign w:val="bottom"/>
                  <w:hideMark/>
                </w:tcPr>
                <w:p w14:paraId="529D18C5" w14:textId="63DC466D"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1122" w:type="dxa"/>
                  <w:shd w:val="clear" w:color="auto" w:fill="auto"/>
                  <w:noWrap/>
                  <w:vAlign w:val="bottom"/>
                  <w:hideMark/>
                </w:tcPr>
                <w:p w14:paraId="6FCC1A8D"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884" w:type="dxa"/>
                  <w:shd w:val="clear" w:color="auto" w:fill="auto"/>
                  <w:noWrap/>
                  <w:vAlign w:val="bottom"/>
                  <w:hideMark/>
                </w:tcPr>
                <w:p w14:paraId="04237D06"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1287" w:type="dxa"/>
                </w:tcPr>
                <w:p w14:paraId="1CAEF526"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1169" w:type="dxa"/>
                </w:tcPr>
                <w:p w14:paraId="1E37ECF0"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958" w:type="dxa"/>
                </w:tcPr>
                <w:p w14:paraId="6D2EF4DD" w14:textId="77777777"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c>
                <w:tcPr>
                  <w:tcW w:w="1494" w:type="dxa"/>
                  <w:shd w:val="clear" w:color="auto" w:fill="auto"/>
                  <w:noWrap/>
                  <w:vAlign w:val="bottom"/>
                  <w:hideMark/>
                </w:tcPr>
                <w:p w14:paraId="2CB01926" w14:textId="60C47E52" w:rsidR="00560FFA" w:rsidRPr="00AF28C3" w:rsidRDefault="00560FFA" w:rsidP="00DB4600">
                  <w:pPr>
                    <w:spacing w:after="0" w:line="240" w:lineRule="auto"/>
                    <w:rPr>
                      <w:rFonts w:ascii="Arial" w:eastAsia="Times New Roman" w:hAnsi="Arial" w:cs="Arial"/>
                      <w:color w:val="FFFFFF" w:themeColor="background1"/>
                      <w:sz w:val="20"/>
                      <w:szCs w:val="20"/>
                      <w:lang w:eastAsia="en-NZ"/>
                    </w:rPr>
                  </w:pPr>
                </w:p>
              </w:tc>
            </w:tr>
            <w:tr w:rsidR="00560FFA" w:rsidRPr="00AF28C3" w14:paraId="16E27E63" w14:textId="77777777" w:rsidTr="00200892">
              <w:trPr>
                <w:trHeight w:val="290"/>
              </w:trPr>
              <w:tc>
                <w:tcPr>
                  <w:tcW w:w="1336" w:type="dxa"/>
                  <w:shd w:val="clear" w:color="auto" w:fill="auto"/>
                  <w:noWrap/>
                  <w:vAlign w:val="bottom"/>
                  <w:hideMark/>
                </w:tcPr>
                <w:p w14:paraId="243557E4"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482" w:type="dxa"/>
                  <w:shd w:val="clear" w:color="auto" w:fill="auto"/>
                  <w:noWrap/>
                  <w:vAlign w:val="bottom"/>
                  <w:hideMark/>
                </w:tcPr>
                <w:p w14:paraId="2D798FC9"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962" w:type="dxa"/>
                  <w:shd w:val="clear" w:color="auto" w:fill="auto"/>
                  <w:noWrap/>
                  <w:vAlign w:val="bottom"/>
                  <w:hideMark/>
                </w:tcPr>
                <w:p w14:paraId="2B8DD036"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09" w:type="dxa"/>
                  <w:shd w:val="clear" w:color="auto" w:fill="auto"/>
                  <w:noWrap/>
                  <w:vAlign w:val="bottom"/>
                  <w:hideMark/>
                </w:tcPr>
                <w:p w14:paraId="7A797850"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37" w:type="dxa"/>
                  <w:shd w:val="clear" w:color="auto" w:fill="auto"/>
                  <w:noWrap/>
                  <w:vAlign w:val="bottom"/>
                  <w:hideMark/>
                </w:tcPr>
                <w:p w14:paraId="210986F5"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006" w:type="dxa"/>
                  <w:vAlign w:val="bottom"/>
                </w:tcPr>
                <w:p w14:paraId="700EB5AD" w14:textId="5B5793B7"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73" w:type="dxa"/>
                  <w:shd w:val="clear" w:color="auto" w:fill="auto"/>
                  <w:noWrap/>
                  <w:vAlign w:val="bottom"/>
                  <w:hideMark/>
                </w:tcPr>
                <w:p w14:paraId="058B1C15" w14:textId="0E01A474"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22" w:type="dxa"/>
                  <w:shd w:val="clear" w:color="auto" w:fill="auto"/>
                  <w:noWrap/>
                  <w:vAlign w:val="bottom"/>
                  <w:hideMark/>
                </w:tcPr>
                <w:p w14:paraId="44C0F226"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884" w:type="dxa"/>
                  <w:shd w:val="clear" w:color="auto" w:fill="auto"/>
                  <w:noWrap/>
                  <w:vAlign w:val="bottom"/>
                  <w:hideMark/>
                </w:tcPr>
                <w:p w14:paraId="39166F33"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287" w:type="dxa"/>
                </w:tcPr>
                <w:p w14:paraId="2B3C7934"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169" w:type="dxa"/>
                </w:tcPr>
                <w:p w14:paraId="4C11DAFB"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958" w:type="dxa"/>
                </w:tcPr>
                <w:p w14:paraId="4386E4E2"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494" w:type="dxa"/>
                  <w:shd w:val="clear" w:color="auto" w:fill="auto"/>
                  <w:noWrap/>
                  <w:vAlign w:val="bottom"/>
                  <w:hideMark/>
                </w:tcPr>
                <w:p w14:paraId="30C529D4" w14:textId="3D74C3C3"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r>
            <w:tr w:rsidR="00560FFA" w:rsidRPr="00AF28C3" w14:paraId="3283E87B" w14:textId="77777777" w:rsidTr="00200892">
              <w:trPr>
                <w:trHeight w:val="290"/>
              </w:trPr>
              <w:tc>
                <w:tcPr>
                  <w:tcW w:w="1336" w:type="dxa"/>
                  <w:shd w:val="clear" w:color="auto" w:fill="auto"/>
                  <w:noWrap/>
                  <w:vAlign w:val="bottom"/>
                  <w:hideMark/>
                </w:tcPr>
                <w:p w14:paraId="3E5790C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482" w:type="dxa"/>
                  <w:shd w:val="clear" w:color="auto" w:fill="auto"/>
                  <w:noWrap/>
                  <w:vAlign w:val="bottom"/>
                  <w:hideMark/>
                </w:tcPr>
                <w:p w14:paraId="405B0813"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962" w:type="dxa"/>
                  <w:shd w:val="clear" w:color="auto" w:fill="auto"/>
                  <w:noWrap/>
                  <w:vAlign w:val="bottom"/>
                  <w:hideMark/>
                </w:tcPr>
                <w:p w14:paraId="7F51A78D"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09" w:type="dxa"/>
                  <w:shd w:val="clear" w:color="auto" w:fill="auto"/>
                  <w:noWrap/>
                  <w:vAlign w:val="bottom"/>
                  <w:hideMark/>
                </w:tcPr>
                <w:p w14:paraId="7A95C694"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37" w:type="dxa"/>
                  <w:shd w:val="clear" w:color="auto" w:fill="auto"/>
                  <w:noWrap/>
                  <w:vAlign w:val="bottom"/>
                  <w:hideMark/>
                </w:tcPr>
                <w:p w14:paraId="5EF00D6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006" w:type="dxa"/>
                  <w:vAlign w:val="bottom"/>
                </w:tcPr>
                <w:p w14:paraId="21BBF867" w14:textId="3602BC28"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73" w:type="dxa"/>
                  <w:shd w:val="clear" w:color="auto" w:fill="auto"/>
                  <w:noWrap/>
                  <w:vAlign w:val="bottom"/>
                  <w:hideMark/>
                </w:tcPr>
                <w:p w14:paraId="3A4023EE" w14:textId="7F5CAF3F"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22" w:type="dxa"/>
                  <w:shd w:val="clear" w:color="auto" w:fill="auto"/>
                  <w:noWrap/>
                  <w:vAlign w:val="bottom"/>
                  <w:hideMark/>
                </w:tcPr>
                <w:p w14:paraId="49AF3BAD"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884" w:type="dxa"/>
                  <w:shd w:val="clear" w:color="auto" w:fill="auto"/>
                  <w:noWrap/>
                  <w:vAlign w:val="bottom"/>
                  <w:hideMark/>
                </w:tcPr>
                <w:p w14:paraId="629129FF"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287" w:type="dxa"/>
                </w:tcPr>
                <w:p w14:paraId="5E8606FD"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169" w:type="dxa"/>
                </w:tcPr>
                <w:p w14:paraId="099B4A7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958" w:type="dxa"/>
                </w:tcPr>
                <w:p w14:paraId="227F037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494" w:type="dxa"/>
                  <w:shd w:val="clear" w:color="auto" w:fill="auto"/>
                  <w:noWrap/>
                  <w:vAlign w:val="bottom"/>
                  <w:hideMark/>
                </w:tcPr>
                <w:p w14:paraId="39E21D1E" w14:textId="29079229"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r>
            <w:tr w:rsidR="00560FFA" w:rsidRPr="00AF28C3" w14:paraId="701D8A6C" w14:textId="77777777" w:rsidTr="00200892">
              <w:trPr>
                <w:trHeight w:val="290"/>
              </w:trPr>
              <w:tc>
                <w:tcPr>
                  <w:tcW w:w="1336" w:type="dxa"/>
                  <w:shd w:val="clear" w:color="auto" w:fill="auto"/>
                  <w:noWrap/>
                  <w:vAlign w:val="bottom"/>
                  <w:hideMark/>
                </w:tcPr>
                <w:p w14:paraId="3ECD8D6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482" w:type="dxa"/>
                  <w:shd w:val="clear" w:color="auto" w:fill="auto"/>
                  <w:noWrap/>
                  <w:vAlign w:val="bottom"/>
                  <w:hideMark/>
                </w:tcPr>
                <w:p w14:paraId="6EB77E8A"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962" w:type="dxa"/>
                  <w:shd w:val="clear" w:color="auto" w:fill="auto"/>
                  <w:noWrap/>
                  <w:vAlign w:val="bottom"/>
                  <w:hideMark/>
                </w:tcPr>
                <w:p w14:paraId="107E5C36"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09" w:type="dxa"/>
                  <w:shd w:val="clear" w:color="auto" w:fill="auto"/>
                  <w:noWrap/>
                  <w:vAlign w:val="bottom"/>
                  <w:hideMark/>
                </w:tcPr>
                <w:p w14:paraId="5AA442A1"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37" w:type="dxa"/>
                  <w:shd w:val="clear" w:color="auto" w:fill="auto"/>
                  <w:noWrap/>
                  <w:vAlign w:val="bottom"/>
                  <w:hideMark/>
                </w:tcPr>
                <w:p w14:paraId="6A9D1179"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006" w:type="dxa"/>
                  <w:vAlign w:val="bottom"/>
                </w:tcPr>
                <w:p w14:paraId="6EBC16DB" w14:textId="65001266"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73" w:type="dxa"/>
                  <w:shd w:val="clear" w:color="auto" w:fill="auto"/>
                  <w:noWrap/>
                  <w:vAlign w:val="bottom"/>
                  <w:hideMark/>
                </w:tcPr>
                <w:p w14:paraId="26B439E2" w14:textId="43354C4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22" w:type="dxa"/>
                  <w:shd w:val="clear" w:color="auto" w:fill="auto"/>
                  <w:noWrap/>
                  <w:vAlign w:val="bottom"/>
                  <w:hideMark/>
                </w:tcPr>
                <w:p w14:paraId="6B1D4E4B"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884" w:type="dxa"/>
                  <w:shd w:val="clear" w:color="auto" w:fill="auto"/>
                  <w:noWrap/>
                  <w:vAlign w:val="bottom"/>
                  <w:hideMark/>
                </w:tcPr>
                <w:p w14:paraId="5E51801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287" w:type="dxa"/>
                </w:tcPr>
                <w:p w14:paraId="28A56AE4"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169" w:type="dxa"/>
                </w:tcPr>
                <w:p w14:paraId="0AB5B584"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958" w:type="dxa"/>
                </w:tcPr>
                <w:p w14:paraId="3E084023"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494" w:type="dxa"/>
                  <w:shd w:val="clear" w:color="auto" w:fill="auto"/>
                  <w:noWrap/>
                  <w:vAlign w:val="bottom"/>
                  <w:hideMark/>
                </w:tcPr>
                <w:p w14:paraId="3C96613F" w14:textId="7DB5AF05"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r>
            <w:tr w:rsidR="00560FFA" w:rsidRPr="00AF28C3" w14:paraId="79DF7E2F" w14:textId="77777777" w:rsidTr="00200892">
              <w:trPr>
                <w:trHeight w:val="290"/>
              </w:trPr>
              <w:tc>
                <w:tcPr>
                  <w:tcW w:w="1336" w:type="dxa"/>
                  <w:shd w:val="clear" w:color="auto" w:fill="auto"/>
                  <w:noWrap/>
                  <w:vAlign w:val="bottom"/>
                  <w:hideMark/>
                </w:tcPr>
                <w:p w14:paraId="11E55421"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482" w:type="dxa"/>
                  <w:shd w:val="clear" w:color="auto" w:fill="auto"/>
                  <w:noWrap/>
                  <w:vAlign w:val="bottom"/>
                  <w:hideMark/>
                </w:tcPr>
                <w:p w14:paraId="25D93947"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962" w:type="dxa"/>
                  <w:shd w:val="clear" w:color="auto" w:fill="auto"/>
                  <w:noWrap/>
                  <w:vAlign w:val="bottom"/>
                  <w:hideMark/>
                </w:tcPr>
                <w:p w14:paraId="1977109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09" w:type="dxa"/>
                  <w:shd w:val="clear" w:color="auto" w:fill="auto"/>
                  <w:noWrap/>
                  <w:vAlign w:val="bottom"/>
                  <w:hideMark/>
                </w:tcPr>
                <w:p w14:paraId="07C53D3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37" w:type="dxa"/>
                  <w:shd w:val="clear" w:color="auto" w:fill="auto"/>
                  <w:noWrap/>
                  <w:vAlign w:val="bottom"/>
                  <w:hideMark/>
                </w:tcPr>
                <w:p w14:paraId="34CB1DB6"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006" w:type="dxa"/>
                  <w:vAlign w:val="bottom"/>
                </w:tcPr>
                <w:p w14:paraId="0021F932" w14:textId="39C18AE8"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73" w:type="dxa"/>
                  <w:shd w:val="clear" w:color="auto" w:fill="auto"/>
                  <w:noWrap/>
                  <w:vAlign w:val="bottom"/>
                  <w:hideMark/>
                </w:tcPr>
                <w:p w14:paraId="6F3F8CB5" w14:textId="40C5D24F"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22" w:type="dxa"/>
                  <w:shd w:val="clear" w:color="auto" w:fill="auto"/>
                  <w:noWrap/>
                  <w:vAlign w:val="bottom"/>
                  <w:hideMark/>
                </w:tcPr>
                <w:p w14:paraId="7405E16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884" w:type="dxa"/>
                  <w:shd w:val="clear" w:color="auto" w:fill="auto"/>
                  <w:noWrap/>
                  <w:vAlign w:val="bottom"/>
                  <w:hideMark/>
                </w:tcPr>
                <w:p w14:paraId="20A62589"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287" w:type="dxa"/>
                </w:tcPr>
                <w:p w14:paraId="11464A37"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169" w:type="dxa"/>
                </w:tcPr>
                <w:p w14:paraId="6027F446"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958" w:type="dxa"/>
                </w:tcPr>
                <w:p w14:paraId="2C16103A"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494" w:type="dxa"/>
                  <w:shd w:val="clear" w:color="auto" w:fill="auto"/>
                  <w:noWrap/>
                  <w:vAlign w:val="bottom"/>
                  <w:hideMark/>
                </w:tcPr>
                <w:p w14:paraId="4CD3F15E" w14:textId="5D91592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r>
            <w:tr w:rsidR="00560FFA" w:rsidRPr="00AF28C3" w14:paraId="2409298E" w14:textId="77777777" w:rsidTr="00200892">
              <w:trPr>
                <w:trHeight w:val="290"/>
              </w:trPr>
              <w:tc>
                <w:tcPr>
                  <w:tcW w:w="1336" w:type="dxa"/>
                  <w:shd w:val="clear" w:color="auto" w:fill="auto"/>
                  <w:noWrap/>
                  <w:vAlign w:val="bottom"/>
                  <w:hideMark/>
                </w:tcPr>
                <w:p w14:paraId="1BBE16EC" w14:textId="760B9620"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482" w:type="dxa"/>
                  <w:shd w:val="clear" w:color="auto" w:fill="auto"/>
                  <w:noWrap/>
                  <w:vAlign w:val="bottom"/>
                  <w:hideMark/>
                </w:tcPr>
                <w:p w14:paraId="66821786" w14:textId="182D82B4"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962" w:type="dxa"/>
                  <w:shd w:val="clear" w:color="auto" w:fill="auto"/>
                  <w:noWrap/>
                  <w:vAlign w:val="bottom"/>
                  <w:hideMark/>
                </w:tcPr>
                <w:p w14:paraId="27CD6DF0" w14:textId="27774B42"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09" w:type="dxa"/>
                  <w:shd w:val="clear" w:color="auto" w:fill="auto"/>
                  <w:noWrap/>
                  <w:vAlign w:val="bottom"/>
                  <w:hideMark/>
                </w:tcPr>
                <w:p w14:paraId="0EFF4624" w14:textId="55476DD3"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37" w:type="dxa"/>
                  <w:shd w:val="clear" w:color="auto" w:fill="auto"/>
                  <w:noWrap/>
                  <w:vAlign w:val="bottom"/>
                  <w:hideMark/>
                </w:tcPr>
                <w:p w14:paraId="72327E29" w14:textId="064A89F4"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006" w:type="dxa"/>
                  <w:vAlign w:val="bottom"/>
                </w:tcPr>
                <w:p w14:paraId="647CB331" w14:textId="154A4CEC" w:rsidR="00560FFA" w:rsidRPr="00AF28C3" w:rsidRDefault="00560FFA" w:rsidP="004442A1">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73" w:type="dxa"/>
                  <w:shd w:val="clear" w:color="auto" w:fill="auto"/>
                  <w:noWrap/>
                  <w:vAlign w:val="bottom"/>
                  <w:hideMark/>
                </w:tcPr>
                <w:p w14:paraId="161ED5BF" w14:textId="24C6BA74"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122" w:type="dxa"/>
                  <w:shd w:val="clear" w:color="auto" w:fill="auto"/>
                  <w:noWrap/>
                  <w:vAlign w:val="bottom"/>
                  <w:hideMark/>
                </w:tcPr>
                <w:p w14:paraId="37FAB4C3" w14:textId="04E9E1E6"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884" w:type="dxa"/>
                  <w:shd w:val="clear" w:color="auto" w:fill="auto"/>
                  <w:noWrap/>
                  <w:vAlign w:val="bottom"/>
                  <w:hideMark/>
                </w:tcPr>
                <w:p w14:paraId="27F57568" w14:textId="6D67D3E1"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287" w:type="dxa"/>
                </w:tcPr>
                <w:p w14:paraId="399F722D"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169" w:type="dxa"/>
                </w:tcPr>
                <w:p w14:paraId="74AACFFA"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958" w:type="dxa"/>
                </w:tcPr>
                <w:p w14:paraId="769F67FE" w14:textId="7777777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p>
              </w:tc>
              <w:tc>
                <w:tcPr>
                  <w:tcW w:w="1494" w:type="dxa"/>
                  <w:shd w:val="clear" w:color="auto" w:fill="auto"/>
                  <w:noWrap/>
                  <w:vAlign w:val="bottom"/>
                  <w:hideMark/>
                </w:tcPr>
                <w:p w14:paraId="0D52295A" w14:textId="6579397D"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r>
            <w:tr w:rsidR="00560FFA" w:rsidRPr="00AF28C3" w14:paraId="556DE859" w14:textId="77777777" w:rsidTr="00200892">
              <w:trPr>
                <w:trHeight w:val="290"/>
              </w:trPr>
              <w:tc>
                <w:tcPr>
                  <w:tcW w:w="1336" w:type="dxa"/>
                  <w:shd w:val="clear" w:color="auto" w:fill="auto"/>
                  <w:noWrap/>
                  <w:vAlign w:val="bottom"/>
                  <w:hideMark/>
                </w:tcPr>
                <w:p w14:paraId="283C2AAF" w14:textId="115B9605"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t>_</w:t>
                  </w:r>
                </w:p>
              </w:tc>
              <w:tc>
                <w:tcPr>
                  <w:tcW w:w="1482" w:type="dxa"/>
                  <w:shd w:val="clear" w:color="auto" w:fill="auto"/>
                  <w:noWrap/>
                  <w:vAlign w:val="bottom"/>
                  <w:hideMark/>
                </w:tcPr>
                <w:p w14:paraId="273E3C9D" w14:textId="4EF209F7" w:rsidR="00560FFA" w:rsidRPr="00AF28C3" w:rsidRDefault="00560FFA" w:rsidP="00DB4600">
                  <w:pPr>
                    <w:spacing w:after="0" w:line="240" w:lineRule="auto"/>
                    <w:jc w:val="center"/>
                    <w:rPr>
                      <w:rFonts w:ascii="Arial" w:eastAsia="Times New Roman" w:hAnsi="Arial" w:cs="Arial"/>
                      <w:color w:val="FFFFFF" w:themeColor="background1"/>
                      <w:sz w:val="20"/>
                      <w:szCs w:val="20"/>
                      <w:lang w:eastAsia="en-NZ"/>
                    </w:rPr>
                  </w:pPr>
                  <w:r w:rsidRPr="00AF28C3">
                    <w:rPr>
                      <w:rFonts w:ascii="Arial" w:eastAsia="Times New Roman" w:hAnsi="Arial" w:cs="Arial"/>
                      <w:color w:val="FFFFFF" w:themeColor="background1"/>
                      <w:sz w:val="20"/>
                      <w:szCs w:val="20"/>
                      <w:lang w:eastAsia="en-NZ"/>
                    </w:rPr>
                    <w:softHyphen/>
                  </w:r>
                  <w:r w:rsidRPr="00AF28C3">
                    <w:rPr>
                      <w:rFonts w:ascii="Arial" w:eastAsia="Times New Roman" w:hAnsi="Arial" w:cs="Arial"/>
                      <w:color w:val="FFFFFF" w:themeColor="background1"/>
                      <w:sz w:val="20"/>
                      <w:szCs w:val="20"/>
                      <w:lang w:eastAsia="en-NZ"/>
                    </w:rPr>
                    <w:softHyphen/>
                  </w:r>
                  <w:r w:rsidRPr="00AF28C3">
                    <w:rPr>
                      <w:rFonts w:ascii="Arial" w:eastAsia="Times New Roman" w:hAnsi="Arial" w:cs="Arial"/>
                      <w:color w:val="FFFFFF" w:themeColor="background1"/>
                      <w:sz w:val="20"/>
                      <w:szCs w:val="20"/>
                      <w:lang w:eastAsia="en-NZ"/>
                    </w:rPr>
                    <w:softHyphen/>
                  </w:r>
                  <w:r w:rsidRPr="00AF28C3">
                    <w:rPr>
                      <w:rFonts w:ascii="Arial" w:eastAsia="Times New Roman" w:hAnsi="Arial" w:cs="Arial"/>
                      <w:color w:val="FFFFFF" w:themeColor="background1"/>
                      <w:sz w:val="20"/>
                      <w:szCs w:val="20"/>
                      <w:lang w:eastAsia="en-NZ"/>
                    </w:rPr>
                    <w:softHyphen/>
                  </w:r>
                  <w:r w:rsidRPr="00AF28C3">
                    <w:rPr>
                      <w:rFonts w:ascii="Arial" w:eastAsia="Times New Roman" w:hAnsi="Arial" w:cs="Arial"/>
                      <w:color w:val="FFFFFF" w:themeColor="background1"/>
                      <w:sz w:val="20"/>
                      <w:szCs w:val="20"/>
                      <w:lang w:eastAsia="en-NZ"/>
                    </w:rPr>
                    <w:softHyphen/>
                  </w:r>
                  <w:r w:rsidRPr="00AF28C3">
                    <w:rPr>
                      <w:rFonts w:ascii="Arial" w:eastAsia="Times New Roman" w:hAnsi="Arial" w:cs="Arial"/>
                      <w:color w:val="FFFFFF" w:themeColor="background1"/>
                      <w:sz w:val="20"/>
                      <w:szCs w:val="20"/>
                      <w:lang w:eastAsia="en-NZ"/>
                    </w:rPr>
                    <w:softHyphen/>
                    <w:t>_</w:t>
                  </w:r>
                  <w:r w:rsidRPr="00AF28C3">
                    <w:rPr>
                      <w:rFonts w:ascii="Arial" w:eastAsia="Times New Roman" w:hAnsi="Arial" w:cs="Arial"/>
                      <w:color w:val="FFFFFF" w:themeColor="background1"/>
                      <w:sz w:val="20"/>
                      <w:szCs w:val="20"/>
                      <w:lang w:eastAsia="en-NZ"/>
                    </w:rPr>
                    <w:softHyphen/>
                  </w:r>
                </w:p>
              </w:tc>
              <w:tc>
                <w:tcPr>
                  <w:tcW w:w="962" w:type="dxa"/>
                  <w:shd w:val="clear" w:color="auto" w:fill="auto"/>
                  <w:noWrap/>
                  <w:vAlign w:val="bottom"/>
                  <w:hideMark/>
                </w:tcPr>
                <w:p w14:paraId="19A81FFD" w14:textId="77777777"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_</w:t>
                  </w:r>
                </w:p>
              </w:tc>
              <w:tc>
                <w:tcPr>
                  <w:tcW w:w="1109" w:type="dxa"/>
                  <w:shd w:val="clear" w:color="auto" w:fill="auto"/>
                  <w:noWrap/>
                  <w:vAlign w:val="bottom"/>
                  <w:hideMark/>
                </w:tcPr>
                <w:p w14:paraId="61DFF54A" w14:textId="77777777"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_</w:t>
                  </w:r>
                </w:p>
              </w:tc>
              <w:tc>
                <w:tcPr>
                  <w:tcW w:w="1137" w:type="dxa"/>
                  <w:shd w:val="clear" w:color="auto" w:fill="auto"/>
                  <w:noWrap/>
                  <w:vAlign w:val="bottom"/>
                  <w:hideMark/>
                </w:tcPr>
                <w:p w14:paraId="67D2038D" w14:textId="77777777"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_</w:t>
                  </w:r>
                </w:p>
              </w:tc>
              <w:tc>
                <w:tcPr>
                  <w:tcW w:w="1006" w:type="dxa"/>
                  <w:vAlign w:val="bottom"/>
                </w:tcPr>
                <w:p w14:paraId="78F821E3" w14:textId="00277937" w:rsidR="00560FFA" w:rsidRPr="00AF28C3" w:rsidRDefault="00560FFA" w:rsidP="004442A1">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_</w:t>
                  </w:r>
                </w:p>
              </w:tc>
              <w:tc>
                <w:tcPr>
                  <w:tcW w:w="1173" w:type="dxa"/>
                  <w:shd w:val="clear" w:color="auto" w:fill="auto"/>
                  <w:noWrap/>
                  <w:vAlign w:val="bottom"/>
                  <w:hideMark/>
                </w:tcPr>
                <w:p w14:paraId="7EDF3919" w14:textId="1EF35B09"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_</w:t>
                  </w:r>
                </w:p>
              </w:tc>
              <w:tc>
                <w:tcPr>
                  <w:tcW w:w="1122" w:type="dxa"/>
                  <w:shd w:val="clear" w:color="auto" w:fill="auto"/>
                  <w:noWrap/>
                  <w:vAlign w:val="bottom"/>
                  <w:hideMark/>
                </w:tcPr>
                <w:p w14:paraId="549E5E1B" w14:textId="77777777"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_</w:t>
                  </w:r>
                </w:p>
              </w:tc>
              <w:tc>
                <w:tcPr>
                  <w:tcW w:w="884" w:type="dxa"/>
                  <w:shd w:val="clear" w:color="auto" w:fill="auto"/>
                  <w:noWrap/>
                  <w:vAlign w:val="bottom"/>
                  <w:hideMark/>
                </w:tcPr>
                <w:p w14:paraId="5A8D0C8C" w14:textId="77777777"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_</w:t>
                  </w:r>
                </w:p>
              </w:tc>
              <w:tc>
                <w:tcPr>
                  <w:tcW w:w="1287" w:type="dxa"/>
                </w:tcPr>
                <w:p w14:paraId="5A651C68" w14:textId="77777777"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p>
              </w:tc>
              <w:tc>
                <w:tcPr>
                  <w:tcW w:w="1169" w:type="dxa"/>
                </w:tcPr>
                <w:p w14:paraId="1D6197EF" w14:textId="77777777"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p>
              </w:tc>
              <w:tc>
                <w:tcPr>
                  <w:tcW w:w="958" w:type="dxa"/>
                </w:tcPr>
                <w:p w14:paraId="3BA94FCB" w14:textId="77777777"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p>
              </w:tc>
              <w:tc>
                <w:tcPr>
                  <w:tcW w:w="1494" w:type="dxa"/>
                  <w:shd w:val="clear" w:color="auto" w:fill="auto"/>
                  <w:noWrap/>
                  <w:vAlign w:val="bottom"/>
                  <w:hideMark/>
                </w:tcPr>
                <w:p w14:paraId="2A5336E6" w14:textId="5C657794" w:rsidR="00560FFA" w:rsidRPr="00AF28C3" w:rsidRDefault="00560FFA" w:rsidP="00DB4600">
                  <w:pPr>
                    <w:spacing w:after="0" w:line="240" w:lineRule="auto"/>
                    <w:jc w:val="center"/>
                    <w:rPr>
                      <w:rFonts w:ascii="Arial" w:eastAsia="Times New Roman" w:hAnsi="Arial" w:cs="Arial"/>
                      <w:b/>
                      <w:bCs/>
                      <w:color w:val="FFFFFF" w:themeColor="background1"/>
                      <w:sz w:val="20"/>
                      <w:szCs w:val="20"/>
                      <w:lang w:eastAsia="en-NZ"/>
                    </w:rPr>
                  </w:pPr>
                  <w:r w:rsidRPr="00AF28C3">
                    <w:rPr>
                      <w:rFonts w:ascii="Arial" w:eastAsia="Times New Roman" w:hAnsi="Arial" w:cs="Arial"/>
                      <w:b/>
                      <w:bCs/>
                      <w:color w:val="FFFFFF" w:themeColor="background1"/>
                      <w:sz w:val="20"/>
                      <w:szCs w:val="20"/>
                      <w:lang w:eastAsia="en-NZ"/>
                    </w:rPr>
                    <w:t>_</w:t>
                  </w:r>
                </w:p>
              </w:tc>
            </w:tr>
          </w:tbl>
          <w:p w14:paraId="74779384" w14:textId="77777777" w:rsidR="00DB4600" w:rsidRDefault="00DB4600" w:rsidP="00DB4600">
            <w:pPr>
              <w:rPr>
                <w:rFonts w:ascii="Arial" w:hAnsi="Arial" w:cs="Arial"/>
                <w:b/>
                <w:bCs/>
                <w:color w:val="FFFFFF" w:themeColor="background1"/>
                <w:sz w:val="20"/>
                <w:szCs w:val="20"/>
              </w:rPr>
            </w:pPr>
          </w:p>
          <w:p w14:paraId="1D3C7834" w14:textId="1D64D09C" w:rsidR="00DB4600" w:rsidRPr="00200892" w:rsidRDefault="00200892" w:rsidP="00200892">
            <w:pPr>
              <w:rPr>
                <w:rFonts w:ascii="Arial" w:hAnsi="Arial" w:cs="Arial"/>
                <w:color w:val="FFFFFF" w:themeColor="background1"/>
                <w:sz w:val="20"/>
                <w:szCs w:val="20"/>
              </w:rPr>
            </w:pPr>
            <w:r>
              <w:rPr>
                <w:rFonts w:ascii="Arial" w:hAnsi="Arial" w:cs="Arial"/>
                <w:color w:val="FFFFFF" w:themeColor="background1"/>
                <w:sz w:val="20"/>
                <w:szCs w:val="20"/>
              </w:rPr>
              <w:t>[</w:t>
            </w:r>
            <w:r w:rsidR="00D504CC" w:rsidRPr="00ED6EAD">
              <w:rPr>
                <w:rFonts w:ascii="Arial" w:hAnsi="Arial" w:cs="Arial"/>
                <w:i/>
                <w:iCs/>
                <w:color w:val="FFFFFF" w:themeColor="background1"/>
                <w:sz w:val="20"/>
                <w:szCs w:val="20"/>
              </w:rPr>
              <w:t>Where more than one LTI plan exists and the mechanics of each plan differ, issuers may wish to duplicate the table above and disclose each LTI plan separately to reduce confusion</w:t>
            </w:r>
            <w:r>
              <w:rPr>
                <w:rFonts w:ascii="Arial" w:hAnsi="Arial" w:cs="Arial"/>
                <w:color w:val="FFFFFF" w:themeColor="background1"/>
                <w:sz w:val="20"/>
                <w:szCs w:val="20"/>
              </w:rPr>
              <w:t>]</w:t>
            </w:r>
          </w:p>
        </w:tc>
      </w:tr>
    </w:tbl>
    <w:p w14:paraId="7AA2CF20" w14:textId="77777777" w:rsidR="00A00A6F" w:rsidRDefault="00A00A6F" w:rsidP="00F55799">
      <w:pPr>
        <w:rPr>
          <w:b/>
          <w:bCs/>
        </w:rPr>
        <w:sectPr w:rsidR="00A00A6F" w:rsidSect="00E627EF">
          <w:pgSz w:w="16838" w:h="11906" w:orient="landscape"/>
          <w:pgMar w:top="1440" w:right="1701" w:bottom="1440" w:left="1440" w:header="709" w:footer="709" w:gutter="0"/>
          <w:cols w:space="709"/>
          <w:docGrid w:linePitch="360"/>
        </w:sectPr>
      </w:pPr>
    </w:p>
    <w:tbl>
      <w:tblPr>
        <w:tblStyle w:val="TableGrid"/>
        <w:tblW w:w="0" w:type="auto"/>
        <w:tblInd w:w="562" w:type="dxa"/>
        <w:tblLook w:val="04A0" w:firstRow="1" w:lastRow="0" w:firstColumn="1" w:lastColumn="0" w:noHBand="0" w:noVBand="1"/>
      </w:tblPr>
      <w:tblGrid>
        <w:gridCol w:w="9016"/>
      </w:tblGrid>
      <w:tr w:rsidR="00A820AC" w14:paraId="7B4DC049" w14:textId="77777777" w:rsidTr="001F6331">
        <w:tc>
          <w:tcPr>
            <w:tcW w:w="9016" w:type="dxa"/>
          </w:tcPr>
          <w:p w14:paraId="6C230DEA" w14:textId="77777777" w:rsidR="00E53336" w:rsidRPr="00AF28C3" w:rsidRDefault="00A820AC" w:rsidP="00BB0277">
            <w:pPr>
              <w:spacing w:before="60" w:after="60" w:line="240" w:lineRule="atLeast"/>
              <w:rPr>
                <w:rFonts w:ascii="Arial" w:hAnsi="Arial" w:cs="Arial"/>
                <w:b/>
                <w:bCs/>
                <w:i/>
                <w:iCs/>
              </w:rPr>
            </w:pPr>
            <w:r w:rsidRPr="00AF28C3">
              <w:rPr>
                <w:rFonts w:ascii="Arial" w:hAnsi="Arial" w:cs="Arial"/>
                <w:b/>
                <w:bCs/>
                <w:i/>
                <w:iCs/>
              </w:rPr>
              <w:lastRenderedPageBreak/>
              <w:t>Source note</w:t>
            </w:r>
          </w:p>
          <w:p w14:paraId="05B0D70C" w14:textId="797B193E" w:rsidR="00FB3FD1" w:rsidRPr="00AF28C3" w:rsidRDefault="00FB3FD1" w:rsidP="00BB0277">
            <w:pPr>
              <w:spacing w:before="60" w:after="60"/>
              <w:rPr>
                <w:rFonts w:ascii="Arial" w:hAnsi="Arial" w:cs="Arial"/>
                <w:b/>
                <w:bCs/>
                <w:i/>
                <w:iCs/>
              </w:rPr>
            </w:pPr>
            <w:r w:rsidRPr="00AF28C3">
              <w:rPr>
                <w:rFonts w:ascii="Arial" w:hAnsi="Arial" w:cs="Arial"/>
                <w:b/>
                <w:bCs/>
                <w:i/>
                <w:iCs/>
              </w:rPr>
              <w:t xml:space="preserve">CEO Remuneration Arrangements </w:t>
            </w:r>
          </w:p>
          <w:p w14:paraId="6C368FF8" w14:textId="77777777" w:rsidR="00FB3FD1" w:rsidRPr="00AF28C3" w:rsidRDefault="00FB3FD1" w:rsidP="00BB0277">
            <w:pPr>
              <w:spacing w:before="60" w:after="60"/>
              <w:rPr>
                <w:rFonts w:ascii="Arial" w:hAnsi="Arial" w:cs="Arial"/>
                <w:i/>
                <w:iCs/>
              </w:rPr>
            </w:pPr>
            <w:r w:rsidRPr="00AF28C3">
              <w:rPr>
                <w:rFonts w:ascii="Arial" w:hAnsi="Arial" w:cs="Arial"/>
                <w:b/>
                <w:bCs/>
                <w:i/>
                <w:iCs/>
              </w:rPr>
              <w:t>Address recommendation 5.3 of the NZX Code:</w:t>
            </w:r>
            <w:r w:rsidRPr="00AF28C3">
              <w:rPr>
                <w:rFonts w:ascii="Arial" w:hAnsi="Arial" w:cs="Arial"/>
                <w:i/>
                <w:iCs/>
              </w:rPr>
              <w:t xml:space="preserve"> An issuer should disclose the remuneration arrangements in place for the CEO in its annual report.  This should include disclosure of the base salary, short term incentives and long term incentives and the performance criteria used to determine performance based payments.</w:t>
            </w:r>
          </w:p>
          <w:p w14:paraId="043E082C" w14:textId="77777777" w:rsidR="00FB3FD1" w:rsidRPr="00AF28C3" w:rsidRDefault="00FB3FD1" w:rsidP="00BB0277">
            <w:pPr>
              <w:spacing w:before="60" w:after="60"/>
              <w:rPr>
                <w:rFonts w:ascii="Arial" w:hAnsi="Arial" w:cs="Arial"/>
                <w:i/>
                <w:iCs/>
              </w:rPr>
            </w:pPr>
            <w:r w:rsidRPr="00AF28C3">
              <w:rPr>
                <w:rFonts w:ascii="Arial" w:hAnsi="Arial" w:cs="Arial"/>
                <w:i/>
                <w:iCs/>
              </w:rPr>
              <w:t>CEO remuneration should outline each component of remuneration, such as base salary, short term incentives and long term incentives.</w:t>
            </w:r>
          </w:p>
          <w:p w14:paraId="3A72DFE4" w14:textId="37736EAC" w:rsidR="00FB3FD1" w:rsidRPr="00AF28C3" w:rsidRDefault="00FB3FD1" w:rsidP="00BB0277">
            <w:pPr>
              <w:spacing w:before="60" w:after="60"/>
              <w:rPr>
                <w:rFonts w:ascii="Arial" w:hAnsi="Arial" w:cs="Arial"/>
                <w:i/>
                <w:iCs/>
              </w:rPr>
            </w:pPr>
            <w:r w:rsidRPr="00AF28C3">
              <w:rPr>
                <w:rFonts w:ascii="Arial" w:hAnsi="Arial" w:cs="Arial"/>
                <w:i/>
                <w:iCs/>
              </w:rPr>
              <w:t xml:space="preserve">Disclosure should detail the material performance hurdles and timing for the vesting of any share entitlements.  It should also address any grants made in the </w:t>
            </w:r>
            <w:r w:rsidR="00200892" w:rsidRPr="00AF28C3">
              <w:rPr>
                <w:rFonts w:ascii="Arial" w:hAnsi="Arial" w:cs="Arial"/>
                <w:i/>
                <w:iCs/>
              </w:rPr>
              <w:t>period</w:t>
            </w:r>
            <w:r w:rsidR="00200892">
              <w:rPr>
                <w:rFonts w:ascii="Arial" w:hAnsi="Arial" w:cs="Arial"/>
                <w:i/>
                <w:iCs/>
              </w:rPr>
              <w:t>.</w:t>
            </w:r>
            <w:r w:rsidR="00200892" w:rsidRPr="00AF28C3">
              <w:rPr>
                <w:rFonts w:ascii="Arial" w:hAnsi="Arial" w:cs="Arial"/>
                <w:i/>
                <w:iCs/>
              </w:rPr>
              <w:t xml:space="preserve"> Disclosure</w:t>
            </w:r>
            <w:r w:rsidRPr="00AF28C3">
              <w:rPr>
                <w:rFonts w:ascii="Arial" w:hAnsi="Arial" w:cs="Arial"/>
                <w:i/>
                <w:iCs/>
              </w:rPr>
              <w:t xml:space="preserve"> should relate to a clearly defined period and should be comparable with historical disclosures.</w:t>
            </w:r>
          </w:p>
          <w:p w14:paraId="64040844" w14:textId="77777777" w:rsidR="00FB3FD1" w:rsidRPr="00AF28C3" w:rsidRDefault="00FB3FD1" w:rsidP="00BB0277">
            <w:pPr>
              <w:spacing w:before="60" w:after="60"/>
              <w:rPr>
                <w:rFonts w:ascii="Arial" w:hAnsi="Arial" w:cs="Arial"/>
                <w:i/>
                <w:iCs/>
              </w:rPr>
            </w:pPr>
            <w:r w:rsidRPr="00AF28C3">
              <w:rPr>
                <w:rFonts w:ascii="Arial" w:hAnsi="Arial" w:cs="Arial"/>
                <w:b/>
                <w:bCs/>
                <w:i/>
                <w:iCs/>
              </w:rPr>
              <w:t>Optional:</w:t>
            </w:r>
            <w:r w:rsidRPr="00AF28C3">
              <w:rPr>
                <w:rFonts w:ascii="Arial" w:hAnsi="Arial" w:cs="Arial"/>
                <w:i/>
                <w:iCs/>
              </w:rPr>
              <w:t xml:space="preserve"> Disclosure of the arrangements for the upcoming financial year goes beyond the recommendations and commentary of the NZX Code and is an optional disclosure.</w:t>
            </w:r>
          </w:p>
          <w:p w14:paraId="4B43C671" w14:textId="77777777" w:rsidR="00E53336" w:rsidRPr="00AF28C3" w:rsidRDefault="00E53336" w:rsidP="00BE1E7C">
            <w:pPr>
              <w:spacing w:after="0"/>
              <w:rPr>
                <w:rFonts w:ascii="Arial" w:hAnsi="Arial" w:cs="Arial"/>
                <w:b/>
                <w:bCs/>
                <w:i/>
                <w:iCs/>
              </w:rPr>
            </w:pPr>
          </w:p>
          <w:p w14:paraId="75A64884" w14:textId="2F2C22E7" w:rsidR="00FB3FD1" w:rsidRPr="00AF28C3" w:rsidRDefault="00FB3FD1" w:rsidP="00BB0277">
            <w:pPr>
              <w:spacing w:before="60" w:after="60"/>
              <w:rPr>
                <w:rFonts w:ascii="Arial" w:hAnsi="Arial" w:cs="Arial"/>
                <w:b/>
                <w:bCs/>
                <w:i/>
                <w:iCs/>
              </w:rPr>
            </w:pPr>
            <w:r w:rsidRPr="00AF28C3">
              <w:rPr>
                <w:rFonts w:ascii="Arial" w:hAnsi="Arial" w:cs="Arial"/>
                <w:b/>
                <w:bCs/>
                <w:i/>
                <w:iCs/>
              </w:rPr>
              <w:t>CEO Remuneration Outcomes</w:t>
            </w:r>
          </w:p>
          <w:p w14:paraId="2DFAA8F0" w14:textId="799C430A" w:rsidR="00A820AC" w:rsidRPr="00AF28C3" w:rsidRDefault="00A820AC" w:rsidP="00BB0277">
            <w:pPr>
              <w:spacing w:before="60" w:after="60"/>
              <w:rPr>
                <w:rFonts w:ascii="Arial" w:hAnsi="Arial" w:cs="Arial"/>
                <w:i/>
                <w:iCs/>
              </w:rPr>
            </w:pPr>
            <w:r w:rsidRPr="00AF28C3">
              <w:rPr>
                <w:rFonts w:ascii="Arial" w:hAnsi="Arial" w:cs="Arial"/>
                <w:b/>
                <w:bCs/>
                <w:i/>
                <w:iCs/>
              </w:rPr>
              <w:t>Address recommendation 5.3 of the NZX Code</w:t>
            </w:r>
            <w:r w:rsidRPr="00AF28C3">
              <w:rPr>
                <w:rFonts w:ascii="Arial" w:hAnsi="Arial" w:cs="Arial"/>
                <w:i/>
                <w:iCs/>
              </w:rPr>
              <w:t xml:space="preserve">: </w:t>
            </w:r>
          </w:p>
          <w:p w14:paraId="03005A85" w14:textId="735B4BEE" w:rsidR="00E13FED" w:rsidRPr="00AF28C3" w:rsidRDefault="00E7141C" w:rsidP="00BB0277">
            <w:pPr>
              <w:spacing w:before="60" w:after="60"/>
              <w:rPr>
                <w:rFonts w:ascii="Arial" w:hAnsi="Arial" w:cs="Arial"/>
                <w:i/>
                <w:iCs/>
              </w:rPr>
            </w:pPr>
            <w:r w:rsidRPr="00AF28C3">
              <w:rPr>
                <w:rFonts w:ascii="Arial" w:hAnsi="Arial" w:cs="Arial"/>
                <w:i/>
                <w:iCs/>
              </w:rPr>
              <w:t xml:space="preserve">In addition to the above regarding CEO remuneration arrangements, </w:t>
            </w:r>
            <w:r w:rsidR="00E13FED" w:rsidRPr="00AF28C3">
              <w:rPr>
                <w:rFonts w:ascii="Arial" w:hAnsi="Arial" w:cs="Arial"/>
                <w:i/>
                <w:iCs/>
              </w:rPr>
              <w:t xml:space="preserve">NZX Code commentary to recommendation 5.3 </w:t>
            </w:r>
            <w:r w:rsidRPr="00AF28C3">
              <w:rPr>
                <w:rFonts w:ascii="Arial" w:hAnsi="Arial" w:cs="Arial"/>
                <w:i/>
                <w:iCs/>
              </w:rPr>
              <w:t xml:space="preserve">also </w:t>
            </w:r>
            <w:r w:rsidR="00E13FED" w:rsidRPr="00AF28C3">
              <w:rPr>
                <w:rFonts w:ascii="Arial" w:hAnsi="Arial" w:cs="Arial"/>
                <w:i/>
                <w:iCs/>
              </w:rPr>
              <w:t xml:space="preserve">contemplates </w:t>
            </w:r>
            <w:r w:rsidRPr="00AF28C3">
              <w:rPr>
                <w:rFonts w:ascii="Arial" w:hAnsi="Arial" w:cs="Arial"/>
                <w:i/>
                <w:iCs/>
              </w:rPr>
              <w:t xml:space="preserve">disclosure of CEO </w:t>
            </w:r>
            <w:r w:rsidR="00E13FED" w:rsidRPr="00AF28C3">
              <w:rPr>
                <w:rFonts w:ascii="Arial" w:hAnsi="Arial" w:cs="Arial"/>
                <w:i/>
                <w:iCs/>
              </w:rPr>
              <w:t xml:space="preserve">remuneration which has been </w:t>
            </w:r>
            <w:r w:rsidR="00B510F4" w:rsidRPr="00AF28C3">
              <w:rPr>
                <w:rFonts w:ascii="Arial" w:hAnsi="Arial" w:cs="Arial"/>
                <w:i/>
                <w:iCs/>
              </w:rPr>
              <w:t xml:space="preserve">awarded, </w:t>
            </w:r>
            <w:r w:rsidR="00E13FED" w:rsidRPr="00AF28C3">
              <w:rPr>
                <w:rFonts w:ascii="Arial" w:hAnsi="Arial" w:cs="Arial"/>
                <w:i/>
                <w:iCs/>
              </w:rPr>
              <w:t xml:space="preserve">earned and/or vested for the reporting period. Issuers should disclose </w:t>
            </w:r>
            <w:r w:rsidR="002E0404" w:rsidRPr="00AF28C3">
              <w:rPr>
                <w:rFonts w:ascii="Arial" w:hAnsi="Arial" w:cs="Arial"/>
                <w:i/>
                <w:iCs/>
              </w:rPr>
              <w:t xml:space="preserve">both </w:t>
            </w:r>
            <w:r w:rsidR="00E13FED" w:rsidRPr="00AF28C3">
              <w:rPr>
                <w:rFonts w:ascii="Arial" w:hAnsi="Arial" w:cs="Arial"/>
                <w:i/>
                <w:iCs/>
              </w:rPr>
              <w:t>the cash</w:t>
            </w:r>
            <w:r w:rsidR="00B510F4" w:rsidRPr="00AF28C3">
              <w:rPr>
                <w:rFonts w:ascii="Arial" w:hAnsi="Arial" w:cs="Arial"/>
                <w:i/>
                <w:iCs/>
              </w:rPr>
              <w:t xml:space="preserve"> and share-based</w:t>
            </w:r>
            <w:r w:rsidR="00E13FED" w:rsidRPr="00AF28C3">
              <w:rPr>
                <w:rFonts w:ascii="Arial" w:hAnsi="Arial" w:cs="Arial"/>
                <w:i/>
                <w:iCs/>
              </w:rPr>
              <w:t xml:space="preserve"> amounts that are </w:t>
            </w:r>
            <w:r w:rsidR="00B510F4" w:rsidRPr="00AF28C3">
              <w:rPr>
                <w:rFonts w:ascii="Arial" w:hAnsi="Arial" w:cs="Arial"/>
                <w:i/>
                <w:iCs/>
              </w:rPr>
              <w:t xml:space="preserve">earned or </w:t>
            </w:r>
            <w:r w:rsidR="00E13FED" w:rsidRPr="00AF28C3">
              <w:rPr>
                <w:rFonts w:ascii="Arial" w:hAnsi="Arial" w:cs="Arial"/>
                <w:i/>
                <w:iCs/>
              </w:rPr>
              <w:t xml:space="preserve">awarded </w:t>
            </w:r>
            <w:r w:rsidR="002E0404" w:rsidRPr="00AF28C3">
              <w:rPr>
                <w:rFonts w:ascii="Arial" w:hAnsi="Arial" w:cs="Arial"/>
                <w:i/>
                <w:iCs/>
              </w:rPr>
              <w:t xml:space="preserve">for the reporting period </w:t>
            </w:r>
            <w:r w:rsidR="00E13FED" w:rsidRPr="00AF28C3">
              <w:rPr>
                <w:rFonts w:ascii="Arial" w:hAnsi="Arial" w:cs="Arial"/>
                <w:i/>
                <w:iCs/>
              </w:rPr>
              <w:t xml:space="preserve">and the amounts that are paid </w:t>
            </w:r>
            <w:r w:rsidRPr="00AF28C3">
              <w:rPr>
                <w:rFonts w:ascii="Arial" w:hAnsi="Arial" w:cs="Arial"/>
                <w:i/>
                <w:iCs/>
              </w:rPr>
              <w:t>or issued/transferred</w:t>
            </w:r>
            <w:r w:rsidR="0074447D" w:rsidRPr="00AF28C3">
              <w:rPr>
                <w:rFonts w:ascii="Arial" w:hAnsi="Arial" w:cs="Arial"/>
                <w:i/>
                <w:iCs/>
              </w:rPr>
              <w:t xml:space="preserve"> </w:t>
            </w:r>
            <w:r w:rsidR="00E13FED" w:rsidRPr="00AF28C3">
              <w:rPr>
                <w:rFonts w:ascii="Arial" w:hAnsi="Arial" w:cs="Arial"/>
                <w:i/>
                <w:iCs/>
              </w:rPr>
              <w:t>duri</w:t>
            </w:r>
            <w:r w:rsidR="002E0404" w:rsidRPr="00AF28C3">
              <w:rPr>
                <w:rFonts w:ascii="Arial" w:hAnsi="Arial" w:cs="Arial"/>
                <w:i/>
                <w:iCs/>
              </w:rPr>
              <w:t>ng</w:t>
            </w:r>
            <w:r w:rsidR="00E13FED" w:rsidRPr="00AF28C3">
              <w:rPr>
                <w:rFonts w:ascii="Arial" w:hAnsi="Arial" w:cs="Arial"/>
                <w:i/>
                <w:iCs/>
              </w:rPr>
              <w:t xml:space="preserve"> </w:t>
            </w:r>
            <w:r w:rsidR="002E0404" w:rsidRPr="00AF28C3">
              <w:rPr>
                <w:rFonts w:ascii="Arial" w:hAnsi="Arial" w:cs="Arial"/>
                <w:i/>
                <w:iCs/>
              </w:rPr>
              <w:t>the reporting period</w:t>
            </w:r>
            <w:r w:rsidR="00E13FED" w:rsidRPr="00AF28C3">
              <w:rPr>
                <w:rFonts w:ascii="Arial" w:hAnsi="Arial" w:cs="Arial"/>
                <w:i/>
                <w:iCs/>
              </w:rPr>
              <w:t>.</w:t>
            </w:r>
            <w:r w:rsidR="002E0404" w:rsidRPr="00AF28C3">
              <w:rPr>
                <w:rFonts w:ascii="Arial" w:hAnsi="Arial" w:cs="Arial"/>
                <w:i/>
                <w:iCs/>
              </w:rPr>
              <w:t xml:space="preserve"> </w:t>
            </w:r>
          </w:p>
          <w:p w14:paraId="3967C4A3" w14:textId="62699952" w:rsidR="0074447D" w:rsidRPr="00AF28C3" w:rsidRDefault="00A820AC" w:rsidP="00BB0277">
            <w:pPr>
              <w:spacing w:before="60" w:after="60"/>
              <w:rPr>
                <w:rFonts w:ascii="Arial" w:hAnsi="Arial" w:cs="Arial"/>
                <w:i/>
                <w:iCs/>
              </w:rPr>
            </w:pPr>
            <w:r w:rsidRPr="00AF28C3">
              <w:rPr>
                <w:rFonts w:ascii="Arial" w:hAnsi="Arial" w:cs="Arial"/>
                <w:i/>
                <w:iCs/>
              </w:rPr>
              <w:t xml:space="preserve">Details in relation to </w:t>
            </w:r>
            <w:r w:rsidR="002E0404" w:rsidRPr="00AF28C3">
              <w:rPr>
                <w:rFonts w:ascii="Arial" w:hAnsi="Arial" w:cs="Arial"/>
                <w:i/>
                <w:iCs/>
              </w:rPr>
              <w:t xml:space="preserve">the award </w:t>
            </w:r>
            <w:r w:rsidRPr="00AF28C3">
              <w:rPr>
                <w:rFonts w:ascii="Arial" w:hAnsi="Arial" w:cs="Arial"/>
                <w:i/>
                <w:iCs/>
              </w:rPr>
              <w:t xml:space="preserve">or payment of any long term incentives (either cash or shares) </w:t>
            </w:r>
            <w:r w:rsidR="002E0404" w:rsidRPr="00AF28C3">
              <w:rPr>
                <w:rFonts w:ascii="Arial" w:hAnsi="Arial" w:cs="Arial"/>
                <w:i/>
                <w:iCs/>
              </w:rPr>
              <w:t xml:space="preserve">during or relating to the reporting period </w:t>
            </w:r>
            <w:r w:rsidRPr="00AF28C3">
              <w:rPr>
                <w:rFonts w:ascii="Arial" w:hAnsi="Arial" w:cs="Arial"/>
                <w:i/>
                <w:iCs/>
              </w:rPr>
              <w:t xml:space="preserve">should be </w:t>
            </w:r>
            <w:r w:rsidR="000F7E69" w:rsidRPr="00AF28C3">
              <w:rPr>
                <w:rFonts w:ascii="Arial" w:hAnsi="Arial" w:cs="Arial"/>
                <w:i/>
                <w:iCs/>
              </w:rPr>
              <w:t>disclosed.</w:t>
            </w:r>
            <w:r w:rsidRPr="00AF28C3">
              <w:rPr>
                <w:rFonts w:ascii="Arial" w:hAnsi="Arial" w:cs="Arial"/>
                <w:i/>
                <w:iCs/>
              </w:rPr>
              <w:t xml:space="preserve">  The issuer should disclose the basis on which these incentives have been granted and</w:t>
            </w:r>
            <w:r w:rsidR="000F7E69" w:rsidRPr="00AF28C3">
              <w:rPr>
                <w:rFonts w:ascii="Arial" w:hAnsi="Arial" w:cs="Arial"/>
                <w:i/>
                <w:iCs/>
              </w:rPr>
              <w:t xml:space="preserve"> </w:t>
            </w:r>
            <w:r w:rsidRPr="00AF28C3">
              <w:rPr>
                <w:rFonts w:ascii="Arial" w:hAnsi="Arial" w:cs="Arial"/>
                <w:i/>
                <w:iCs/>
              </w:rPr>
              <w:t>the time period to which they relate</w:t>
            </w:r>
            <w:r w:rsidR="002E0404" w:rsidRPr="00AF28C3">
              <w:rPr>
                <w:rFonts w:ascii="Arial" w:hAnsi="Arial" w:cs="Arial"/>
                <w:i/>
                <w:iCs/>
              </w:rPr>
              <w:t>, along with the vesting period</w:t>
            </w:r>
            <w:r w:rsidRPr="00AF28C3">
              <w:rPr>
                <w:rFonts w:ascii="Arial" w:hAnsi="Arial" w:cs="Arial"/>
                <w:i/>
                <w:iCs/>
              </w:rPr>
              <w:t>.</w:t>
            </w:r>
          </w:p>
          <w:p w14:paraId="58F2F27E" w14:textId="052E97B9" w:rsidR="002E0404" w:rsidRPr="002B11D2" w:rsidRDefault="002E0404" w:rsidP="00BB0277">
            <w:pPr>
              <w:spacing w:before="60" w:after="60"/>
            </w:pPr>
            <w:r w:rsidRPr="00AF28C3">
              <w:rPr>
                <w:rFonts w:ascii="Arial" w:hAnsi="Arial" w:cs="Arial"/>
                <w:b/>
                <w:bCs/>
                <w:i/>
                <w:iCs/>
              </w:rPr>
              <w:t xml:space="preserve">Optional: </w:t>
            </w:r>
            <w:r w:rsidRPr="00AF28C3">
              <w:rPr>
                <w:rFonts w:ascii="Arial" w:hAnsi="Arial" w:cs="Arial"/>
                <w:i/>
                <w:iCs/>
              </w:rPr>
              <w:t xml:space="preserve">The disclosure of the prior comparative period </w:t>
            </w:r>
            <w:r w:rsidR="00725E58" w:rsidRPr="00AF28C3">
              <w:rPr>
                <w:rFonts w:ascii="Arial" w:hAnsi="Arial" w:cs="Arial"/>
                <w:i/>
                <w:iCs/>
              </w:rPr>
              <w:t>i</w:t>
            </w:r>
            <w:r w:rsidRPr="00AF28C3">
              <w:rPr>
                <w:rFonts w:ascii="Arial" w:hAnsi="Arial" w:cs="Arial"/>
                <w:i/>
                <w:iCs/>
              </w:rPr>
              <w:t xml:space="preserve">s an optional </w:t>
            </w:r>
            <w:r w:rsidR="0030123C" w:rsidRPr="00AF28C3">
              <w:rPr>
                <w:rFonts w:ascii="Arial" w:hAnsi="Arial" w:cs="Arial"/>
                <w:i/>
                <w:iCs/>
              </w:rPr>
              <w:t>disclosure;</w:t>
            </w:r>
            <w:r w:rsidRPr="00AF28C3">
              <w:rPr>
                <w:rFonts w:ascii="Arial" w:hAnsi="Arial" w:cs="Arial"/>
                <w:i/>
                <w:iCs/>
              </w:rPr>
              <w:t xml:space="preserve"> </w:t>
            </w:r>
            <w:r w:rsidR="00B65030" w:rsidRPr="00AF28C3">
              <w:rPr>
                <w:rFonts w:ascii="Arial" w:hAnsi="Arial" w:cs="Arial"/>
                <w:i/>
                <w:iCs/>
              </w:rPr>
              <w:t>however,</w:t>
            </w:r>
            <w:r w:rsidRPr="00AF28C3">
              <w:rPr>
                <w:rFonts w:ascii="Arial" w:hAnsi="Arial" w:cs="Arial"/>
                <w:i/>
                <w:iCs/>
              </w:rPr>
              <w:t xml:space="preserve"> it will provide useful context for readers of the remuneration </w:t>
            </w:r>
            <w:r w:rsidR="00A60CC6" w:rsidRPr="00AF28C3">
              <w:rPr>
                <w:rFonts w:ascii="Arial" w:hAnsi="Arial" w:cs="Arial"/>
                <w:i/>
                <w:iCs/>
              </w:rPr>
              <w:t>report and</w:t>
            </w:r>
            <w:r w:rsidR="0096500C" w:rsidRPr="00AF28C3">
              <w:rPr>
                <w:rFonts w:ascii="Arial" w:hAnsi="Arial" w:cs="Arial"/>
                <w:i/>
                <w:iCs/>
              </w:rPr>
              <w:t xml:space="preserve"> is consistent with the </w:t>
            </w:r>
            <w:r w:rsidR="00200892">
              <w:rPr>
                <w:rFonts w:ascii="Arial" w:hAnsi="Arial" w:cs="Arial"/>
                <w:i/>
                <w:iCs/>
              </w:rPr>
              <w:t xml:space="preserve">NZX </w:t>
            </w:r>
            <w:r w:rsidR="0096500C" w:rsidRPr="00AF28C3">
              <w:rPr>
                <w:rFonts w:ascii="Arial" w:hAnsi="Arial" w:cs="Arial"/>
                <w:i/>
                <w:iCs/>
              </w:rPr>
              <w:t xml:space="preserve">Code </w:t>
            </w:r>
            <w:r w:rsidR="00200892">
              <w:rPr>
                <w:rFonts w:ascii="Arial" w:hAnsi="Arial" w:cs="Arial"/>
                <w:i/>
                <w:iCs/>
              </w:rPr>
              <w:t>commentary</w:t>
            </w:r>
            <w:r w:rsidR="0096500C" w:rsidRPr="00AF28C3">
              <w:rPr>
                <w:rFonts w:ascii="Arial" w:hAnsi="Arial" w:cs="Arial"/>
                <w:i/>
                <w:iCs/>
              </w:rPr>
              <w:t xml:space="preserve"> that disclosure </w:t>
            </w:r>
            <w:r w:rsidR="00200892">
              <w:rPr>
                <w:rFonts w:ascii="Arial" w:hAnsi="Arial" w:cs="Arial"/>
                <w:i/>
                <w:iCs/>
              </w:rPr>
              <w:t>should be</w:t>
            </w:r>
            <w:r w:rsidR="0096500C" w:rsidRPr="00AF28C3">
              <w:rPr>
                <w:rFonts w:ascii="Arial" w:hAnsi="Arial" w:cs="Arial"/>
                <w:i/>
                <w:iCs/>
              </w:rPr>
              <w:t xml:space="preserve"> a comparable </w:t>
            </w:r>
            <w:r w:rsidR="00200892">
              <w:rPr>
                <w:rFonts w:ascii="Arial" w:hAnsi="Arial" w:cs="Arial"/>
                <w:i/>
                <w:iCs/>
              </w:rPr>
              <w:t xml:space="preserve">with </w:t>
            </w:r>
            <w:r w:rsidR="0096500C" w:rsidRPr="00AF28C3">
              <w:rPr>
                <w:rFonts w:ascii="Arial" w:hAnsi="Arial" w:cs="Arial"/>
                <w:i/>
                <w:iCs/>
              </w:rPr>
              <w:t xml:space="preserve">historical </w:t>
            </w:r>
            <w:r w:rsidR="00200892">
              <w:rPr>
                <w:rFonts w:ascii="Arial" w:hAnsi="Arial" w:cs="Arial"/>
                <w:i/>
                <w:iCs/>
              </w:rPr>
              <w:t>disclosures</w:t>
            </w:r>
            <w:r w:rsidRPr="00AF28C3">
              <w:rPr>
                <w:rFonts w:ascii="Arial" w:hAnsi="Arial" w:cs="Arial"/>
                <w:i/>
                <w:iCs/>
              </w:rPr>
              <w:t>.</w:t>
            </w:r>
          </w:p>
        </w:tc>
      </w:tr>
    </w:tbl>
    <w:p w14:paraId="658977FC" w14:textId="77777777" w:rsidR="00FD3A41" w:rsidRDefault="00FD3A41" w:rsidP="00F55799">
      <w:pPr>
        <w:rPr>
          <w:b/>
          <w:bCs/>
        </w:rPr>
      </w:pPr>
    </w:p>
    <w:p w14:paraId="7C5CABAB" w14:textId="77777777" w:rsidR="00FD3A41" w:rsidRDefault="00FD3A41" w:rsidP="00F55799">
      <w:pPr>
        <w:rPr>
          <w:b/>
          <w:bCs/>
        </w:rPr>
      </w:pPr>
    </w:p>
    <w:p w14:paraId="397FF099" w14:textId="77777777" w:rsidR="00A820AC" w:rsidRDefault="00A820AC" w:rsidP="00F55799">
      <w:pPr>
        <w:rPr>
          <w:b/>
          <w:bCs/>
        </w:rPr>
      </w:pPr>
    </w:p>
    <w:p w14:paraId="3A504D57" w14:textId="048A165D" w:rsidR="00F909BA" w:rsidRDefault="00F909BA">
      <w:pPr>
        <w:spacing w:after="160" w:line="259" w:lineRule="auto"/>
        <w:rPr>
          <w:b/>
          <w:bCs/>
          <w:sz w:val="36"/>
          <w:szCs w:val="36"/>
        </w:rPr>
      </w:pPr>
      <w:r>
        <w:rPr>
          <w:b/>
          <w:bCs/>
          <w:sz w:val="36"/>
          <w:szCs w:val="36"/>
        </w:rPr>
        <w:br w:type="page"/>
      </w:r>
    </w:p>
    <w:p w14:paraId="06CD5C64" w14:textId="2694F0DE" w:rsidR="00F42AE5" w:rsidRPr="00BB0277" w:rsidRDefault="00F909BA" w:rsidP="00BB0277">
      <w:pPr>
        <w:pStyle w:val="Heading1"/>
        <w:numPr>
          <w:ilvl w:val="0"/>
          <w:numId w:val="25"/>
        </w:numPr>
        <w:spacing w:after="120"/>
        <w:ind w:left="567" w:hanging="567"/>
        <w:rPr>
          <w:rFonts w:ascii="Arial" w:hAnsi="Arial" w:cs="Arial"/>
          <w:b/>
          <w:bCs/>
        </w:rPr>
      </w:pPr>
      <w:bookmarkStart w:id="9" w:name="_Toc151713709"/>
      <w:r w:rsidRPr="00BB0277">
        <w:rPr>
          <w:rFonts w:ascii="Arial" w:hAnsi="Arial" w:cs="Arial"/>
          <w:b/>
          <w:bCs/>
        </w:rPr>
        <w:lastRenderedPageBreak/>
        <w:t>*</w:t>
      </w:r>
      <w:r w:rsidR="00F42AE5" w:rsidRPr="00BB0277">
        <w:rPr>
          <w:rFonts w:ascii="Arial" w:hAnsi="Arial" w:cs="Arial"/>
          <w:b/>
          <w:bCs/>
        </w:rPr>
        <w:t xml:space="preserve">ESG Disclosures </w:t>
      </w:r>
      <w:r w:rsidR="004B378E" w:rsidRPr="00BB0277">
        <w:rPr>
          <w:rFonts w:ascii="Arial" w:hAnsi="Arial" w:cs="Arial"/>
          <w:b/>
          <w:bCs/>
        </w:rPr>
        <w:t>(optional)</w:t>
      </w:r>
      <w:bookmarkEnd w:id="9"/>
    </w:p>
    <w:tbl>
      <w:tblPr>
        <w:tblStyle w:val="TableGrid"/>
        <w:tblW w:w="9016" w:type="dxa"/>
        <w:tblInd w:w="562" w:type="dxa"/>
        <w:tblLook w:val="04A0" w:firstRow="1" w:lastRow="0" w:firstColumn="1" w:lastColumn="0" w:noHBand="0" w:noVBand="1"/>
      </w:tblPr>
      <w:tblGrid>
        <w:gridCol w:w="9016"/>
      </w:tblGrid>
      <w:tr w:rsidR="00A820AC" w14:paraId="66268F2C" w14:textId="77777777" w:rsidTr="001F6331">
        <w:tc>
          <w:tcPr>
            <w:tcW w:w="9016" w:type="dxa"/>
          </w:tcPr>
          <w:p w14:paraId="403F8556" w14:textId="2D083E03" w:rsidR="00FE3B34" w:rsidRPr="00200892" w:rsidRDefault="00A820AC" w:rsidP="00BE1E7C">
            <w:pPr>
              <w:spacing w:before="60" w:after="60"/>
              <w:rPr>
                <w:rStyle w:val="Hyperlink"/>
                <w:rFonts w:ascii="Arial" w:hAnsi="Arial" w:cs="Arial"/>
                <w:i/>
                <w:iCs/>
                <w:color w:val="000000" w:themeColor="text1"/>
                <w:u w:val="none"/>
              </w:rPr>
            </w:pPr>
            <w:r w:rsidRPr="00AF28C3">
              <w:rPr>
                <w:rFonts w:ascii="Arial" w:hAnsi="Arial" w:cs="Arial"/>
                <w:b/>
                <w:bCs/>
                <w:i/>
                <w:iCs/>
              </w:rPr>
              <w:t>Explanatory note</w:t>
            </w:r>
            <w:r w:rsidRPr="00AF28C3">
              <w:rPr>
                <w:rFonts w:ascii="Arial" w:hAnsi="Arial" w:cs="Arial"/>
                <w:i/>
                <w:iCs/>
              </w:rPr>
              <w:t xml:space="preserve">: It is common for issuers to include ESG metrics as part of remuneration disclosures. These can be expectations of other stakeholders such as NZSA and Mind the Gap. These are not currently required under the NZX Listing Rules or NZX Code. However, this template has included template drafting for two of the more common disclosures relating to CEO/worker ratios and gender pay gaps. Issuers may wish to provide additional information in this section. For example, an explanation that the gender </w:t>
            </w:r>
            <w:r w:rsidRPr="00200892">
              <w:rPr>
                <w:rFonts w:ascii="Arial" w:hAnsi="Arial" w:cs="Arial"/>
                <w:i/>
                <w:iCs/>
                <w:color w:val="000000" w:themeColor="text1"/>
              </w:rPr>
              <w:t xml:space="preserve">pay gap applies on a ‘like for like’ or level basis. Issuers may wish to refer to the </w:t>
            </w:r>
            <w:hyperlink r:id="rId11" w:history="1">
              <w:r w:rsidRPr="00C122F6">
                <w:rPr>
                  <w:rStyle w:val="Hyperlink"/>
                  <w:rFonts w:ascii="Arial" w:hAnsi="Arial" w:cs="Arial"/>
                  <w:i/>
                  <w:iCs/>
                  <w:color w:val="4472C4" w:themeColor="accent1"/>
                </w:rPr>
                <w:t>Statistics New Zealand organisational gender pay gap guidelines.</w:t>
              </w:r>
              <w:r w:rsidRPr="00C122F6">
                <w:rPr>
                  <w:rStyle w:val="Hyperlink"/>
                  <w:rFonts w:ascii="Arial" w:hAnsi="Arial" w:cs="Arial"/>
                  <w:i/>
                  <w:iCs/>
                  <w:color w:val="4472C4" w:themeColor="accent1"/>
                  <w:u w:val="none"/>
                </w:rPr>
                <w:t xml:space="preserve"> </w:t>
              </w:r>
            </w:hyperlink>
            <w:r w:rsidR="00DF36DD" w:rsidRPr="00200892">
              <w:rPr>
                <w:rStyle w:val="Hyperlink"/>
                <w:rFonts w:ascii="Arial" w:hAnsi="Arial" w:cs="Arial"/>
                <w:i/>
                <w:iCs/>
                <w:color w:val="000000" w:themeColor="text1"/>
                <w:u w:val="none"/>
              </w:rPr>
              <w:t xml:space="preserve"> Issuers who wish to provide gender pay gap disclosure should also include a summary of the methodology used for this calculation</w:t>
            </w:r>
            <w:r w:rsidR="00200892">
              <w:rPr>
                <w:rStyle w:val="Hyperlink"/>
                <w:rFonts w:ascii="Arial" w:hAnsi="Arial" w:cs="Arial"/>
                <w:i/>
                <w:iCs/>
                <w:color w:val="000000" w:themeColor="text1"/>
                <w:u w:val="none"/>
              </w:rPr>
              <w:t>.</w:t>
            </w:r>
          </w:p>
          <w:p w14:paraId="1319F707" w14:textId="3861BB71" w:rsidR="00F2403E" w:rsidRPr="00BB0277" w:rsidRDefault="00FE3B34" w:rsidP="00BE1E7C">
            <w:pPr>
              <w:spacing w:before="60" w:after="60"/>
              <w:rPr>
                <w:rFonts w:ascii="Arial" w:hAnsi="Arial" w:cs="Arial"/>
                <w:i/>
                <w:iCs/>
                <w:color w:val="000000" w:themeColor="text1"/>
              </w:rPr>
            </w:pPr>
            <w:r w:rsidRPr="00200892">
              <w:rPr>
                <w:rStyle w:val="Hyperlink"/>
                <w:rFonts w:ascii="Arial" w:hAnsi="Arial" w:cs="Arial"/>
                <w:i/>
                <w:iCs/>
                <w:color w:val="000000" w:themeColor="text1"/>
                <w:u w:val="none"/>
              </w:rPr>
              <w:t>The</w:t>
            </w:r>
            <w:r w:rsidR="00B06959" w:rsidRPr="00200892">
              <w:rPr>
                <w:rStyle w:val="Hyperlink"/>
                <w:rFonts w:ascii="Arial" w:hAnsi="Arial" w:cs="Arial"/>
                <w:i/>
                <w:iCs/>
                <w:color w:val="000000" w:themeColor="text1"/>
                <w:u w:val="none"/>
              </w:rPr>
              <w:t xml:space="preserve"> disclosures </w:t>
            </w:r>
            <w:r w:rsidRPr="00200892">
              <w:rPr>
                <w:rStyle w:val="Hyperlink"/>
                <w:rFonts w:ascii="Arial" w:hAnsi="Arial" w:cs="Arial"/>
                <w:i/>
                <w:iCs/>
                <w:color w:val="000000" w:themeColor="text1"/>
                <w:u w:val="none"/>
              </w:rPr>
              <w:t xml:space="preserve">contained in this section </w:t>
            </w:r>
            <w:r w:rsidR="00B06959" w:rsidRPr="00200892">
              <w:rPr>
                <w:rStyle w:val="Hyperlink"/>
                <w:rFonts w:ascii="Arial" w:hAnsi="Arial" w:cs="Arial"/>
                <w:i/>
                <w:iCs/>
                <w:color w:val="000000" w:themeColor="text1"/>
                <w:u w:val="none"/>
              </w:rPr>
              <w:t xml:space="preserve">may be more suitable for larger issuers with the resources available to collate and publish this </w:t>
            </w:r>
            <w:r w:rsidR="00A63E9D" w:rsidRPr="00200892">
              <w:rPr>
                <w:rStyle w:val="Hyperlink"/>
                <w:rFonts w:ascii="Arial" w:hAnsi="Arial" w:cs="Arial"/>
                <w:i/>
                <w:iCs/>
                <w:color w:val="000000" w:themeColor="text1"/>
                <w:u w:val="none"/>
              </w:rPr>
              <w:t>information</w:t>
            </w:r>
            <w:r w:rsidR="00B06959" w:rsidRPr="00200892">
              <w:rPr>
                <w:rStyle w:val="Hyperlink"/>
                <w:rFonts w:ascii="Arial" w:hAnsi="Arial" w:cs="Arial"/>
                <w:i/>
                <w:iCs/>
                <w:color w:val="000000" w:themeColor="text1"/>
                <w:u w:val="none"/>
              </w:rPr>
              <w:t xml:space="preserve">. </w:t>
            </w:r>
            <w:r w:rsidR="00DF36DD" w:rsidRPr="00200892">
              <w:rPr>
                <w:rStyle w:val="Hyperlink"/>
                <w:rFonts w:ascii="Arial" w:hAnsi="Arial" w:cs="Arial"/>
                <w:i/>
                <w:iCs/>
                <w:color w:val="000000" w:themeColor="text1"/>
                <w:u w:val="none"/>
              </w:rPr>
              <w:t xml:space="preserve">Whether the disclosures set out below are appropriate for an issuer may also depend on the nature of an issuer’s business, and the concentration and size of </w:t>
            </w:r>
            <w:r w:rsidR="006F7C83" w:rsidRPr="00200892">
              <w:rPr>
                <w:rStyle w:val="Hyperlink"/>
                <w:rFonts w:ascii="Arial" w:hAnsi="Arial" w:cs="Arial"/>
                <w:i/>
                <w:iCs/>
                <w:color w:val="000000" w:themeColor="text1"/>
                <w:u w:val="none"/>
              </w:rPr>
              <w:t>the issuer’s</w:t>
            </w:r>
            <w:r w:rsidR="00DF36DD" w:rsidRPr="00200892">
              <w:rPr>
                <w:rStyle w:val="Hyperlink"/>
                <w:rFonts w:ascii="Arial" w:hAnsi="Arial" w:cs="Arial"/>
                <w:i/>
                <w:iCs/>
                <w:color w:val="000000" w:themeColor="text1"/>
                <w:u w:val="none"/>
              </w:rPr>
              <w:t xml:space="preserve"> workforce.</w:t>
            </w:r>
          </w:p>
        </w:tc>
      </w:tr>
    </w:tbl>
    <w:p w14:paraId="7449CD6A" w14:textId="77777777" w:rsidR="00C122F6" w:rsidRDefault="00C122F6" w:rsidP="00C122F6">
      <w:pPr>
        <w:spacing w:before="240" w:after="160"/>
        <w:ind w:right="249"/>
        <w:rPr>
          <w:rFonts w:ascii="Arial" w:hAnsi="Arial" w:cs="Arial"/>
          <w:b/>
          <w:bCs/>
          <w:u w:val="single"/>
        </w:rPr>
      </w:pPr>
    </w:p>
    <w:p w14:paraId="27664AA2" w14:textId="65B1E277" w:rsidR="00F42AE5" w:rsidRPr="00F51E82" w:rsidRDefault="00023003" w:rsidP="001F6331">
      <w:pPr>
        <w:spacing w:before="240" w:after="160"/>
        <w:ind w:left="567" w:right="249"/>
        <w:rPr>
          <w:rFonts w:ascii="Arial" w:hAnsi="Arial" w:cs="Arial"/>
          <w:b/>
          <w:bCs/>
          <w:u w:val="single"/>
        </w:rPr>
      </w:pPr>
      <w:r w:rsidRPr="00F51E82">
        <w:rPr>
          <w:rFonts w:ascii="Arial" w:hAnsi="Arial" w:cs="Arial"/>
          <w:b/>
          <w:bCs/>
          <w:u w:val="single"/>
        </w:rPr>
        <w:t>CEO/worker ratio</w:t>
      </w:r>
      <w:r w:rsidR="00214446" w:rsidRPr="00F51E82">
        <w:rPr>
          <w:rFonts w:ascii="Arial" w:hAnsi="Arial" w:cs="Arial"/>
          <w:b/>
          <w:bCs/>
          <w:u w:val="single"/>
        </w:rPr>
        <w:t xml:space="preserve"> (optional)</w:t>
      </w:r>
    </w:p>
    <w:p w14:paraId="7CCC248A" w14:textId="2D358D4B" w:rsidR="004B378E" w:rsidRPr="00F51E82" w:rsidRDefault="004B378E" w:rsidP="001F6331">
      <w:pPr>
        <w:spacing w:after="160"/>
        <w:ind w:left="567" w:right="249"/>
        <w:rPr>
          <w:rFonts w:ascii="Arial" w:hAnsi="Arial" w:cs="Arial"/>
        </w:rPr>
      </w:pPr>
      <w:r w:rsidRPr="00F51E82">
        <w:rPr>
          <w:rFonts w:ascii="Arial" w:hAnsi="Arial" w:cs="Arial"/>
        </w:rPr>
        <w:t>The pay gap represents the number of times greater the Chief Executive Officer</w:t>
      </w:r>
      <w:r w:rsidR="00A63E9D" w:rsidRPr="00F51E82">
        <w:rPr>
          <w:rFonts w:ascii="Arial" w:hAnsi="Arial" w:cs="Arial"/>
        </w:rPr>
        <w:t>’s</w:t>
      </w:r>
      <w:r w:rsidRPr="00F51E82">
        <w:rPr>
          <w:rFonts w:ascii="Arial" w:hAnsi="Arial" w:cs="Arial"/>
        </w:rPr>
        <w:t xml:space="preserve"> remuneration is to the remuneration of an employee paid at the median of all employees. </w:t>
      </w:r>
    </w:p>
    <w:p w14:paraId="02995677" w14:textId="77777777" w:rsidR="004B378E" w:rsidRPr="00F51E82" w:rsidRDefault="004B378E" w:rsidP="001F6331">
      <w:pPr>
        <w:spacing w:after="160"/>
        <w:ind w:left="567" w:right="249"/>
        <w:rPr>
          <w:rFonts w:ascii="Arial" w:hAnsi="Arial" w:cs="Arial"/>
        </w:rPr>
      </w:pPr>
      <w:r w:rsidRPr="00F51E82">
        <w:rPr>
          <w:rFonts w:ascii="Arial" w:hAnsi="Arial" w:cs="Arial"/>
        </w:rPr>
        <w:t xml:space="preserve">For the purposes of determining the median paid to all employees, all permanent full-time, permanent part-time and fixed-term employees are included, with part-time employee remuneration adjusted to a full-time equivalent amount. </w:t>
      </w:r>
    </w:p>
    <w:p w14:paraId="7797B3A9" w14:textId="78334B83" w:rsidR="00C122F6" w:rsidRPr="00F51E82" w:rsidRDefault="00DD3182" w:rsidP="0060142E">
      <w:pPr>
        <w:spacing w:after="160"/>
        <w:ind w:left="567" w:right="249"/>
        <w:rPr>
          <w:rFonts w:ascii="Arial" w:hAnsi="Arial" w:cs="Arial"/>
        </w:rPr>
      </w:pPr>
      <w:r w:rsidRPr="00F51E82">
        <w:rPr>
          <w:rFonts w:ascii="Arial" w:hAnsi="Arial" w:cs="Arial"/>
        </w:rPr>
        <w:t>As at the balance date</w:t>
      </w:r>
      <w:r w:rsidR="00504C0E" w:rsidRPr="00F51E82">
        <w:rPr>
          <w:rFonts w:ascii="Arial" w:hAnsi="Arial" w:cs="Arial"/>
        </w:rPr>
        <w:t>/</w:t>
      </w:r>
      <w:r w:rsidR="004B378E" w:rsidRPr="00F51E82">
        <w:rPr>
          <w:rFonts w:ascii="Arial" w:hAnsi="Arial" w:cs="Arial"/>
        </w:rPr>
        <w:t>, the Chief Executive Officer’s base salary of $[</w:t>
      </w:r>
      <w:r w:rsidR="0020652C" w:rsidRPr="00F51E82">
        <w:rPr>
          <w:rFonts w:ascii="Arial" w:hAnsi="Arial" w:cs="Arial"/>
        </w:rPr>
        <w:t>●]</w:t>
      </w:r>
      <w:r w:rsidR="004B378E" w:rsidRPr="00F51E82">
        <w:rPr>
          <w:rFonts w:ascii="Arial" w:hAnsi="Arial" w:cs="Arial"/>
        </w:rPr>
        <w:t xml:space="preserve"> was </w:t>
      </w:r>
      <w:r w:rsidR="00B70B05" w:rsidRPr="00F51E82">
        <w:rPr>
          <w:rFonts w:ascii="Arial" w:hAnsi="Arial" w:cs="Arial"/>
        </w:rPr>
        <w:t>[●]</w:t>
      </w:r>
      <w:r w:rsidR="004B378E" w:rsidRPr="00F51E82">
        <w:rPr>
          <w:rFonts w:ascii="Arial" w:hAnsi="Arial" w:cs="Arial"/>
        </w:rPr>
        <w:t xml:space="preserve"> times (</w:t>
      </w:r>
      <w:r w:rsidR="0030123C" w:rsidRPr="00F51E82">
        <w:rPr>
          <w:rFonts w:ascii="Arial" w:hAnsi="Arial" w:cs="Arial"/>
        </w:rPr>
        <w:t>FY [</w:t>
      </w:r>
      <w:r w:rsidR="00B70B05" w:rsidRPr="00F51E82">
        <w:rPr>
          <w:rFonts w:ascii="Arial" w:hAnsi="Arial" w:cs="Arial"/>
        </w:rPr>
        <w:t>●]</w:t>
      </w:r>
      <w:r w:rsidR="004B378E" w:rsidRPr="00F51E82">
        <w:rPr>
          <w:rFonts w:ascii="Arial" w:hAnsi="Arial" w:cs="Arial"/>
        </w:rPr>
        <w:t xml:space="preserve">: </w:t>
      </w:r>
      <w:r w:rsidR="00B70B05" w:rsidRPr="00F51E82">
        <w:rPr>
          <w:rFonts w:ascii="Arial" w:hAnsi="Arial" w:cs="Arial"/>
        </w:rPr>
        <w:t>[●]</w:t>
      </w:r>
      <w:r w:rsidR="004B378E" w:rsidRPr="00F51E82">
        <w:rPr>
          <w:rFonts w:ascii="Arial" w:hAnsi="Arial" w:cs="Arial"/>
        </w:rPr>
        <w:t xml:space="preserve"> times) that of the median employee at $x per annum. The Chief Executive Officer’s total remuneration, including STI</w:t>
      </w:r>
      <w:r w:rsidR="002B37D8" w:rsidRPr="00F51E82">
        <w:rPr>
          <w:rFonts w:ascii="Arial" w:hAnsi="Arial" w:cs="Arial"/>
        </w:rPr>
        <w:t xml:space="preserve"> </w:t>
      </w:r>
      <w:r w:rsidR="006615A1" w:rsidRPr="00F51E82">
        <w:rPr>
          <w:rFonts w:ascii="Arial" w:hAnsi="Arial" w:cs="Arial"/>
        </w:rPr>
        <w:t>E</w:t>
      </w:r>
      <w:r w:rsidR="00B01A9D" w:rsidRPr="00F51E82">
        <w:rPr>
          <w:rFonts w:ascii="Arial" w:hAnsi="Arial" w:cs="Arial"/>
        </w:rPr>
        <w:t>arned</w:t>
      </w:r>
      <w:r w:rsidR="004B378E" w:rsidRPr="00F51E82">
        <w:rPr>
          <w:rFonts w:ascii="Arial" w:hAnsi="Arial" w:cs="Arial"/>
        </w:rPr>
        <w:t xml:space="preserve"> and </w:t>
      </w:r>
      <w:r w:rsidR="00B65030" w:rsidRPr="00F51E82">
        <w:rPr>
          <w:rFonts w:ascii="Arial" w:hAnsi="Arial" w:cs="Arial"/>
        </w:rPr>
        <w:t xml:space="preserve">LTI </w:t>
      </w:r>
      <w:r w:rsidR="00E33DD2" w:rsidRPr="00F51E82">
        <w:rPr>
          <w:rFonts w:ascii="Arial" w:hAnsi="Arial" w:cs="Arial"/>
        </w:rPr>
        <w:t>V</w:t>
      </w:r>
      <w:r w:rsidR="00B65030" w:rsidRPr="00F51E82">
        <w:rPr>
          <w:rFonts w:ascii="Arial" w:hAnsi="Arial" w:cs="Arial"/>
        </w:rPr>
        <w:t>ested</w:t>
      </w:r>
      <w:r w:rsidR="004B378E" w:rsidRPr="00F51E82">
        <w:rPr>
          <w:rFonts w:ascii="Arial" w:hAnsi="Arial" w:cs="Arial"/>
        </w:rPr>
        <w:t>, of $</w:t>
      </w:r>
      <w:r w:rsidR="00007E7C" w:rsidRPr="00F51E82">
        <w:rPr>
          <w:rFonts w:ascii="Arial" w:hAnsi="Arial" w:cs="Arial"/>
        </w:rPr>
        <w:t>●</w:t>
      </w:r>
      <w:r w:rsidR="004B378E" w:rsidRPr="00F51E82">
        <w:rPr>
          <w:rFonts w:ascii="Arial" w:hAnsi="Arial" w:cs="Arial"/>
        </w:rPr>
        <w:t xml:space="preserve"> was </w:t>
      </w:r>
      <w:r w:rsidR="00007E7C" w:rsidRPr="00F51E82">
        <w:rPr>
          <w:rFonts w:ascii="Arial" w:hAnsi="Arial" w:cs="Arial"/>
        </w:rPr>
        <w:t>●</w:t>
      </w:r>
      <w:r w:rsidR="004B378E" w:rsidRPr="00F51E82">
        <w:rPr>
          <w:rFonts w:ascii="Arial" w:hAnsi="Arial" w:cs="Arial"/>
        </w:rPr>
        <w:t xml:space="preserve"> times (FY</w:t>
      </w:r>
      <w:r w:rsidR="00007E7C" w:rsidRPr="00F51E82">
        <w:rPr>
          <w:rFonts w:ascii="Arial" w:hAnsi="Arial" w:cs="Arial"/>
        </w:rPr>
        <w:t xml:space="preserve"> </w:t>
      </w:r>
      <w:r w:rsidR="00B70B05" w:rsidRPr="00F51E82">
        <w:rPr>
          <w:rFonts w:ascii="Arial" w:hAnsi="Arial" w:cs="Arial"/>
        </w:rPr>
        <w:t>[</w:t>
      </w:r>
      <w:r w:rsidR="00007E7C" w:rsidRPr="00F51E82">
        <w:rPr>
          <w:rFonts w:ascii="Arial" w:hAnsi="Arial" w:cs="Arial"/>
        </w:rPr>
        <w:t>●</w:t>
      </w:r>
      <w:r w:rsidR="00E7141C" w:rsidRPr="00F51E82">
        <w:rPr>
          <w:rFonts w:ascii="Arial" w:hAnsi="Arial" w:cs="Arial"/>
        </w:rPr>
        <w:t>]</w:t>
      </w:r>
      <w:r w:rsidR="004B378E" w:rsidRPr="00F51E82">
        <w:rPr>
          <w:rFonts w:ascii="Arial" w:hAnsi="Arial" w:cs="Arial"/>
        </w:rPr>
        <w:t xml:space="preserve">: </w:t>
      </w:r>
      <w:r w:rsidR="00E7141C" w:rsidRPr="00F51E82">
        <w:rPr>
          <w:rFonts w:ascii="Arial" w:hAnsi="Arial" w:cs="Arial"/>
        </w:rPr>
        <w:t>[</w:t>
      </w:r>
      <w:r w:rsidR="00007E7C" w:rsidRPr="00F51E82">
        <w:rPr>
          <w:rFonts w:ascii="Arial" w:hAnsi="Arial" w:cs="Arial"/>
        </w:rPr>
        <w:t>●</w:t>
      </w:r>
      <w:r w:rsidR="00E7141C" w:rsidRPr="00F51E82">
        <w:rPr>
          <w:rFonts w:ascii="Arial" w:hAnsi="Arial" w:cs="Arial"/>
        </w:rPr>
        <w:t>]</w:t>
      </w:r>
      <w:r w:rsidR="004B378E" w:rsidRPr="00F51E82">
        <w:rPr>
          <w:rFonts w:ascii="Arial" w:hAnsi="Arial" w:cs="Arial"/>
        </w:rPr>
        <w:t xml:space="preserve"> times) the total remuneration of the median employee at $</w:t>
      </w:r>
      <w:r w:rsidR="00E7141C" w:rsidRPr="00F51E82">
        <w:rPr>
          <w:rFonts w:ascii="Arial" w:hAnsi="Arial" w:cs="Arial"/>
        </w:rPr>
        <w:t>[</w:t>
      </w:r>
      <w:r w:rsidR="00007E7C" w:rsidRPr="00F51E82">
        <w:rPr>
          <w:rFonts w:ascii="Arial" w:hAnsi="Arial" w:cs="Arial"/>
        </w:rPr>
        <w:t>●</w:t>
      </w:r>
      <w:r w:rsidR="00E7141C" w:rsidRPr="00F51E82">
        <w:rPr>
          <w:rFonts w:ascii="Arial" w:hAnsi="Arial" w:cs="Arial"/>
        </w:rPr>
        <w:t>]</w:t>
      </w:r>
      <w:r w:rsidR="004B378E" w:rsidRPr="00F51E82">
        <w:rPr>
          <w:rFonts w:ascii="Arial" w:hAnsi="Arial" w:cs="Arial"/>
        </w:rPr>
        <w:t>.</w:t>
      </w:r>
    </w:p>
    <w:p w14:paraId="389F2FA1" w14:textId="73AFD792" w:rsidR="004B378E" w:rsidRPr="00F51E82" w:rsidRDefault="00023003" w:rsidP="001F6331">
      <w:pPr>
        <w:spacing w:after="160"/>
        <w:ind w:left="567" w:right="249"/>
        <w:rPr>
          <w:rFonts w:ascii="Arial" w:hAnsi="Arial" w:cs="Arial"/>
          <w:b/>
          <w:bCs/>
          <w:u w:val="single"/>
        </w:rPr>
      </w:pPr>
      <w:r w:rsidRPr="00F51E82">
        <w:rPr>
          <w:rFonts w:ascii="Arial" w:hAnsi="Arial" w:cs="Arial"/>
          <w:b/>
          <w:bCs/>
          <w:u w:val="single"/>
        </w:rPr>
        <w:t xml:space="preserve">Gender </w:t>
      </w:r>
      <w:proofErr w:type="gramStart"/>
      <w:r w:rsidRPr="00F51E82">
        <w:rPr>
          <w:rFonts w:ascii="Arial" w:hAnsi="Arial" w:cs="Arial"/>
          <w:b/>
          <w:bCs/>
          <w:u w:val="single"/>
        </w:rPr>
        <w:t>pay</w:t>
      </w:r>
      <w:proofErr w:type="gramEnd"/>
      <w:r w:rsidRPr="00F51E82">
        <w:rPr>
          <w:rFonts w:ascii="Arial" w:hAnsi="Arial" w:cs="Arial"/>
          <w:b/>
          <w:bCs/>
          <w:u w:val="single"/>
        </w:rPr>
        <w:t xml:space="preserve"> gap</w:t>
      </w:r>
    </w:p>
    <w:p w14:paraId="293EE27D" w14:textId="2421155C" w:rsidR="00B70B05" w:rsidRPr="00F51E82" w:rsidRDefault="00B70B05" w:rsidP="001F6331">
      <w:pPr>
        <w:spacing w:after="160"/>
        <w:ind w:left="567" w:right="249"/>
        <w:rPr>
          <w:rFonts w:ascii="Arial" w:hAnsi="Arial" w:cs="Arial"/>
        </w:rPr>
      </w:pPr>
      <w:r w:rsidRPr="00F51E82">
        <w:rPr>
          <w:rFonts w:ascii="Arial" w:hAnsi="Arial" w:cs="Arial"/>
        </w:rPr>
        <w:t xml:space="preserve">The gender pay gap measures the median pay (base pay only) between men and women regardless of the nature of work. </w:t>
      </w:r>
    </w:p>
    <w:p w14:paraId="23E46616" w14:textId="6F49AB08" w:rsidR="00C122F6" w:rsidRDefault="00E7141C" w:rsidP="0060142E">
      <w:pPr>
        <w:spacing w:after="160"/>
        <w:ind w:left="567" w:right="249"/>
        <w:rPr>
          <w:rFonts w:ascii="Arial" w:hAnsi="Arial" w:cs="Arial"/>
        </w:rPr>
      </w:pPr>
      <w:r w:rsidRPr="00F51E82">
        <w:rPr>
          <w:rFonts w:ascii="Arial" w:hAnsi="Arial" w:cs="Arial"/>
        </w:rPr>
        <w:t>As at [the balance date]</w:t>
      </w:r>
      <w:r w:rsidR="00B70B05" w:rsidRPr="00F51E82">
        <w:rPr>
          <w:rFonts w:ascii="Arial" w:hAnsi="Arial" w:cs="Arial"/>
        </w:rPr>
        <w:t xml:space="preserve">, the gender pay gap is </w:t>
      </w:r>
      <w:r w:rsidRPr="00F51E82">
        <w:rPr>
          <w:rFonts w:ascii="Arial" w:hAnsi="Arial" w:cs="Arial"/>
        </w:rPr>
        <w:t>[</w:t>
      </w:r>
      <w:r w:rsidR="00007E7C" w:rsidRPr="00F51E82">
        <w:rPr>
          <w:rFonts w:ascii="Arial" w:hAnsi="Arial" w:cs="Arial"/>
        </w:rPr>
        <w:t>●</w:t>
      </w:r>
      <w:r w:rsidRPr="00F51E82">
        <w:rPr>
          <w:rFonts w:ascii="Arial" w:hAnsi="Arial" w:cs="Arial"/>
        </w:rPr>
        <w:t>]</w:t>
      </w:r>
      <w:r w:rsidR="00B70B05" w:rsidRPr="00F51E82">
        <w:rPr>
          <w:rFonts w:ascii="Arial" w:hAnsi="Arial" w:cs="Arial"/>
        </w:rPr>
        <w:t xml:space="preserve"> %. That is, women earn $</w:t>
      </w:r>
      <w:r w:rsidRPr="00F51E82">
        <w:rPr>
          <w:rFonts w:ascii="Arial" w:hAnsi="Arial" w:cs="Arial"/>
        </w:rPr>
        <w:t>[</w:t>
      </w:r>
      <w:r w:rsidR="00007E7C" w:rsidRPr="00F51E82">
        <w:rPr>
          <w:rFonts w:ascii="Arial" w:hAnsi="Arial" w:cs="Arial"/>
        </w:rPr>
        <w:t>●</w:t>
      </w:r>
      <w:r w:rsidRPr="00F51E82">
        <w:rPr>
          <w:rFonts w:ascii="Arial" w:hAnsi="Arial" w:cs="Arial"/>
        </w:rPr>
        <w:t>]</w:t>
      </w:r>
      <w:r w:rsidR="00B70B05" w:rsidRPr="00F51E82">
        <w:rPr>
          <w:rFonts w:ascii="Arial" w:hAnsi="Arial" w:cs="Arial"/>
        </w:rPr>
        <w:t xml:space="preserve"> for every $</w:t>
      </w:r>
      <w:r w:rsidRPr="00F51E82">
        <w:rPr>
          <w:rFonts w:ascii="Arial" w:hAnsi="Arial" w:cs="Arial"/>
        </w:rPr>
        <w:t>[</w:t>
      </w:r>
      <w:r w:rsidR="00007E7C" w:rsidRPr="00F51E82">
        <w:rPr>
          <w:rFonts w:ascii="Arial" w:hAnsi="Arial" w:cs="Arial"/>
        </w:rPr>
        <w:t>●</w:t>
      </w:r>
      <w:r w:rsidRPr="00F51E82">
        <w:rPr>
          <w:rFonts w:ascii="Arial" w:hAnsi="Arial" w:cs="Arial"/>
        </w:rPr>
        <w:t>]</w:t>
      </w:r>
      <w:r w:rsidR="00B70B05" w:rsidRPr="00F51E82">
        <w:rPr>
          <w:rFonts w:ascii="Arial" w:hAnsi="Arial" w:cs="Arial"/>
        </w:rPr>
        <w:t xml:space="preserve"> that men earn. The median pay is $[●].</w:t>
      </w:r>
    </w:p>
    <w:p w14:paraId="00712A6E" w14:textId="77777777" w:rsidR="0060142E" w:rsidRPr="00F51E82" w:rsidRDefault="0060142E" w:rsidP="0060142E">
      <w:pPr>
        <w:spacing w:after="160"/>
        <w:ind w:left="567" w:right="249"/>
        <w:rPr>
          <w:rFonts w:ascii="Arial" w:hAnsi="Arial" w:cs="Arial"/>
        </w:rPr>
      </w:pPr>
    </w:p>
    <w:tbl>
      <w:tblPr>
        <w:tblStyle w:val="TableGrid"/>
        <w:tblW w:w="9016" w:type="dxa"/>
        <w:tblInd w:w="562" w:type="dxa"/>
        <w:tblLook w:val="04A0" w:firstRow="1" w:lastRow="0" w:firstColumn="1" w:lastColumn="0" w:noHBand="0" w:noVBand="1"/>
      </w:tblPr>
      <w:tblGrid>
        <w:gridCol w:w="9016"/>
      </w:tblGrid>
      <w:tr w:rsidR="00A314B3" w14:paraId="0A484256" w14:textId="77777777" w:rsidTr="001F6331">
        <w:tc>
          <w:tcPr>
            <w:tcW w:w="9016" w:type="dxa"/>
          </w:tcPr>
          <w:p w14:paraId="7DC3B75F" w14:textId="77777777" w:rsidR="00A314B3" w:rsidRPr="00F51E82" w:rsidRDefault="00A314B3" w:rsidP="00BE1E7C">
            <w:pPr>
              <w:spacing w:before="60" w:after="60"/>
              <w:rPr>
                <w:rFonts w:ascii="Arial" w:hAnsi="Arial" w:cs="Arial"/>
                <w:b/>
                <w:bCs/>
                <w:i/>
                <w:iCs/>
              </w:rPr>
            </w:pPr>
            <w:r w:rsidRPr="00F51E82">
              <w:rPr>
                <w:rFonts w:ascii="Arial" w:hAnsi="Arial" w:cs="Arial"/>
                <w:b/>
                <w:bCs/>
                <w:i/>
                <w:iCs/>
              </w:rPr>
              <w:t>Source note</w:t>
            </w:r>
          </w:p>
          <w:p w14:paraId="585EA6A1" w14:textId="6936F7AF" w:rsidR="00A314B3" w:rsidRPr="00F51E82" w:rsidRDefault="00A314B3" w:rsidP="00BE1E7C">
            <w:pPr>
              <w:spacing w:before="60" w:after="60"/>
              <w:rPr>
                <w:rFonts w:ascii="Arial" w:hAnsi="Arial" w:cs="Arial"/>
                <w:i/>
                <w:iCs/>
              </w:rPr>
            </w:pPr>
            <w:r w:rsidRPr="00F51E82">
              <w:rPr>
                <w:rFonts w:ascii="Arial" w:hAnsi="Arial" w:cs="Arial"/>
                <w:b/>
                <w:bCs/>
                <w:i/>
                <w:iCs/>
              </w:rPr>
              <w:t>Optional</w:t>
            </w:r>
            <w:r w:rsidRPr="00F51E82">
              <w:rPr>
                <w:rFonts w:ascii="Arial" w:hAnsi="Arial" w:cs="Arial"/>
                <w:i/>
                <w:iCs/>
              </w:rPr>
              <w:t>: These are not formal NZX requirements or expectations</w:t>
            </w:r>
            <w:r w:rsidR="00E7141C" w:rsidRPr="00F51E82">
              <w:rPr>
                <w:rFonts w:ascii="Arial" w:hAnsi="Arial" w:cs="Arial"/>
                <w:i/>
                <w:iCs/>
              </w:rPr>
              <w:t>. T</w:t>
            </w:r>
            <w:r w:rsidRPr="00F51E82">
              <w:rPr>
                <w:rFonts w:ascii="Arial" w:hAnsi="Arial" w:cs="Arial"/>
                <w:i/>
                <w:iCs/>
              </w:rPr>
              <w:t>here is commentary to recommendation 2.5 of the NZX Code</w:t>
            </w:r>
            <w:r w:rsidR="00E7141C" w:rsidRPr="00F51E82">
              <w:rPr>
                <w:rFonts w:ascii="Arial" w:hAnsi="Arial" w:cs="Arial"/>
                <w:i/>
                <w:iCs/>
              </w:rPr>
              <w:t xml:space="preserve"> </w:t>
            </w:r>
            <w:r w:rsidR="0030123C" w:rsidRPr="00F51E82">
              <w:rPr>
                <w:rFonts w:ascii="Arial" w:hAnsi="Arial" w:cs="Arial"/>
                <w:i/>
                <w:iCs/>
              </w:rPr>
              <w:t>that issuers</w:t>
            </w:r>
            <w:r w:rsidRPr="00F51E82">
              <w:rPr>
                <w:rFonts w:ascii="Arial" w:hAnsi="Arial" w:cs="Arial"/>
                <w:i/>
                <w:iCs/>
              </w:rPr>
              <w:t xml:space="preserve"> </w:t>
            </w:r>
            <w:r w:rsidR="00E7141C" w:rsidRPr="00F51E82">
              <w:rPr>
                <w:rFonts w:ascii="Arial" w:hAnsi="Arial" w:cs="Arial"/>
                <w:i/>
                <w:iCs/>
              </w:rPr>
              <w:t xml:space="preserve">(particularly those </w:t>
            </w:r>
            <w:r w:rsidRPr="00F51E82">
              <w:rPr>
                <w:rFonts w:ascii="Arial" w:hAnsi="Arial" w:cs="Arial"/>
                <w:i/>
                <w:iCs/>
              </w:rPr>
              <w:t>within the S&amp;P NZX 50 with greater than 50 employees</w:t>
            </w:r>
            <w:r w:rsidR="00E7141C" w:rsidRPr="00F51E82">
              <w:rPr>
                <w:rFonts w:ascii="Arial" w:hAnsi="Arial" w:cs="Arial"/>
                <w:i/>
                <w:iCs/>
              </w:rPr>
              <w:t>) may wish to provide gender pay gap reporting, however,</w:t>
            </w:r>
            <w:r w:rsidRPr="00F51E82">
              <w:rPr>
                <w:rFonts w:ascii="Arial" w:hAnsi="Arial" w:cs="Arial"/>
                <w:i/>
                <w:iCs/>
              </w:rPr>
              <w:t xml:space="preserve"> the disclosure of the CEO/worker ratio is not contemplated by the </w:t>
            </w:r>
            <w:r w:rsidR="00E7141C" w:rsidRPr="00F51E82">
              <w:rPr>
                <w:rFonts w:ascii="Arial" w:hAnsi="Arial" w:cs="Arial"/>
                <w:i/>
                <w:iCs/>
              </w:rPr>
              <w:t xml:space="preserve">NZX </w:t>
            </w:r>
            <w:r w:rsidRPr="00F51E82">
              <w:rPr>
                <w:rFonts w:ascii="Arial" w:hAnsi="Arial" w:cs="Arial"/>
                <w:i/>
                <w:iCs/>
              </w:rPr>
              <w:t xml:space="preserve">Code. It is </w:t>
            </w:r>
            <w:r w:rsidR="00DD45E8" w:rsidRPr="00F51E82">
              <w:rPr>
                <w:rFonts w:ascii="Arial" w:hAnsi="Arial" w:cs="Arial"/>
                <w:i/>
                <w:iCs/>
              </w:rPr>
              <w:t xml:space="preserve">becoming more </w:t>
            </w:r>
            <w:r w:rsidRPr="00F51E82">
              <w:rPr>
                <w:rFonts w:ascii="Arial" w:hAnsi="Arial" w:cs="Arial"/>
                <w:i/>
                <w:iCs/>
              </w:rPr>
              <w:t xml:space="preserve">common practice for many issuers to provide these </w:t>
            </w:r>
            <w:r w:rsidR="0030123C" w:rsidRPr="00F51E82">
              <w:rPr>
                <w:rFonts w:ascii="Arial" w:hAnsi="Arial" w:cs="Arial"/>
                <w:i/>
                <w:iCs/>
              </w:rPr>
              <w:t>disclosures, including</w:t>
            </w:r>
            <w:r w:rsidRPr="00F51E82">
              <w:rPr>
                <w:rFonts w:ascii="Arial" w:hAnsi="Arial" w:cs="Arial"/>
                <w:i/>
                <w:iCs/>
              </w:rPr>
              <w:t xml:space="preserve"> due to the expectations of other stakeholders such as the NZSA.</w:t>
            </w:r>
            <w:r w:rsidR="00B06959" w:rsidRPr="00F51E82">
              <w:rPr>
                <w:rFonts w:ascii="Arial" w:hAnsi="Arial" w:cs="Arial"/>
                <w:i/>
                <w:iCs/>
              </w:rPr>
              <w:t xml:space="preserve"> </w:t>
            </w:r>
          </w:p>
          <w:p w14:paraId="422B56B7" w14:textId="6113CFB5" w:rsidR="00A314B3" w:rsidRPr="00F51E82" w:rsidRDefault="00A314B3" w:rsidP="00BB0277">
            <w:pPr>
              <w:spacing w:before="60" w:after="60"/>
              <w:rPr>
                <w:rFonts w:ascii="Arial" w:hAnsi="Arial" w:cs="Arial"/>
                <w:i/>
                <w:iCs/>
              </w:rPr>
            </w:pPr>
            <w:r w:rsidRPr="00F51E82">
              <w:rPr>
                <w:rFonts w:ascii="Arial" w:hAnsi="Arial" w:cs="Arial"/>
                <w:i/>
                <w:iCs/>
              </w:rPr>
              <w:lastRenderedPageBreak/>
              <w:t xml:space="preserve">It is suggested that issuers align gender pay gap disclosures with Mind the Gap metrics, and the </w:t>
            </w:r>
            <w:hyperlink r:id="rId12" w:history="1">
              <w:r w:rsidRPr="00F51E82">
                <w:rPr>
                  <w:rStyle w:val="Hyperlink"/>
                  <w:rFonts w:ascii="Arial" w:hAnsi="Arial" w:cs="Arial"/>
                  <w:i/>
                  <w:iCs/>
                </w:rPr>
                <w:t>Statistics New Zealand methodology</w:t>
              </w:r>
            </w:hyperlink>
            <w:r w:rsidRPr="00F51E82">
              <w:rPr>
                <w:rFonts w:ascii="Arial" w:hAnsi="Arial" w:cs="Arial"/>
                <w:i/>
                <w:iCs/>
              </w:rPr>
              <w:t xml:space="preserve"> which refers to median hourly earnings. </w:t>
            </w:r>
          </w:p>
          <w:p w14:paraId="2A2FE3F0" w14:textId="5DC2290A" w:rsidR="00A314B3" w:rsidRPr="00F51E82" w:rsidRDefault="00A314B3" w:rsidP="00BB0277">
            <w:pPr>
              <w:spacing w:before="60" w:after="60"/>
              <w:rPr>
                <w:rFonts w:ascii="Arial" w:hAnsi="Arial" w:cs="Arial"/>
                <w:i/>
                <w:iCs/>
              </w:rPr>
            </w:pPr>
            <w:r w:rsidRPr="00F51E82">
              <w:rPr>
                <w:rStyle w:val="cf01"/>
                <w:rFonts w:ascii="Arial" w:hAnsi="Arial" w:cs="Arial"/>
                <w:i/>
                <w:iCs/>
                <w:sz w:val="22"/>
                <w:szCs w:val="22"/>
              </w:rPr>
              <w:t>Mind the Gap considers that it is not appropriate for issuers with less than 50 employees to make a gender pay gap disclosure.</w:t>
            </w:r>
          </w:p>
        </w:tc>
      </w:tr>
    </w:tbl>
    <w:p w14:paraId="50143DFA" w14:textId="77777777" w:rsidR="00BB0277" w:rsidRDefault="00BB0277" w:rsidP="00793B0D">
      <w:pPr>
        <w:spacing w:after="160" w:line="259" w:lineRule="auto"/>
        <w:rPr>
          <w:b/>
          <w:bCs/>
          <w:sz w:val="36"/>
          <w:szCs w:val="36"/>
        </w:rPr>
        <w:sectPr w:rsidR="00BB0277" w:rsidSect="001F6331">
          <w:pgSz w:w="11906" w:h="16838"/>
          <w:pgMar w:top="1440" w:right="1080" w:bottom="1440" w:left="1080" w:header="709" w:footer="709" w:gutter="0"/>
          <w:cols w:space="709"/>
          <w:docGrid w:linePitch="360"/>
        </w:sectPr>
      </w:pPr>
    </w:p>
    <w:p w14:paraId="244C041B" w14:textId="21F0588B" w:rsidR="008112E7" w:rsidRPr="00BB0277" w:rsidRDefault="00A11F8D" w:rsidP="00BB0277">
      <w:pPr>
        <w:pStyle w:val="Heading1"/>
        <w:numPr>
          <w:ilvl w:val="0"/>
          <w:numId w:val="25"/>
        </w:numPr>
        <w:spacing w:after="120"/>
        <w:ind w:left="567" w:hanging="567"/>
        <w:rPr>
          <w:rFonts w:ascii="Arial" w:hAnsi="Arial" w:cs="Arial"/>
          <w:b/>
          <w:bCs/>
          <w:color w:val="auto"/>
        </w:rPr>
      </w:pPr>
      <w:bookmarkStart w:id="10" w:name="_Toc151713710"/>
      <w:r w:rsidRPr="00BB0277">
        <w:rPr>
          <w:rFonts w:ascii="Arial" w:hAnsi="Arial" w:cs="Arial"/>
          <w:b/>
          <w:bCs/>
        </w:rPr>
        <w:lastRenderedPageBreak/>
        <w:t>Remuneration bands</w:t>
      </w:r>
      <w:bookmarkEnd w:id="10"/>
      <w:r w:rsidRPr="00BB0277">
        <w:rPr>
          <w:rFonts w:ascii="Arial" w:hAnsi="Arial" w:cs="Arial"/>
          <w:b/>
          <w:bCs/>
          <w:color w:val="auto"/>
        </w:rPr>
        <w:t xml:space="preserve"> </w:t>
      </w:r>
    </w:p>
    <w:tbl>
      <w:tblPr>
        <w:tblStyle w:val="TableGrid"/>
        <w:tblW w:w="9016" w:type="dxa"/>
        <w:tblInd w:w="562" w:type="dxa"/>
        <w:tblLook w:val="04A0" w:firstRow="1" w:lastRow="0" w:firstColumn="1" w:lastColumn="0" w:noHBand="0" w:noVBand="1"/>
      </w:tblPr>
      <w:tblGrid>
        <w:gridCol w:w="9016"/>
      </w:tblGrid>
      <w:tr w:rsidR="00A314B3" w14:paraId="4671996C" w14:textId="77777777" w:rsidTr="001F6331">
        <w:tc>
          <w:tcPr>
            <w:tcW w:w="9016" w:type="dxa"/>
          </w:tcPr>
          <w:p w14:paraId="6E493471" w14:textId="77777777" w:rsidR="00A314B3" w:rsidRPr="009E48E7" w:rsidRDefault="00A314B3" w:rsidP="00BB0277">
            <w:pPr>
              <w:spacing w:before="60" w:after="60"/>
              <w:rPr>
                <w:rFonts w:ascii="Arial" w:hAnsi="Arial" w:cs="Arial"/>
                <w:b/>
                <w:bCs/>
                <w:i/>
                <w:iCs/>
              </w:rPr>
            </w:pPr>
            <w:r w:rsidRPr="009E48E7">
              <w:rPr>
                <w:rFonts w:ascii="Arial" w:hAnsi="Arial" w:cs="Arial"/>
                <w:b/>
                <w:bCs/>
                <w:i/>
                <w:iCs/>
              </w:rPr>
              <w:t>Explanatory Note and source note</w:t>
            </w:r>
            <w:r w:rsidRPr="009E48E7">
              <w:rPr>
                <w:rFonts w:ascii="Arial" w:hAnsi="Arial" w:cs="Arial"/>
                <w:i/>
                <w:iCs/>
              </w:rPr>
              <w:t xml:space="preserve">: </w:t>
            </w:r>
            <w:r w:rsidRPr="009E48E7">
              <w:rPr>
                <w:rFonts w:ascii="Arial" w:hAnsi="Arial" w:cs="Arial"/>
                <w:b/>
                <w:bCs/>
                <w:i/>
                <w:iCs/>
              </w:rPr>
              <w:t>Address section 211 (1)(g) of the Companies Act 1993</w:t>
            </w:r>
          </w:p>
          <w:p w14:paraId="4B2ADD1E" w14:textId="4C945A32" w:rsidR="00317653" w:rsidRPr="009E48E7" w:rsidRDefault="00A314B3" w:rsidP="00BB0277">
            <w:pPr>
              <w:spacing w:before="60" w:after="60"/>
              <w:rPr>
                <w:rFonts w:ascii="Arial" w:hAnsi="Arial" w:cs="Arial"/>
                <w:i/>
                <w:iCs/>
              </w:rPr>
            </w:pPr>
            <w:r w:rsidRPr="009E48E7">
              <w:rPr>
                <w:rFonts w:ascii="Arial" w:hAnsi="Arial" w:cs="Arial"/>
                <w:i/>
                <w:iCs/>
              </w:rPr>
              <w:t>Note that the total CEO remuneration during the accounting period is not exempt from this disclosure</w:t>
            </w:r>
            <w:r w:rsidR="00DD45E8" w:rsidRPr="009E48E7">
              <w:rPr>
                <w:rFonts w:ascii="Arial" w:hAnsi="Arial" w:cs="Arial"/>
                <w:i/>
                <w:iCs/>
              </w:rPr>
              <w:t xml:space="preserve"> (unless the CEO is also a director of the issuer)</w:t>
            </w:r>
            <w:r w:rsidRPr="009E48E7">
              <w:rPr>
                <w:rFonts w:ascii="Arial" w:hAnsi="Arial" w:cs="Arial"/>
                <w:i/>
                <w:iCs/>
              </w:rPr>
              <w:t xml:space="preserve">. </w:t>
            </w:r>
            <w:r w:rsidR="000F7E69" w:rsidRPr="009E48E7">
              <w:rPr>
                <w:rFonts w:ascii="Arial" w:hAnsi="Arial" w:cs="Arial"/>
                <w:i/>
                <w:iCs/>
              </w:rPr>
              <w:t>These disclosures</w:t>
            </w:r>
            <w:r w:rsidR="008C1BBB" w:rsidRPr="009E48E7">
              <w:rPr>
                <w:rFonts w:ascii="Arial" w:hAnsi="Arial" w:cs="Arial"/>
                <w:i/>
                <w:iCs/>
              </w:rPr>
              <w:t xml:space="preserve"> relate to amounts ‘received’ during the reporting period</w:t>
            </w:r>
            <w:r w:rsidR="00884A60">
              <w:rPr>
                <w:rFonts w:ascii="Arial" w:hAnsi="Arial" w:cs="Arial"/>
                <w:i/>
                <w:iCs/>
              </w:rPr>
              <w:t>. Issuers should clarify how any Securities based entitlements received during the accounting period have been treated by way of a footnote or explanatory note (for example, whether entitlements Awarded and/or Vested are included in the figures and the basis for the value ascribed to them.</w:t>
            </w:r>
          </w:p>
        </w:tc>
      </w:tr>
    </w:tbl>
    <w:tbl>
      <w:tblPr>
        <w:tblpPr w:leftFromText="180" w:rightFromText="180" w:vertAnchor="text" w:horzAnchor="margin" w:tblpX="562" w:tblpY="1793"/>
        <w:tblW w:w="4537" w:type="dxa"/>
        <w:shd w:val="clear" w:color="auto" w:fill="4472C4" w:themeFill="accent1"/>
        <w:tblLook w:val="04A0" w:firstRow="1" w:lastRow="0" w:firstColumn="1" w:lastColumn="0" w:noHBand="0" w:noVBand="1"/>
      </w:tblPr>
      <w:tblGrid>
        <w:gridCol w:w="2785"/>
        <w:gridCol w:w="1752"/>
      </w:tblGrid>
      <w:tr w:rsidR="00C92DDA" w:rsidRPr="008442E7" w14:paraId="50A8FE51" w14:textId="77777777" w:rsidTr="001F6331">
        <w:trPr>
          <w:trHeight w:val="365"/>
        </w:trPr>
        <w:tc>
          <w:tcPr>
            <w:tcW w:w="2785" w:type="dxa"/>
            <w:tcBorders>
              <w:top w:val="single" w:sz="4" w:space="0" w:color="auto"/>
              <w:left w:val="single" w:sz="4" w:space="0" w:color="auto"/>
              <w:bottom w:val="single" w:sz="12" w:space="0" w:color="305496"/>
              <w:right w:val="nil"/>
            </w:tcBorders>
            <w:shd w:val="clear" w:color="auto" w:fill="4472C4" w:themeFill="accent1"/>
            <w:vAlign w:val="center"/>
            <w:hideMark/>
          </w:tcPr>
          <w:p w14:paraId="0A19C5B5" w14:textId="77777777" w:rsidR="00C92DDA" w:rsidRPr="009E48E7" w:rsidRDefault="00C92DDA" w:rsidP="001F6331">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Remuneration Band ($NZ)</w:t>
            </w:r>
          </w:p>
        </w:tc>
        <w:tc>
          <w:tcPr>
            <w:tcW w:w="1752" w:type="dxa"/>
            <w:tcBorders>
              <w:top w:val="single" w:sz="4" w:space="0" w:color="auto"/>
              <w:left w:val="nil"/>
              <w:bottom w:val="single" w:sz="12" w:space="0" w:color="305496"/>
              <w:right w:val="single" w:sz="4" w:space="0" w:color="auto"/>
            </w:tcBorders>
            <w:shd w:val="clear" w:color="auto" w:fill="4472C4" w:themeFill="accent1"/>
            <w:vAlign w:val="center"/>
            <w:hideMark/>
          </w:tcPr>
          <w:p w14:paraId="19C25E51" w14:textId="77777777" w:rsidR="00C92DDA" w:rsidRPr="009E48E7" w:rsidRDefault="00C92DDA" w:rsidP="001F6331">
            <w:pPr>
              <w:spacing w:after="0" w:line="240" w:lineRule="auto"/>
              <w:jc w:val="center"/>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Employees</w:t>
            </w:r>
          </w:p>
        </w:tc>
      </w:tr>
      <w:tr w:rsidR="00C92DDA" w:rsidRPr="008442E7" w14:paraId="317B6B64" w14:textId="77777777" w:rsidTr="001F6331">
        <w:trPr>
          <w:trHeight w:val="365"/>
        </w:trPr>
        <w:tc>
          <w:tcPr>
            <w:tcW w:w="2785" w:type="dxa"/>
            <w:tcBorders>
              <w:top w:val="nil"/>
              <w:left w:val="single" w:sz="4" w:space="0" w:color="auto"/>
              <w:bottom w:val="single" w:sz="12" w:space="0" w:color="305496"/>
              <w:right w:val="nil"/>
            </w:tcBorders>
            <w:shd w:val="clear" w:color="auto" w:fill="4472C4" w:themeFill="accent1"/>
            <w:vAlign w:val="center"/>
          </w:tcPr>
          <w:p w14:paraId="7E313D28" w14:textId="77777777" w:rsidR="00C92DDA" w:rsidRPr="009E48E7" w:rsidRDefault="00C92DDA" w:rsidP="001F6331">
            <w:pPr>
              <w:spacing w:after="0" w:line="240" w:lineRule="auto"/>
              <w:rPr>
                <w:rFonts w:ascii="Arial" w:eastAsia="Times New Roman" w:hAnsi="Arial" w:cs="Arial"/>
                <w:b/>
                <w:bCs/>
                <w:color w:val="FFFFFF" w:themeColor="background1"/>
                <w:sz w:val="20"/>
                <w:szCs w:val="20"/>
                <w:lang w:eastAsia="en-NZ"/>
              </w:rPr>
            </w:pPr>
          </w:p>
        </w:tc>
        <w:tc>
          <w:tcPr>
            <w:tcW w:w="1752" w:type="dxa"/>
            <w:tcBorders>
              <w:top w:val="nil"/>
              <w:left w:val="nil"/>
              <w:bottom w:val="single" w:sz="12" w:space="0" w:color="305496"/>
              <w:right w:val="single" w:sz="4" w:space="0" w:color="auto"/>
            </w:tcBorders>
            <w:shd w:val="clear" w:color="auto" w:fill="4472C4" w:themeFill="accent1"/>
            <w:vAlign w:val="center"/>
          </w:tcPr>
          <w:p w14:paraId="420413E1" w14:textId="77777777" w:rsidR="00C92DDA" w:rsidRPr="009E48E7" w:rsidRDefault="00C92DDA" w:rsidP="001F6331">
            <w:pPr>
              <w:spacing w:after="0" w:line="240" w:lineRule="auto"/>
              <w:jc w:val="center"/>
              <w:rPr>
                <w:rFonts w:ascii="Arial" w:eastAsia="Times New Roman" w:hAnsi="Arial" w:cs="Arial"/>
                <w:b/>
                <w:bCs/>
                <w:color w:val="FFFFFF" w:themeColor="background1"/>
                <w:sz w:val="20"/>
                <w:szCs w:val="20"/>
                <w:lang w:eastAsia="en-NZ"/>
              </w:rPr>
            </w:pPr>
          </w:p>
        </w:tc>
      </w:tr>
      <w:tr w:rsidR="00C92DDA" w:rsidRPr="008442E7" w14:paraId="514F12CE"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66D3AE32"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$100,000 - $110,000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61CEB052"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4979F384"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61913A95"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$110,000 - $120,000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1B81467D"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113F8146"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667FDB14"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$120,000 - $130,000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52047D15"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349BB910"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4C4F0A75"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$130,000 - $140,000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0F5114E8"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6A122F16"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551757CE"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$140,000 - $150,000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7B904E21"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2C74F8A2"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56A55CCC"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$150,000 - $160,000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20E5D6FA"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5F917149"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1E732117"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xml:space="preserve">$160,000 - $170,000 </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41C938B6"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0F231958"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69B3EF2F"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$170,000 - $180,000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36EBCCF8"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7691016C"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508FF0E0"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$180,000 - $190,000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3D18AC26"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6C3F28DD"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33F08159"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$190,000 - $200,000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2C9F0993"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29D541C8"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4E0F85AB"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$200,000 - $210,000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4487D3CD"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2DBD413A"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7549551E"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$210,000 - $220,000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19535A55"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618812EA"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507C1973"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xml:space="preserve">$220,000 - $230,000 </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43E92047"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41E192C5"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3C4A9404"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xml:space="preserve">$230,000 - $240,000 </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141D44B5"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06C436FB"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05C86031"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xml:space="preserve">$240,000 - $250,000 </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731EFC5B"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05689894" w14:textId="77777777" w:rsidTr="001F6331">
        <w:trPr>
          <w:trHeight w:val="328"/>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307E01D8"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$250,000 - $260,000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6D1979F5"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319D5567"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18B220E3"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$260,000 - $270,000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04A46402"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43A983EF"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7BE21E7D"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xml:space="preserve">$270,000 - $280,000 </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2CB8ABF4"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3C36D400"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59374EED"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xml:space="preserve">$280,000 - $290,000 </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39DBB18A"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63FCD9D3" w14:textId="77777777" w:rsidTr="001F6331">
        <w:trPr>
          <w:trHeight w:val="340"/>
        </w:trPr>
        <w:tc>
          <w:tcPr>
            <w:tcW w:w="2785" w:type="dxa"/>
            <w:tcBorders>
              <w:top w:val="nil"/>
              <w:left w:val="single" w:sz="4" w:space="0" w:color="auto"/>
              <w:bottom w:val="single" w:sz="4" w:space="0" w:color="305496"/>
              <w:right w:val="nil"/>
            </w:tcBorders>
            <w:shd w:val="clear" w:color="auto" w:fill="4472C4" w:themeFill="accent1"/>
            <w:noWrap/>
            <w:vAlign w:val="center"/>
            <w:hideMark/>
          </w:tcPr>
          <w:p w14:paraId="1E6FC7D0"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$290,000 - $300,000</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415138CD"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6B8762A0" w14:textId="77777777" w:rsidTr="001F6331">
        <w:trPr>
          <w:trHeight w:val="487"/>
        </w:trPr>
        <w:tc>
          <w:tcPr>
            <w:tcW w:w="2785" w:type="dxa"/>
            <w:tcBorders>
              <w:top w:val="nil"/>
              <w:left w:val="single" w:sz="4" w:space="0" w:color="auto"/>
              <w:bottom w:val="single" w:sz="4" w:space="0" w:color="305496"/>
              <w:right w:val="nil"/>
            </w:tcBorders>
            <w:shd w:val="clear" w:color="auto" w:fill="4472C4" w:themeFill="accent1"/>
            <w:vAlign w:val="center"/>
            <w:hideMark/>
          </w:tcPr>
          <w:p w14:paraId="763D6D2F" w14:textId="77777777" w:rsidR="00C92DDA" w:rsidRPr="009E48E7" w:rsidRDefault="00C92DDA" w:rsidP="001F6331">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r w:rsidRPr="009E48E7">
              <w:rPr>
                <w:rFonts w:ascii="Arial" w:eastAsia="Times New Roman" w:hAnsi="Arial" w:cs="Arial"/>
                <w:i/>
                <w:iCs/>
                <w:color w:val="FFFFFF" w:themeColor="background1"/>
                <w:sz w:val="20"/>
                <w:szCs w:val="20"/>
                <w:lang w:eastAsia="en-NZ"/>
              </w:rPr>
              <w:t>Add/delete bands as applicable</w:t>
            </w:r>
            <w:r w:rsidRPr="009E48E7">
              <w:rPr>
                <w:rFonts w:ascii="Arial" w:eastAsia="Times New Roman" w:hAnsi="Arial" w:cs="Arial"/>
                <w:color w:val="FFFFFF" w:themeColor="background1"/>
                <w:sz w:val="20"/>
                <w:szCs w:val="20"/>
                <w:lang w:eastAsia="en-NZ"/>
              </w:rPr>
              <w:t>]</w:t>
            </w:r>
          </w:p>
        </w:tc>
        <w:tc>
          <w:tcPr>
            <w:tcW w:w="1752" w:type="dxa"/>
            <w:tcBorders>
              <w:top w:val="nil"/>
              <w:left w:val="nil"/>
              <w:bottom w:val="single" w:sz="4" w:space="0" w:color="305496"/>
              <w:right w:val="single" w:sz="4" w:space="0" w:color="auto"/>
            </w:tcBorders>
            <w:shd w:val="clear" w:color="auto" w:fill="4472C4" w:themeFill="accent1"/>
            <w:noWrap/>
            <w:vAlign w:val="center"/>
            <w:hideMark/>
          </w:tcPr>
          <w:p w14:paraId="2D9295BE"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r w:rsidR="00C92DDA" w:rsidRPr="008442E7" w14:paraId="26EE1848" w14:textId="77777777" w:rsidTr="001F6331">
        <w:trPr>
          <w:trHeight w:val="340"/>
        </w:trPr>
        <w:tc>
          <w:tcPr>
            <w:tcW w:w="2785" w:type="dxa"/>
            <w:tcBorders>
              <w:top w:val="nil"/>
              <w:left w:val="single" w:sz="4" w:space="0" w:color="auto"/>
              <w:bottom w:val="single" w:sz="4" w:space="0" w:color="auto"/>
              <w:right w:val="nil"/>
            </w:tcBorders>
            <w:shd w:val="clear" w:color="auto" w:fill="4472C4" w:themeFill="accent1"/>
            <w:vAlign w:val="center"/>
            <w:hideMark/>
          </w:tcPr>
          <w:p w14:paraId="43DF94B4" w14:textId="77777777" w:rsidR="00C92DDA" w:rsidRPr="009E48E7" w:rsidRDefault="00C92DDA" w:rsidP="001F6331">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Total Employees</w:t>
            </w:r>
          </w:p>
        </w:tc>
        <w:tc>
          <w:tcPr>
            <w:tcW w:w="1752" w:type="dxa"/>
            <w:tcBorders>
              <w:top w:val="nil"/>
              <w:left w:val="nil"/>
              <w:bottom w:val="single" w:sz="4" w:space="0" w:color="auto"/>
              <w:right w:val="single" w:sz="4" w:space="0" w:color="auto"/>
            </w:tcBorders>
            <w:shd w:val="clear" w:color="auto" w:fill="4472C4" w:themeFill="accent1"/>
            <w:noWrap/>
            <w:vAlign w:val="center"/>
            <w:hideMark/>
          </w:tcPr>
          <w:p w14:paraId="73588B8A" w14:textId="77777777" w:rsidR="00C92DDA" w:rsidRPr="009E48E7" w:rsidRDefault="00C92DDA" w:rsidP="001F6331">
            <w:pPr>
              <w:spacing w:after="0" w:line="240" w:lineRule="auto"/>
              <w:jc w:val="center"/>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_</w:t>
            </w:r>
          </w:p>
        </w:tc>
      </w:tr>
    </w:tbl>
    <w:p w14:paraId="67A98799" w14:textId="671E7E2E" w:rsidR="00F56576" w:rsidRPr="009E48E7" w:rsidRDefault="0098133A" w:rsidP="001F6331">
      <w:pPr>
        <w:spacing w:before="240" w:after="120"/>
        <w:ind w:left="567" w:right="249"/>
        <w:rPr>
          <w:rFonts w:ascii="Arial" w:hAnsi="Arial" w:cs="Arial"/>
          <w:b/>
          <w:bCs/>
        </w:rPr>
        <w:sectPr w:rsidR="00F56576" w:rsidRPr="009E48E7" w:rsidSect="001F6331">
          <w:pgSz w:w="11906" w:h="16838"/>
          <w:pgMar w:top="1440" w:right="1080" w:bottom="1440" w:left="1080" w:header="709" w:footer="709" w:gutter="0"/>
          <w:cols w:space="709"/>
          <w:docGrid w:linePitch="360"/>
        </w:sectPr>
      </w:pPr>
      <w:r w:rsidRPr="009E48E7">
        <w:rPr>
          <w:rFonts w:ascii="Arial" w:hAnsi="Arial" w:cs="Arial"/>
        </w:rPr>
        <w:t xml:space="preserve">The </w:t>
      </w:r>
      <w:r w:rsidR="00DD45E8" w:rsidRPr="009E48E7">
        <w:rPr>
          <w:rFonts w:ascii="Arial" w:hAnsi="Arial" w:cs="Arial"/>
        </w:rPr>
        <w:t xml:space="preserve">following table notes the </w:t>
      </w:r>
      <w:r w:rsidRPr="009E48E7">
        <w:rPr>
          <w:rFonts w:ascii="Arial" w:hAnsi="Arial" w:cs="Arial"/>
        </w:rPr>
        <w:t xml:space="preserve">number of employees or former employees of </w:t>
      </w:r>
      <w:r w:rsidR="00DD45E8" w:rsidRPr="009E48E7">
        <w:rPr>
          <w:rFonts w:ascii="Arial" w:hAnsi="Arial" w:cs="Arial"/>
        </w:rPr>
        <w:t>the issuer</w:t>
      </w:r>
      <w:r w:rsidRPr="009E48E7">
        <w:rPr>
          <w:rFonts w:ascii="Arial" w:hAnsi="Arial" w:cs="Arial"/>
        </w:rPr>
        <w:t xml:space="preserve">, not being directors of </w:t>
      </w:r>
      <w:r w:rsidR="00DD45E8" w:rsidRPr="009E48E7">
        <w:rPr>
          <w:rFonts w:ascii="Arial" w:hAnsi="Arial" w:cs="Arial"/>
        </w:rPr>
        <w:t>the issuer</w:t>
      </w:r>
      <w:r w:rsidRPr="009E48E7">
        <w:rPr>
          <w:rFonts w:ascii="Arial" w:hAnsi="Arial" w:cs="Arial"/>
        </w:rPr>
        <w:t xml:space="preserve">, who, during the </w:t>
      </w:r>
      <w:r w:rsidR="00DD45E8" w:rsidRPr="009E48E7">
        <w:rPr>
          <w:rFonts w:ascii="Arial" w:hAnsi="Arial" w:cs="Arial"/>
        </w:rPr>
        <w:t>reporting</w:t>
      </w:r>
      <w:r w:rsidRPr="009E48E7">
        <w:rPr>
          <w:rFonts w:ascii="Arial" w:hAnsi="Arial" w:cs="Arial"/>
        </w:rPr>
        <w:t xml:space="preserve"> period, received remuneration and any other benefits in their capacity as employees, the value of which was or exceeded $100,000 per </w:t>
      </w:r>
      <w:r w:rsidR="0030123C" w:rsidRPr="009E48E7">
        <w:rPr>
          <w:rFonts w:ascii="Arial" w:hAnsi="Arial" w:cs="Arial"/>
        </w:rPr>
        <w:t>annum, in</w:t>
      </w:r>
      <w:r w:rsidRPr="009E48E7">
        <w:rPr>
          <w:rFonts w:ascii="Arial" w:hAnsi="Arial" w:cs="Arial"/>
        </w:rPr>
        <w:t xml:space="preserve"> brackets of $10,000</w:t>
      </w:r>
      <w:r w:rsidR="00DD45E8" w:rsidRPr="009E48E7">
        <w:rPr>
          <w:rFonts w:ascii="Arial" w:hAnsi="Arial" w:cs="Arial"/>
          <w:b/>
          <w:bCs/>
        </w:rPr>
        <w:t>:</w:t>
      </w:r>
    </w:p>
    <w:p w14:paraId="09DC4AC2" w14:textId="06EA0BC2" w:rsidR="00E74614" w:rsidRPr="00BB0277" w:rsidRDefault="00E74614" w:rsidP="00BB0277">
      <w:pPr>
        <w:pStyle w:val="Heading1"/>
        <w:numPr>
          <w:ilvl w:val="0"/>
          <w:numId w:val="25"/>
        </w:numPr>
        <w:spacing w:after="120"/>
        <w:ind w:left="567" w:hanging="567"/>
        <w:rPr>
          <w:rFonts w:ascii="Arial" w:hAnsi="Arial" w:cs="Arial"/>
          <w:b/>
          <w:bCs/>
        </w:rPr>
      </w:pPr>
      <w:bookmarkStart w:id="11" w:name="_Toc151713711"/>
      <w:r w:rsidRPr="00BB0277">
        <w:rPr>
          <w:rFonts w:ascii="Arial" w:hAnsi="Arial" w:cs="Arial"/>
          <w:b/>
          <w:bCs/>
        </w:rPr>
        <w:lastRenderedPageBreak/>
        <w:t>Director Remuneration</w:t>
      </w:r>
      <w:bookmarkEnd w:id="11"/>
      <w:r w:rsidRPr="00BB0277">
        <w:rPr>
          <w:rFonts w:ascii="Arial" w:hAnsi="Arial" w:cs="Arial"/>
          <w:b/>
          <w:bCs/>
        </w:rPr>
        <w:t xml:space="preserve"> </w:t>
      </w:r>
    </w:p>
    <w:tbl>
      <w:tblPr>
        <w:tblStyle w:val="TableGrid"/>
        <w:tblW w:w="0" w:type="auto"/>
        <w:tblInd w:w="562" w:type="dxa"/>
        <w:tblLook w:val="04A0" w:firstRow="1" w:lastRow="0" w:firstColumn="1" w:lastColumn="0" w:noHBand="0" w:noVBand="1"/>
      </w:tblPr>
      <w:tblGrid>
        <w:gridCol w:w="9016"/>
      </w:tblGrid>
      <w:tr w:rsidR="00A314B3" w14:paraId="524CF122" w14:textId="77777777" w:rsidTr="001F6331">
        <w:tc>
          <w:tcPr>
            <w:tcW w:w="9016" w:type="dxa"/>
          </w:tcPr>
          <w:p w14:paraId="5871A4EF" w14:textId="77777777" w:rsidR="006A2E20" w:rsidRDefault="00A314B3" w:rsidP="00BB0277">
            <w:pPr>
              <w:spacing w:before="60" w:after="60"/>
              <w:rPr>
                <w:rFonts w:ascii="Arial" w:hAnsi="Arial" w:cs="Arial"/>
                <w:i/>
                <w:iCs/>
              </w:rPr>
            </w:pPr>
            <w:r w:rsidRPr="009E48E7">
              <w:rPr>
                <w:rFonts w:ascii="Arial" w:hAnsi="Arial" w:cs="Arial"/>
                <w:b/>
                <w:bCs/>
                <w:i/>
                <w:iCs/>
              </w:rPr>
              <w:t>Explanatory note</w:t>
            </w:r>
            <w:r w:rsidRPr="009E48E7">
              <w:rPr>
                <w:rFonts w:ascii="Arial" w:hAnsi="Arial" w:cs="Arial"/>
                <w:i/>
                <w:iCs/>
              </w:rPr>
              <w:t xml:space="preserve">: Include an explanation of the approach to director fees, including a description of the </w:t>
            </w:r>
            <w:r w:rsidR="00EB35EC" w:rsidRPr="009E48E7">
              <w:rPr>
                <w:rFonts w:ascii="Arial" w:hAnsi="Arial" w:cs="Arial"/>
                <w:i/>
                <w:iCs/>
              </w:rPr>
              <w:t>current total</w:t>
            </w:r>
            <w:r w:rsidR="00DD45E8" w:rsidRPr="009E48E7">
              <w:rPr>
                <w:rFonts w:ascii="Arial" w:hAnsi="Arial" w:cs="Arial"/>
                <w:i/>
                <w:iCs/>
              </w:rPr>
              <w:t xml:space="preserve"> </w:t>
            </w:r>
            <w:r w:rsidRPr="009E48E7">
              <w:rPr>
                <w:rFonts w:ascii="Arial" w:hAnsi="Arial" w:cs="Arial"/>
                <w:i/>
                <w:iCs/>
              </w:rPr>
              <w:t xml:space="preserve">pool </w:t>
            </w:r>
            <w:r w:rsidR="00DD45E8" w:rsidRPr="009E48E7">
              <w:rPr>
                <w:rFonts w:ascii="Arial" w:hAnsi="Arial" w:cs="Arial"/>
                <w:i/>
                <w:iCs/>
              </w:rPr>
              <w:t xml:space="preserve">(if fees are approved as a pool) </w:t>
            </w:r>
            <w:r w:rsidRPr="009E48E7">
              <w:rPr>
                <w:rFonts w:ascii="Arial" w:hAnsi="Arial" w:cs="Arial"/>
                <w:i/>
                <w:iCs/>
              </w:rPr>
              <w:t>approved by shareholders</w:t>
            </w:r>
            <w:r w:rsidR="00317653" w:rsidRPr="009E48E7">
              <w:rPr>
                <w:rFonts w:ascii="Arial" w:hAnsi="Arial" w:cs="Arial"/>
                <w:i/>
                <w:iCs/>
              </w:rPr>
              <w:t>, along with all such other fees approved</w:t>
            </w:r>
            <w:r w:rsidRPr="009E48E7">
              <w:rPr>
                <w:rFonts w:ascii="Arial" w:hAnsi="Arial" w:cs="Arial"/>
                <w:i/>
                <w:iCs/>
              </w:rPr>
              <w:t xml:space="preserve">. </w:t>
            </w:r>
            <w:r w:rsidR="006A2E20">
              <w:rPr>
                <w:rFonts w:ascii="Arial" w:hAnsi="Arial" w:cs="Arial"/>
                <w:i/>
                <w:iCs/>
              </w:rPr>
              <w:t>As an optional disclosure an issuer may wish to include a director remuneration scale, particularly where fees are not approved as a pool.</w:t>
            </w:r>
          </w:p>
          <w:p w14:paraId="52EC443B" w14:textId="4096135D" w:rsidR="00A63E9D" w:rsidRPr="00BB0277" w:rsidRDefault="00EC21E7" w:rsidP="00BB0277">
            <w:pPr>
              <w:spacing w:before="60" w:after="60"/>
              <w:rPr>
                <w:rFonts w:ascii="Arial" w:hAnsi="Arial" w:cs="Arial"/>
                <w:i/>
                <w:iCs/>
              </w:rPr>
            </w:pPr>
            <w:r w:rsidRPr="009E48E7">
              <w:rPr>
                <w:rFonts w:ascii="Arial" w:hAnsi="Arial" w:cs="Arial"/>
                <w:i/>
                <w:iCs/>
              </w:rPr>
              <w:t>The fee pool should include the value of any share-based payments made to directors. If the issuer has increased the total fee pool in reliance on Listing Rule 2.11.3 since the fee pool was last approved by shareholders</w:t>
            </w:r>
            <w:r w:rsidR="00A63E9D" w:rsidRPr="009E48E7">
              <w:rPr>
                <w:rFonts w:ascii="Arial" w:hAnsi="Arial" w:cs="Arial"/>
                <w:i/>
                <w:iCs/>
              </w:rPr>
              <w:t>,</w:t>
            </w:r>
            <w:r w:rsidRPr="009E48E7">
              <w:rPr>
                <w:rFonts w:ascii="Arial" w:hAnsi="Arial" w:cs="Arial"/>
                <w:i/>
                <w:iCs/>
              </w:rPr>
              <w:t xml:space="preserve"> this should be disclosed. </w:t>
            </w:r>
            <w:r w:rsidR="00A314B3" w:rsidRPr="009E48E7">
              <w:rPr>
                <w:rFonts w:ascii="Arial" w:hAnsi="Arial" w:cs="Arial"/>
                <w:i/>
                <w:iCs/>
              </w:rPr>
              <w:t xml:space="preserve">It is also suggested that issuers </w:t>
            </w:r>
            <w:r w:rsidR="00D855C8" w:rsidRPr="009E48E7">
              <w:rPr>
                <w:rFonts w:ascii="Arial" w:hAnsi="Arial" w:cs="Arial"/>
                <w:i/>
                <w:iCs/>
              </w:rPr>
              <w:t>disclose</w:t>
            </w:r>
            <w:r w:rsidR="00A314B3" w:rsidRPr="009E48E7">
              <w:rPr>
                <w:rFonts w:ascii="Arial" w:hAnsi="Arial" w:cs="Arial"/>
                <w:i/>
                <w:iCs/>
              </w:rPr>
              <w:t xml:space="preserve"> the use of remuneration consultants when recommending director fee proposals to shareholders for approval. The policy relating to director remuneration may be part of the issuer’s overall remuneration policy or could be a separate document. A link to the relevant policy should be provided. </w:t>
            </w:r>
          </w:p>
          <w:p w14:paraId="64FC0CCA" w14:textId="6CFCD1A2" w:rsidR="00211EE4" w:rsidRPr="009E48E7" w:rsidRDefault="006F7C83" w:rsidP="00BB0277">
            <w:pPr>
              <w:spacing w:before="60" w:after="60"/>
              <w:rPr>
                <w:rFonts w:ascii="Arial" w:hAnsi="Arial" w:cs="Arial"/>
                <w:i/>
                <w:iCs/>
              </w:rPr>
            </w:pPr>
            <w:r w:rsidRPr="009E48E7">
              <w:rPr>
                <w:rFonts w:ascii="Arial" w:hAnsi="Arial" w:cs="Arial"/>
                <w:i/>
                <w:iCs/>
              </w:rPr>
              <w:t>Any</w:t>
            </w:r>
            <w:r w:rsidR="00A63E9D" w:rsidRPr="009E48E7">
              <w:rPr>
                <w:rFonts w:ascii="Arial" w:hAnsi="Arial" w:cs="Arial"/>
                <w:i/>
                <w:iCs/>
              </w:rPr>
              <w:t xml:space="preserve"> additional fees or benefits paid to a director by the issuer </w:t>
            </w:r>
            <w:r w:rsidR="00E366A3" w:rsidRPr="009E48E7">
              <w:rPr>
                <w:rFonts w:ascii="Arial" w:hAnsi="Arial" w:cs="Arial"/>
                <w:i/>
                <w:iCs/>
              </w:rPr>
              <w:t xml:space="preserve">that do not relate to services in that person’s capacity as a director (such as consultant fees) </w:t>
            </w:r>
            <w:r w:rsidRPr="009E48E7">
              <w:rPr>
                <w:rFonts w:ascii="Arial" w:hAnsi="Arial" w:cs="Arial"/>
                <w:i/>
                <w:iCs/>
              </w:rPr>
              <w:t>should</w:t>
            </w:r>
            <w:r w:rsidR="00E366A3" w:rsidRPr="009E48E7">
              <w:rPr>
                <w:rFonts w:ascii="Arial" w:hAnsi="Arial" w:cs="Arial"/>
                <w:i/>
                <w:iCs/>
              </w:rPr>
              <w:t xml:space="preserve"> be disclosed. </w:t>
            </w:r>
            <w:r w:rsidR="00211EE4" w:rsidRPr="009E48E7">
              <w:rPr>
                <w:rFonts w:ascii="Arial" w:hAnsi="Arial" w:cs="Arial"/>
                <w:i/>
                <w:iCs/>
              </w:rPr>
              <w:t xml:space="preserve">To the extent additional fees and benefits </w:t>
            </w:r>
            <w:r w:rsidR="00E366A3" w:rsidRPr="009E48E7">
              <w:rPr>
                <w:rFonts w:ascii="Arial" w:hAnsi="Arial" w:cs="Arial"/>
                <w:i/>
                <w:iCs/>
              </w:rPr>
              <w:t xml:space="preserve">paid to a director </w:t>
            </w:r>
            <w:r w:rsidR="00211EE4" w:rsidRPr="009E48E7">
              <w:rPr>
                <w:rFonts w:ascii="Arial" w:hAnsi="Arial" w:cs="Arial"/>
                <w:i/>
                <w:iCs/>
              </w:rPr>
              <w:t xml:space="preserve">are disclosed in the </w:t>
            </w:r>
            <w:r w:rsidR="002811A8" w:rsidRPr="009E48E7">
              <w:rPr>
                <w:rFonts w:ascii="Arial" w:hAnsi="Arial" w:cs="Arial"/>
                <w:i/>
                <w:iCs/>
              </w:rPr>
              <w:t xml:space="preserve">director remuneration outcomes table, </w:t>
            </w:r>
            <w:r w:rsidRPr="009E48E7">
              <w:rPr>
                <w:rFonts w:ascii="Arial" w:hAnsi="Arial" w:cs="Arial"/>
                <w:i/>
                <w:iCs/>
              </w:rPr>
              <w:t xml:space="preserve">that do not relate to the director’s services as a director, </w:t>
            </w:r>
            <w:r w:rsidR="002811A8" w:rsidRPr="009E48E7">
              <w:rPr>
                <w:rFonts w:ascii="Arial" w:hAnsi="Arial" w:cs="Arial"/>
                <w:i/>
                <w:iCs/>
              </w:rPr>
              <w:t xml:space="preserve">these fees/benefits are not considered director remuneration for the purposes of recommendation 5.1 of the NZX </w:t>
            </w:r>
            <w:proofErr w:type="gramStart"/>
            <w:r w:rsidR="002811A8" w:rsidRPr="009E48E7">
              <w:rPr>
                <w:rFonts w:ascii="Arial" w:hAnsi="Arial" w:cs="Arial"/>
                <w:i/>
                <w:iCs/>
              </w:rPr>
              <w:t>Code,</w:t>
            </w:r>
            <w:r w:rsidRPr="009E48E7">
              <w:rPr>
                <w:rFonts w:ascii="Arial" w:hAnsi="Arial" w:cs="Arial"/>
                <w:i/>
                <w:iCs/>
              </w:rPr>
              <w:t>.</w:t>
            </w:r>
            <w:proofErr w:type="gramEnd"/>
            <w:r w:rsidRPr="009E48E7">
              <w:rPr>
                <w:rFonts w:ascii="Arial" w:hAnsi="Arial" w:cs="Arial"/>
                <w:i/>
                <w:iCs/>
              </w:rPr>
              <w:t xml:space="preserve"> </w:t>
            </w:r>
            <w:r w:rsidR="002811A8" w:rsidRPr="009E48E7">
              <w:rPr>
                <w:rFonts w:ascii="Arial" w:hAnsi="Arial" w:cs="Arial"/>
                <w:i/>
                <w:iCs/>
              </w:rPr>
              <w:t>which recommends that director remuneration be presented to shareholders for approval</w:t>
            </w:r>
            <w:r w:rsidR="00E366A3" w:rsidRPr="009E48E7">
              <w:rPr>
                <w:rFonts w:ascii="Arial" w:hAnsi="Arial" w:cs="Arial"/>
                <w:i/>
                <w:iCs/>
              </w:rPr>
              <w:t xml:space="preserve"> in a transparent manner</w:t>
            </w:r>
            <w:r w:rsidR="002811A8" w:rsidRPr="009E48E7">
              <w:rPr>
                <w:rFonts w:ascii="Arial" w:hAnsi="Arial" w:cs="Arial"/>
                <w:i/>
                <w:iCs/>
              </w:rPr>
              <w:t xml:space="preserve">. </w:t>
            </w:r>
          </w:p>
          <w:p w14:paraId="55810941" w14:textId="718F84CA" w:rsidR="00B510F4" w:rsidRPr="00BB0277" w:rsidRDefault="0060142E" w:rsidP="00BB0277">
            <w:pPr>
              <w:spacing w:before="60" w:after="60"/>
              <w:rPr>
                <w:rFonts w:ascii="Arial" w:hAnsi="Arial" w:cs="Arial"/>
                <w:i/>
                <w:iCs/>
              </w:rPr>
            </w:pPr>
            <w:r>
              <w:rPr>
                <w:rFonts w:ascii="Arial" w:hAnsi="Arial" w:cs="Arial"/>
                <w:i/>
                <w:iCs/>
              </w:rPr>
              <w:t xml:space="preserve">Issuers may satisfy director remuneration by issuing Securities to directors in accordance with Listing Rule 4.7.1. </w:t>
            </w:r>
            <w:r w:rsidR="00200892">
              <w:rPr>
                <w:rFonts w:ascii="Arial" w:hAnsi="Arial" w:cs="Arial"/>
                <w:i/>
                <w:iCs/>
              </w:rPr>
              <w:t>Where directors are receiving Securities as remuneration, this should be clearly disclosed and a</w:t>
            </w:r>
            <w:r w:rsidR="0047425F" w:rsidRPr="009E48E7">
              <w:rPr>
                <w:rFonts w:ascii="Arial" w:hAnsi="Arial" w:cs="Arial"/>
                <w:i/>
                <w:iCs/>
              </w:rPr>
              <w:t xml:space="preserve">n issuer may wish to include this information </w:t>
            </w:r>
            <w:r w:rsidR="00200892">
              <w:rPr>
                <w:rFonts w:ascii="Arial" w:hAnsi="Arial" w:cs="Arial"/>
                <w:i/>
                <w:iCs/>
              </w:rPr>
              <w:t xml:space="preserve">required by Listing Rule 3.7.1(d) </w:t>
            </w:r>
            <w:r w:rsidR="0047425F" w:rsidRPr="009E48E7">
              <w:rPr>
                <w:rFonts w:ascii="Arial" w:hAnsi="Arial" w:cs="Arial"/>
                <w:i/>
                <w:iCs/>
              </w:rPr>
              <w:t xml:space="preserve">in this </w:t>
            </w:r>
            <w:proofErr w:type="gramStart"/>
            <w:r w:rsidR="0047425F" w:rsidRPr="009E48E7">
              <w:rPr>
                <w:rFonts w:ascii="Arial" w:hAnsi="Arial" w:cs="Arial"/>
                <w:i/>
                <w:iCs/>
              </w:rPr>
              <w:t>section, or</w:t>
            </w:r>
            <w:proofErr w:type="gramEnd"/>
            <w:r w:rsidR="0047425F" w:rsidRPr="009E48E7">
              <w:rPr>
                <w:rFonts w:ascii="Arial" w:hAnsi="Arial" w:cs="Arial"/>
                <w:i/>
                <w:iCs/>
              </w:rPr>
              <w:t xml:space="preserve"> cross-refer to where th</w:t>
            </w:r>
            <w:r w:rsidR="00200892">
              <w:rPr>
                <w:rFonts w:ascii="Arial" w:hAnsi="Arial" w:cs="Arial"/>
                <w:i/>
                <w:iCs/>
              </w:rPr>
              <w:t>at</w:t>
            </w:r>
            <w:r w:rsidR="0047425F" w:rsidRPr="009E48E7">
              <w:rPr>
                <w:rFonts w:ascii="Arial" w:hAnsi="Arial" w:cs="Arial"/>
                <w:i/>
                <w:iCs/>
              </w:rPr>
              <w:t xml:space="preserve"> information is available elsewhere in the annual report.</w:t>
            </w:r>
          </w:p>
        </w:tc>
      </w:tr>
    </w:tbl>
    <w:p w14:paraId="1ECECCE4" w14:textId="2B14B9D8" w:rsidR="00F42AE5" w:rsidRPr="00BB0277" w:rsidRDefault="00F42AE5" w:rsidP="001F6331">
      <w:pPr>
        <w:spacing w:before="240" w:line="240" w:lineRule="auto"/>
        <w:ind w:left="567" w:right="249"/>
        <w:rPr>
          <w:rStyle w:val="Strong"/>
          <w:rFonts w:ascii="Arial" w:hAnsi="Arial" w:cs="Arial"/>
        </w:rPr>
      </w:pPr>
      <w:r w:rsidRPr="00BB0277">
        <w:rPr>
          <w:rStyle w:val="Strong"/>
          <w:rFonts w:ascii="Arial" w:hAnsi="Arial" w:cs="Arial"/>
        </w:rPr>
        <w:t>Director Remuneration Policy</w:t>
      </w:r>
    </w:p>
    <w:p w14:paraId="632C9E23" w14:textId="4BB056DC" w:rsidR="00E74614" w:rsidRPr="009E48E7" w:rsidRDefault="00E74614" w:rsidP="001F6331">
      <w:pPr>
        <w:spacing w:after="160"/>
        <w:ind w:left="567" w:right="249"/>
        <w:rPr>
          <w:rFonts w:ascii="Arial" w:hAnsi="Arial" w:cs="Arial"/>
        </w:rPr>
      </w:pPr>
      <w:r w:rsidRPr="009E48E7">
        <w:rPr>
          <w:rFonts w:ascii="Arial" w:hAnsi="Arial" w:cs="Arial"/>
        </w:rPr>
        <w:t>When determining the fees for non-executive directors, the Board considers [</w:t>
      </w:r>
      <w:r w:rsidRPr="009E48E7">
        <w:rPr>
          <w:rFonts w:ascii="Arial" w:hAnsi="Arial" w:cs="Arial"/>
          <w:i/>
          <w:iCs/>
        </w:rPr>
        <w:t>a brief summary of director remuneration policy. Any changes to the policy from the previous year should also be provided</w:t>
      </w:r>
      <w:r w:rsidRPr="009E48E7">
        <w:rPr>
          <w:rFonts w:ascii="Arial" w:hAnsi="Arial" w:cs="Arial"/>
        </w:rPr>
        <w:t xml:space="preserve">]. </w:t>
      </w:r>
      <w:r w:rsidR="00F2174D" w:rsidRPr="009E48E7">
        <w:rPr>
          <w:rFonts w:ascii="Arial" w:hAnsi="Arial" w:cs="Arial"/>
        </w:rPr>
        <w:t xml:space="preserve">A copy of </w:t>
      </w:r>
      <w:r w:rsidR="00B70B05" w:rsidRPr="009E48E7">
        <w:rPr>
          <w:rFonts w:ascii="Arial" w:hAnsi="Arial" w:cs="Arial"/>
        </w:rPr>
        <w:t>[</w:t>
      </w:r>
      <w:bookmarkStart w:id="12" w:name="_Hlk142302371"/>
      <w:r w:rsidR="00B70B05" w:rsidRPr="009E48E7">
        <w:rPr>
          <w:rFonts w:ascii="Arial" w:hAnsi="Arial" w:cs="Arial"/>
        </w:rPr>
        <w:t>●</w:t>
      </w:r>
      <w:bookmarkEnd w:id="12"/>
      <w:r w:rsidR="00B70B05" w:rsidRPr="009E48E7">
        <w:rPr>
          <w:rFonts w:ascii="Arial" w:hAnsi="Arial" w:cs="Arial"/>
        </w:rPr>
        <w:t>]</w:t>
      </w:r>
      <w:r w:rsidR="00F2174D" w:rsidRPr="009E48E7">
        <w:rPr>
          <w:rFonts w:ascii="Arial" w:hAnsi="Arial" w:cs="Arial"/>
        </w:rPr>
        <w:t xml:space="preserve"> remuneration policy relating to directors is available [here]. </w:t>
      </w:r>
    </w:p>
    <w:p w14:paraId="3578C708" w14:textId="5BCB033C" w:rsidR="004C385B" w:rsidRPr="009E48E7" w:rsidRDefault="004C385B" w:rsidP="001F6331">
      <w:pPr>
        <w:spacing w:after="160"/>
        <w:ind w:left="567" w:right="249"/>
        <w:rPr>
          <w:rFonts w:ascii="Arial" w:hAnsi="Arial" w:cs="Arial"/>
        </w:rPr>
      </w:pPr>
      <w:r w:rsidRPr="009E48E7">
        <w:rPr>
          <w:rFonts w:ascii="Arial" w:hAnsi="Arial" w:cs="Arial"/>
        </w:rPr>
        <w:t>In [</w:t>
      </w:r>
      <w:r w:rsidRPr="009E48E7">
        <w:rPr>
          <w:rFonts w:ascii="Arial" w:hAnsi="Arial" w:cs="Arial"/>
          <w:i/>
          <w:iCs/>
        </w:rPr>
        <w:t>year</w:t>
      </w:r>
      <w:r w:rsidRPr="009E48E7">
        <w:rPr>
          <w:rFonts w:ascii="Arial" w:hAnsi="Arial" w:cs="Arial"/>
        </w:rPr>
        <w:t xml:space="preserve">], the total non-executive director remuneration pool </w:t>
      </w:r>
      <w:r w:rsidR="00EB35EC" w:rsidRPr="009E48E7">
        <w:rPr>
          <w:rFonts w:ascii="Arial" w:hAnsi="Arial" w:cs="Arial"/>
        </w:rPr>
        <w:t>was approved</w:t>
      </w:r>
      <w:r w:rsidR="00EC21E7" w:rsidRPr="009E48E7">
        <w:rPr>
          <w:rFonts w:ascii="Arial" w:hAnsi="Arial" w:cs="Arial"/>
        </w:rPr>
        <w:t xml:space="preserve"> by shareholders as</w:t>
      </w:r>
      <w:r w:rsidRPr="009E48E7">
        <w:rPr>
          <w:rFonts w:ascii="Arial" w:hAnsi="Arial" w:cs="Arial"/>
        </w:rPr>
        <w:t xml:space="preserve"> [$</w:t>
      </w:r>
      <w:r w:rsidR="00007E7C" w:rsidRPr="009E48E7">
        <w:rPr>
          <w:rFonts w:ascii="Arial" w:hAnsi="Arial" w:cs="Arial"/>
        </w:rPr>
        <w:t>●</w:t>
      </w:r>
      <w:r w:rsidRPr="009E48E7">
        <w:rPr>
          <w:rFonts w:ascii="Arial" w:hAnsi="Arial" w:cs="Arial"/>
        </w:rPr>
        <w:t>]. In [</w:t>
      </w:r>
      <w:r w:rsidRPr="009E48E7">
        <w:rPr>
          <w:rFonts w:ascii="Arial" w:hAnsi="Arial" w:cs="Arial"/>
          <w:i/>
          <w:iCs/>
        </w:rPr>
        <w:t>current year</w:t>
      </w:r>
      <w:r w:rsidRPr="009E48E7">
        <w:rPr>
          <w:rFonts w:ascii="Arial" w:hAnsi="Arial" w:cs="Arial"/>
        </w:rPr>
        <w:t>], this has [not changed/increased to [$</w:t>
      </w:r>
      <w:r w:rsidR="00007E7C" w:rsidRPr="009E48E7">
        <w:rPr>
          <w:rFonts w:ascii="Arial" w:hAnsi="Arial" w:cs="Arial"/>
        </w:rPr>
        <w:t>●</w:t>
      </w:r>
      <w:r w:rsidRPr="009E48E7">
        <w:rPr>
          <w:rFonts w:ascii="Arial" w:hAnsi="Arial" w:cs="Arial"/>
        </w:rPr>
        <w:t>]].</w:t>
      </w:r>
    </w:p>
    <w:p w14:paraId="5E735FEA" w14:textId="29E63E62" w:rsidR="00070257" w:rsidRPr="009E669B" w:rsidRDefault="00070257" w:rsidP="001F6331">
      <w:pPr>
        <w:ind w:left="567" w:right="249"/>
        <w:rPr>
          <w:sz w:val="24"/>
          <w:szCs w:val="24"/>
        </w:rPr>
      </w:pPr>
      <w:bookmarkStart w:id="13" w:name="_Hlk142302063"/>
      <w:r w:rsidRPr="00BB0277">
        <w:rPr>
          <w:rStyle w:val="Strong"/>
          <w:rFonts w:ascii="Arial" w:hAnsi="Arial" w:cs="Arial"/>
        </w:rPr>
        <w:t>External and Independent Advice</w:t>
      </w:r>
      <w:r w:rsidRPr="009E48E7">
        <w:rPr>
          <w:rFonts w:ascii="Arial" w:hAnsi="Arial" w:cs="Arial"/>
          <w:b/>
          <w:bCs/>
          <w:sz w:val="24"/>
          <w:szCs w:val="24"/>
        </w:rPr>
        <w:t xml:space="preserve"> </w:t>
      </w:r>
      <w:r w:rsidRPr="009E48E7">
        <w:rPr>
          <w:rFonts w:ascii="Arial" w:hAnsi="Arial" w:cs="Arial"/>
          <w:sz w:val="24"/>
          <w:szCs w:val="24"/>
        </w:rPr>
        <w:t xml:space="preserve">[if </w:t>
      </w:r>
      <w:proofErr w:type="gramStart"/>
      <w:r w:rsidRPr="009E48E7">
        <w:rPr>
          <w:rFonts w:ascii="Arial" w:hAnsi="Arial" w:cs="Arial"/>
          <w:sz w:val="24"/>
          <w:szCs w:val="24"/>
        </w:rPr>
        <w:t>applicable]</w:t>
      </w:r>
      <w:r w:rsidRPr="009E48E7">
        <w:rPr>
          <w:rFonts w:ascii="Arial" w:hAnsi="Arial" w:cs="Arial"/>
          <w:b/>
          <w:bCs/>
          <w:sz w:val="24"/>
          <w:szCs w:val="24"/>
        </w:rPr>
        <w:t>*</w:t>
      </w:r>
      <w:proofErr w:type="gramEnd"/>
    </w:p>
    <w:p w14:paraId="07FE6007" w14:textId="0236A202" w:rsidR="00A3502A" w:rsidRPr="009E48E7" w:rsidRDefault="00070257" w:rsidP="001F6331">
      <w:pPr>
        <w:spacing w:after="160"/>
        <w:ind w:left="567" w:right="249"/>
        <w:rPr>
          <w:rFonts w:ascii="Arial" w:hAnsi="Arial" w:cs="Arial"/>
        </w:rPr>
      </w:pPr>
      <w:r w:rsidRPr="009E48E7">
        <w:rPr>
          <w:rFonts w:ascii="Arial" w:hAnsi="Arial" w:cs="Arial"/>
        </w:rPr>
        <w:t>During the year, [</w:t>
      </w:r>
      <w:r w:rsidRPr="009E48E7">
        <w:rPr>
          <w:rFonts w:ascii="Arial" w:hAnsi="Arial" w:cs="Arial"/>
          <w:i/>
          <w:iCs/>
        </w:rPr>
        <w:t>name of issuer</w:t>
      </w:r>
      <w:r w:rsidRPr="009E48E7">
        <w:rPr>
          <w:rFonts w:ascii="Arial" w:hAnsi="Arial" w:cs="Arial"/>
        </w:rPr>
        <w:t>] sought independent and external advice from [</w:t>
      </w:r>
      <w:r w:rsidRPr="009E48E7">
        <w:rPr>
          <w:rFonts w:ascii="Arial" w:hAnsi="Arial" w:cs="Arial"/>
          <w:i/>
          <w:iCs/>
        </w:rPr>
        <w:t>name of consultant</w:t>
      </w:r>
      <w:r w:rsidRPr="009E48E7">
        <w:rPr>
          <w:rFonts w:ascii="Arial" w:hAnsi="Arial" w:cs="Arial"/>
        </w:rPr>
        <w:t>] to [</w:t>
      </w:r>
      <w:r w:rsidRPr="009E48E7">
        <w:rPr>
          <w:rFonts w:ascii="Arial" w:hAnsi="Arial" w:cs="Arial"/>
          <w:i/>
          <w:iCs/>
        </w:rPr>
        <w:t>explanation on why advice was sought and how it was used</w:t>
      </w:r>
      <w:r w:rsidRPr="009E48E7">
        <w:rPr>
          <w:rFonts w:ascii="Arial" w:hAnsi="Arial" w:cs="Arial"/>
        </w:rPr>
        <w:t xml:space="preserve">]. </w:t>
      </w:r>
    </w:p>
    <w:p w14:paraId="619F1730" w14:textId="77777777" w:rsidR="00C92DDA" w:rsidRDefault="00C92DDA" w:rsidP="00E74614"/>
    <w:bookmarkEnd w:id="13"/>
    <w:p w14:paraId="490B4404" w14:textId="77777777" w:rsidR="00C92DDA" w:rsidRDefault="00C92DDA" w:rsidP="00E74614">
      <w:pPr>
        <w:rPr>
          <w:b/>
          <w:bCs/>
          <w:sz w:val="24"/>
          <w:szCs w:val="24"/>
        </w:rPr>
        <w:sectPr w:rsidR="00C92DDA" w:rsidSect="00BE1E7C">
          <w:pgSz w:w="11906" w:h="16838"/>
          <w:pgMar w:top="1440" w:right="1080" w:bottom="1440" w:left="1080" w:header="709" w:footer="709" w:gutter="0"/>
          <w:cols w:space="709"/>
          <w:docGrid w:linePitch="360"/>
        </w:sectPr>
      </w:pPr>
    </w:p>
    <w:p w14:paraId="68BC261A" w14:textId="44B69D19" w:rsidR="0033580A" w:rsidRPr="00BB0277" w:rsidRDefault="00F42AE5" w:rsidP="00E74614">
      <w:pPr>
        <w:rPr>
          <w:rStyle w:val="Strong"/>
          <w:rFonts w:ascii="Arial" w:hAnsi="Arial" w:cs="Arial"/>
        </w:rPr>
      </w:pPr>
      <w:r w:rsidRPr="00BB0277">
        <w:rPr>
          <w:rStyle w:val="Strong"/>
          <w:rFonts w:ascii="Arial" w:hAnsi="Arial" w:cs="Arial"/>
        </w:rPr>
        <w:lastRenderedPageBreak/>
        <w:t>Director remuneration outcomes</w:t>
      </w:r>
    </w:p>
    <w:p w14:paraId="0FBB79A4" w14:textId="23F10925" w:rsidR="00A63E9D" w:rsidRPr="009E48E7" w:rsidRDefault="00E74614" w:rsidP="00BE1E7C">
      <w:pPr>
        <w:spacing w:after="160"/>
        <w:rPr>
          <w:rFonts w:ascii="Arial" w:hAnsi="Arial" w:cs="Arial"/>
        </w:rPr>
      </w:pPr>
      <w:r w:rsidRPr="009E48E7">
        <w:rPr>
          <w:rFonts w:ascii="Arial" w:hAnsi="Arial" w:cs="Arial"/>
        </w:rPr>
        <w:t>A breakdown of Board and Committee fees</w:t>
      </w:r>
      <w:r w:rsidR="00A3502A" w:rsidRPr="009E48E7">
        <w:rPr>
          <w:rFonts w:ascii="Arial" w:hAnsi="Arial" w:cs="Arial"/>
        </w:rPr>
        <w:t xml:space="preserve"> for the period</w:t>
      </w:r>
      <w:r w:rsidRPr="009E48E7">
        <w:rPr>
          <w:rFonts w:ascii="Arial" w:hAnsi="Arial" w:cs="Arial"/>
        </w:rPr>
        <w:t xml:space="preserve"> are set out in the table below:  </w:t>
      </w:r>
    </w:p>
    <w:p w14:paraId="2EDC944D" w14:textId="4314CAF9" w:rsidR="003736B7" w:rsidRPr="009E48E7" w:rsidRDefault="003736B7" w:rsidP="00BE1E7C">
      <w:pPr>
        <w:spacing w:after="160"/>
        <w:rPr>
          <w:rFonts w:ascii="Arial" w:hAnsi="Arial" w:cs="Arial"/>
        </w:rPr>
      </w:pPr>
      <w:r w:rsidRPr="009E48E7">
        <w:rPr>
          <w:rFonts w:ascii="Arial" w:hAnsi="Arial" w:cs="Arial"/>
        </w:rPr>
        <w:t>[</w:t>
      </w:r>
      <w:r w:rsidRPr="009E48E7">
        <w:rPr>
          <w:rFonts w:ascii="Arial" w:hAnsi="Arial" w:cs="Arial"/>
          <w:i/>
          <w:iCs/>
        </w:rPr>
        <w:t>delete/add Committees as relevant to particular issuer</w:t>
      </w:r>
      <w:r w:rsidRPr="009E48E7">
        <w:rPr>
          <w:rFonts w:ascii="Arial" w:hAnsi="Arial" w:cs="Arial"/>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hemeFill="accent1"/>
        <w:tblLayout w:type="fixed"/>
        <w:tblLook w:val="04A0" w:firstRow="1" w:lastRow="0" w:firstColumn="1" w:lastColumn="0" w:noHBand="0" w:noVBand="1"/>
      </w:tblPr>
      <w:tblGrid>
        <w:gridCol w:w="1644"/>
        <w:gridCol w:w="1045"/>
        <w:gridCol w:w="1417"/>
        <w:gridCol w:w="1597"/>
        <w:gridCol w:w="1395"/>
        <w:gridCol w:w="1396"/>
        <w:gridCol w:w="1522"/>
        <w:gridCol w:w="1522"/>
        <w:gridCol w:w="1648"/>
        <w:gridCol w:w="1693"/>
      </w:tblGrid>
      <w:tr w:rsidR="00E366A3" w:rsidRPr="00C92DDA" w14:paraId="553078ED" w14:textId="77777777" w:rsidTr="0060142E">
        <w:trPr>
          <w:trHeight w:val="836"/>
        </w:trPr>
        <w:tc>
          <w:tcPr>
            <w:tcW w:w="1644" w:type="dxa"/>
            <w:shd w:val="clear" w:color="auto" w:fill="4472C4" w:themeFill="accent1"/>
            <w:noWrap/>
            <w:hideMark/>
          </w:tcPr>
          <w:p w14:paraId="038E6391" w14:textId="77777777" w:rsidR="00F33B01" w:rsidRPr="009E48E7" w:rsidRDefault="00F33B01" w:rsidP="00091635">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 xml:space="preserve">Director </w:t>
            </w:r>
          </w:p>
        </w:tc>
        <w:tc>
          <w:tcPr>
            <w:tcW w:w="1045" w:type="dxa"/>
            <w:shd w:val="clear" w:color="auto" w:fill="4472C4" w:themeFill="accent1"/>
            <w:hideMark/>
          </w:tcPr>
          <w:p w14:paraId="088E6528" w14:textId="77777777" w:rsidR="00F33B01" w:rsidRPr="009E48E7" w:rsidRDefault="00F33B01" w:rsidP="00091635">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Fee</w:t>
            </w:r>
          </w:p>
        </w:tc>
        <w:tc>
          <w:tcPr>
            <w:tcW w:w="1417" w:type="dxa"/>
            <w:shd w:val="clear" w:color="auto" w:fill="4472C4" w:themeFill="accent1"/>
            <w:hideMark/>
          </w:tcPr>
          <w:p w14:paraId="59CB5AD7" w14:textId="19E68F41" w:rsidR="00F33B01" w:rsidRPr="009E48E7" w:rsidRDefault="00F33B01" w:rsidP="00091635">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Fee for Audit &amp; Risk Committee</w:t>
            </w:r>
          </w:p>
        </w:tc>
        <w:tc>
          <w:tcPr>
            <w:tcW w:w="1597" w:type="dxa"/>
            <w:shd w:val="clear" w:color="auto" w:fill="4472C4" w:themeFill="accent1"/>
            <w:hideMark/>
          </w:tcPr>
          <w:p w14:paraId="6968C37E" w14:textId="6E7C6232" w:rsidR="00F33B01" w:rsidRPr="009E48E7" w:rsidRDefault="00F33B01" w:rsidP="00091635">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Fee for Remuneration Committee</w:t>
            </w:r>
          </w:p>
        </w:tc>
        <w:tc>
          <w:tcPr>
            <w:tcW w:w="1395" w:type="dxa"/>
            <w:shd w:val="clear" w:color="auto" w:fill="4472C4" w:themeFill="accent1"/>
            <w:hideMark/>
          </w:tcPr>
          <w:p w14:paraId="7320AD5C" w14:textId="5143894F" w:rsidR="00F33B01" w:rsidRPr="009E48E7" w:rsidRDefault="00F33B01" w:rsidP="00091635">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Fee for Nomination Committee</w:t>
            </w:r>
          </w:p>
        </w:tc>
        <w:tc>
          <w:tcPr>
            <w:tcW w:w="1396" w:type="dxa"/>
            <w:shd w:val="clear" w:color="auto" w:fill="4472C4" w:themeFill="accent1"/>
            <w:hideMark/>
          </w:tcPr>
          <w:p w14:paraId="47A7948A" w14:textId="1AA35B7B" w:rsidR="00F33B01" w:rsidRPr="009E48E7" w:rsidRDefault="00F33B01" w:rsidP="00091635">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Other Board Committees</w:t>
            </w:r>
          </w:p>
        </w:tc>
        <w:tc>
          <w:tcPr>
            <w:tcW w:w="1522" w:type="dxa"/>
            <w:shd w:val="clear" w:color="auto" w:fill="4472C4" w:themeFill="accent1"/>
          </w:tcPr>
          <w:p w14:paraId="2638EC88" w14:textId="2BA135EF" w:rsidR="00F33B01" w:rsidRPr="009E48E7" w:rsidRDefault="00E366A3" w:rsidP="00091635">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 xml:space="preserve"> *Additional </w:t>
            </w:r>
            <w:r w:rsidR="00F33B01" w:rsidRPr="009E48E7">
              <w:rPr>
                <w:rFonts w:ascii="Arial" w:eastAsia="Times New Roman" w:hAnsi="Arial" w:cs="Arial"/>
                <w:b/>
                <w:bCs/>
                <w:color w:val="FFFFFF" w:themeColor="background1"/>
                <w:sz w:val="20"/>
                <w:szCs w:val="20"/>
                <w:lang w:eastAsia="en-NZ"/>
              </w:rPr>
              <w:t xml:space="preserve"> fees &amp; benefits</w:t>
            </w:r>
            <w:r w:rsidRPr="009E48E7">
              <w:rPr>
                <w:rFonts w:ascii="Arial" w:eastAsia="Times New Roman" w:hAnsi="Arial" w:cs="Arial"/>
                <w:b/>
                <w:bCs/>
                <w:color w:val="FFFFFF" w:themeColor="background1"/>
                <w:sz w:val="20"/>
                <w:szCs w:val="20"/>
                <w:lang w:eastAsia="en-NZ"/>
              </w:rPr>
              <w:t xml:space="preserve"> </w:t>
            </w:r>
            <w:r w:rsidR="0047425F" w:rsidRPr="009E48E7">
              <w:rPr>
                <w:rFonts w:ascii="Arial" w:eastAsia="Times New Roman" w:hAnsi="Arial" w:cs="Arial"/>
                <w:b/>
                <w:bCs/>
                <w:color w:val="FFFFFF" w:themeColor="background1"/>
                <w:sz w:val="20"/>
                <w:szCs w:val="20"/>
                <w:lang w:eastAsia="en-NZ"/>
              </w:rPr>
              <w:t xml:space="preserve">earned </w:t>
            </w:r>
            <w:r w:rsidRPr="009E48E7">
              <w:rPr>
                <w:rFonts w:ascii="Arial" w:eastAsia="Times New Roman" w:hAnsi="Arial" w:cs="Arial"/>
                <w:b/>
                <w:bCs/>
                <w:color w:val="FFFFFF" w:themeColor="background1"/>
                <w:sz w:val="20"/>
                <w:szCs w:val="20"/>
                <w:lang w:eastAsia="en-NZ"/>
              </w:rPr>
              <w:t>that do not relate to services as a director</w:t>
            </w:r>
            <w:r w:rsidR="00111A85" w:rsidRPr="009E48E7">
              <w:rPr>
                <w:rStyle w:val="FootnoteReference"/>
                <w:rFonts w:ascii="Arial" w:eastAsia="Times New Roman" w:hAnsi="Arial" w:cs="Arial"/>
                <w:b/>
                <w:bCs/>
                <w:color w:val="FFFFFF" w:themeColor="background1"/>
                <w:sz w:val="20"/>
                <w:szCs w:val="20"/>
                <w:lang w:eastAsia="en-NZ"/>
              </w:rPr>
              <w:footnoteReference w:id="5"/>
            </w:r>
          </w:p>
        </w:tc>
        <w:tc>
          <w:tcPr>
            <w:tcW w:w="1522" w:type="dxa"/>
            <w:shd w:val="clear" w:color="auto" w:fill="4472C4" w:themeFill="accent1"/>
          </w:tcPr>
          <w:p w14:paraId="295A9569" w14:textId="5F7CDA70" w:rsidR="00F33B01" w:rsidRPr="009E48E7" w:rsidRDefault="00543B37" w:rsidP="00091635">
            <w:pPr>
              <w:spacing w:after="0" w:line="240" w:lineRule="auto"/>
              <w:rPr>
                <w:rFonts w:ascii="Arial" w:eastAsia="Times New Roman" w:hAnsi="Arial" w:cs="Arial"/>
                <w:b/>
                <w:bCs/>
                <w:color w:val="FFFFFF" w:themeColor="background1"/>
                <w:sz w:val="20"/>
                <w:szCs w:val="20"/>
                <w:lang w:eastAsia="en-NZ"/>
              </w:rPr>
            </w:pPr>
            <w:r>
              <w:rPr>
                <w:rFonts w:ascii="Arial" w:eastAsia="Times New Roman" w:hAnsi="Arial" w:cs="Arial"/>
                <w:b/>
                <w:bCs/>
                <w:color w:val="FFFFFF" w:themeColor="background1"/>
                <w:sz w:val="20"/>
                <w:szCs w:val="20"/>
                <w:lang w:eastAsia="en-NZ"/>
              </w:rPr>
              <w:t>N</w:t>
            </w:r>
            <w:r w:rsidR="00F33B01" w:rsidRPr="009E48E7">
              <w:rPr>
                <w:rFonts w:ascii="Arial" w:eastAsia="Times New Roman" w:hAnsi="Arial" w:cs="Arial"/>
                <w:b/>
                <w:bCs/>
                <w:color w:val="FFFFFF" w:themeColor="background1"/>
                <w:sz w:val="20"/>
                <w:szCs w:val="20"/>
                <w:lang w:eastAsia="en-NZ"/>
              </w:rPr>
              <w:t>umber of shares</w:t>
            </w:r>
            <w:r w:rsidR="0047425F" w:rsidRPr="009E48E7">
              <w:rPr>
                <w:rFonts w:ascii="Arial" w:eastAsia="Times New Roman" w:hAnsi="Arial" w:cs="Arial"/>
                <w:b/>
                <w:bCs/>
                <w:color w:val="FFFFFF" w:themeColor="background1"/>
                <w:sz w:val="20"/>
                <w:szCs w:val="20"/>
                <w:lang w:eastAsia="en-NZ"/>
              </w:rPr>
              <w:t xml:space="preserve"> issued/ transferred</w:t>
            </w:r>
            <w:r>
              <w:rPr>
                <w:rFonts w:ascii="Arial" w:eastAsia="Times New Roman" w:hAnsi="Arial" w:cs="Arial"/>
                <w:b/>
                <w:bCs/>
                <w:color w:val="FFFFFF" w:themeColor="background1"/>
                <w:sz w:val="20"/>
                <w:szCs w:val="20"/>
                <w:lang w:eastAsia="en-NZ"/>
              </w:rPr>
              <w:t xml:space="preserve"> </w:t>
            </w:r>
            <w:r w:rsidR="0060142E">
              <w:rPr>
                <w:rFonts w:ascii="Arial" w:eastAsia="Times New Roman" w:hAnsi="Arial" w:cs="Arial"/>
                <w:b/>
                <w:bCs/>
                <w:color w:val="FFFFFF" w:themeColor="background1"/>
                <w:sz w:val="20"/>
                <w:szCs w:val="20"/>
                <w:lang w:eastAsia="en-NZ"/>
              </w:rPr>
              <w:t>as director remuneration</w:t>
            </w:r>
          </w:p>
        </w:tc>
        <w:tc>
          <w:tcPr>
            <w:tcW w:w="1648" w:type="dxa"/>
            <w:shd w:val="clear" w:color="auto" w:fill="4472C4" w:themeFill="accent1"/>
          </w:tcPr>
          <w:p w14:paraId="44725484" w14:textId="160C675A" w:rsidR="00F33B01" w:rsidRPr="009E48E7" w:rsidRDefault="00543B37" w:rsidP="00091635">
            <w:pPr>
              <w:spacing w:after="0" w:line="240" w:lineRule="auto"/>
              <w:rPr>
                <w:rFonts w:ascii="Arial" w:eastAsia="Times New Roman" w:hAnsi="Arial" w:cs="Arial"/>
                <w:b/>
                <w:bCs/>
                <w:color w:val="FFFFFF" w:themeColor="background1"/>
                <w:sz w:val="20"/>
                <w:szCs w:val="20"/>
                <w:lang w:eastAsia="en-NZ"/>
              </w:rPr>
            </w:pPr>
            <w:r>
              <w:rPr>
                <w:rFonts w:ascii="Arial" w:eastAsia="Times New Roman" w:hAnsi="Arial" w:cs="Arial"/>
                <w:b/>
                <w:bCs/>
                <w:color w:val="FFFFFF" w:themeColor="background1"/>
                <w:sz w:val="20"/>
                <w:szCs w:val="20"/>
                <w:lang w:eastAsia="en-NZ"/>
              </w:rPr>
              <w:t>M</w:t>
            </w:r>
            <w:r w:rsidR="00F33B01" w:rsidRPr="009E48E7">
              <w:rPr>
                <w:rFonts w:ascii="Arial" w:eastAsia="Times New Roman" w:hAnsi="Arial" w:cs="Arial"/>
                <w:b/>
                <w:bCs/>
                <w:color w:val="FFFFFF" w:themeColor="background1"/>
                <w:sz w:val="20"/>
                <w:szCs w:val="20"/>
                <w:lang w:eastAsia="en-NZ"/>
              </w:rPr>
              <w:t>arket value</w:t>
            </w:r>
            <w:r w:rsidR="0047425F" w:rsidRPr="009E48E7">
              <w:rPr>
                <w:rFonts w:ascii="Arial" w:eastAsia="Times New Roman" w:hAnsi="Arial" w:cs="Arial"/>
                <w:b/>
                <w:bCs/>
                <w:color w:val="FFFFFF" w:themeColor="background1"/>
                <w:sz w:val="20"/>
                <w:szCs w:val="20"/>
                <w:lang w:eastAsia="en-NZ"/>
              </w:rPr>
              <w:t xml:space="preserve"> </w:t>
            </w:r>
            <w:r w:rsidR="0060142E">
              <w:rPr>
                <w:rFonts w:ascii="Arial" w:eastAsia="Times New Roman" w:hAnsi="Arial" w:cs="Arial"/>
                <w:b/>
                <w:bCs/>
                <w:color w:val="FFFFFF" w:themeColor="background1"/>
                <w:sz w:val="20"/>
                <w:szCs w:val="20"/>
                <w:lang w:eastAsia="en-NZ"/>
              </w:rPr>
              <w:t xml:space="preserve">of shares </w:t>
            </w:r>
            <w:r w:rsidR="0047425F" w:rsidRPr="009E48E7">
              <w:rPr>
                <w:rFonts w:ascii="Arial" w:eastAsia="Times New Roman" w:hAnsi="Arial" w:cs="Arial"/>
                <w:b/>
                <w:bCs/>
                <w:color w:val="FFFFFF" w:themeColor="background1"/>
                <w:sz w:val="20"/>
                <w:szCs w:val="20"/>
                <w:lang w:eastAsia="en-NZ"/>
              </w:rPr>
              <w:t>issued/ transferred</w:t>
            </w:r>
            <w:r w:rsidR="0060142E">
              <w:rPr>
                <w:rFonts w:ascii="Arial" w:eastAsia="Times New Roman" w:hAnsi="Arial" w:cs="Arial"/>
                <w:b/>
                <w:bCs/>
                <w:color w:val="FFFFFF" w:themeColor="background1"/>
                <w:sz w:val="20"/>
                <w:szCs w:val="20"/>
                <w:lang w:eastAsia="en-NZ"/>
              </w:rPr>
              <w:t xml:space="preserve"> as director remuneration</w:t>
            </w:r>
            <w:r w:rsidR="0060142E">
              <w:rPr>
                <w:rStyle w:val="FootnoteReference"/>
                <w:rFonts w:ascii="Arial" w:eastAsia="Times New Roman" w:hAnsi="Arial" w:cs="Arial"/>
                <w:b/>
                <w:bCs/>
                <w:color w:val="FFFFFF" w:themeColor="background1"/>
                <w:sz w:val="20"/>
                <w:szCs w:val="20"/>
                <w:lang w:eastAsia="en-NZ"/>
              </w:rPr>
              <w:footnoteReference w:id="6"/>
            </w:r>
          </w:p>
        </w:tc>
        <w:tc>
          <w:tcPr>
            <w:tcW w:w="1693" w:type="dxa"/>
            <w:shd w:val="clear" w:color="auto" w:fill="4472C4" w:themeFill="accent1"/>
            <w:hideMark/>
          </w:tcPr>
          <w:p w14:paraId="02FA3E30" w14:textId="5FA1276C" w:rsidR="00F33B01" w:rsidRPr="009E48E7" w:rsidRDefault="00F33B01" w:rsidP="00091635">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 xml:space="preserve">Total Remuneration Received </w:t>
            </w:r>
          </w:p>
        </w:tc>
      </w:tr>
      <w:tr w:rsidR="00E366A3" w:rsidRPr="00C92DDA" w14:paraId="44D6E5AA" w14:textId="77777777" w:rsidTr="0060142E">
        <w:trPr>
          <w:trHeight w:val="213"/>
        </w:trPr>
        <w:tc>
          <w:tcPr>
            <w:tcW w:w="1644" w:type="dxa"/>
            <w:shd w:val="clear" w:color="auto" w:fill="4472C4" w:themeFill="accent1"/>
            <w:noWrap/>
            <w:vAlign w:val="bottom"/>
            <w:hideMark/>
          </w:tcPr>
          <w:p w14:paraId="3F9BEC80"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w:t>
            </w:r>
          </w:p>
        </w:tc>
        <w:tc>
          <w:tcPr>
            <w:tcW w:w="1045" w:type="dxa"/>
            <w:shd w:val="clear" w:color="auto" w:fill="4472C4" w:themeFill="accent1"/>
            <w:noWrap/>
            <w:vAlign w:val="bottom"/>
            <w:hideMark/>
          </w:tcPr>
          <w:p w14:paraId="5BCCB128" w14:textId="7569CA49"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417" w:type="dxa"/>
            <w:shd w:val="clear" w:color="auto" w:fill="4472C4" w:themeFill="accent1"/>
            <w:noWrap/>
            <w:vAlign w:val="bottom"/>
            <w:hideMark/>
          </w:tcPr>
          <w:p w14:paraId="56B53062" w14:textId="0995E9FE"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97" w:type="dxa"/>
            <w:shd w:val="clear" w:color="auto" w:fill="4472C4" w:themeFill="accent1"/>
            <w:noWrap/>
            <w:vAlign w:val="bottom"/>
            <w:hideMark/>
          </w:tcPr>
          <w:p w14:paraId="000E0C2D" w14:textId="2C7D7455"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5" w:type="dxa"/>
            <w:shd w:val="clear" w:color="auto" w:fill="4472C4" w:themeFill="accent1"/>
            <w:noWrap/>
            <w:vAlign w:val="bottom"/>
            <w:hideMark/>
          </w:tcPr>
          <w:p w14:paraId="35F5D564" w14:textId="00C66564"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6" w:type="dxa"/>
            <w:shd w:val="clear" w:color="auto" w:fill="4472C4" w:themeFill="accent1"/>
            <w:noWrap/>
            <w:vAlign w:val="bottom"/>
            <w:hideMark/>
          </w:tcPr>
          <w:p w14:paraId="33083C44"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7F70D93B" w14:textId="6B63D1FE"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3493A193" w14:textId="70D6E735"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p>
        </w:tc>
        <w:tc>
          <w:tcPr>
            <w:tcW w:w="1648" w:type="dxa"/>
            <w:shd w:val="clear" w:color="auto" w:fill="4472C4" w:themeFill="accent1"/>
            <w:vAlign w:val="bottom"/>
          </w:tcPr>
          <w:p w14:paraId="22379173" w14:textId="05D14F1C"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693" w:type="dxa"/>
            <w:shd w:val="clear" w:color="auto" w:fill="4472C4" w:themeFill="accent1"/>
            <w:noWrap/>
            <w:vAlign w:val="bottom"/>
            <w:hideMark/>
          </w:tcPr>
          <w:p w14:paraId="5DFCC322" w14:textId="71213693"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r>
      <w:tr w:rsidR="00E366A3" w:rsidRPr="00C92DDA" w14:paraId="13C9BA8B" w14:textId="77777777" w:rsidTr="0060142E">
        <w:trPr>
          <w:trHeight w:val="203"/>
        </w:trPr>
        <w:tc>
          <w:tcPr>
            <w:tcW w:w="1644" w:type="dxa"/>
            <w:shd w:val="clear" w:color="auto" w:fill="4472C4" w:themeFill="accent1"/>
            <w:noWrap/>
            <w:vAlign w:val="bottom"/>
            <w:hideMark/>
          </w:tcPr>
          <w:p w14:paraId="03357D55"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w:t>
            </w:r>
          </w:p>
        </w:tc>
        <w:tc>
          <w:tcPr>
            <w:tcW w:w="1045" w:type="dxa"/>
            <w:shd w:val="clear" w:color="auto" w:fill="4472C4" w:themeFill="accent1"/>
            <w:noWrap/>
            <w:vAlign w:val="bottom"/>
            <w:hideMark/>
          </w:tcPr>
          <w:p w14:paraId="3615DFCD"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417" w:type="dxa"/>
            <w:shd w:val="clear" w:color="auto" w:fill="4472C4" w:themeFill="accent1"/>
            <w:noWrap/>
            <w:vAlign w:val="bottom"/>
            <w:hideMark/>
          </w:tcPr>
          <w:p w14:paraId="00377E9D" w14:textId="0ECFB03D"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97" w:type="dxa"/>
            <w:shd w:val="clear" w:color="auto" w:fill="4472C4" w:themeFill="accent1"/>
            <w:noWrap/>
            <w:vAlign w:val="bottom"/>
            <w:hideMark/>
          </w:tcPr>
          <w:p w14:paraId="6C010DEC" w14:textId="53EE0F4A"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5" w:type="dxa"/>
            <w:shd w:val="clear" w:color="auto" w:fill="4472C4" w:themeFill="accent1"/>
            <w:noWrap/>
            <w:vAlign w:val="bottom"/>
            <w:hideMark/>
          </w:tcPr>
          <w:p w14:paraId="7F7FFC1C" w14:textId="00C6C24A"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6" w:type="dxa"/>
            <w:shd w:val="clear" w:color="auto" w:fill="4472C4" w:themeFill="accent1"/>
            <w:noWrap/>
            <w:vAlign w:val="bottom"/>
            <w:hideMark/>
          </w:tcPr>
          <w:p w14:paraId="6BF7C39E"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76AB3C83" w14:textId="20128456"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086CE805" w14:textId="274AABBD"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p>
        </w:tc>
        <w:tc>
          <w:tcPr>
            <w:tcW w:w="1648" w:type="dxa"/>
            <w:shd w:val="clear" w:color="auto" w:fill="4472C4" w:themeFill="accent1"/>
            <w:vAlign w:val="bottom"/>
          </w:tcPr>
          <w:p w14:paraId="7E767DB9" w14:textId="49D49D85"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693" w:type="dxa"/>
            <w:shd w:val="clear" w:color="auto" w:fill="4472C4" w:themeFill="accent1"/>
            <w:noWrap/>
            <w:vAlign w:val="bottom"/>
            <w:hideMark/>
          </w:tcPr>
          <w:p w14:paraId="1B187192" w14:textId="48D3BFEB"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r>
      <w:tr w:rsidR="00E366A3" w:rsidRPr="00C92DDA" w14:paraId="6C389FEA" w14:textId="77777777" w:rsidTr="0060142E">
        <w:trPr>
          <w:trHeight w:val="213"/>
        </w:trPr>
        <w:tc>
          <w:tcPr>
            <w:tcW w:w="1644" w:type="dxa"/>
            <w:shd w:val="clear" w:color="auto" w:fill="4472C4" w:themeFill="accent1"/>
            <w:noWrap/>
            <w:vAlign w:val="bottom"/>
            <w:hideMark/>
          </w:tcPr>
          <w:p w14:paraId="3D062B6E"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w:t>
            </w:r>
          </w:p>
        </w:tc>
        <w:tc>
          <w:tcPr>
            <w:tcW w:w="1045" w:type="dxa"/>
            <w:shd w:val="clear" w:color="auto" w:fill="4472C4" w:themeFill="accent1"/>
            <w:noWrap/>
            <w:vAlign w:val="bottom"/>
            <w:hideMark/>
          </w:tcPr>
          <w:p w14:paraId="30BCF8FF"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417" w:type="dxa"/>
            <w:shd w:val="clear" w:color="auto" w:fill="4472C4" w:themeFill="accent1"/>
            <w:noWrap/>
            <w:vAlign w:val="bottom"/>
            <w:hideMark/>
          </w:tcPr>
          <w:p w14:paraId="5CA926E7" w14:textId="75BA8CFD"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97" w:type="dxa"/>
            <w:shd w:val="clear" w:color="auto" w:fill="4472C4" w:themeFill="accent1"/>
            <w:noWrap/>
            <w:vAlign w:val="bottom"/>
            <w:hideMark/>
          </w:tcPr>
          <w:p w14:paraId="604644B5" w14:textId="594F182E"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5" w:type="dxa"/>
            <w:shd w:val="clear" w:color="auto" w:fill="4472C4" w:themeFill="accent1"/>
            <w:noWrap/>
            <w:vAlign w:val="bottom"/>
            <w:hideMark/>
          </w:tcPr>
          <w:p w14:paraId="02C6B6F7" w14:textId="0EF85225"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6" w:type="dxa"/>
            <w:shd w:val="clear" w:color="auto" w:fill="4472C4" w:themeFill="accent1"/>
            <w:noWrap/>
            <w:vAlign w:val="bottom"/>
            <w:hideMark/>
          </w:tcPr>
          <w:p w14:paraId="1C65C1BA"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268D9A65" w14:textId="76F13BB0"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09D169B1" w14:textId="223D590A"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p>
        </w:tc>
        <w:tc>
          <w:tcPr>
            <w:tcW w:w="1648" w:type="dxa"/>
            <w:shd w:val="clear" w:color="auto" w:fill="4472C4" w:themeFill="accent1"/>
            <w:vAlign w:val="bottom"/>
          </w:tcPr>
          <w:p w14:paraId="0BDA3177" w14:textId="7CABC191"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693" w:type="dxa"/>
            <w:shd w:val="clear" w:color="auto" w:fill="4472C4" w:themeFill="accent1"/>
            <w:noWrap/>
            <w:vAlign w:val="bottom"/>
            <w:hideMark/>
          </w:tcPr>
          <w:p w14:paraId="06C5C58E" w14:textId="22C21CDE"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r>
      <w:tr w:rsidR="00E366A3" w:rsidRPr="00C92DDA" w14:paraId="0896FB12" w14:textId="77777777" w:rsidTr="0060142E">
        <w:trPr>
          <w:trHeight w:val="203"/>
        </w:trPr>
        <w:tc>
          <w:tcPr>
            <w:tcW w:w="1644" w:type="dxa"/>
            <w:shd w:val="clear" w:color="auto" w:fill="4472C4" w:themeFill="accent1"/>
            <w:noWrap/>
            <w:vAlign w:val="bottom"/>
            <w:hideMark/>
          </w:tcPr>
          <w:p w14:paraId="535BD136"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w:t>
            </w:r>
          </w:p>
        </w:tc>
        <w:tc>
          <w:tcPr>
            <w:tcW w:w="1045" w:type="dxa"/>
            <w:shd w:val="clear" w:color="auto" w:fill="4472C4" w:themeFill="accent1"/>
            <w:noWrap/>
            <w:vAlign w:val="bottom"/>
            <w:hideMark/>
          </w:tcPr>
          <w:p w14:paraId="0475F28A"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417" w:type="dxa"/>
            <w:shd w:val="clear" w:color="auto" w:fill="4472C4" w:themeFill="accent1"/>
            <w:noWrap/>
            <w:vAlign w:val="bottom"/>
            <w:hideMark/>
          </w:tcPr>
          <w:p w14:paraId="3BE65D84" w14:textId="25A1F4FF"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97" w:type="dxa"/>
            <w:shd w:val="clear" w:color="auto" w:fill="4472C4" w:themeFill="accent1"/>
            <w:noWrap/>
            <w:vAlign w:val="bottom"/>
            <w:hideMark/>
          </w:tcPr>
          <w:p w14:paraId="0F9E7270" w14:textId="4AF2154B"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5" w:type="dxa"/>
            <w:shd w:val="clear" w:color="auto" w:fill="4472C4" w:themeFill="accent1"/>
            <w:noWrap/>
            <w:vAlign w:val="bottom"/>
            <w:hideMark/>
          </w:tcPr>
          <w:p w14:paraId="4C98F23A" w14:textId="6BD156A8"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6" w:type="dxa"/>
            <w:shd w:val="clear" w:color="auto" w:fill="4472C4" w:themeFill="accent1"/>
            <w:noWrap/>
            <w:vAlign w:val="bottom"/>
            <w:hideMark/>
          </w:tcPr>
          <w:p w14:paraId="2291761C"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4C72042E" w14:textId="4D9013F5"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7074F99C" w14:textId="2168CC4A"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p>
        </w:tc>
        <w:tc>
          <w:tcPr>
            <w:tcW w:w="1648" w:type="dxa"/>
            <w:shd w:val="clear" w:color="auto" w:fill="4472C4" w:themeFill="accent1"/>
            <w:vAlign w:val="bottom"/>
          </w:tcPr>
          <w:p w14:paraId="719C2A89" w14:textId="642DD81A"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693" w:type="dxa"/>
            <w:shd w:val="clear" w:color="auto" w:fill="4472C4" w:themeFill="accent1"/>
            <w:noWrap/>
            <w:vAlign w:val="bottom"/>
            <w:hideMark/>
          </w:tcPr>
          <w:p w14:paraId="416CDE3F" w14:textId="4CA85A4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r>
      <w:tr w:rsidR="00E366A3" w:rsidRPr="00C92DDA" w14:paraId="08D2F981" w14:textId="77777777" w:rsidTr="0060142E">
        <w:trPr>
          <w:trHeight w:val="213"/>
        </w:trPr>
        <w:tc>
          <w:tcPr>
            <w:tcW w:w="1644" w:type="dxa"/>
            <w:shd w:val="clear" w:color="auto" w:fill="4472C4" w:themeFill="accent1"/>
            <w:noWrap/>
            <w:vAlign w:val="bottom"/>
            <w:hideMark/>
          </w:tcPr>
          <w:p w14:paraId="232A8F66"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w:t>
            </w:r>
          </w:p>
        </w:tc>
        <w:tc>
          <w:tcPr>
            <w:tcW w:w="1045" w:type="dxa"/>
            <w:shd w:val="clear" w:color="auto" w:fill="4472C4" w:themeFill="accent1"/>
            <w:noWrap/>
            <w:vAlign w:val="bottom"/>
            <w:hideMark/>
          </w:tcPr>
          <w:p w14:paraId="32CBF5D3"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417" w:type="dxa"/>
            <w:shd w:val="clear" w:color="auto" w:fill="4472C4" w:themeFill="accent1"/>
            <w:noWrap/>
            <w:vAlign w:val="bottom"/>
            <w:hideMark/>
          </w:tcPr>
          <w:p w14:paraId="55A27B37" w14:textId="34B29F0B"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97" w:type="dxa"/>
            <w:shd w:val="clear" w:color="auto" w:fill="4472C4" w:themeFill="accent1"/>
            <w:noWrap/>
            <w:vAlign w:val="bottom"/>
            <w:hideMark/>
          </w:tcPr>
          <w:p w14:paraId="555DC578" w14:textId="40BD0D76"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5" w:type="dxa"/>
            <w:shd w:val="clear" w:color="auto" w:fill="4472C4" w:themeFill="accent1"/>
            <w:noWrap/>
            <w:vAlign w:val="bottom"/>
            <w:hideMark/>
          </w:tcPr>
          <w:p w14:paraId="096D7A4B" w14:textId="00E9E9A2"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6" w:type="dxa"/>
            <w:shd w:val="clear" w:color="auto" w:fill="4472C4" w:themeFill="accent1"/>
            <w:noWrap/>
            <w:vAlign w:val="bottom"/>
            <w:hideMark/>
          </w:tcPr>
          <w:p w14:paraId="47F93FB9"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0E70F798" w14:textId="2E664BAA"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4C3DA4F4" w14:textId="4D17359F"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p>
        </w:tc>
        <w:tc>
          <w:tcPr>
            <w:tcW w:w="1648" w:type="dxa"/>
            <w:shd w:val="clear" w:color="auto" w:fill="4472C4" w:themeFill="accent1"/>
            <w:vAlign w:val="bottom"/>
          </w:tcPr>
          <w:p w14:paraId="41CA6CA7" w14:textId="4DC8442C"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693" w:type="dxa"/>
            <w:shd w:val="clear" w:color="auto" w:fill="4472C4" w:themeFill="accent1"/>
            <w:noWrap/>
            <w:vAlign w:val="bottom"/>
            <w:hideMark/>
          </w:tcPr>
          <w:p w14:paraId="400E8A0D" w14:textId="0F18B452"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r>
      <w:tr w:rsidR="00E366A3" w:rsidRPr="00C92DDA" w14:paraId="390A3B57" w14:textId="77777777" w:rsidTr="0060142E">
        <w:trPr>
          <w:trHeight w:val="203"/>
        </w:trPr>
        <w:tc>
          <w:tcPr>
            <w:tcW w:w="1644" w:type="dxa"/>
            <w:shd w:val="clear" w:color="auto" w:fill="4472C4" w:themeFill="accent1"/>
            <w:noWrap/>
            <w:vAlign w:val="bottom"/>
            <w:hideMark/>
          </w:tcPr>
          <w:p w14:paraId="20BA891B"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 </w:t>
            </w:r>
          </w:p>
        </w:tc>
        <w:tc>
          <w:tcPr>
            <w:tcW w:w="1045" w:type="dxa"/>
            <w:shd w:val="clear" w:color="auto" w:fill="4472C4" w:themeFill="accent1"/>
            <w:noWrap/>
            <w:vAlign w:val="bottom"/>
            <w:hideMark/>
          </w:tcPr>
          <w:p w14:paraId="2F2A8FF9"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417" w:type="dxa"/>
            <w:shd w:val="clear" w:color="auto" w:fill="4472C4" w:themeFill="accent1"/>
            <w:noWrap/>
            <w:vAlign w:val="bottom"/>
            <w:hideMark/>
          </w:tcPr>
          <w:p w14:paraId="0EE22205" w14:textId="770C7BFD"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97" w:type="dxa"/>
            <w:shd w:val="clear" w:color="auto" w:fill="4472C4" w:themeFill="accent1"/>
            <w:noWrap/>
            <w:vAlign w:val="bottom"/>
            <w:hideMark/>
          </w:tcPr>
          <w:p w14:paraId="143FD623" w14:textId="160D5EB9"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5" w:type="dxa"/>
            <w:shd w:val="clear" w:color="auto" w:fill="4472C4" w:themeFill="accent1"/>
            <w:noWrap/>
            <w:vAlign w:val="bottom"/>
            <w:hideMark/>
          </w:tcPr>
          <w:p w14:paraId="7006B8A8" w14:textId="34D2855F"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396" w:type="dxa"/>
            <w:shd w:val="clear" w:color="auto" w:fill="4472C4" w:themeFill="accent1"/>
            <w:noWrap/>
            <w:vAlign w:val="bottom"/>
            <w:hideMark/>
          </w:tcPr>
          <w:p w14:paraId="4CE6EADC" w14:textId="7777777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448F38AB" w14:textId="133BACA7"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522" w:type="dxa"/>
            <w:shd w:val="clear" w:color="auto" w:fill="4472C4" w:themeFill="accent1"/>
          </w:tcPr>
          <w:p w14:paraId="0ACA378F" w14:textId="1ED74C1A"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p>
        </w:tc>
        <w:tc>
          <w:tcPr>
            <w:tcW w:w="1648" w:type="dxa"/>
            <w:shd w:val="clear" w:color="auto" w:fill="4472C4" w:themeFill="accent1"/>
            <w:vAlign w:val="bottom"/>
          </w:tcPr>
          <w:p w14:paraId="4714FEA5" w14:textId="16EC26F3"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c>
          <w:tcPr>
            <w:tcW w:w="1693" w:type="dxa"/>
            <w:shd w:val="clear" w:color="auto" w:fill="4472C4" w:themeFill="accent1"/>
            <w:noWrap/>
            <w:vAlign w:val="bottom"/>
            <w:hideMark/>
          </w:tcPr>
          <w:p w14:paraId="51CCCE11" w14:textId="0DB72BB9" w:rsidR="00F33B01" w:rsidRPr="009E48E7" w:rsidRDefault="00F33B01" w:rsidP="00B366E8">
            <w:pPr>
              <w:spacing w:after="0" w:line="240" w:lineRule="auto"/>
              <w:rPr>
                <w:rFonts w:ascii="Arial" w:eastAsia="Times New Roman" w:hAnsi="Arial" w:cs="Arial"/>
                <w:color w:val="FFFFFF" w:themeColor="background1"/>
                <w:sz w:val="20"/>
                <w:szCs w:val="20"/>
                <w:lang w:eastAsia="en-NZ"/>
              </w:rPr>
            </w:pPr>
            <w:r w:rsidRPr="009E48E7">
              <w:rPr>
                <w:rFonts w:ascii="Arial" w:eastAsia="Times New Roman" w:hAnsi="Arial" w:cs="Arial"/>
                <w:color w:val="FFFFFF" w:themeColor="background1"/>
                <w:sz w:val="20"/>
                <w:szCs w:val="20"/>
                <w:lang w:eastAsia="en-NZ"/>
              </w:rPr>
              <w:t>$</w:t>
            </w:r>
          </w:p>
        </w:tc>
      </w:tr>
      <w:tr w:rsidR="00E366A3" w:rsidRPr="00C92DDA" w14:paraId="631FB8ED" w14:textId="77777777" w:rsidTr="0060142E">
        <w:trPr>
          <w:trHeight w:val="213"/>
        </w:trPr>
        <w:tc>
          <w:tcPr>
            <w:tcW w:w="1644" w:type="dxa"/>
            <w:shd w:val="clear" w:color="auto" w:fill="4472C4" w:themeFill="accent1"/>
            <w:noWrap/>
            <w:vAlign w:val="bottom"/>
            <w:hideMark/>
          </w:tcPr>
          <w:p w14:paraId="5893584A" w14:textId="77777777"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Total</w:t>
            </w:r>
          </w:p>
        </w:tc>
        <w:tc>
          <w:tcPr>
            <w:tcW w:w="1045" w:type="dxa"/>
            <w:shd w:val="clear" w:color="auto" w:fill="4472C4" w:themeFill="accent1"/>
            <w:noWrap/>
            <w:vAlign w:val="bottom"/>
            <w:hideMark/>
          </w:tcPr>
          <w:p w14:paraId="27AEE700" w14:textId="77777777"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w:t>
            </w:r>
          </w:p>
        </w:tc>
        <w:tc>
          <w:tcPr>
            <w:tcW w:w="1417" w:type="dxa"/>
            <w:shd w:val="clear" w:color="auto" w:fill="4472C4" w:themeFill="accent1"/>
            <w:noWrap/>
            <w:vAlign w:val="bottom"/>
            <w:hideMark/>
          </w:tcPr>
          <w:p w14:paraId="7BE0B5DA" w14:textId="7ECB2C02"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w:t>
            </w:r>
          </w:p>
        </w:tc>
        <w:tc>
          <w:tcPr>
            <w:tcW w:w="1597" w:type="dxa"/>
            <w:shd w:val="clear" w:color="auto" w:fill="4472C4" w:themeFill="accent1"/>
            <w:noWrap/>
            <w:vAlign w:val="bottom"/>
            <w:hideMark/>
          </w:tcPr>
          <w:p w14:paraId="76AD57A4" w14:textId="4CC57296"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w:t>
            </w:r>
          </w:p>
        </w:tc>
        <w:tc>
          <w:tcPr>
            <w:tcW w:w="1395" w:type="dxa"/>
            <w:shd w:val="clear" w:color="auto" w:fill="4472C4" w:themeFill="accent1"/>
            <w:noWrap/>
            <w:vAlign w:val="bottom"/>
            <w:hideMark/>
          </w:tcPr>
          <w:p w14:paraId="73081AB2" w14:textId="168D4D84"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w:t>
            </w:r>
          </w:p>
        </w:tc>
        <w:tc>
          <w:tcPr>
            <w:tcW w:w="1396" w:type="dxa"/>
            <w:shd w:val="clear" w:color="auto" w:fill="4472C4" w:themeFill="accent1"/>
            <w:noWrap/>
            <w:vAlign w:val="bottom"/>
            <w:hideMark/>
          </w:tcPr>
          <w:p w14:paraId="18F52311" w14:textId="77777777"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w:t>
            </w:r>
          </w:p>
        </w:tc>
        <w:tc>
          <w:tcPr>
            <w:tcW w:w="1522" w:type="dxa"/>
            <w:shd w:val="clear" w:color="auto" w:fill="4472C4" w:themeFill="accent1"/>
          </w:tcPr>
          <w:p w14:paraId="062C04B5" w14:textId="28F5C1B0"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w:t>
            </w:r>
          </w:p>
        </w:tc>
        <w:tc>
          <w:tcPr>
            <w:tcW w:w="1522" w:type="dxa"/>
            <w:shd w:val="clear" w:color="auto" w:fill="4472C4" w:themeFill="accent1"/>
          </w:tcPr>
          <w:p w14:paraId="556180E7" w14:textId="457DCCF1"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p>
        </w:tc>
        <w:tc>
          <w:tcPr>
            <w:tcW w:w="1648" w:type="dxa"/>
            <w:shd w:val="clear" w:color="auto" w:fill="4472C4" w:themeFill="accent1"/>
            <w:vAlign w:val="bottom"/>
          </w:tcPr>
          <w:p w14:paraId="5DAFF34D" w14:textId="7C9EFF62"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w:t>
            </w:r>
          </w:p>
        </w:tc>
        <w:tc>
          <w:tcPr>
            <w:tcW w:w="1693" w:type="dxa"/>
            <w:shd w:val="clear" w:color="auto" w:fill="4472C4" w:themeFill="accent1"/>
            <w:noWrap/>
            <w:vAlign w:val="bottom"/>
            <w:hideMark/>
          </w:tcPr>
          <w:p w14:paraId="0F4EF528" w14:textId="0B79E0C1" w:rsidR="00F33B01" w:rsidRPr="009E48E7" w:rsidRDefault="00F33B01" w:rsidP="00B366E8">
            <w:pPr>
              <w:spacing w:after="0" w:line="240" w:lineRule="auto"/>
              <w:rPr>
                <w:rFonts w:ascii="Arial" w:eastAsia="Times New Roman" w:hAnsi="Arial" w:cs="Arial"/>
                <w:b/>
                <w:bCs/>
                <w:color w:val="FFFFFF" w:themeColor="background1"/>
                <w:sz w:val="20"/>
                <w:szCs w:val="20"/>
                <w:lang w:eastAsia="en-NZ"/>
              </w:rPr>
            </w:pPr>
            <w:r w:rsidRPr="009E48E7">
              <w:rPr>
                <w:rFonts w:ascii="Arial" w:eastAsia="Times New Roman" w:hAnsi="Arial" w:cs="Arial"/>
                <w:b/>
                <w:bCs/>
                <w:color w:val="FFFFFF" w:themeColor="background1"/>
                <w:sz w:val="20"/>
                <w:szCs w:val="20"/>
                <w:lang w:eastAsia="en-NZ"/>
              </w:rPr>
              <w:t>$</w:t>
            </w:r>
          </w:p>
        </w:tc>
      </w:tr>
    </w:tbl>
    <w:p w14:paraId="6D29B0E3" w14:textId="77777777" w:rsidR="00E366A3" w:rsidRPr="006A2E20" w:rsidRDefault="00E74614" w:rsidP="00BE1E7C">
      <w:pPr>
        <w:spacing w:before="240" w:after="160"/>
        <w:rPr>
          <w:rFonts w:ascii="Arial" w:hAnsi="Arial" w:cs="Arial"/>
          <w:i/>
          <w:iCs/>
        </w:rPr>
      </w:pPr>
      <w:r w:rsidRPr="009E48E7">
        <w:rPr>
          <w:rFonts w:ascii="Arial" w:hAnsi="Arial" w:cs="Arial"/>
        </w:rPr>
        <w:t>[</w:t>
      </w:r>
      <w:r w:rsidRPr="006A2E20">
        <w:rPr>
          <w:rFonts w:ascii="Arial" w:hAnsi="Arial" w:cs="Arial"/>
          <w:i/>
          <w:iCs/>
        </w:rPr>
        <w:t>Any additional information explaining the numbers in the table</w:t>
      </w:r>
      <w:r w:rsidR="001E3BCD" w:rsidRPr="006A2E20">
        <w:rPr>
          <w:rFonts w:ascii="Arial" w:hAnsi="Arial" w:cs="Arial"/>
          <w:i/>
          <w:iCs/>
        </w:rPr>
        <w:t>, or any further remuneration received by directors</w:t>
      </w:r>
      <w:r w:rsidRPr="006A2E20">
        <w:rPr>
          <w:rFonts w:ascii="Arial" w:hAnsi="Arial" w:cs="Arial"/>
          <w:i/>
          <w:iCs/>
        </w:rPr>
        <w:t xml:space="preserve"> should be footnoted here</w:t>
      </w:r>
      <w:r w:rsidR="00E366A3" w:rsidRPr="006A2E20">
        <w:rPr>
          <w:rFonts w:ascii="Arial" w:hAnsi="Arial" w:cs="Arial"/>
          <w:i/>
          <w:iCs/>
        </w:rPr>
        <w:t xml:space="preserve">.  </w:t>
      </w:r>
    </w:p>
    <w:p w14:paraId="784EDB00" w14:textId="5F4A5072" w:rsidR="006A2E20" w:rsidRDefault="006A2E20" w:rsidP="00BE1E7C">
      <w:pPr>
        <w:spacing w:after="160"/>
        <w:rPr>
          <w:rFonts w:ascii="Arial" w:hAnsi="Arial" w:cs="Arial"/>
          <w:i/>
          <w:iCs/>
        </w:rPr>
      </w:pPr>
      <w:r>
        <w:rPr>
          <w:rFonts w:ascii="Arial" w:hAnsi="Arial" w:cs="Arial"/>
          <w:i/>
          <w:iCs/>
        </w:rPr>
        <w:t>[</w:t>
      </w:r>
      <w:r w:rsidR="00E366A3" w:rsidRPr="006A2E20">
        <w:rPr>
          <w:rFonts w:ascii="Arial" w:hAnsi="Arial" w:cs="Arial"/>
          <w:i/>
          <w:iCs/>
        </w:rPr>
        <w:t>Where an additional fee is payable to the director because the director acts as Chair of a Board Committee this should be disclosed either in the table or by way of footnote.</w:t>
      </w:r>
      <w:r w:rsidR="006F7C83" w:rsidRPr="006A2E20">
        <w:rPr>
          <w:rFonts w:ascii="Arial" w:hAnsi="Arial" w:cs="Arial"/>
          <w:i/>
          <w:iCs/>
        </w:rPr>
        <w:t xml:space="preserve"> </w:t>
      </w:r>
      <w:r>
        <w:rPr>
          <w:rFonts w:ascii="Arial" w:hAnsi="Arial" w:cs="Arial"/>
          <w:i/>
          <w:iCs/>
        </w:rPr>
        <w:t>Alternatively</w:t>
      </w:r>
      <w:r w:rsidR="00621536">
        <w:rPr>
          <w:rFonts w:ascii="Arial" w:hAnsi="Arial" w:cs="Arial"/>
          <w:i/>
          <w:iCs/>
        </w:rPr>
        <w:t>,</w:t>
      </w:r>
      <w:r>
        <w:rPr>
          <w:rFonts w:ascii="Arial" w:hAnsi="Arial" w:cs="Arial"/>
          <w:i/>
          <w:iCs/>
        </w:rPr>
        <w:t xml:space="preserve"> an issuer may wish to set out a remuneration scale for directors using the table below (which if used should be tailored to the issuer’s Board Committee structure:</w:t>
      </w:r>
    </w:p>
    <w:p w14:paraId="5944E121" w14:textId="77777777" w:rsidR="00621536" w:rsidRDefault="00621536" w:rsidP="00BE1E7C">
      <w:pPr>
        <w:spacing w:after="160"/>
        <w:rPr>
          <w:rFonts w:ascii="Arial" w:hAnsi="Arial" w:cs="Arial"/>
          <w:i/>
          <w:iCs/>
        </w:rPr>
      </w:pPr>
    </w:p>
    <w:p w14:paraId="694C8CC4" w14:textId="77777777" w:rsidR="00621536" w:rsidRDefault="00621536" w:rsidP="00BE1E7C">
      <w:pPr>
        <w:spacing w:after="160"/>
        <w:rPr>
          <w:rFonts w:ascii="Arial" w:hAnsi="Arial" w:cs="Arial"/>
          <w:i/>
          <w:iCs/>
        </w:rPr>
      </w:pPr>
    </w:p>
    <w:p w14:paraId="65537602" w14:textId="77777777" w:rsidR="00621536" w:rsidRDefault="00621536" w:rsidP="00BE1E7C">
      <w:pPr>
        <w:spacing w:after="160"/>
        <w:rPr>
          <w:rFonts w:ascii="Arial" w:hAnsi="Arial" w:cs="Arial"/>
          <w:i/>
          <w:iCs/>
        </w:rPr>
      </w:pPr>
    </w:p>
    <w:tbl>
      <w:tblPr>
        <w:tblStyle w:val="TableGrid"/>
        <w:tblW w:w="0" w:type="auto"/>
        <w:tblLook w:val="04A0" w:firstRow="1" w:lastRow="0" w:firstColumn="1" w:lastColumn="0" w:noHBand="0" w:noVBand="1"/>
      </w:tblPr>
      <w:tblGrid>
        <w:gridCol w:w="3823"/>
        <w:gridCol w:w="5301"/>
        <w:gridCol w:w="4563"/>
      </w:tblGrid>
      <w:tr w:rsidR="006A2E20" w14:paraId="5BAF57EA" w14:textId="77777777" w:rsidTr="006A2E20">
        <w:tc>
          <w:tcPr>
            <w:tcW w:w="3823" w:type="dxa"/>
            <w:shd w:val="clear" w:color="auto" w:fill="4472C4" w:themeFill="accent1"/>
          </w:tcPr>
          <w:p w14:paraId="6AE23980" w14:textId="5580D20C" w:rsidR="006A2E20" w:rsidRPr="00A31833" w:rsidRDefault="006A2E20" w:rsidP="00BE1E7C">
            <w:pPr>
              <w:spacing w:after="160"/>
              <w:rPr>
                <w:rFonts w:ascii="Arial" w:hAnsi="Arial" w:cs="Arial"/>
                <w:b/>
                <w:bCs/>
                <w:color w:val="FFFFFF" w:themeColor="background1"/>
                <w:sz w:val="18"/>
                <w:szCs w:val="18"/>
              </w:rPr>
            </w:pPr>
            <w:r w:rsidRPr="00A31833">
              <w:rPr>
                <w:rFonts w:ascii="Arial" w:hAnsi="Arial" w:cs="Arial"/>
                <w:b/>
                <w:bCs/>
                <w:color w:val="FFFFFF" w:themeColor="background1"/>
                <w:sz w:val="18"/>
                <w:szCs w:val="18"/>
              </w:rPr>
              <w:lastRenderedPageBreak/>
              <w:t>Governance Body</w:t>
            </w:r>
          </w:p>
        </w:tc>
        <w:tc>
          <w:tcPr>
            <w:tcW w:w="5301" w:type="dxa"/>
            <w:shd w:val="clear" w:color="auto" w:fill="4472C4" w:themeFill="accent1"/>
          </w:tcPr>
          <w:p w14:paraId="03C4E1C2" w14:textId="6B44B6DE" w:rsidR="006A2E20" w:rsidRPr="00A31833" w:rsidRDefault="006A2E20" w:rsidP="00BE1E7C">
            <w:pPr>
              <w:spacing w:after="160"/>
              <w:rPr>
                <w:rFonts w:ascii="Arial" w:hAnsi="Arial" w:cs="Arial"/>
                <w:b/>
                <w:bCs/>
                <w:color w:val="FFFFFF" w:themeColor="background1"/>
                <w:sz w:val="18"/>
                <w:szCs w:val="18"/>
              </w:rPr>
            </w:pPr>
            <w:r w:rsidRPr="00A31833">
              <w:rPr>
                <w:rFonts w:ascii="Arial" w:hAnsi="Arial" w:cs="Arial"/>
                <w:b/>
                <w:bCs/>
                <w:color w:val="FFFFFF" w:themeColor="background1"/>
                <w:sz w:val="18"/>
                <w:szCs w:val="18"/>
              </w:rPr>
              <w:t>Position</w:t>
            </w:r>
          </w:p>
        </w:tc>
        <w:tc>
          <w:tcPr>
            <w:tcW w:w="4563" w:type="dxa"/>
            <w:shd w:val="clear" w:color="auto" w:fill="4472C4" w:themeFill="accent1"/>
          </w:tcPr>
          <w:p w14:paraId="33158580" w14:textId="23618762" w:rsidR="006A2E20" w:rsidRPr="00A31833" w:rsidRDefault="006A2E20" w:rsidP="00BE1E7C">
            <w:pPr>
              <w:spacing w:after="160"/>
              <w:rPr>
                <w:rFonts w:ascii="Arial" w:hAnsi="Arial" w:cs="Arial"/>
                <w:b/>
                <w:bCs/>
                <w:color w:val="FFFFFF" w:themeColor="background1"/>
                <w:sz w:val="18"/>
                <w:szCs w:val="18"/>
              </w:rPr>
            </w:pPr>
            <w:r w:rsidRPr="00A31833">
              <w:rPr>
                <w:rFonts w:ascii="Arial" w:hAnsi="Arial" w:cs="Arial"/>
                <w:b/>
                <w:bCs/>
                <w:color w:val="FFFFFF" w:themeColor="background1"/>
                <w:sz w:val="18"/>
                <w:szCs w:val="18"/>
              </w:rPr>
              <w:t>Fee</w:t>
            </w:r>
            <w:r w:rsidR="00621536" w:rsidRPr="00A31833">
              <w:rPr>
                <w:rFonts w:ascii="Arial" w:hAnsi="Arial" w:cs="Arial"/>
                <w:b/>
                <w:bCs/>
                <w:color w:val="FFFFFF" w:themeColor="background1"/>
                <w:sz w:val="18"/>
                <w:szCs w:val="18"/>
              </w:rPr>
              <w:t xml:space="preserve"> for reporting period</w:t>
            </w:r>
          </w:p>
        </w:tc>
      </w:tr>
      <w:tr w:rsidR="00621536" w14:paraId="07E40389" w14:textId="77777777" w:rsidTr="006A2E20">
        <w:tc>
          <w:tcPr>
            <w:tcW w:w="3823" w:type="dxa"/>
            <w:vMerge w:val="restart"/>
            <w:shd w:val="clear" w:color="auto" w:fill="4472C4" w:themeFill="accent1"/>
          </w:tcPr>
          <w:p w14:paraId="70CC92BB" w14:textId="50B13724"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Board</w:t>
            </w:r>
          </w:p>
        </w:tc>
        <w:tc>
          <w:tcPr>
            <w:tcW w:w="5301" w:type="dxa"/>
            <w:shd w:val="clear" w:color="auto" w:fill="4472C4" w:themeFill="accent1"/>
          </w:tcPr>
          <w:p w14:paraId="73261142" w14:textId="53F552EB"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Chair</w:t>
            </w:r>
          </w:p>
        </w:tc>
        <w:tc>
          <w:tcPr>
            <w:tcW w:w="4563" w:type="dxa"/>
            <w:shd w:val="clear" w:color="auto" w:fill="4472C4" w:themeFill="accent1"/>
          </w:tcPr>
          <w:p w14:paraId="1670FE99" w14:textId="24372FB7"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w:t>
            </w:r>
          </w:p>
        </w:tc>
      </w:tr>
      <w:tr w:rsidR="00621536" w14:paraId="6B7AAB29" w14:textId="77777777" w:rsidTr="006A2E20">
        <w:tc>
          <w:tcPr>
            <w:tcW w:w="3823" w:type="dxa"/>
            <w:vMerge/>
            <w:shd w:val="clear" w:color="auto" w:fill="4472C4" w:themeFill="accent1"/>
          </w:tcPr>
          <w:p w14:paraId="51684AFA" w14:textId="77777777" w:rsidR="00621536" w:rsidRPr="00A31833" w:rsidRDefault="00621536" w:rsidP="00BE1E7C">
            <w:pPr>
              <w:spacing w:after="160"/>
              <w:rPr>
                <w:rFonts w:ascii="Arial" w:hAnsi="Arial" w:cs="Arial"/>
                <w:color w:val="FFFFFF" w:themeColor="background1"/>
                <w:sz w:val="18"/>
                <w:szCs w:val="18"/>
              </w:rPr>
            </w:pPr>
          </w:p>
        </w:tc>
        <w:tc>
          <w:tcPr>
            <w:tcW w:w="5301" w:type="dxa"/>
            <w:shd w:val="clear" w:color="auto" w:fill="4472C4" w:themeFill="accent1"/>
          </w:tcPr>
          <w:p w14:paraId="2911391B" w14:textId="4940FD3C"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Director</w:t>
            </w:r>
          </w:p>
        </w:tc>
        <w:tc>
          <w:tcPr>
            <w:tcW w:w="4563" w:type="dxa"/>
            <w:shd w:val="clear" w:color="auto" w:fill="4472C4" w:themeFill="accent1"/>
          </w:tcPr>
          <w:p w14:paraId="14C883F3" w14:textId="742E53B2"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w:t>
            </w:r>
          </w:p>
        </w:tc>
      </w:tr>
      <w:tr w:rsidR="00621536" w14:paraId="5AFCABD0" w14:textId="77777777" w:rsidTr="006A2E20">
        <w:tc>
          <w:tcPr>
            <w:tcW w:w="3823" w:type="dxa"/>
            <w:vMerge w:val="restart"/>
            <w:shd w:val="clear" w:color="auto" w:fill="4472C4" w:themeFill="accent1"/>
          </w:tcPr>
          <w:p w14:paraId="5C053256" w14:textId="7D66CF6C"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Audit and Risk Committee</w:t>
            </w:r>
          </w:p>
        </w:tc>
        <w:tc>
          <w:tcPr>
            <w:tcW w:w="5301" w:type="dxa"/>
            <w:shd w:val="clear" w:color="auto" w:fill="4472C4" w:themeFill="accent1"/>
          </w:tcPr>
          <w:p w14:paraId="4E69038E" w14:textId="224635BA"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Chair</w:t>
            </w:r>
          </w:p>
        </w:tc>
        <w:tc>
          <w:tcPr>
            <w:tcW w:w="4563" w:type="dxa"/>
            <w:shd w:val="clear" w:color="auto" w:fill="4472C4" w:themeFill="accent1"/>
          </w:tcPr>
          <w:p w14:paraId="2DBA3129" w14:textId="304DDA29"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w:t>
            </w:r>
          </w:p>
        </w:tc>
      </w:tr>
      <w:tr w:rsidR="00621536" w14:paraId="0C88E3FE" w14:textId="77777777" w:rsidTr="006A2E20">
        <w:tc>
          <w:tcPr>
            <w:tcW w:w="3823" w:type="dxa"/>
            <w:vMerge/>
            <w:shd w:val="clear" w:color="auto" w:fill="4472C4" w:themeFill="accent1"/>
          </w:tcPr>
          <w:p w14:paraId="2A583410" w14:textId="77777777" w:rsidR="00621536" w:rsidRPr="00A31833" w:rsidRDefault="00621536" w:rsidP="00BE1E7C">
            <w:pPr>
              <w:spacing w:after="160"/>
              <w:rPr>
                <w:rFonts w:ascii="Arial" w:hAnsi="Arial" w:cs="Arial"/>
                <w:color w:val="FFFFFF" w:themeColor="background1"/>
                <w:sz w:val="18"/>
                <w:szCs w:val="18"/>
              </w:rPr>
            </w:pPr>
          </w:p>
        </w:tc>
        <w:tc>
          <w:tcPr>
            <w:tcW w:w="5301" w:type="dxa"/>
            <w:shd w:val="clear" w:color="auto" w:fill="4472C4" w:themeFill="accent1"/>
          </w:tcPr>
          <w:p w14:paraId="14D21A10" w14:textId="6188D2E3"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Member</w:t>
            </w:r>
          </w:p>
        </w:tc>
        <w:tc>
          <w:tcPr>
            <w:tcW w:w="4563" w:type="dxa"/>
            <w:shd w:val="clear" w:color="auto" w:fill="4472C4" w:themeFill="accent1"/>
          </w:tcPr>
          <w:p w14:paraId="5B3E9FE4" w14:textId="35B73288"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w:t>
            </w:r>
          </w:p>
        </w:tc>
      </w:tr>
      <w:tr w:rsidR="00621536" w14:paraId="4D7966FB" w14:textId="77777777" w:rsidTr="006A2E20">
        <w:tc>
          <w:tcPr>
            <w:tcW w:w="3823" w:type="dxa"/>
            <w:vMerge w:val="restart"/>
            <w:shd w:val="clear" w:color="auto" w:fill="4472C4" w:themeFill="accent1"/>
          </w:tcPr>
          <w:p w14:paraId="6412ED09" w14:textId="7AEB2186"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Remuneration Committee</w:t>
            </w:r>
          </w:p>
        </w:tc>
        <w:tc>
          <w:tcPr>
            <w:tcW w:w="5301" w:type="dxa"/>
            <w:shd w:val="clear" w:color="auto" w:fill="4472C4" w:themeFill="accent1"/>
          </w:tcPr>
          <w:p w14:paraId="451C68CE" w14:textId="1572CF8B"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Chair</w:t>
            </w:r>
          </w:p>
        </w:tc>
        <w:tc>
          <w:tcPr>
            <w:tcW w:w="4563" w:type="dxa"/>
            <w:shd w:val="clear" w:color="auto" w:fill="4472C4" w:themeFill="accent1"/>
          </w:tcPr>
          <w:p w14:paraId="6DED8E4F" w14:textId="61D2925E"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w:t>
            </w:r>
          </w:p>
        </w:tc>
      </w:tr>
      <w:tr w:rsidR="00621536" w14:paraId="762B086D" w14:textId="77777777" w:rsidTr="006A2E20">
        <w:tc>
          <w:tcPr>
            <w:tcW w:w="3823" w:type="dxa"/>
            <w:vMerge/>
            <w:shd w:val="clear" w:color="auto" w:fill="4472C4" w:themeFill="accent1"/>
          </w:tcPr>
          <w:p w14:paraId="6804B223" w14:textId="77777777" w:rsidR="00621536" w:rsidRPr="00A31833" w:rsidRDefault="00621536" w:rsidP="00BE1E7C">
            <w:pPr>
              <w:spacing w:after="160"/>
              <w:rPr>
                <w:rFonts w:ascii="Arial" w:hAnsi="Arial" w:cs="Arial"/>
                <w:color w:val="FFFFFF" w:themeColor="background1"/>
                <w:sz w:val="18"/>
                <w:szCs w:val="18"/>
              </w:rPr>
            </w:pPr>
          </w:p>
        </w:tc>
        <w:tc>
          <w:tcPr>
            <w:tcW w:w="5301" w:type="dxa"/>
            <w:shd w:val="clear" w:color="auto" w:fill="4472C4" w:themeFill="accent1"/>
          </w:tcPr>
          <w:p w14:paraId="1732C541" w14:textId="2FA93942"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Member</w:t>
            </w:r>
          </w:p>
        </w:tc>
        <w:tc>
          <w:tcPr>
            <w:tcW w:w="4563" w:type="dxa"/>
            <w:shd w:val="clear" w:color="auto" w:fill="4472C4" w:themeFill="accent1"/>
          </w:tcPr>
          <w:p w14:paraId="11C60E9B" w14:textId="6645FB8F"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w:t>
            </w:r>
          </w:p>
        </w:tc>
      </w:tr>
      <w:tr w:rsidR="00621536" w14:paraId="7A60928E" w14:textId="77777777" w:rsidTr="006A2E20">
        <w:tc>
          <w:tcPr>
            <w:tcW w:w="3823" w:type="dxa"/>
            <w:vMerge w:val="restart"/>
            <w:shd w:val="clear" w:color="auto" w:fill="4472C4" w:themeFill="accent1"/>
          </w:tcPr>
          <w:p w14:paraId="3087022D" w14:textId="7DDAC0CF"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Nomination Committee</w:t>
            </w:r>
          </w:p>
        </w:tc>
        <w:tc>
          <w:tcPr>
            <w:tcW w:w="5301" w:type="dxa"/>
            <w:shd w:val="clear" w:color="auto" w:fill="4472C4" w:themeFill="accent1"/>
          </w:tcPr>
          <w:p w14:paraId="466B4899" w14:textId="59768DD5"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 xml:space="preserve">Chair </w:t>
            </w:r>
          </w:p>
        </w:tc>
        <w:tc>
          <w:tcPr>
            <w:tcW w:w="4563" w:type="dxa"/>
            <w:shd w:val="clear" w:color="auto" w:fill="4472C4" w:themeFill="accent1"/>
          </w:tcPr>
          <w:p w14:paraId="1CCCDDAA" w14:textId="2DA259CD"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w:t>
            </w:r>
          </w:p>
        </w:tc>
      </w:tr>
      <w:tr w:rsidR="00621536" w14:paraId="377BB956" w14:textId="77777777" w:rsidTr="006A2E20">
        <w:tc>
          <w:tcPr>
            <w:tcW w:w="3823" w:type="dxa"/>
            <w:vMerge/>
            <w:shd w:val="clear" w:color="auto" w:fill="4472C4" w:themeFill="accent1"/>
          </w:tcPr>
          <w:p w14:paraId="27A4FB2A" w14:textId="77777777" w:rsidR="00621536" w:rsidRPr="00A31833" w:rsidRDefault="00621536" w:rsidP="00BE1E7C">
            <w:pPr>
              <w:spacing w:after="160"/>
              <w:rPr>
                <w:rFonts w:ascii="Arial" w:hAnsi="Arial" w:cs="Arial"/>
                <w:color w:val="FFFFFF" w:themeColor="background1"/>
                <w:sz w:val="18"/>
                <w:szCs w:val="18"/>
              </w:rPr>
            </w:pPr>
          </w:p>
        </w:tc>
        <w:tc>
          <w:tcPr>
            <w:tcW w:w="5301" w:type="dxa"/>
            <w:shd w:val="clear" w:color="auto" w:fill="4472C4" w:themeFill="accent1"/>
          </w:tcPr>
          <w:p w14:paraId="7F44452F" w14:textId="3A797D8E"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Member</w:t>
            </w:r>
          </w:p>
        </w:tc>
        <w:tc>
          <w:tcPr>
            <w:tcW w:w="4563" w:type="dxa"/>
            <w:shd w:val="clear" w:color="auto" w:fill="4472C4" w:themeFill="accent1"/>
          </w:tcPr>
          <w:p w14:paraId="791F0E7D" w14:textId="485BDBFF" w:rsidR="00621536" w:rsidRPr="00A31833" w:rsidRDefault="00621536" w:rsidP="00BE1E7C">
            <w:pPr>
              <w:spacing w:after="160"/>
              <w:rPr>
                <w:rFonts w:ascii="Arial" w:hAnsi="Arial" w:cs="Arial"/>
                <w:color w:val="FFFFFF" w:themeColor="background1"/>
                <w:sz w:val="18"/>
                <w:szCs w:val="18"/>
              </w:rPr>
            </w:pPr>
            <w:r w:rsidRPr="00A31833">
              <w:rPr>
                <w:rFonts w:ascii="Arial" w:hAnsi="Arial" w:cs="Arial"/>
                <w:color w:val="FFFFFF" w:themeColor="background1"/>
                <w:sz w:val="18"/>
                <w:szCs w:val="18"/>
              </w:rPr>
              <w:t>$</w:t>
            </w:r>
          </w:p>
        </w:tc>
      </w:tr>
    </w:tbl>
    <w:p w14:paraId="7A8C4AA2" w14:textId="009F3F5F" w:rsidR="002E2687" w:rsidRPr="009E48E7" w:rsidRDefault="006A2E20" w:rsidP="00BE1E7C">
      <w:pPr>
        <w:spacing w:after="160"/>
        <w:rPr>
          <w:rFonts w:ascii="Arial" w:hAnsi="Arial" w:cs="Arial"/>
        </w:rPr>
      </w:pPr>
      <w:r w:rsidRPr="006A2E20">
        <w:rPr>
          <w:rFonts w:ascii="Arial" w:hAnsi="Arial" w:cs="Arial"/>
        </w:rPr>
        <w:t>[</w:t>
      </w:r>
      <w:r w:rsidR="006F7C83" w:rsidRPr="006A2E20">
        <w:rPr>
          <w:rFonts w:ascii="Arial" w:hAnsi="Arial" w:cs="Arial"/>
          <w:i/>
          <w:iCs/>
        </w:rPr>
        <w:t>Where an additional fee such as a special exertion payment is made to a director in relation to services as a director this should be separately disclosed.</w:t>
      </w:r>
      <w:r w:rsidR="00E74614" w:rsidRPr="009E48E7">
        <w:rPr>
          <w:rFonts w:ascii="Arial" w:hAnsi="Arial" w:cs="Arial"/>
        </w:rPr>
        <w:t>]</w:t>
      </w:r>
    </w:p>
    <w:p w14:paraId="26C728C6" w14:textId="41740DC5" w:rsidR="00A31833" w:rsidRPr="00A31833" w:rsidRDefault="006A2E20" w:rsidP="00A31833">
      <w:pPr>
        <w:spacing w:after="160"/>
        <w:rPr>
          <w:rFonts w:ascii="Arial" w:hAnsi="Arial" w:cs="Arial"/>
          <w:i/>
          <w:iCs/>
        </w:rPr>
      </w:pPr>
      <w:r>
        <w:rPr>
          <w:rFonts w:ascii="Arial" w:hAnsi="Arial" w:cs="Arial"/>
        </w:rPr>
        <w:t>[</w:t>
      </w:r>
      <w:r w:rsidR="0047425F" w:rsidRPr="009E48E7">
        <w:rPr>
          <w:rFonts w:ascii="Arial" w:hAnsi="Arial" w:cs="Arial"/>
        </w:rPr>
        <w:t>*</w:t>
      </w:r>
      <w:r w:rsidR="0047425F" w:rsidRPr="006A2E20">
        <w:rPr>
          <w:rFonts w:ascii="Arial" w:hAnsi="Arial" w:cs="Arial"/>
          <w:i/>
          <w:iCs/>
        </w:rPr>
        <w:t>Include in the table above the total number of shares held by a director, or a cross-reference to where this information is available elsewhere in the annual report.</w:t>
      </w:r>
      <w:r w:rsidRPr="006A2E20">
        <w:rPr>
          <w:rFonts w:ascii="Arial" w:hAnsi="Arial" w:cs="Arial"/>
          <w:i/>
          <w:iCs/>
        </w:rPr>
        <w:t>]</w:t>
      </w:r>
    </w:p>
    <w:tbl>
      <w:tblPr>
        <w:tblStyle w:val="TableGrid"/>
        <w:tblpPr w:leftFromText="180" w:rightFromText="180" w:vertAnchor="text" w:horzAnchor="margin" w:tblpY="27"/>
        <w:tblW w:w="14596" w:type="dxa"/>
        <w:tblLook w:val="04A0" w:firstRow="1" w:lastRow="0" w:firstColumn="1" w:lastColumn="0" w:noHBand="0" w:noVBand="1"/>
      </w:tblPr>
      <w:tblGrid>
        <w:gridCol w:w="14596"/>
      </w:tblGrid>
      <w:tr w:rsidR="003736B7" w14:paraId="1F7F629F" w14:textId="77777777" w:rsidTr="007F4963">
        <w:tc>
          <w:tcPr>
            <w:tcW w:w="14596" w:type="dxa"/>
          </w:tcPr>
          <w:p w14:paraId="415B3596" w14:textId="77777777" w:rsidR="003736B7" w:rsidRPr="00BB0277" w:rsidRDefault="003736B7" w:rsidP="00BB0277">
            <w:pPr>
              <w:spacing w:before="60" w:after="60"/>
              <w:rPr>
                <w:rFonts w:ascii="Arial" w:hAnsi="Arial" w:cs="Arial"/>
                <w:b/>
                <w:bCs/>
                <w:i/>
                <w:iCs/>
              </w:rPr>
            </w:pPr>
            <w:r w:rsidRPr="00BB0277">
              <w:rPr>
                <w:rFonts w:ascii="Arial" w:hAnsi="Arial" w:cs="Arial"/>
                <w:b/>
                <w:bCs/>
                <w:i/>
                <w:iCs/>
              </w:rPr>
              <w:t>Source note</w:t>
            </w:r>
          </w:p>
          <w:p w14:paraId="632382D2" w14:textId="77777777" w:rsidR="003736B7" w:rsidRPr="00BB0277" w:rsidRDefault="003736B7" w:rsidP="00BB0277">
            <w:pPr>
              <w:spacing w:before="60" w:after="60"/>
              <w:rPr>
                <w:rFonts w:ascii="Arial" w:hAnsi="Arial" w:cs="Arial"/>
                <w:i/>
                <w:iCs/>
              </w:rPr>
            </w:pPr>
            <w:r w:rsidRPr="00BB0277">
              <w:rPr>
                <w:rFonts w:ascii="Arial" w:hAnsi="Arial" w:cs="Arial"/>
                <w:b/>
                <w:bCs/>
                <w:i/>
                <w:iCs/>
              </w:rPr>
              <w:t>Address recommendation 5.1 of the NZX Code</w:t>
            </w:r>
            <w:r w:rsidRPr="00BB0277">
              <w:rPr>
                <w:rFonts w:ascii="Arial" w:hAnsi="Arial" w:cs="Arial"/>
                <w:i/>
                <w:iCs/>
              </w:rPr>
              <w:t xml:space="preserve">: An issuer should have a remuneration policy for the remuneration of directors.  An issuer should recommend director remuneration packages to shareholders for approval in a transparent manner.  Actual director remuneration should be clearly disclosed in the issuer’s annual report. Issuers should disclose director remuneration both awarded in relation to performance during the reporting period and amounts paid to directors during the reporting period.   </w:t>
            </w:r>
          </w:p>
          <w:p w14:paraId="6FD4A1B4" w14:textId="77777777" w:rsidR="003736B7" w:rsidRPr="00BB0277" w:rsidRDefault="003736B7" w:rsidP="00BB0277">
            <w:pPr>
              <w:spacing w:before="60" w:after="60"/>
              <w:rPr>
                <w:rFonts w:ascii="Arial" w:hAnsi="Arial" w:cs="Arial"/>
                <w:i/>
                <w:iCs/>
              </w:rPr>
            </w:pPr>
            <w:r w:rsidRPr="00BB0277">
              <w:rPr>
                <w:rFonts w:ascii="Arial" w:hAnsi="Arial" w:cs="Arial"/>
                <w:b/>
                <w:bCs/>
                <w:i/>
                <w:iCs/>
              </w:rPr>
              <w:t xml:space="preserve">Address Companies Act 1993, s 211(1)(f): </w:t>
            </w:r>
            <w:r w:rsidRPr="00BB0277">
              <w:rPr>
                <w:rFonts w:ascii="Arial" w:hAnsi="Arial" w:cs="Arial"/>
                <w:i/>
                <w:iCs/>
              </w:rPr>
              <w:t>This section refers to the total</w:t>
            </w:r>
            <w:r w:rsidRPr="00BB0277">
              <w:rPr>
                <w:rFonts w:ascii="Arial" w:hAnsi="Arial" w:cs="Arial"/>
                <w:b/>
                <w:bCs/>
                <w:i/>
                <w:iCs/>
              </w:rPr>
              <w:t xml:space="preserve"> </w:t>
            </w:r>
            <w:r w:rsidRPr="00BB0277">
              <w:rPr>
                <w:rFonts w:ascii="Arial" w:hAnsi="Arial" w:cs="Arial"/>
                <w:i/>
                <w:iCs/>
              </w:rPr>
              <w:t xml:space="preserve">director remuneration received, whereas the NZX Code refers to ‘actual’ director remuneration which includes amounts awarded relating to the reporting period (regardless of when or how they are paid). </w:t>
            </w:r>
            <w:r w:rsidR="006F7C83" w:rsidRPr="00BB0277">
              <w:rPr>
                <w:rFonts w:ascii="Arial" w:hAnsi="Arial" w:cs="Arial"/>
                <w:i/>
                <w:iCs/>
              </w:rPr>
              <w:t>This section requires the disclosure of total remuneration and ‘other benefits’.</w:t>
            </w:r>
          </w:p>
          <w:p w14:paraId="645EAF7E" w14:textId="6F686F3A" w:rsidR="00200892" w:rsidRPr="00B45915" w:rsidRDefault="00200892" w:rsidP="00BB0277">
            <w:pPr>
              <w:spacing w:before="60" w:after="60"/>
              <w:rPr>
                <w:color w:val="4472C4" w:themeColor="accent1"/>
                <w:sz w:val="32"/>
                <w:szCs w:val="32"/>
              </w:rPr>
            </w:pPr>
            <w:r w:rsidRPr="00BB0277">
              <w:rPr>
                <w:rFonts w:ascii="Arial" w:hAnsi="Arial" w:cs="Arial"/>
                <w:b/>
                <w:bCs/>
                <w:i/>
                <w:iCs/>
              </w:rPr>
              <w:t xml:space="preserve">NZX Listing Rule 3.7.1(d):  </w:t>
            </w:r>
            <w:r w:rsidRPr="00BB0277">
              <w:rPr>
                <w:rFonts w:ascii="Arial" w:hAnsi="Arial" w:cs="Arial"/>
                <w:i/>
                <w:iCs/>
              </w:rPr>
              <w:t>The annual report of an Issuer of Quoted Equity Securities or Quoted Debt Securities must contain details of the Quoted Financial Products, and Financial Products that may Convert to Quoted Financial Products, in which each Director h</w:t>
            </w:r>
            <w:r w:rsidRPr="00543B37">
              <w:rPr>
                <w:rFonts w:ascii="Arial" w:hAnsi="Arial" w:cs="Arial"/>
                <w:i/>
                <w:iCs/>
              </w:rPr>
              <w:t>as a Relevant Interest at the balance date of the financial year in respect of which the annual report is prepared.</w:t>
            </w:r>
          </w:p>
        </w:tc>
      </w:tr>
    </w:tbl>
    <w:p w14:paraId="0D217951" w14:textId="0DC2D559" w:rsidR="00E268F3" w:rsidRDefault="00E268F3">
      <w:pPr>
        <w:spacing w:after="160" w:line="259" w:lineRule="auto"/>
        <w:rPr>
          <w:i/>
          <w:iCs/>
          <w:sz w:val="24"/>
          <w:szCs w:val="24"/>
        </w:rPr>
      </w:pPr>
    </w:p>
    <w:p w14:paraId="503D18C1" w14:textId="77777777" w:rsidR="00C92DDA" w:rsidRDefault="00C92DDA" w:rsidP="00E268F3">
      <w:pPr>
        <w:spacing w:after="160" w:line="259" w:lineRule="auto"/>
        <w:rPr>
          <w:b/>
          <w:bCs/>
          <w:sz w:val="36"/>
          <w:szCs w:val="36"/>
        </w:rPr>
        <w:sectPr w:rsidR="00C92DDA" w:rsidSect="00C92DDA">
          <w:pgSz w:w="16838" w:h="11906" w:orient="landscape"/>
          <w:pgMar w:top="1440" w:right="1701" w:bottom="1440" w:left="1440" w:header="709" w:footer="709" w:gutter="0"/>
          <w:cols w:space="709"/>
          <w:docGrid w:linePitch="360"/>
        </w:sectPr>
      </w:pPr>
    </w:p>
    <w:p w14:paraId="6AC2D856" w14:textId="77777777" w:rsidR="00E268F3" w:rsidRPr="00BB0277" w:rsidRDefault="00E268F3" w:rsidP="00BB0277">
      <w:pPr>
        <w:pStyle w:val="Heading1"/>
        <w:spacing w:after="120"/>
        <w:rPr>
          <w:rFonts w:ascii="Arial" w:hAnsi="Arial" w:cs="Arial"/>
          <w:b/>
          <w:bCs/>
        </w:rPr>
      </w:pPr>
      <w:bookmarkStart w:id="14" w:name="_Toc151713712"/>
      <w:r w:rsidRPr="00BB0277">
        <w:rPr>
          <w:rFonts w:ascii="Arial" w:hAnsi="Arial" w:cs="Arial"/>
          <w:b/>
          <w:bCs/>
        </w:rPr>
        <w:lastRenderedPageBreak/>
        <w:t>Glossary</w:t>
      </w:r>
      <w:bookmarkEnd w:id="14"/>
    </w:p>
    <w:p w14:paraId="74A193E5" w14:textId="286A3D21" w:rsidR="00E57288" w:rsidRPr="009E48E7" w:rsidRDefault="00E268F3" w:rsidP="00BE1E7C">
      <w:pPr>
        <w:spacing w:after="160"/>
        <w:ind w:left="1729" w:hanging="1729"/>
        <w:rPr>
          <w:rFonts w:ascii="Arial" w:hAnsi="Arial" w:cs="Arial"/>
        </w:rPr>
      </w:pPr>
      <w:bookmarkStart w:id="15" w:name="_Hlk149233806"/>
      <w:r w:rsidRPr="009E48E7">
        <w:rPr>
          <w:rFonts w:ascii="Arial" w:hAnsi="Arial" w:cs="Arial"/>
          <w:b/>
          <w:bCs/>
        </w:rPr>
        <w:t>‘Awarded’</w:t>
      </w:r>
      <w:r w:rsidRPr="009E48E7">
        <w:rPr>
          <w:rFonts w:ascii="Arial" w:hAnsi="Arial" w:cs="Arial"/>
          <w:b/>
          <w:bCs/>
        </w:rPr>
        <w:tab/>
      </w:r>
      <w:r w:rsidRPr="009E48E7">
        <w:rPr>
          <w:rFonts w:ascii="Arial" w:hAnsi="Arial" w:cs="Arial"/>
        </w:rPr>
        <w:t xml:space="preserve">means </w:t>
      </w:r>
      <w:r w:rsidR="006916D0" w:rsidRPr="009E48E7">
        <w:rPr>
          <w:rFonts w:ascii="Arial" w:hAnsi="Arial" w:cs="Arial"/>
        </w:rPr>
        <w:t xml:space="preserve">an entitlement </w:t>
      </w:r>
      <w:r w:rsidR="00B81547" w:rsidRPr="009E48E7">
        <w:rPr>
          <w:rFonts w:ascii="Arial" w:hAnsi="Arial" w:cs="Arial"/>
        </w:rPr>
        <w:t xml:space="preserve">that </w:t>
      </w:r>
      <w:r w:rsidR="00200892">
        <w:rPr>
          <w:rFonts w:ascii="Arial" w:hAnsi="Arial" w:cs="Arial"/>
        </w:rPr>
        <w:t xml:space="preserve">has been awarded to an employee but </w:t>
      </w:r>
      <w:r w:rsidR="00B81547" w:rsidRPr="009E48E7">
        <w:rPr>
          <w:rFonts w:ascii="Arial" w:hAnsi="Arial" w:cs="Arial"/>
        </w:rPr>
        <w:t xml:space="preserve">remains at risk due </w:t>
      </w:r>
      <w:r w:rsidR="006916D0" w:rsidRPr="009E48E7">
        <w:rPr>
          <w:rFonts w:ascii="Arial" w:hAnsi="Arial" w:cs="Arial"/>
        </w:rPr>
        <w:t>to the requirement to satisfy conditions (for example:</w:t>
      </w:r>
      <w:r w:rsidR="004B42EA" w:rsidRPr="009E48E7">
        <w:rPr>
          <w:rFonts w:ascii="Arial" w:hAnsi="Arial" w:cs="Arial"/>
        </w:rPr>
        <w:t xml:space="preserve"> </w:t>
      </w:r>
      <w:r w:rsidR="00B81547" w:rsidRPr="009E48E7">
        <w:rPr>
          <w:rFonts w:ascii="Arial" w:hAnsi="Arial" w:cs="Arial"/>
        </w:rPr>
        <w:t>individual or organi</w:t>
      </w:r>
      <w:r w:rsidR="00200892">
        <w:rPr>
          <w:rFonts w:ascii="Arial" w:hAnsi="Arial" w:cs="Arial"/>
        </w:rPr>
        <w:t>s</w:t>
      </w:r>
      <w:r w:rsidR="00B81547" w:rsidRPr="009E48E7">
        <w:rPr>
          <w:rFonts w:ascii="Arial" w:hAnsi="Arial" w:cs="Arial"/>
        </w:rPr>
        <w:t xml:space="preserve">ational </w:t>
      </w:r>
      <w:r w:rsidR="004B42EA" w:rsidRPr="009E48E7">
        <w:rPr>
          <w:rFonts w:ascii="Arial" w:hAnsi="Arial" w:cs="Arial"/>
        </w:rPr>
        <w:t>performance hurdles</w:t>
      </w:r>
      <w:r w:rsidR="006916D0" w:rsidRPr="009E48E7">
        <w:rPr>
          <w:rFonts w:ascii="Arial" w:hAnsi="Arial" w:cs="Arial"/>
        </w:rPr>
        <w:t>)</w:t>
      </w:r>
      <w:r w:rsidR="00B81547" w:rsidRPr="009E48E7">
        <w:rPr>
          <w:rFonts w:ascii="Arial" w:hAnsi="Arial" w:cs="Arial"/>
        </w:rPr>
        <w:t>, such as a bonus entitlement under a STI scheme</w:t>
      </w:r>
      <w:r w:rsidR="00200892">
        <w:rPr>
          <w:rFonts w:ascii="Arial" w:hAnsi="Arial" w:cs="Arial"/>
        </w:rPr>
        <w:t xml:space="preserve"> that has not yet been Earned or Paid</w:t>
      </w:r>
      <w:r w:rsidR="00B81547" w:rsidRPr="009E48E7">
        <w:rPr>
          <w:rFonts w:ascii="Arial" w:hAnsi="Arial" w:cs="Arial"/>
        </w:rPr>
        <w:t xml:space="preserve">, or performance share rights that have not yet </w:t>
      </w:r>
      <w:r w:rsidR="00200892">
        <w:rPr>
          <w:rFonts w:ascii="Arial" w:hAnsi="Arial" w:cs="Arial"/>
        </w:rPr>
        <w:t>Vested.</w:t>
      </w:r>
    </w:p>
    <w:p w14:paraId="6304C440" w14:textId="3DCBADA4" w:rsidR="00E57288" w:rsidRPr="009E48E7" w:rsidRDefault="00E57288" w:rsidP="00BE1E7C">
      <w:pPr>
        <w:spacing w:after="160"/>
        <w:ind w:left="1729" w:hanging="1729"/>
        <w:rPr>
          <w:rFonts w:ascii="Arial" w:hAnsi="Arial" w:cs="Arial"/>
        </w:rPr>
      </w:pPr>
      <w:r w:rsidRPr="009E48E7">
        <w:rPr>
          <w:rFonts w:ascii="Arial" w:hAnsi="Arial" w:cs="Arial"/>
          <w:b/>
          <w:bCs/>
        </w:rPr>
        <w:t xml:space="preserve">‘Base Salary’ </w:t>
      </w:r>
      <w:r w:rsidR="009E48E7">
        <w:rPr>
          <w:rFonts w:ascii="Arial" w:hAnsi="Arial" w:cs="Arial"/>
          <w:b/>
          <w:bCs/>
        </w:rPr>
        <w:tab/>
      </w:r>
      <w:r w:rsidRPr="009E48E7">
        <w:rPr>
          <w:rFonts w:ascii="Arial" w:hAnsi="Arial" w:cs="Arial"/>
        </w:rPr>
        <w:t xml:space="preserve">means the salary that has been </w:t>
      </w:r>
      <w:r w:rsidR="00200892">
        <w:rPr>
          <w:rFonts w:ascii="Arial" w:hAnsi="Arial" w:cs="Arial"/>
        </w:rPr>
        <w:t>P</w:t>
      </w:r>
      <w:r w:rsidRPr="009E48E7">
        <w:rPr>
          <w:rFonts w:ascii="Arial" w:hAnsi="Arial" w:cs="Arial"/>
        </w:rPr>
        <w:t xml:space="preserve">aid by the issuer to an employee, excluding any additional </w:t>
      </w:r>
      <w:r w:rsidR="008251D0" w:rsidRPr="009E48E7">
        <w:rPr>
          <w:rFonts w:ascii="Arial" w:hAnsi="Arial" w:cs="Arial"/>
        </w:rPr>
        <w:t xml:space="preserve">compensation </w:t>
      </w:r>
      <w:r w:rsidRPr="009E48E7">
        <w:rPr>
          <w:rFonts w:ascii="Arial" w:hAnsi="Arial" w:cs="Arial"/>
        </w:rPr>
        <w:t>or benefits</w:t>
      </w:r>
      <w:r w:rsidRPr="009E48E7">
        <w:rPr>
          <w:rFonts w:ascii="Arial" w:hAnsi="Arial" w:cs="Arial"/>
          <w:b/>
          <w:bCs/>
        </w:rPr>
        <w:t>.</w:t>
      </w:r>
    </w:p>
    <w:p w14:paraId="2F2EA1DA" w14:textId="23B2B31A" w:rsidR="00E268F3" w:rsidRDefault="00E268F3" w:rsidP="00BE1E7C">
      <w:pPr>
        <w:spacing w:after="160"/>
        <w:ind w:left="1729" w:hanging="1729"/>
        <w:rPr>
          <w:rFonts w:ascii="Arial" w:hAnsi="Arial" w:cs="Arial"/>
        </w:rPr>
      </w:pPr>
      <w:r w:rsidRPr="009E48E7">
        <w:rPr>
          <w:rFonts w:ascii="Arial" w:hAnsi="Arial" w:cs="Arial"/>
          <w:b/>
          <w:bCs/>
        </w:rPr>
        <w:t>‘Earned’</w:t>
      </w:r>
      <w:r w:rsidRPr="009E48E7">
        <w:rPr>
          <w:rFonts w:ascii="Arial" w:hAnsi="Arial" w:cs="Arial"/>
          <w:b/>
          <w:bCs/>
        </w:rPr>
        <w:tab/>
      </w:r>
      <w:r w:rsidRPr="009E48E7">
        <w:rPr>
          <w:rFonts w:ascii="Arial" w:hAnsi="Arial" w:cs="Arial"/>
        </w:rPr>
        <w:t xml:space="preserve">means money that an employee is entitled to receive and </w:t>
      </w:r>
      <w:r w:rsidR="00B81547" w:rsidRPr="009E48E7">
        <w:rPr>
          <w:rFonts w:ascii="Arial" w:hAnsi="Arial" w:cs="Arial"/>
        </w:rPr>
        <w:t>is</w:t>
      </w:r>
      <w:r w:rsidRPr="009E48E7">
        <w:rPr>
          <w:rFonts w:ascii="Arial" w:hAnsi="Arial" w:cs="Arial"/>
        </w:rPr>
        <w:t xml:space="preserve"> no longer at risk, </w:t>
      </w:r>
      <w:r w:rsidR="006A2E20">
        <w:rPr>
          <w:rFonts w:ascii="Arial" w:hAnsi="Arial" w:cs="Arial"/>
        </w:rPr>
        <w:t xml:space="preserve">regardless of </w:t>
      </w:r>
      <w:proofErr w:type="gramStart"/>
      <w:r w:rsidR="006A2E20">
        <w:rPr>
          <w:rFonts w:ascii="Arial" w:hAnsi="Arial" w:cs="Arial"/>
        </w:rPr>
        <w:t>w</w:t>
      </w:r>
      <w:r w:rsidR="00250933">
        <w:rPr>
          <w:rFonts w:ascii="Arial" w:hAnsi="Arial" w:cs="Arial"/>
        </w:rPr>
        <w:t>hether or not</w:t>
      </w:r>
      <w:proofErr w:type="gramEnd"/>
      <w:r w:rsidR="00250933">
        <w:rPr>
          <w:rFonts w:ascii="Arial" w:hAnsi="Arial" w:cs="Arial"/>
        </w:rPr>
        <w:t xml:space="preserve"> it has been P</w:t>
      </w:r>
      <w:r w:rsidR="006916D0" w:rsidRPr="009E48E7">
        <w:rPr>
          <w:rFonts w:ascii="Arial" w:hAnsi="Arial" w:cs="Arial"/>
        </w:rPr>
        <w:t>aid</w:t>
      </w:r>
      <w:r w:rsidRPr="009E48E7">
        <w:rPr>
          <w:rFonts w:ascii="Arial" w:hAnsi="Arial" w:cs="Arial"/>
        </w:rPr>
        <w:t>.</w:t>
      </w:r>
    </w:p>
    <w:p w14:paraId="7E5333D9" w14:textId="721A64EE" w:rsidR="00200892" w:rsidRPr="00200892" w:rsidRDefault="00200892" w:rsidP="00BE1E7C">
      <w:pPr>
        <w:spacing w:after="160"/>
        <w:ind w:left="1729" w:hanging="1729"/>
        <w:rPr>
          <w:rFonts w:ascii="Arial" w:hAnsi="Arial" w:cs="Arial"/>
        </w:rPr>
      </w:pPr>
      <w:r>
        <w:rPr>
          <w:rFonts w:ascii="Arial" w:hAnsi="Arial" w:cs="Arial"/>
          <w:b/>
          <w:bCs/>
        </w:rPr>
        <w:t>‘EPS’</w:t>
      </w:r>
      <w:r>
        <w:rPr>
          <w:rFonts w:ascii="Arial" w:hAnsi="Arial" w:cs="Arial"/>
          <w:b/>
          <w:bCs/>
        </w:rPr>
        <w:tab/>
      </w:r>
      <w:r>
        <w:rPr>
          <w:rFonts w:ascii="Arial" w:hAnsi="Arial" w:cs="Arial"/>
        </w:rPr>
        <w:t>means earnings per share</w:t>
      </w:r>
      <w:r w:rsidR="00250933">
        <w:rPr>
          <w:rFonts w:ascii="Arial" w:hAnsi="Arial" w:cs="Arial"/>
        </w:rPr>
        <w:t>.</w:t>
      </w:r>
    </w:p>
    <w:p w14:paraId="6D7033F7" w14:textId="0C493133" w:rsidR="00FE3B34" w:rsidRPr="009E48E7" w:rsidRDefault="00FE3B34" w:rsidP="00BE1E7C">
      <w:pPr>
        <w:spacing w:after="160"/>
        <w:ind w:left="1729" w:hanging="1729"/>
        <w:rPr>
          <w:rFonts w:ascii="Arial" w:hAnsi="Arial" w:cs="Arial"/>
        </w:rPr>
      </w:pPr>
      <w:r w:rsidRPr="009E48E7">
        <w:rPr>
          <w:rFonts w:ascii="Arial" w:hAnsi="Arial" w:cs="Arial"/>
          <w:b/>
          <w:bCs/>
        </w:rPr>
        <w:t>‘LTI’</w:t>
      </w:r>
      <w:r w:rsidRPr="009E48E7">
        <w:rPr>
          <w:rFonts w:ascii="Arial" w:hAnsi="Arial" w:cs="Arial"/>
          <w:b/>
          <w:bCs/>
        </w:rPr>
        <w:tab/>
      </w:r>
      <w:r w:rsidRPr="009E48E7">
        <w:rPr>
          <w:rFonts w:ascii="Arial" w:hAnsi="Arial" w:cs="Arial"/>
        </w:rPr>
        <w:t>means a long-term incentiv</w:t>
      </w:r>
      <w:r w:rsidR="00200892">
        <w:rPr>
          <w:rFonts w:ascii="Arial" w:hAnsi="Arial" w:cs="Arial"/>
        </w:rPr>
        <w:t>e</w:t>
      </w:r>
      <w:r w:rsidRPr="009E48E7">
        <w:rPr>
          <w:rFonts w:ascii="Arial" w:hAnsi="Arial" w:cs="Arial"/>
        </w:rPr>
        <w:t>.</w:t>
      </w:r>
    </w:p>
    <w:p w14:paraId="71B4FCDF" w14:textId="3C305282" w:rsidR="004E003B" w:rsidRPr="009E48E7" w:rsidRDefault="004E003B" w:rsidP="00BE1E7C">
      <w:pPr>
        <w:spacing w:after="160"/>
        <w:ind w:left="1729" w:hanging="1729"/>
        <w:rPr>
          <w:rFonts w:ascii="Arial" w:hAnsi="Arial" w:cs="Arial"/>
        </w:rPr>
      </w:pPr>
      <w:r w:rsidRPr="009E48E7">
        <w:rPr>
          <w:rFonts w:ascii="Arial" w:hAnsi="Arial" w:cs="Arial"/>
          <w:b/>
          <w:bCs/>
        </w:rPr>
        <w:t>'NZX Code’</w:t>
      </w:r>
      <w:r w:rsidRPr="009E48E7">
        <w:rPr>
          <w:rFonts w:ascii="Arial" w:hAnsi="Arial" w:cs="Arial"/>
          <w:b/>
          <w:bCs/>
        </w:rPr>
        <w:tab/>
      </w:r>
      <w:r w:rsidRPr="009E48E7">
        <w:rPr>
          <w:rFonts w:ascii="Arial" w:hAnsi="Arial" w:cs="Arial"/>
        </w:rPr>
        <w:t xml:space="preserve">means the NZX Corporate Governance Code, available </w:t>
      </w:r>
      <w:hyperlink r:id="rId13" w:history="1">
        <w:r w:rsidRPr="009E48E7">
          <w:rPr>
            <w:rStyle w:val="Hyperlink"/>
            <w:rFonts w:ascii="Arial" w:hAnsi="Arial" w:cs="Arial"/>
          </w:rPr>
          <w:t>here</w:t>
        </w:r>
      </w:hyperlink>
      <w:r w:rsidRPr="009E48E7">
        <w:rPr>
          <w:rFonts w:ascii="Arial" w:hAnsi="Arial" w:cs="Arial"/>
        </w:rPr>
        <w:t>.</w:t>
      </w:r>
    </w:p>
    <w:p w14:paraId="46E7236C" w14:textId="444A4E91" w:rsidR="00E268F3" w:rsidRDefault="00E268F3" w:rsidP="00BE1E7C">
      <w:pPr>
        <w:spacing w:after="160"/>
        <w:ind w:left="1729" w:hanging="1729"/>
        <w:rPr>
          <w:rFonts w:ascii="Arial" w:hAnsi="Arial" w:cs="Arial"/>
        </w:rPr>
      </w:pPr>
      <w:r w:rsidRPr="009E48E7">
        <w:rPr>
          <w:rFonts w:ascii="Arial" w:hAnsi="Arial" w:cs="Arial"/>
          <w:b/>
          <w:bCs/>
        </w:rPr>
        <w:t>‘Paid’</w:t>
      </w:r>
      <w:r w:rsidRPr="009E48E7">
        <w:rPr>
          <w:rFonts w:ascii="Arial" w:hAnsi="Arial" w:cs="Arial"/>
          <w:b/>
          <w:bCs/>
        </w:rPr>
        <w:tab/>
      </w:r>
      <w:r w:rsidRPr="009E48E7">
        <w:rPr>
          <w:rFonts w:ascii="Arial" w:hAnsi="Arial" w:cs="Arial"/>
        </w:rPr>
        <w:t>means money that has been paid by the issuer to an employee or director</w:t>
      </w:r>
      <w:r w:rsidR="00E36C94" w:rsidRPr="009E48E7">
        <w:rPr>
          <w:rFonts w:ascii="Arial" w:hAnsi="Arial" w:cs="Arial"/>
        </w:rPr>
        <w:t>.</w:t>
      </w:r>
    </w:p>
    <w:p w14:paraId="32BE1934" w14:textId="22E49645" w:rsidR="00200892" w:rsidRPr="009E48E7" w:rsidRDefault="00200892" w:rsidP="00BE1E7C">
      <w:pPr>
        <w:spacing w:after="160"/>
        <w:ind w:left="1729" w:hanging="1729"/>
        <w:rPr>
          <w:rFonts w:ascii="Arial" w:hAnsi="Arial" w:cs="Arial"/>
        </w:rPr>
      </w:pPr>
      <w:r>
        <w:rPr>
          <w:rFonts w:ascii="Arial" w:hAnsi="Arial" w:cs="Arial"/>
          <w:b/>
          <w:bCs/>
        </w:rPr>
        <w:t>‘</w:t>
      </w:r>
      <w:r w:rsidR="00CC52A0">
        <w:rPr>
          <w:rFonts w:ascii="Arial" w:hAnsi="Arial" w:cs="Arial"/>
          <w:b/>
          <w:bCs/>
        </w:rPr>
        <w:t>PSRs</w:t>
      </w:r>
      <w:r>
        <w:rPr>
          <w:rFonts w:ascii="Arial" w:hAnsi="Arial" w:cs="Arial"/>
          <w:b/>
          <w:bCs/>
        </w:rPr>
        <w:t>’</w:t>
      </w:r>
      <w:r w:rsidR="00CC52A0">
        <w:rPr>
          <w:rFonts w:ascii="Arial" w:hAnsi="Arial" w:cs="Arial"/>
          <w:b/>
          <w:bCs/>
        </w:rPr>
        <w:tab/>
      </w:r>
      <w:r w:rsidR="00CC52A0" w:rsidRPr="00CC52A0">
        <w:rPr>
          <w:rFonts w:ascii="Arial" w:hAnsi="Arial" w:cs="Arial"/>
        </w:rPr>
        <w:t>means</w:t>
      </w:r>
      <w:r w:rsidR="00CC52A0">
        <w:rPr>
          <w:rFonts w:ascii="Arial" w:hAnsi="Arial" w:cs="Arial"/>
        </w:rPr>
        <w:t xml:space="preserve"> performance share rights.</w:t>
      </w:r>
    </w:p>
    <w:p w14:paraId="4A274375" w14:textId="3324BDCB" w:rsidR="00F96386" w:rsidRPr="009E48E7" w:rsidRDefault="00F96386" w:rsidP="00BE1E7C">
      <w:pPr>
        <w:spacing w:after="160"/>
        <w:ind w:left="1729" w:hanging="1729"/>
        <w:rPr>
          <w:rFonts w:ascii="Arial" w:hAnsi="Arial" w:cs="Arial"/>
        </w:rPr>
      </w:pPr>
      <w:r w:rsidRPr="009E48E7">
        <w:rPr>
          <w:rFonts w:ascii="Arial" w:hAnsi="Arial" w:cs="Arial"/>
          <w:b/>
          <w:bCs/>
        </w:rPr>
        <w:t>‘Securities’</w:t>
      </w:r>
      <w:r w:rsidRPr="009E48E7">
        <w:rPr>
          <w:rFonts w:ascii="Arial" w:hAnsi="Arial" w:cs="Arial"/>
          <w:b/>
          <w:bCs/>
        </w:rPr>
        <w:tab/>
      </w:r>
      <w:r w:rsidRPr="009E48E7">
        <w:rPr>
          <w:rFonts w:ascii="Arial" w:hAnsi="Arial" w:cs="Arial"/>
        </w:rPr>
        <w:t xml:space="preserve">means financial products as defined in the Financial Markets Conduct Act 2013, or other </w:t>
      </w:r>
      <w:r w:rsidR="00CC52A0">
        <w:rPr>
          <w:rFonts w:ascii="Arial" w:hAnsi="Arial" w:cs="Arial"/>
        </w:rPr>
        <w:t xml:space="preserve">financial </w:t>
      </w:r>
      <w:r w:rsidRPr="009E48E7">
        <w:rPr>
          <w:rFonts w:ascii="Arial" w:hAnsi="Arial" w:cs="Arial"/>
        </w:rPr>
        <w:t>instruments (such as phantom shares).</w:t>
      </w:r>
    </w:p>
    <w:p w14:paraId="7AE99EEF" w14:textId="7B59CDE2" w:rsidR="00FE3B34" w:rsidRDefault="00FE3B34" w:rsidP="00BE1E7C">
      <w:pPr>
        <w:spacing w:after="160"/>
        <w:ind w:left="1729" w:hanging="1729"/>
        <w:rPr>
          <w:rFonts w:ascii="Arial" w:hAnsi="Arial" w:cs="Arial"/>
        </w:rPr>
      </w:pPr>
      <w:r w:rsidRPr="009E48E7">
        <w:rPr>
          <w:rFonts w:ascii="Arial" w:hAnsi="Arial" w:cs="Arial"/>
          <w:b/>
          <w:bCs/>
        </w:rPr>
        <w:t>‘STI’</w:t>
      </w:r>
      <w:r w:rsidRPr="009E48E7">
        <w:rPr>
          <w:rFonts w:ascii="Arial" w:hAnsi="Arial" w:cs="Arial"/>
          <w:b/>
          <w:bCs/>
        </w:rPr>
        <w:tab/>
      </w:r>
      <w:r w:rsidRPr="009E48E7">
        <w:rPr>
          <w:rFonts w:ascii="Arial" w:hAnsi="Arial" w:cs="Arial"/>
        </w:rPr>
        <w:t>means a short-term incentive.</w:t>
      </w:r>
    </w:p>
    <w:p w14:paraId="461508AD" w14:textId="415C7CE9" w:rsidR="00543B37" w:rsidRPr="00543B37" w:rsidRDefault="00543B37" w:rsidP="00BE1E7C">
      <w:pPr>
        <w:spacing w:after="160"/>
        <w:ind w:left="1729" w:hanging="1729"/>
        <w:rPr>
          <w:rFonts w:ascii="Arial" w:hAnsi="Arial" w:cs="Arial"/>
        </w:rPr>
      </w:pPr>
      <w:r>
        <w:rPr>
          <w:rFonts w:ascii="Arial" w:hAnsi="Arial" w:cs="Arial"/>
          <w:b/>
          <w:bCs/>
        </w:rPr>
        <w:t xml:space="preserve">‘TSR’ </w:t>
      </w:r>
      <w:r>
        <w:rPr>
          <w:rFonts w:ascii="Arial" w:hAnsi="Arial" w:cs="Arial"/>
          <w:b/>
          <w:bCs/>
        </w:rPr>
        <w:tab/>
      </w:r>
      <w:r>
        <w:rPr>
          <w:rFonts w:ascii="Arial" w:hAnsi="Arial" w:cs="Arial"/>
        </w:rPr>
        <w:t>means total shareholder return.</w:t>
      </w:r>
    </w:p>
    <w:p w14:paraId="0C62E1D1" w14:textId="2C0F36B4" w:rsidR="00E268F3" w:rsidRPr="009E48E7" w:rsidRDefault="00E268F3" w:rsidP="00BE1E7C">
      <w:pPr>
        <w:spacing w:after="160"/>
        <w:ind w:left="1729" w:hanging="1729"/>
        <w:rPr>
          <w:rFonts w:ascii="Arial" w:hAnsi="Arial" w:cs="Arial"/>
        </w:rPr>
      </w:pPr>
      <w:r w:rsidRPr="009E48E7">
        <w:rPr>
          <w:rFonts w:ascii="Arial" w:hAnsi="Arial" w:cs="Arial"/>
          <w:b/>
          <w:bCs/>
        </w:rPr>
        <w:t>‘Vested’</w:t>
      </w:r>
      <w:r w:rsidRPr="009E48E7">
        <w:rPr>
          <w:rFonts w:ascii="Arial" w:hAnsi="Arial" w:cs="Arial"/>
          <w:b/>
          <w:bCs/>
        </w:rPr>
        <w:tab/>
      </w:r>
      <w:r w:rsidRPr="009E48E7">
        <w:rPr>
          <w:rFonts w:ascii="Arial" w:hAnsi="Arial" w:cs="Arial"/>
        </w:rPr>
        <w:t>means</w:t>
      </w:r>
      <w:r w:rsidR="00B81547" w:rsidRPr="009E48E7">
        <w:rPr>
          <w:rFonts w:ascii="Arial" w:hAnsi="Arial" w:cs="Arial"/>
        </w:rPr>
        <w:t xml:space="preserve"> Securities</w:t>
      </w:r>
      <w:r w:rsidR="0042638B" w:rsidRPr="009E48E7">
        <w:rPr>
          <w:rFonts w:ascii="Arial" w:hAnsi="Arial" w:cs="Arial"/>
        </w:rPr>
        <w:t xml:space="preserve"> </w:t>
      </w:r>
      <w:r w:rsidR="00AF39BA" w:rsidRPr="009E48E7">
        <w:rPr>
          <w:rFonts w:ascii="Arial" w:hAnsi="Arial" w:cs="Arial"/>
        </w:rPr>
        <w:t xml:space="preserve">to which an employee is entitled (for example because performance hurdles have been satisfied) </w:t>
      </w:r>
      <w:r w:rsidR="006A2E20">
        <w:rPr>
          <w:rFonts w:ascii="Arial" w:hAnsi="Arial" w:cs="Arial"/>
        </w:rPr>
        <w:t>regardless of whe</w:t>
      </w:r>
      <w:r w:rsidR="00250933">
        <w:rPr>
          <w:rFonts w:ascii="Arial" w:hAnsi="Arial" w:cs="Arial"/>
        </w:rPr>
        <w:t>ther or not</w:t>
      </w:r>
      <w:r w:rsidR="006A2E20">
        <w:rPr>
          <w:rFonts w:ascii="Arial" w:hAnsi="Arial" w:cs="Arial"/>
        </w:rPr>
        <w:t xml:space="preserve"> th</w:t>
      </w:r>
      <w:r w:rsidR="00250933">
        <w:rPr>
          <w:rFonts w:ascii="Arial" w:hAnsi="Arial" w:cs="Arial"/>
        </w:rPr>
        <w:t>os</w:t>
      </w:r>
      <w:r w:rsidR="006A2E20">
        <w:rPr>
          <w:rFonts w:ascii="Arial" w:hAnsi="Arial" w:cs="Arial"/>
        </w:rPr>
        <w:t xml:space="preserve">e Securities </w:t>
      </w:r>
      <w:r w:rsidR="00250933">
        <w:rPr>
          <w:rFonts w:ascii="Arial" w:hAnsi="Arial" w:cs="Arial"/>
        </w:rPr>
        <w:t>have been</w:t>
      </w:r>
      <w:r w:rsidR="00AF39BA" w:rsidRPr="009E48E7">
        <w:rPr>
          <w:rFonts w:ascii="Arial" w:hAnsi="Arial" w:cs="Arial"/>
        </w:rPr>
        <w:t xml:space="preserve"> issued or transferred to the employee</w:t>
      </w:r>
      <w:r w:rsidR="00B81547" w:rsidRPr="009E48E7">
        <w:rPr>
          <w:rFonts w:ascii="Arial" w:hAnsi="Arial" w:cs="Arial"/>
        </w:rPr>
        <w:t>.</w:t>
      </w:r>
    </w:p>
    <w:p w14:paraId="402A5548" w14:textId="11C93075" w:rsidR="00AF39BA" w:rsidRPr="009E48E7" w:rsidRDefault="00AF39BA" w:rsidP="00BE1E7C">
      <w:pPr>
        <w:spacing w:after="160"/>
        <w:ind w:left="1729" w:hanging="1729"/>
        <w:rPr>
          <w:rFonts w:ascii="Arial" w:hAnsi="Arial" w:cs="Arial"/>
        </w:rPr>
      </w:pPr>
      <w:r w:rsidRPr="009E48E7">
        <w:rPr>
          <w:rFonts w:ascii="Arial" w:hAnsi="Arial" w:cs="Arial"/>
          <w:b/>
          <w:bCs/>
        </w:rPr>
        <w:t>‘Vesting Date’</w:t>
      </w:r>
      <w:r w:rsidR="009E48E7">
        <w:rPr>
          <w:rFonts w:ascii="Arial" w:hAnsi="Arial" w:cs="Arial"/>
          <w:b/>
          <w:bCs/>
        </w:rPr>
        <w:tab/>
      </w:r>
      <w:r w:rsidRPr="009E48E7">
        <w:rPr>
          <w:rFonts w:ascii="Arial" w:hAnsi="Arial" w:cs="Arial"/>
        </w:rPr>
        <w:t xml:space="preserve">means the date at which an assessment is made as to whether Securities </w:t>
      </w:r>
      <w:r w:rsidR="00CC52A0">
        <w:rPr>
          <w:rFonts w:ascii="Arial" w:hAnsi="Arial" w:cs="Arial"/>
        </w:rPr>
        <w:t xml:space="preserve">have Vested </w:t>
      </w:r>
      <w:r w:rsidRPr="009E48E7">
        <w:rPr>
          <w:rFonts w:ascii="Arial" w:hAnsi="Arial" w:cs="Arial"/>
        </w:rPr>
        <w:t>(for example: the date at which an assessment is made as to whether performance hurdles have been met).</w:t>
      </w:r>
    </w:p>
    <w:p w14:paraId="4F0ED91D" w14:textId="4CE0EE0B" w:rsidR="00AF39BA" w:rsidRPr="009E48E7" w:rsidRDefault="00AF39BA" w:rsidP="00BE1E7C">
      <w:pPr>
        <w:spacing w:after="160"/>
        <w:ind w:left="1440" w:hanging="1440"/>
        <w:rPr>
          <w:rFonts w:ascii="Arial" w:hAnsi="Arial" w:cs="Arial"/>
        </w:rPr>
      </w:pPr>
      <w:r w:rsidRPr="009E48E7">
        <w:rPr>
          <w:rFonts w:ascii="Arial" w:hAnsi="Arial" w:cs="Arial"/>
          <w:b/>
          <w:bCs/>
        </w:rPr>
        <w:t xml:space="preserve">‘Vesting Period’ </w:t>
      </w:r>
      <w:r w:rsidRPr="009E48E7">
        <w:rPr>
          <w:rFonts w:ascii="Arial" w:hAnsi="Arial" w:cs="Arial"/>
        </w:rPr>
        <w:t>means the period between the date of the Award and the Vesting Date.</w:t>
      </w:r>
    </w:p>
    <w:bookmarkEnd w:id="15"/>
    <w:p w14:paraId="24D91877" w14:textId="77777777" w:rsidR="00E268F3" w:rsidRPr="00E268F3" w:rsidRDefault="00E268F3" w:rsidP="00510C94">
      <w:pPr>
        <w:rPr>
          <w:sz w:val="24"/>
          <w:szCs w:val="24"/>
        </w:rPr>
      </w:pPr>
    </w:p>
    <w:sectPr w:rsidR="00E268F3" w:rsidRPr="00E268F3" w:rsidSect="007F4963">
      <w:pgSz w:w="11906" w:h="16838"/>
      <w:pgMar w:top="1701" w:right="1440" w:bottom="1440" w:left="144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D7CA" w14:textId="77777777" w:rsidR="009E1BBB" w:rsidRDefault="009E1BBB" w:rsidP="00F343D0">
      <w:pPr>
        <w:spacing w:after="0" w:line="240" w:lineRule="auto"/>
      </w:pPr>
      <w:r>
        <w:separator/>
      </w:r>
    </w:p>
  </w:endnote>
  <w:endnote w:type="continuationSeparator" w:id="0">
    <w:p w14:paraId="11B995B2" w14:textId="77777777" w:rsidR="009E1BBB" w:rsidRDefault="009E1BBB" w:rsidP="00F3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91C0" w14:textId="38B8F838" w:rsidR="00931A88" w:rsidRPr="00931A88" w:rsidRDefault="00BB0277" w:rsidP="00A31833">
    <w:pPr>
      <w:tabs>
        <w:tab w:val="left" w:pos="7938"/>
      </w:tabs>
      <w:autoSpaceDE w:val="0"/>
      <w:autoSpaceDN w:val="0"/>
      <w:adjustRightInd w:val="0"/>
      <w:spacing w:after="0" w:line="288" w:lineRule="auto"/>
      <w:textAlignment w:val="center"/>
      <w:rPr>
        <w:rFonts w:ascii="Arial" w:eastAsia="Arial" w:hAnsi="Arial" w:cs="Arial"/>
        <w:b/>
        <w:bCs/>
        <w:caps/>
        <w:noProof/>
        <w:color w:val="808080"/>
        <w:sz w:val="18"/>
        <w:szCs w:val="18"/>
        <w:lang w:val="en-US"/>
      </w:rPr>
    </w:pPr>
    <w:r w:rsidRPr="00E311CD">
      <w:rPr>
        <w:noProof/>
        <w:sz w:val="20"/>
        <w:szCs w:val="20"/>
      </w:rPr>
      <mc:AlternateContent>
        <mc:Choice Requires="wps">
          <w:drawing>
            <wp:anchor distT="0" distB="0" distL="114300" distR="114300" simplePos="0" relativeHeight="251660800" behindDoc="0" locked="0" layoutInCell="1" allowOverlap="1" wp14:anchorId="6E4E7145" wp14:editId="186EF298">
              <wp:simplePos x="0" y="0"/>
              <wp:positionH relativeFrom="rightMargin">
                <wp:align>left</wp:align>
              </wp:positionH>
              <wp:positionV relativeFrom="paragraph">
                <wp:posOffset>-31750</wp:posOffset>
              </wp:positionV>
              <wp:extent cx="195580" cy="195580"/>
              <wp:effectExtent l="0" t="0" r="0" b="0"/>
              <wp:wrapNone/>
              <wp:docPr id="589625388" name="Right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5580" cy="195580"/>
                      </a:xfrm>
                      <a:prstGeom prst="rtTriangle">
                        <a:avLst/>
                      </a:prstGeom>
                      <a:solidFill>
                        <a:srgbClr val="3397D3">
                          <a:lumMod val="100000"/>
                          <a:lumOff val="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95AF1"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0;margin-top:-2.5pt;width:15.4pt;height:15.4pt;rotation:180;z-index:251660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WCgIAAP8DAAAOAAAAZHJzL2Uyb0RvYy54bWysU9uO2yAQfa/Uf0C8N7Zz6SZWnNUq0VaV&#10;thdptx9AMLZRMUMHEif9+g44zUbtW1U/IGbGnDlzOKzvT71hR4Veg614Mck5U1ZCrW1b8W8vj++W&#10;nPkgbC0MWFXxs/L8fvP2zXpwpZpCB6ZWyAjE+nJwFe9CcGWWedmpXvgJOGWp2AD2IlCIbVajGAi9&#10;N9k0z99nA2DtEKTynrK7scg3Cb9plAxfmsarwEzFiVtIK6Z1H9dssxZli8J1Wl5oiH9g0QttqekV&#10;aieCYAfUf0H1WiJ4aMJEQp9B02ip0gw0TZH/Mc1zJ5xKs5A43l1l8v8PVn4+PruvGKl79wTyu2cW&#10;tp2wrXpAhKFToqZ2RRQqG5wvrwdi4Oko2w+foKarFYcASYNTgz1DIK2LfJnHL6VpWHZKyp+vyqtT&#10;YJKSxWqxWNL9SCpd9rGhKCNWJOfQhw8KehY3FcfwgppImiiPKMXxyYfxwO8f00RgdP2ojUkBtvut&#10;QXYUZIXZbHW3m6Wz5tAT/zFdjGyTKShP1hnzySfExo8YiZm/BTc2trAQm408YiYJFjWKdvTlHuoz&#10;6ZWUoVnp1dAkHeBPzgZyYMX9j4NAxZn5aEnzVTGfR8umYL64m1KAt5X9bUVYSVAVD5yN220YbX5w&#10;qNsuXkYa18ID3VOjk1yvrC5kyWVpuMuLiDa+jdNfr+928wsAAP//AwBQSwMEFAAGAAgAAAAhAASz&#10;gi7aAAAABQEAAA8AAABkcnMvZG93bnJldi54bWxMj81KxEAQhO+C7zC04G13YmRlieksQRC9mrii&#10;t9lMmwTnJ8xMNvHtbU96Kppqqr4qD6s14kwhjt4h3GwzEOQ6r0fXI7y2j5s9iJiU08p4RwjfFOFQ&#10;XV6UqtB+cS90blIvOMTFQiEMKU2FlLEbyKq49RM59j59sCrxGXqpg1o43BqZZ9mdtGp03DCoiR4G&#10;6r6a2SI083LM27YLb3paPqJ5qp/f6x7x+mqt70EkWtPfM/ziMzpUzHTys9NRGAQekhA2O1Z2bzPe&#10;cULId3uQVSn/01c/AAAA//8DAFBLAQItABQABgAIAAAAIQC2gziS/gAAAOEBAAATAAAAAAAAAAAA&#10;AAAAAAAAAABbQ29udGVudF9UeXBlc10ueG1sUEsBAi0AFAAGAAgAAAAhADj9If/WAAAAlAEAAAsA&#10;AAAAAAAAAAAAAAAALwEAAF9yZWxzLy5yZWxzUEsBAi0AFAAGAAgAAAAhAJD8whYKAgAA/wMAAA4A&#10;AAAAAAAAAAAAAAAALgIAAGRycy9lMm9Eb2MueG1sUEsBAi0AFAAGAAgAAAAhAASzgi7aAAAABQEA&#10;AA8AAAAAAAAAAAAAAAAAZAQAAGRycy9kb3ducmV2LnhtbFBLBQYAAAAABAAEAPMAAABrBQAAAAA=&#10;" fillcolor="#3397d3" stroked="f">
              <w10:wrap anchorx="margin"/>
            </v:shape>
          </w:pict>
        </mc:Fallback>
      </mc:AlternateContent>
    </w:r>
    <w:r w:rsidR="0078424A" w:rsidRPr="00E311CD">
      <w:rPr>
        <w:rFonts w:ascii="Arial" w:eastAsia="Arial" w:hAnsi="Arial" w:cs="Arial"/>
        <w:b/>
        <w:bCs/>
        <w:caps/>
        <w:noProof/>
        <w:color w:val="808080"/>
        <w:sz w:val="16"/>
        <w:szCs w:val="16"/>
        <w:lang w:val="en-US"/>
      </w:rPr>
      <w:t>REMUNERATION REPORTING TEMPLATE</w:t>
    </w:r>
    <w:r w:rsidR="00884A60">
      <w:rPr>
        <w:rFonts w:ascii="Arial" w:eastAsia="Arial" w:hAnsi="Arial" w:cs="Arial"/>
        <w:b/>
        <w:bCs/>
        <w:caps/>
        <w:noProof/>
        <w:color w:val="808080"/>
        <w:sz w:val="16"/>
        <w:szCs w:val="16"/>
        <w:lang w:val="en-US"/>
      </w:rPr>
      <w:t>: DECEMBER 2023</w:t>
    </w:r>
    <w:r w:rsidR="00931A88" w:rsidRPr="00931A88">
      <w:rPr>
        <w:rFonts w:ascii="Arial" w:eastAsia="Arial" w:hAnsi="Arial" w:cs="Arial"/>
        <w:b/>
        <w:bCs/>
        <w:color w:val="808080"/>
        <w:sz w:val="18"/>
        <w:szCs w:val="18"/>
        <w:lang w:val="en-GB"/>
      </w:rPr>
      <w:tab/>
    </w:r>
    <w:r w:rsidR="00A31833">
      <w:rPr>
        <w:rFonts w:ascii="Arial" w:eastAsia="Arial" w:hAnsi="Arial" w:cs="Arial"/>
        <w:b/>
        <w:bCs/>
        <w:color w:val="808080"/>
        <w:sz w:val="18"/>
        <w:szCs w:val="18"/>
        <w:lang w:val="en-GB"/>
      </w:rPr>
      <w:t xml:space="preserve">                                                                                               </w:t>
    </w:r>
    <w:r w:rsidR="00931A88" w:rsidRPr="00931A88">
      <w:rPr>
        <w:rFonts w:ascii="Arial" w:eastAsia="Arial" w:hAnsi="Arial" w:cs="Arial"/>
        <w:b/>
        <w:bCs/>
        <w:color w:val="3397D3"/>
        <w:sz w:val="18"/>
        <w:szCs w:val="18"/>
        <w:lang w:val="en-GB"/>
      </w:rPr>
      <w:fldChar w:fldCharType="begin"/>
    </w:r>
    <w:r w:rsidR="00931A88" w:rsidRPr="00931A88">
      <w:rPr>
        <w:rFonts w:ascii="Arial" w:eastAsia="Arial" w:hAnsi="Arial" w:cs="Arial"/>
        <w:b/>
        <w:bCs/>
        <w:color w:val="3397D3"/>
        <w:sz w:val="18"/>
        <w:szCs w:val="18"/>
        <w:lang w:val="en-GB"/>
      </w:rPr>
      <w:instrText xml:space="preserve"> PAGE   \* MERGEFORMAT </w:instrText>
    </w:r>
    <w:r w:rsidR="00931A88" w:rsidRPr="00931A88">
      <w:rPr>
        <w:rFonts w:ascii="Arial" w:eastAsia="Arial" w:hAnsi="Arial" w:cs="Arial"/>
        <w:b/>
        <w:bCs/>
        <w:color w:val="3397D3"/>
        <w:sz w:val="18"/>
        <w:szCs w:val="18"/>
        <w:lang w:val="en-GB"/>
      </w:rPr>
      <w:fldChar w:fldCharType="separate"/>
    </w:r>
    <w:r w:rsidR="00931A88" w:rsidRPr="00931A88">
      <w:rPr>
        <w:rFonts w:ascii="Arial" w:eastAsia="Arial" w:hAnsi="Arial" w:cs="Arial"/>
        <w:b/>
        <w:bCs/>
        <w:color w:val="3397D3"/>
        <w:sz w:val="18"/>
        <w:szCs w:val="18"/>
        <w:lang w:val="en-GB"/>
      </w:rPr>
      <w:t>2</w:t>
    </w:r>
    <w:r w:rsidR="00931A88" w:rsidRPr="00931A88">
      <w:rPr>
        <w:rFonts w:ascii="Arial" w:eastAsia="Arial" w:hAnsi="Arial" w:cs="Arial"/>
        <w:b/>
        <w:bCs/>
        <w:color w:val="3397D3"/>
        <w:sz w:val="18"/>
        <w:szCs w:val="18"/>
        <w:lang w:val="en-GB"/>
      </w:rPr>
      <w:fldChar w:fldCharType="end"/>
    </w:r>
    <w:r w:rsidR="00931A88" w:rsidRPr="00931A88">
      <w:rPr>
        <w:rFonts w:ascii="Arial" w:eastAsia="Arial" w:hAnsi="Arial" w:cs="Arial"/>
        <w:b/>
        <w:bCs/>
        <w:color w:val="3397D3"/>
        <w:sz w:val="18"/>
        <w:szCs w:val="18"/>
        <w:lang w:val="en-GB"/>
      </w:rPr>
      <w:t xml:space="preserve"> </w:t>
    </w:r>
    <w:r w:rsidR="00931A88" w:rsidRPr="00931A88">
      <w:rPr>
        <w:rFonts w:ascii="Arial" w:eastAsia="Arial" w:hAnsi="Arial" w:cs="Arial"/>
        <w:b/>
        <w:bCs/>
        <w:color w:val="808080"/>
        <w:sz w:val="18"/>
        <w:szCs w:val="18"/>
        <w:lang w:val="en-GB"/>
      </w:rPr>
      <w:t xml:space="preserve">of </w:t>
    </w:r>
    <w:r w:rsidR="00931A88" w:rsidRPr="00931A88">
      <w:rPr>
        <w:rFonts w:ascii="Arial" w:eastAsia="Arial" w:hAnsi="Arial" w:cs="Arial"/>
        <w:b/>
        <w:bCs/>
        <w:color w:val="808080"/>
        <w:sz w:val="18"/>
        <w:szCs w:val="18"/>
        <w:lang w:val="en-GB"/>
      </w:rPr>
      <w:fldChar w:fldCharType="begin"/>
    </w:r>
    <w:r w:rsidR="00931A88" w:rsidRPr="00931A88">
      <w:rPr>
        <w:rFonts w:ascii="Arial" w:eastAsia="Arial" w:hAnsi="Arial" w:cs="Arial"/>
        <w:b/>
        <w:bCs/>
        <w:color w:val="808080"/>
        <w:sz w:val="18"/>
        <w:szCs w:val="18"/>
        <w:lang w:val="en-GB"/>
      </w:rPr>
      <w:instrText xml:space="preserve"> NUMPAGES  \# "0"  \* MERGEFORMAT </w:instrText>
    </w:r>
    <w:r w:rsidR="00931A88" w:rsidRPr="00931A88">
      <w:rPr>
        <w:rFonts w:ascii="Arial" w:eastAsia="Arial" w:hAnsi="Arial" w:cs="Arial"/>
        <w:b/>
        <w:bCs/>
        <w:color w:val="808080"/>
        <w:sz w:val="18"/>
        <w:szCs w:val="18"/>
        <w:lang w:val="en-GB"/>
      </w:rPr>
      <w:fldChar w:fldCharType="separate"/>
    </w:r>
    <w:r w:rsidR="00931A88" w:rsidRPr="00931A88">
      <w:rPr>
        <w:rFonts w:ascii="Arial" w:eastAsia="Arial" w:hAnsi="Arial" w:cs="Arial"/>
        <w:b/>
        <w:bCs/>
        <w:color w:val="808080"/>
        <w:sz w:val="18"/>
        <w:szCs w:val="18"/>
        <w:lang w:val="en-GB"/>
      </w:rPr>
      <w:t>6</w:t>
    </w:r>
    <w:r w:rsidR="00931A88" w:rsidRPr="00931A88">
      <w:rPr>
        <w:rFonts w:ascii="Arial" w:eastAsia="Arial" w:hAnsi="Arial" w:cs="Arial"/>
        <w:b/>
        <w:bCs/>
        <w:noProof/>
        <w:color w:val="808080"/>
        <w:sz w:val="18"/>
        <w:szCs w:val="18"/>
        <w:lang w:val="en-GB"/>
      </w:rPr>
      <w:fldChar w:fldCharType="end"/>
    </w:r>
    <w:r w:rsidRPr="00BB0277">
      <w:rPr>
        <w:noProof/>
        <w:sz w:val="20"/>
        <w:szCs w:val="20"/>
      </w:rPr>
      <w:t xml:space="preserve"> </w:t>
    </w:r>
  </w:p>
  <w:p w14:paraId="5D372771" w14:textId="47A8AC2F" w:rsidR="00931A88" w:rsidRDefault="00931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3F09" w14:textId="77777777" w:rsidR="009E1BBB" w:rsidRDefault="009E1BBB" w:rsidP="00F343D0">
      <w:pPr>
        <w:spacing w:after="0" w:line="240" w:lineRule="auto"/>
      </w:pPr>
      <w:r>
        <w:separator/>
      </w:r>
    </w:p>
  </w:footnote>
  <w:footnote w:type="continuationSeparator" w:id="0">
    <w:p w14:paraId="5957CAC8" w14:textId="77777777" w:rsidR="009E1BBB" w:rsidRDefault="009E1BBB" w:rsidP="00F343D0">
      <w:pPr>
        <w:spacing w:after="0" w:line="240" w:lineRule="auto"/>
      </w:pPr>
      <w:r>
        <w:continuationSeparator/>
      </w:r>
    </w:p>
  </w:footnote>
  <w:footnote w:id="1">
    <w:p w14:paraId="1F1D66D0" w14:textId="4366FD5F" w:rsidR="00C10822" w:rsidRPr="002235D1" w:rsidRDefault="00C10822">
      <w:pPr>
        <w:pStyle w:val="FootnoteText"/>
        <w:rPr>
          <w:lang w:val="en-US"/>
        </w:rPr>
      </w:pPr>
      <w:r>
        <w:rPr>
          <w:rStyle w:val="FootnoteReference"/>
        </w:rPr>
        <w:footnoteRef/>
      </w:r>
      <w:r w:rsidR="0086096D" w:rsidRPr="00701F1E">
        <w:rPr>
          <w:rFonts w:ascii="Arial" w:hAnsi="Arial" w:cs="Arial"/>
          <w:sz w:val="16"/>
          <w:szCs w:val="16"/>
        </w:rPr>
        <w:t>I</w:t>
      </w:r>
      <w:r w:rsidR="00E50390" w:rsidRPr="00701F1E">
        <w:rPr>
          <w:rFonts w:ascii="Arial" w:hAnsi="Arial" w:cs="Arial"/>
          <w:sz w:val="16"/>
          <w:szCs w:val="16"/>
        </w:rPr>
        <w:t xml:space="preserve">ssuers </w:t>
      </w:r>
      <w:r w:rsidR="0086096D" w:rsidRPr="00701F1E">
        <w:rPr>
          <w:rFonts w:ascii="Arial" w:hAnsi="Arial" w:cs="Arial"/>
          <w:sz w:val="16"/>
          <w:szCs w:val="16"/>
        </w:rPr>
        <w:t xml:space="preserve">that </w:t>
      </w:r>
      <w:r w:rsidR="00E50390" w:rsidRPr="00701F1E">
        <w:rPr>
          <w:rFonts w:ascii="Arial" w:hAnsi="Arial" w:cs="Arial"/>
          <w:sz w:val="16"/>
          <w:szCs w:val="16"/>
        </w:rPr>
        <w:t xml:space="preserve">wish to </w:t>
      </w:r>
      <w:r w:rsidR="00F428C4" w:rsidRPr="00701F1E">
        <w:rPr>
          <w:rFonts w:ascii="Arial" w:hAnsi="Arial" w:cs="Arial"/>
          <w:sz w:val="16"/>
          <w:szCs w:val="16"/>
        </w:rPr>
        <w:t>include non-GAAP</w:t>
      </w:r>
      <w:r w:rsidR="002761C4" w:rsidRPr="00701F1E">
        <w:rPr>
          <w:rFonts w:ascii="Arial" w:hAnsi="Arial" w:cs="Arial"/>
          <w:sz w:val="16"/>
          <w:szCs w:val="16"/>
        </w:rPr>
        <w:t xml:space="preserve"> financial</w:t>
      </w:r>
      <w:r w:rsidR="00F428C4" w:rsidRPr="00701F1E">
        <w:rPr>
          <w:rFonts w:ascii="Arial" w:hAnsi="Arial" w:cs="Arial"/>
          <w:sz w:val="16"/>
          <w:szCs w:val="16"/>
        </w:rPr>
        <w:t xml:space="preserve"> measures </w:t>
      </w:r>
      <w:r w:rsidR="002346C6" w:rsidRPr="00701F1E">
        <w:rPr>
          <w:rFonts w:ascii="Arial" w:hAnsi="Arial" w:cs="Arial"/>
          <w:sz w:val="16"/>
          <w:szCs w:val="16"/>
        </w:rPr>
        <w:t>in this secti</w:t>
      </w:r>
      <w:r w:rsidR="00A70CF5" w:rsidRPr="00701F1E">
        <w:rPr>
          <w:rFonts w:ascii="Arial" w:hAnsi="Arial" w:cs="Arial"/>
          <w:sz w:val="16"/>
          <w:szCs w:val="16"/>
        </w:rPr>
        <w:t>on</w:t>
      </w:r>
      <w:r w:rsidR="00E713A7" w:rsidRPr="00701F1E">
        <w:rPr>
          <w:rFonts w:ascii="Arial" w:hAnsi="Arial" w:cs="Arial"/>
          <w:sz w:val="16"/>
          <w:szCs w:val="16"/>
        </w:rPr>
        <w:t xml:space="preserve"> should also provide an</w:t>
      </w:r>
      <w:r w:rsidR="00A70CF5" w:rsidRPr="00701F1E">
        <w:rPr>
          <w:rFonts w:ascii="Arial" w:hAnsi="Arial" w:cs="Arial"/>
          <w:sz w:val="16"/>
          <w:szCs w:val="16"/>
        </w:rPr>
        <w:t xml:space="preserve"> explanation</w:t>
      </w:r>
      <w:r w:rsidR="00D13B3C" w:rsidRPr="00701F1E">
        <w:rPr>
          <w:rFonts w:ascii="Arial" w:hAnsi="Arial" w:cs="Arial"/>
          <w:sz w:val="16"/>
          <w:szCs w:val="16"/>
        </w:rPr>
        <w:t xml:space="preserve"> </w:t>
      </w:r>
      <w:r w:rsidR="00E713A7" w:rsidRPr="00701F1E">
        <w:rPr>
          <w:rFonts w:ascii="Arial" w:hAnsi="Arial" w:cs="Arial"/>
          <w:sz w:val="16"/>
          <w:szCs w:val="16"/>
        </w:rPr>
        <w:t xml:space="preserve">of </w:t>
      </w:r>
      <w:r w:rsidR="00D34540" w:rsidRPr="00701F1E">
        <w:rPr>
          <w:rFonts w:ascii="Arial" w:hAnsi="Arial" w:cs="Arial"/>
          <w:sz w:val="16"/>
          <w:szCs w:val="16"/>
        </w:rPr>
        <w:t xml:space="preserve">the metric. </w:t>
      </w:r>
      <w:r w:rsidR="00196D5A" w:rsidRPr="00701F1E">
        <w:rPr>
          <w:rFonts w:ascii="Arial" w:hAnsi="Arial" w:cs="Arial"/>
          <w:sz w:val="16"/>
          <w:szCs w:val="16"/>
        </w:rPr>
        <w:t xml:space="preserve">It is recommended that issuers consider the </w:t>
      </w:r>
      <w:r w:rsidR="00890B4E" w:rsidRPr="00701F1E">
        <w:rPr>
          <w:rFonts w:ascii="Arial" w:hAnsi="Arial" w:cs="Arial"/>
          <w:sz w:val="16"/>
          <w:szCs w:val="16"/>
        </w:rPr>
        <w:t xml:space="preserve">FMA’s </w:t>
      </w:r>
      <w:hyperlink r:id="rId1" w:history="1">
        <w:r w:rsidR="008614B6" w:rsidRPr="00701F1E">
          <w:rPr>
            <w:rStyle w:val="Hyperlink"/>
            <w:rFonts w:ascii="Arial" w:hAnsi="Arial" w:cs="Arial"/>
            <w:sz w:val="16"/>
            <w:szCs w:val="16"/>
          </w:rPr>
          <w:t>Guidance Note</w:t>
        </w:r>
      </w:hyperlink>
      <w:r w:rsidR="008614B6" w:rsidRPr="00701F1E">
        <w:rPr>
          <w:rFonts w:ascii="Arial" w:hAnsi="Arial" w:cs="Arial"/>
          <w:sz w:val="16"/>
          <w:szCs w:val="16"/>
        </w:rPr>
        <w:t xml:space="preserve"> </w:t>
      </w:r>
      <w:r w:rsidR="00C9284F" w:rsidRPr="00701F1E">
        <w:rPr>
          <w:rFonts w:ascii="Arial" w:hAnsi="Arial" w:cs="Arial"/>
          <w:sz w:val="16"/>
          <w:szCs w:val="16"/>
        </w:rPr>
        <w:t>on</w:t>
      </w:r>
      <w:r w:rsidR="008614B6" w:rsidRPr="00701F1E">
        <w:rPr>
          <w:rFonts w:ascii="Arial" w:hAnsi="Arial" w:cs="Arial"/>
          <w:sz w:val="16"/>
          <w:szCs w:val="16"/>
        </w:rPr>
        <w:t xml:space="preserve"> non-GAAP </w:t>
      </w:r>
      <w:r w:rsidR="002761C4" w:rsidRPr="00701F1E">
        <w:rPr>
          <w:rFonts w:ascii="Arial" w:hAnsi="Arial" w:cs="Arial"/>
          <w:sz w:val="16"/>
          <w:szCs w:val="16"/>
        </w:rPr>
        <w:t xml:space="preserve">financial </w:t>
      </w:r>
      <w:r w:rsidR="008614B6" w:rsidRPr="00701F1E">
        <w:rPr>
          <w:rFonts w:ascii="Arial" w:hAnsi="Arial" w:cs="Arial"/>
          <w:sz w:val="16"/>
          <w:szCs w:val="16"/>
        </w:rPr>
        <w:t xml:space="preserve">disclosures </w:t>
      </w:r>
      <w:r w:rsidR="005D1A68" w:rsidRPr="00701F1E">
        <w:rPr>
          <w:rFonts w:ascii="Arial" w:hAnsi="Arial" w:cs="Arial"/>
          <w:sz w:val="16"/>
          <w:szCs w:val="16"/>
        </w:rPr>
        <w:t>before publishing</w:t>
      </w:r>
      <w:r w:rsidR="006F577F" w:rsidRPr="00701F1E">
        <w:rPr>
          <w:rFonts w:ascii="Arial" w:hAnsi="Arial" w:cs="Arial"/>
          <w:sz w:val="16"/>
          <w:szCs w:val="16"/>
        </w:rPr>
        <w:t xml:space="preserve"> the metric</w:t>
      </w:r>
      <w:r w:rsidR="005D1A68" w:rsidRPr="00701F1E">
        <w:rPr>
          <w:rFonts w:ascii="Arial" w:hAnsi="Arial" w:cs="Arial"/>
          <w:sz w:val="16"/>
          <w:szCs w:val="16"/>
        </w:rPr>
        <w:t>.</w:t>
      </w:r>
    </w:p>
  </w:footnote>
  <w:footnote w:id="2">
    <w:p w14:paraId="769541F7" w14:textId="77777777" w:rsidR="00BB0A4D" w:rsidRPr="00701F1E" w:rsidRDefault="00BB0A4D" w:rsidP="00BB0A4D">
      <w:pPr>
        <w:pStyle w:val="FootnoteText"/>
        <w:rPr>
          <w:rFonts w:ascii="Arial" w:hAnsi="Arial" w:cs="Arial"/>
          <w:sz w:val="16"/>
          <w:szCs w:val="16"/>
          <w:lang w:val="en-US"/>
        </w:rPr>
      </w:pPr>
      <w:r>
        <w:rPr>
          <w:rStyle w:val="FootnoteReference"/>
        </w:rPr>
        <w:footnoteRef/>
      </w:r>
      <w:r>
        <w:t xml:space="preserve"> </w:t>
      </w:r>
      <w:r w:rsidRPr="00701F1E">
        <w:rPr>
          <w:rFonts w:ascii="Arial" w:hAnsi="Arial" w:cs="Arial"/>
          <w:sz w:val="16"/>
          <w:szCs w:val="16"/>
          <w:lang w:val="en-US"/>
        </w:rPr>
        <w:t xml:space="preserve">Note that an issuer will need to amend these column headings as appropriate if the STI awarded is not paid as cash remuneration and is instead received as Securities. </w:t>
      </w:r>
    </w:p>
  </w:footnote>
  <w:footnote w:id="3">
    <w:p w14:paraId="499EC03C" w14:textId="5CFD2388" w:rsidR="00464780" w:rsidRPr="00464780" w:rsidRDefault="00464780">
      <w:pPr>
        <w:pStyle w:val="FootnoteText"/>
        <w:rPr>
          <w:lang w:val="en-US"/>
        </w:rPr>
      </w:pPr>
      <w:r>
        <w:rPr>
          <w:rStyle w:val="FootnoteReference"/>
        </w:rPr>
        <w:footnoteRef/>
      </w:r>
      <w:r>
        <w:t xml:space="preserve"> </w:t>
      </w:r>
      <w:r w:rsidRPr="00AF28C3">
        <w:rPr>
          <w:rFonts w:ascii="Arial" w:hAnsi="Arial" w:cs="Arial"/>
          <w:sz w:val="16"/>
          <w:szCs w:val="16"/>
        </w:rPr>
        <w:t>Note that where an issuer’s long-term incentive scheme does not utilise PSRs this table should be adapted to the mechanics used in the issuer’s scheme (for example to refer to options, or restricted shares).</w:t>
      </w:r>
    </w:p>
  </w:footnote>
  <w:footnote w:id="4">
    <w:p w14:paraId="207DA56D" w14:textId="30E827D4" w:rsidR="00BB0A4D" w:rsidRPr="00BB0A4D" w:rsidRDefault="00BB0A4D">
      <w:pPr>
        <w:pStyle w:val="FootnoteText"/>
        <w:rPr>
          <w:lang w:val="en-US"/>
        </w:rPr>
      </w:pPr>
      <w:r>
        <w:rPr>
          <w:rStyle w:val="FootnoteReference"/>
        </w:rPr>
        <w:footnoteRef/>
      </w:r>
      <w:r>
        <w:t xml:space="preserve"> </w:t>
      </w:r>
      <w:r w:rsidRPr="00BB0A4D">
        <w:rPr>
          <w:rFonts w:ascii="Arial" w:hAnsi="Arial" w:cs="Arial"/>
          <w:sz w:val="16"/>
          <w:szCs w:val="16"/>
        </w:rPr>
        <w:t>*As an optional disclosure an issuer may wish to include disclosure of the number and market price of any Securities held by the CEO in a personal capacity (if this information is disclosed elsewhere in the annual report, issuers could provide a cross-reference to its location</w:t>
      </w:r>
      <w:r w:rsidRPr="00BB0A4D">
        <w:rPr>
          <w:rFonts w:ascii="Arial" w:hAnsi="Arial" w:cs="Arial"/>
          <w:sz w:val="16"/>
          <w:szCs w:val="16"/>
        </w:rPr>
        <w:t>).</w:t>
      </w:r>
      <w:r>
        <w:rPr>
          <w:rFonts w:ascii="Arial" w:hAnsi="Arial" w:cs="Arial"/>
          <w:sz w:val="16"/>
          <w:szCs w:val="16"/>
        </w:rPr>
        <w:t>While this information is not a remuneration outcome, this may provide useful context for readers of the Remuneration Report.</w:t>
      </w:r>
    </w:p>
  </w:footnote>
  <w:footnote w:id="5">
    <w:p w14:paraId="0E732B9F" w14:textId="69E0D9E4" w:rsidR="00111A85" w:rsidRPr="007F4963" w:rsidRDefault="00111A85">
      <w:pPr>
        <w:pStyle w:val="FootnoteText"/>
        <w:rPr>
          <w:lang w:val="en-US"/>
        </w:rPr>
      </w:pPr>
      <w:r>
        <w:rPr>
          <w:rStyle w:val="FootnoteReference"/>
        </w:rPr>
        <w:footnoteRef/>
      </w:r>
      <w:r>
        <w:t xml:space="preserve"> </w:t>
      </w:r>
      <w:r w:rsidR="00E366A3">
        <w:t xml:space="preserve"> </w:t>
      </w:r>
      <w:r w:rsidR="00E366A3" w:rsidRPr="009E48E7">
        <w:rPr>
          <w:rFonts w:ascii="Arial" w:hAnsi="Arial" w:cs="Arial"/>
          <w:sz w:val="16"/>
          <w:szCs w:val="16"/>
        </w:rPr>
        <w:t xml:space="preserve">Where </w:t>
      </w:r>
      <w:r w:rsidRPr="009E48E7">
        <w:rPr>
          <w:rFonts w:ascii="Arial" w:hAnsi="Arial" w:cs="Arial"/>
          <w:sz w:val="16"/>
          <w:szCs w:val="16"/>
        </w:rPr>
        <w:t xml:space="preserve">this information </w:t>
      </w:r>
      <w:r w:rsidR="00E366A3" w:rsidRPr="009E48E7">
        <w:rPr>
          <w:rFonts w:ascii="Arial" w:hAnsi="Arial" w:cs="Arial"/>
          <w:sz w:val="16"/>
          <w:szCs w:val="16"/>
        </w:rPr>
        <w:t xml:space="preserve">is </w:t>
      </w:r>
      <w:r w:rsidRPr="009E48E7">
        <w:rPr>
          <w:rFonts w:ascii="Arial" w:hAnsi="Arial" w:cs="Arial"/>
          <w:sz w:val="16"/>
          <w:szCs w:val="16"/>
        </w:rPr>
        <w:t>disclosed elsewhere in the annual report, issuers should provide a cross-reference to where this information is located and remove this column.</w:t>
      </w:r>
      <w:r w:rsidRPr="009E48E7">
        <w:rPr>
          <w:sz w:val="16"/>
          <w:szCs w:val="16"/>
        </w:rPr>
        <w:t xml:space="preserve"> </w:t>
      </w:r>
    </w:p>
  </w:footnote>
  <w:footnote w:id="6">
    <w:p w14:paraId="74E59FAA" w14:textId="48C966B3" w:rsidR="0060142E" w:rsidRPr="0060142E" w:rsidRDefault="0060142E">
      <w:pPr>
        <w:pStyle w:val="FootnoteText"/>
        <w:rPr>
          <w:rFonts w:ascii="Arial" w:hAnsi="Arial" w:cs="Arial"/>
          <w:sz w:val="16"/>
          <w:szCs w:val="16"/>
          <w:lang w:val="en-US"/>
        </w:rPr>
      </w:pPr>
      <w:r>
        <w:rPr>
          <w:rStyle w:val="FootnoteReference"/>
        </w:rPr>
        <w:footnoteRef/>
      </w:r>
      <w:r>
        <w:t xml:space="preserve"> </w:t>
      </w:r>
      <w:r w:rsidRPr="0060142E">
        <w:rPr>
          <w:rFonts w:ascii="Arial" w:hAnsi="Arial" w:cs="Arial"/>
          <w:sz w:val="16"/>
          <w:szCs w:val="16"/>
          <w:lang w:val="en-US"/>
        </w:rPr>
        <w:t>Where the is</w:t>
      </w:r>
      <w:r>
        <w:rPr>
          <w:rFonts w:ascii="Arial" w:hAnsi="Arial" w:cs="Arial"/>
          <w:sz w:val="16"/>
          <w:szCs w:val="16"/>
          <w:lang w:val="en-US"/>
        </w:rPr>
        <w:t>sue price for any shares issued or transferred to directors as director remuneration differs to the Average Market Price (as defined in the NZX Listing Rules) this should be clearly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87B9" w14:textId="14B970E8" w:rsidR="00471C4C" w:rsidRDefault="00DB543B">
    <w:pPr>
      <w:pStyle w:val="Header"/>
    </w:pPr>
    <w:r>
      <w:rPr>
        <w:noProof/>
      </w:rPr>
      <w:drawing>
        <wp:anchor distT="0" distB="0" distL="114300" distR="114300" simplePos="0" relativeHeight="251658240" behindDoc="1" locked="0" layoutInCell="1" allowOverlap="1" wp14:anchorId="303A90DB" wp14:editId="572AB352">
          <wp:simplePos x="0" y="0"/>
          <wp:positionH relativeFrom="column">
            <wp:posOffset>-191386</wp:posOffset>
          </wp:positionH>
          <wp:positionV relativeFrom="paragraph">
            <wp:posOffset>-163136</wp:posOffset>
          </wp:positionV>
          <wp:extent cx="1690577" cy="735033"/>
          <wp:effectExtent l="0" t="0" r="0" b="0"/>
          <wp:wrapNone/>
          <wp:docPr id="168111856" name="Picture 16811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61" cy="7382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D74"/>
    <w:multiLevelType w:val="hybridMultilevel"/>
    <w:tmpl w:val="D0E206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BE508C"/>
    <w:multiLevelType w:val="hybridMultilevel"/>
    <w:tmpl w:val="6BA88F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A7463C"/>
    <w:multiLevelType w:val="hybridMultilevel"/>
    <w:tmpl w:val="ED428736"/>
    <w:lvl w:ilvl="0" w:tplc="F79CCA06">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A5374C"/>
    <w:multiLevelType w:val="hybridMultilevel"/>
    <w:tmpl w:val="4A3C45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F161B7"/>
    <w:multiLevelType w:val="hybridMultilevel"/>
    <w:tmpl w:val="3CB2F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FD0CF8"/>
    <w:multiLevelType w:val="hybridMultilevel"/>
    <w:tmpl w:val="52DAD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5D3A81"/>
    <w:multiLevelType w:val="hybridMultilevel"/>
    <w:tmpl w:val="822C4212"/>
    <w:lvl w:ilvl="0" w:tplc="A37C35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1A671A02"/>
    <w:multiLevelType w:val="hybridMultilevel"/>
    <w:tmpl w:val="30AE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957F5E"/>
    <w:multiLevelType w:val="hybridMultilevel"/>
    <w:tmpl w:val="31ACF1E2"/>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9" w15:restartNumberingAfterBreak="0">
    <w:nsid w:val="24A1758C"/>
    <w:multiLevelType w:val="hybridMultilevel"/>
    <w:tmpl w:val="9C1A3698"/>
    <w:lvl w:ilvl="0" w:tplc="5F86F0C0">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36275F"/>
    <w:multiLevelType w:val="hybridMultilevel"/>
    <w:tmpl w:val="532AFA7E"/>
    <w:lvl w:ilvl="0" w:tplc="0ECC00E6">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26B74BE"/>
    <w:multiLevelType w:val="hybridMultilevel"/>
    <w:tmpl w:val="9118AE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40C1427"/>
    <w:multiLevelType w:val="hybridMultilevel"/>
    <w:tmpl w:val="C0DEA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901BFA"/>
    <w:multiLevelType w:val="hybridMultilevel"/>
    <w:tmpl w:val="54D846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0172777"/>
    <w:multiLevelType w:val="hybridMultilevel"/>
    <w:tmpl w:val="59C8E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2B4163"/>
    <w:multiLevelType w:val="hybridMultilevel"/>
    <w:tmpl w:val="5DD0927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64B8225E"/>
    <w:multiLevelType w:val="hybridMultilevel"/>
    <w:tmpl w:val="AE22FE0C"/>
    <w:lvl w:ilvl="0" w:tplc="1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034D32"/>
    <w:multiLevelType w:val="hybridMultilevel"/>
    <w:tmpl w:val="6D3AAC04"/>
    <w:lvl w:ilvl="0" w:tplc="A64895A4">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20E5149"/>
    <w:multiLevelType w:val="hybridMultilevel"/>
    <w:tmpl w:val="4E14B202"/>
    <w:lvl w:ilvl="0" w:tplc="F79CCA06">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2C1352D"/>
    <w:multiLevelType w:val="hybridMultilevel"/>
    <w:tmpl w:val="C7EA14C6"/>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2C41DE"/>
    <w:multiLevelType w:val="hybridMultilevel"/>
    <w:tmpl w:val="4814A1A4"/>
    <w:lvl w:ilvl="0" w:tplc="E84434A0">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435586D"/>
    <w:multiLevelType w:val="hybridMultilevel"/>
    <w:tmpl w:val="27CE8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BAE08C2"/>
    <w:multiLevelType w:val="hybridMultilevel"/>
    <w:tmpl w:val="DC3475E2"/>
    <w:lvl w:ilvl="0" w:tplc="2ECEFCA0">
      <w:start w:val="7"/>
      <w:numFmt w:val="decimal"/>
      <w:lvlText w:val="%1."/>
      <w:lvlJc w:val="left"/>
      <w:pPr>
        <w:ind w:left="720" w:hanging="360"/>
      </w:pPr>
      <w:rPr>
        <w:rFonts w:hint="default"/>
        <w:color w:val="2F5496" w:themeColor="accent1" w:themeShade="B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C1341BB"/>
    <w:multiLevelType w:val="hybridMultilevel"/>
    <w:tmpl w:val="C36210D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4" w15:restartNumberingAfterBreak="0">
    <w:nsid w:val="7C534321"/>
    <w:multiLevelType w:val="hybridMultilevel"/>
    <w:tmpl w:val="F84C3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79309407">
    <w:abstractNumId w:val="0"/>
  </w:num>
  <w:num w:numId="2" w16cid:durableId="1013342374">
    <w:abstractNumId w:val="1"/>
  </w:num>
  <w:num w:numId="3" w16cid:durableId="1187794424">
    <w:abstractNumId w:val="2"/>
  </w:num>
  <w:num w:numId="4" w16cid:durableId="1406296679">
    <w:abstractNumId w:val="15"/>
  </w:num>
  <w:num w:numId="5" w16cid:durableId="1351253534">
    <w:abstractNumId w:val="18"/>
  </w:num>
  <w:num w:numId="6" w16cid:durableId="1112362382">
    <w:abstractNumId w:val="4"/>
  </w:num>
  <w:num w:numId="7" w16cid:durableId="912356412">
    <w:abstractNumId w:val="21"/>
  </w:num>
  <w:num w:numId="8" w16cid:durableId="1937904627">
    <w:abstractNumId w:val="16"/>
  </w:num>
  <w:num w:numId="9" w16cid:durableId="1239943271">
    <w:abstractNumId w:val="23"/>
  </w:num>
  <w:num w:numId="10" w16cid:durableId="238055958">
    <w:abstractNumId w:val="3"/>
  </w:num>
  <w:num w:numId="11" w16cid:durableId="994139645">
    <w:abstractNumId w:val="13"/>
  </w:num>
  <w:num w:numId="12" w16cid:durableId="272637688">
    <w:abstractNumId w:val="6"/>
  </w:num>
  <w:num w:numId="13" w16cid:durableId="418989104">
    <w:abstractNumId w:val="7"/>
  </w:num>
  <w:num w:numId="14" w16cid:durableId="775557658">
    <w:abstractNumId w:val="19"/>
  </w:num>
  <w:num w:numId="15" w16cid:durableId="1461873908">
    <w:abstractNumId w:val="5"/>
  </w:num>
  <w:num w:numId="16" w16cid:durableId="1822773025">
    <w:abstractNumId w:val="14"/>
  </w:num>
  <w:num w:numId="17" w16cid:durableId="1328825549">
    <w:abstractNumId w:val="8"/>
  </w:num>
  <w:num w:numId="18" w16cid:durableId="1544899328">
    <w:abstractNumId w:val="24"/>
  </w:num>
  <w:num w:numId="19" w16cid:durableId="884101733">
    <w:abstractNumId w:val="11"/>
  </w:num>
  <w:num w:numId="20" w16cid:durableId="640427843">
    <w:abstractNumId w:val="17"/>
  </w:num>
  <w:num w:numId="21" w16cid:durableId="735399076">
    <w:abstractNumId w:val="20"/>
  </w:num>
  <w:num w:numId="22" w16cid:durableId="1017316442">
    <w:abstractNumId w:val="9"/>
  </w:num>
  <w:num w:numId="23" w16cid:durableId="1597787725">
    <w:abstractNumId w:val="10"/>
  </w:num>
  <w:num w:numId="24" w16cid:durableId="112479982">
    <w:abstractNumId w:val="12"/>
  </w:num>
  <w:num w:numId="25" w16cid:durableId="1854098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DC"/>
    <w:rsid w:val="00000A0D"/>
    <w:rsid w:val="00001813"/>
    <w:rsid w:val="00007E7C"/>
    <w:rsid w:val="00011376"/>
    <w:rsid w:val="000119A9"/>
    <w:rsid w:val="00012AC0"/>
    <w:rsid w:val="00012E19"/>
    <w:rsid w:val="0001362A"/>
    <w:rsid w:val="00014AEE"/>
    <w:rsid w:val="000151E8"/>
    <w:rsid w:val="00015E95"/>
    <w:rsid w:val="0002207F"/>
    <w:rsid w:val="000223DC"/>
    <w:rsid w:val="00023003"/>
    <w:rsid w:val="000238B9"/>
    <w:rsid w:val="00025758"/>
    <w:rsid w:val="00035066"/>
    <w:rsid w:val="00047AAA"/>
    <w:rsid w:val="000519C8"/>
    <w:rsid w:val="00052C1D"/>
    <w:rsid w:val="00067376"/>
    <w:rsid w:val="00070257"/>
    <w:rsid w:val="00072A24"/>
    <w:rsid w:val="00073842"/>
    <w:rsid w:val="000876A6"/>
    <w:rsid w:val="00091635"/>
    <w:rsid w:val="00092A60"/>
    <w:rsid w:val="00092C9B"/>
    <w:rsid w:val="00093D7A"/>
    <w:rsid w:val="00094F68"/>
    <w:rsid w:val="00095CD4"/>
    <w:rsid w:val="000A088A"/>
    <w:rsid w:val="000A0CF9"/>
    <w:rsid w:val="000A326E"/>
    <w:rsid w:val="000B1BF8"/>
    <w:rsid w:val="000B23F1"/>
    <w:rsid w:val="000B3849"/>
    <w:rsid w:val="000B5F46"/>
    <w:rsid w:val="000B7072"/>
    <w:rsid w:val="000C04D7"/>
    <w:rsid w:val="000C482A"/>
    <w:rsid w:val="000E0698"/>
    <w:rsid w:val="000E3B41"/>
    <w:rsid w:val="000E4997"/>
    <w:rsid w:val="000F2391"/>
    <w:rsid w:val="000F54B7"/>
    <w:rsid w:val="000F5FBB"/>
    <w:rsid w:val="000F7E69"/>
    <w:rsid w:val="0010083C"/>
    <w:rsid w:val="001025F3"/>
    <w:rsid w:val="00103D59"/>
    <w:rsid w:val="001058BF"/>
    <w:rsid w:val="001079CA"/>
    <w:rsid w:val="00111A85"/>
    <w:rsid w:val="00112F00"/>
    <w:rsid w:val="0011712D"/>
    <w:rsid w:val="001178D4"/>
    <w:rsid w:val="00117C6C"/>
    <w:rsid w:val="00123BEA"/>
    <w:rsid w:val="001275B3"/>
    <w:rsid w:val="001302D0"/>
    <w:rsid w:val="00131F8A"/>
    <w:rsid w:val="00132B65"/>
    <w:rsid w:val="00132B7A"/>
    <w:rsid w:val="001361E8"/>
    <w:rsid w:val="00140E34"/>
    <w:rsid w:val="00141CBD"/>
    <w:rsid w:val="0014391A"/>
    <w:rsid w:val="0014577B"/>
    <w:rsid w:val="001519C9"/>
    <w:rsid w:val="001522A0"/>
    <w:rsid w:val="00154194"/>
    <w:rsid w:val="001567EC"/>
    <w:rsid w:val="001569D8"/>
    <w:rsid w:val="00156AD4"/>
    <w:rsid w:val="00156D0A"/>
    <w:rsid w:val="00162F48"/>
    <w:rsid w:val="00164AC6"/>
    <w:rsid w:val="00166FD0"/>
    <w:rsid w:val="00170272"/>
    <w:rsid w:val="00171AA8"/>
    <w:rsid w:val="001724F7"/>
    <w:rsid w:val="00175A3F"/>
    <w:rsid w:val="00176B5E"/>
    <w:rsid w:val="00177580"/>
    <w:rsid w:val="001829B6"/>
    <w:rsid w:val="001844BB"/>
    <w:rsid w:val="00185769"/>
    <w:rsid w:val="00186199"/>
    <w:rsid w:val="00186444"/>
    <w:rsid w:val="0018685E"/>
    <w:rsid w:val="0019039B"/>
    <w:rsid w:val="00192EC9"/>
    <w:rsid w:val="00195C4B"/>
    <w:rsid w:val="00196D5A"/>
    <w:rsid w:val="001A03C4"/>
    <w:rsid w:val="001A267E"/>
    <w:rsid w:val="001B127A"/>
    <w:rsid w:val="001B4688"/>
    <w:rsid w:val="001B5198"/>
    <w:rsid w:val="001B5A33"/>
    <w:rsid w:val="001B7550"/>
    <w:rsid w:val="001C07E2"/>
    <w:rsid w:val="001C1069"/>
    <w:rsid w:val="001C2734"/>
    <w:rsid w:val="001C36E7"/>
    <w:rsid w:val="001C4591"/>
    <w:rsid w:val="001C4C5E"/>
    <w:rsid w:val="001C6C9D"/>
    <w:rsid w:val="001C74A7"/>
    <w:rsid w:val="001E281F"/>
    <w:rsid w:val="001E3BCD"/>
    <w:rsid w:val="001F03AB"/>
    <w:rsid w:val="001F3453"/>
    <w:rsid w:val="001F3F9F"/>
    <w:rsid w:val="001F4EBC"/>
    <w:rsid w:val="001F6331"/>
    <w:rsid w:val="00200892"/>
    <w:rsid w:val="00201F4B"/>
    <w:rsid w:val="002051CB"/>
    <w:rsid w:val="002056DC"/>
    <w:rsid w:val="0020652C"/>
    <w:rsid w:val="00210209"/>
    <w:rsid w:val="00211980"/>
    <w:rsid w:val="00211EE4"/>
    <w:rsid w:val="00212BAC"/>
    <w:rsid w:val="00214446"/>
    <w:rsid w:val="00215D65"/>
    <w:rsid w:val="00216EEE"/>
    <w:rsid w:val="002214F4"/>
    <w:rsid w:val="00221554"/>
    <w:rsid w:val="00222E34"/>
    <w:rsid w:val="002235D1"/>
    <w:rsid w:val="00223D33"/>
    <w:rsid w:val="00225A80"/>
    <w:rsid w:val="00230A44"/>
    <w:rsid w:val="002346C6"/>
    <w:rsid w:val="00241B3C"/>
    <w:rsid w:val="002431CD"/>
    <w:rsid w:val="0024510B"/>
    <w:rsid w:val="00245BB8"/>
    <w:rsid w:val="00245F63"/>
    <w:rsid w:val="0024607E"/>
    <w:rsid w:val="00246B0F"/>
    <w:rsid w:val="00247B8E"/>
    <w:rsid w:val="00250933"/>
    <w:rsid w:val="0025116E"/>
    <w:rsid w:val="00252908"/>
    <w:rsid w:val="00253351"/>
    <w:rsid w:val="002579B6"/>
    <w:rsid w:val="00261500"/>
    <w:rsid w:val="00262447"/>
    <w:rsid w:val="002655CC"/>
    <w:rsid w:val="00266507"/>
    <w:rsid w:val="00267A75"/>
    <w:rsid w:val="00267CD3"/>
    <w:rsid w:val="0027063C"/>
    <w:rsid w:val="0027536F"/>
    <w:rsid w:val="002758CB"/>
    <w:rsid w:val="002761C4"/>
    <w:rsid w:val="00276B12"/>
    <w:rsid w:val="002773F2"/>
    <w:rsid w:val="00277B75"/>
    <w:rsid w:val="00277D46"/>
    <w:rsid w:val="0028084C"/>
    <w:rsid w:val="0028110A"/>
    <w:rsid w:val="002811A8"/>
    <w:rsid w:val="002856A1"/>
    <w:rsid w:val="0028587B"/>
    <w:rsid w:val="002862C7"/>
    <w:rsid w:val="00286671"/>
    <w:rsid w:val="002920A6"/>
    <w:rsid w:val="002A14DC"/>
    <w:rsid w:val="002A2519"/>
    <w:rsid w:val="002A4CAD"/>
    <w:rsid w:val="002A7114"/>
    <w:rsid w:val="002B11D2"/>
    <w:rsid w:val="002B37D8"/>
    <w:rsid w:val="002D2FAC"/>
    <w:rsid w:val="002E0404"/>
    <w:rsid w:val="002E040D"/>
    <w:rsid w:val="002E0734"/>
    <w:rsid w:val="002E0945"/>
    <w:rsid w:val="002E2687"/>
    <w:rsid w:val="002E5664"/>
    <w:rsid w:val="002E70F3"/>
    <w:rsid w:val="002F2A36"/>
    <w:rsid w:val="002F6201"/>
    <w:rsid w:val="002F719C"/>
    <w:rsid w:val="0030123C"/>
    <w:rsid w:val="00301937"/>
    <w:rsid w:val="003045C2"/>
    <w:rsid w:val="003066A6"/>
    <w:rsid w:val="003107DC"/>
    <w:rsid w:val="0031117D"/>
    <w:rsid w:val="00311958"/>
    <w:rsid w:val="003137FD"/>
    <w:rsid w:val="00313F4F"/>
    <w:rsid w:val="003144CC"/>
    <w:rsid w:val="00314859"/>
    <w:rsid w:val="00317653"/>
    <w:rsid w:val="003220DE"/>
    <w:rsid w:val="00325D97"/>
    <w:rsid w:val="003355F0"/>
    <w:rsid w:val="0033580A"/>
    <w:rsid w:val="003441CD"/>
    <w:rsid w:val="003450B4"/>
    <w:rsid w:val="00350962"/>
    <w:rsid w:val="00351230"/>
    <w:rsid w:val="003529CB"/>
    <w:rsid w:val="00352F78"/>
    <w:rsid w:val="00355F30"/>
    <w:rsid w:val="00356D8E"/>
    <w:rsid w:val="003601CE"/>
    <w:rsid w:val="003615FB"/>
    <w:rsid w:val="0036250B"/>
    <w:rsid w:val="0036263E"/>
    <w:rsid w:val="003634FB"/>
    <w:rsid w:val="003704C8"/>
    <w:rsid w:val="00370B13"/>
    <w:rsid w:val="00372B81"/>
    <w:rsid w:val="00372EC7"/>
    <w:rsid w:val="0037348E"/>
    <w:rsid w:val="003736B7"/>
    <w:rsid w:val="00373DA9"/>
    <w:rsid w:val="00374913"/>
    <w:rsid w:val="00381568"/>
    <w:rsid w:val="00381750"/>
    <w:rsid w:val="00385132"/>
    <w:rsid w:val="003862E1"/>
    <w:rsid w:val="0038768E"/>
    <w:rsid w:val="00390509"/>
    <w:rsid w:val="003926C5"/>
    <w:rsid w:val="0039307F"/>
    <w:rsid w:val="003A15BE"/>
    <w:rsid w:val="003A61E2"/>
    <w:rsid w:val="003A71C6"/>
    <w:rsid w:val="003B169F"/>
    <w:rsid w:val="003B1E9B"/>
    <w:rsid w:val="003B42C4"/>
    <w:rsid w:val="003B7A61"/>
    <w:rsid w:val="003C5EB9"/>
    <w:rsid w:val="003C6383"/>
    <w:rsid w:val="003C716F"/>
    <w:rsid w:val="003D005E"/>
    <w:rsid w:val="003D1CDE"/>
    <w:rsid w:val="003D26D6"/>
    <w:rsid w:val="003E0098"/>
    <w:rsid w:val="003E067B"/>
    <w:rsid w:val="003E5672"/>
    <w:rsid w:val="003F0DC4"/>
    <w:rsid w:val="003F114D"/>
    <w:rsid w:val="003F4DD5"/>
    <w:rsid w:val="003F4F08"/>
    <w:rsid w:val="003F6324"/>
    <w:rsid w:val="00402146"/>
    <w:rsid w:val="00402DB4"/>
    <w:rsid w:val="0041143F"/>
    <w:rsid w:val="00412647"/>
    <w:rsid w:val="004148D5"/>
    <w:rsid w:val="004150A2"/>
    <w:rsid w:val="0041723C"/>
    <w:rsid w:val="00420C0F"/>
    <w:rsid w:val="004218DB"/>
    <w:rsid w:val="00421CB3"/>
    <w:rsid w:val="00424F2A"/>
    <w:rsid w:val="0042638B"/>
    <w:rsid w:val="004328BE"/>
    <w:rsid w:val="004378F3"/>
    <w:rsid w:val="004408E8"/>
    <w:rsid w:val="004426A1"/>
    <w:rsid w:val="00442762"/>
    <w:rsid w:val="004442A1"/>
    <w:rsid w:val="0044489E"/>
    <w:rsid w:val="004504A2"/>
    <w:rsid w:val="00451B64"/>
    <w:rsid w:val="00452C8A"/>
    <w:rsid w:val="00462E1D"/>
    <w:rsid w:val="0046349C"/>
    <w:rsid w:val="00464780"/>
    <w:rsid w:val="00471C4C"/>
    <w:rsid w:val="0047258C"/>
    <w:rsid w:val="00472609"/>
    <w:rsid w:val="0047425F"/>
    <w:rsid w:val="0047475D"/>
    <w:rsid w:val="004801AD"/>
    <w:rsid w:val="00483506"/>
    <w:rsid w:val="004848C3"/>
    <w:rsid w:val="00494890"/>
    <w:rsid w:val="004953BC"/>
    <w:rsid w:val="00497E24"/>
    <w:rsid w:val="004A016C"/>
    <w:rsid w:val="004A1C19"/>
    <w:rsid w:val="004A1D3F"/>
    <w:rsid w:val="004A345C"/>
    <w:rsid w:val="004A635E"/>
    <w:rsid w:val="004A6DA5"/>
    <w:rsid w:val="004B162E"/>
    <w:rsid w:val="004B2292"/>
    <w:rsid w:val="004B2778"/>
    <w:rsid w:val="004B378E"/>
    <w:rsid w:val="004B3F49"/>
    <w:rsid w:val="004B42EA"/>
    <w:rsid w:val="004B7484"/>
    <w:rsid w:val="004B7E64"/>
    <w:rsid w:val="004C2E34"/>
    <w:rsid w:val="004C385B"/>
    <w:rsid w:val="004C47EA"/>
    <w:rsid w:val="004C65E0"/>
    <w:rsid w:val="004D2574"/>
    <w:rsid w:val="004E003B"/>
    <w:rsid w:val="004E0B45"/>
    <w:rsid w:val="004E1095"/>
    <w:rsid w:val="004E142B"/>
    <w:rsid w:val="004E3417"/>
    <w:rsid w:val="004E7BBD"/>
    <w:rsid w:val="004F0461"/>
    <w:rsid w:val="004F22A9"/>
    <w:rsid w:val="004F26AF"/>
    <w:rsid w:val="00501316"/>
    <w:rsid w:val="00504C0E"/>
    <w:rsid w:val="00510C94"/>
    <w:rsid w:val="00510F98"/>
    <w:rsid w:val="00514444"/>
    <w:rsid w:val="00517548"/>
    <w:rsid w:val="005235A5"/>
    <w:rsid w:val="00523E52"/>
    <w:rsid w:val="00524755"/>
    <w:rsid w:val="00527DCC"/>
    <w:rsid w:val="00531F1C"/>
    <w:rsid w:val="00532795"/>
    <w:rsid w:val="00532AB3"/>
    <w:rsid w:val="00533E66"/>
    <w:rsid w:val="0054181C"/>
    <w:rsid w:val="00541EA1"/>
    <w:rsid w:val="005420FE"/>
    <w:rsid w:val="00543B37"/>
    <w:rsid w:val="0054564C"/>
    <w:rsid w:val="00553D52"/>
    <w:rsid w:val="00554DCD"/>
    <w:rsid w:val="005550D2"/>
    <w:rsid w:val="005578D4"/>
    <w:rsid w:val="00560FFA"/>
    <w:rsid w:val="005624B2"/>
    <w:rsid w:val="00563411"/>
    <w:rsid w:val="00563A61"/>
    <w:rsid w:val="00565301"/>
    <w:rsid w:val="005707C9"/>
    <w:rsid w:val="00573617"/>
    <w:rsid w:val="00582636"/>
    <w:rsid w:val="0058368F"/>
    <w:rsid w:val="005856D7"/>
    <w:rsid w:val="00590D97"/>
    <w:rsid w:val="00595413"/>
    <w:rsid w:val="00596A7E"/>
    <w:rsid w:val="00597BB1"/>
    <w:rsid w:val="00597E83"/>
    <w:rsid w:val="005A1346"/>
    <w:rsid w:val="005B1063"/>
    <w:rsid w:val="005B24CB"/>
    <w:rsid w:val="005B26AD"/>
    <w:rsid w:val="005B3435"/>
    <w:rsid w:val="005B3A8D"/>
    <w:rsid w:val="005B43D1"/>
    <w:rsid w:val="005B4E03"/>
    <w:rsid w:val="005B5F32"/>
    <w:rsid w:val="005B7DEF"/>
    <w:rsid w:val="005C0DF4"/>
    <w:rsid w:val="005C260C"/>
    <w:rsid w:val="005C6A21"/>
    <w:rsid w:val="005C7111"/>
    <w:rsid w:val="005D075B"/>
    <w:rsid w:val="005D1A68"/>
    <w:rsid w:val="005D3A15"/>
    <w:rsid w:val="005D6D85"/>
    <w:rsid w:val="005E00E9"/>
    <w:rsid w:val="005E3C19"/>
    <w:rsid w:val="005E3DB0"/>
    <w:rsid w:val="005E553C"/>
    <w:rsid w:val="005E6009"/>
    <w:rsid w:val="005E6475"/>
    <w:rsid w:val="005E7EBC"/>
    <w:rsid w:val="005F0409"/>
    <w:rsid w:val="005F3920"/>
    <w:rsid w:val="005F61AC"/>
    <w:rsid w:val="0060142E"/>
    <w:rsid w:val="00606BE8"/>
    <w:rsid w:val="0061034E"/>
    <w:rsid w:val="00611CB7"/>
    <w:rsid w:val="006129E4"/>
    <w:rsid w:val="006141D5"/>
    <w:rsid w:val="00621536"/>
    <w:rsid w:val="00623962"/>
    <w:rsid w:val="00623EAE"/>
    <w:rsid w:val="00626906"/>
    <w:rsid w:val="0063044B"/>
    <w:rsid w:val="00635D05"/>
    <w:rsid w:val="00636233"/>
    <w:rsid w:val="00644527"/>
    <w:rsid w:val="00645462"/>
    <w:rsid w:val="006464A8"/>
    <w:rsid w:val="00646B79"/>
    <w:rsid w:val="00651EB8"/>
    <w:rsid w:val="006559CC"/>
    <w:rsid w:val="0065791F"/>
    <w:rsid w:val="00657D0D"/>
    <w:rsid w:val="00660D6B"/>
    <w:rsid w:val="00660EBC"/>
    <w:rsid w:val="006615A1"/>
    <w:rsid w:val="00662BCF"/>
    <w:rsid w:val="00665E84"/>
    <w:rsid w:val="00666EE5"/>
    <w:rsid w:val="006730A8"/>
    <w:rsid w:val="00673154"/>
    <w:rsid w:val="006732B8"/>
    <w:rsid w:val="006736D9"/>
    <w:rsid w:val="0067566A"/>
    <w:rsid w:val="006808BD"/>
    <w:rsid w:val="006847E3"/>
    <w:rsid w:val="00685FD8"/>
    <w:rsid w:val="0069119F"/>
    <w:rsid w:val="006916D0"/>
    <w:rsid w:val="006936B9"/>
    <w:rsid w:val="00695397"/>
    <w:rsid w:val="00695473"/>
    <w:rsid w:val="00695EEF"/>
    <w:rsid w:val="00696C56"/>
    <w:rsid w:val="006A2E20"/>
    <w:rsid w:val="006A2FCA"/>
    <w:rsid w:val="006A4C64"/>
    <w:rsid w:val="006B0176"/>
    <w:rsid w:val="006B64F8"/>
    <w:rsid w:val="006B742D"/>
    <w:rsid w:val="006C259F"/>
    <w:rsid w:val="006C2D01"/>
    <w:rsid w:val="006C4685"/>
    <w:rsid w:val="006D52DF"/>
    <w:rsid w:val="006D5AA0"/>
    <w:rsid w:val="006E2B5F"/>
    <w:rsid w:val="006E3BCF"/>
    <w:rsid w:val="006E400E"/>
    <w:rsid w:val="006E46A4"/>
    <w:rsid w:val="006E54D3"/>
    <w:rsid w:val="006E66B6"/>
    <w:rsid w:val="006E6D7E"/>
    <w:rsid w:val="006F41E0"/>
    <w:rsid w:val="006F5501"/>
    <w:rsid w:val="006F577F"/>
    <w:rsid w:val="006F5A9E"/>
    <w:rsid w:val="006F7C83"/>
    <w:rsid w:val="0070105A"/>
    <w:rsid w:val="007011DD"/>
    <w:rsid w:val="00701F1E"/>
    <w:rsid w:val="007028B5"/>
    <w:rsid w:val="00702E4E"/>
    <w:rsid w:val="00703748"/>
    <w:rsid w:val="00711399"/>
    <w:rsid w:val="007142AD"/>
    <w:rsid w:val="00715B3F"/>
    <w:rsid w:val="007169FB"/>
    <w:rsid w:val="00721004"/>
    <w:rsid w:val="00721B2A"/>
    <w:rsid w:val="007223BD"/>
    <w:rsid w:val="00725E58"/>
    <w:rsid w:val="00726BD5"/>
    <w:rsid w:val="00730BC6"/>
    <w:rsid w:val="007311B2"/>
    <w:rsid w:val="00732FE1"/>
    <w:rsid w:val="00735ED2"/>
    <w:rsid w:val="007365D2"/>
    <w:rsid w:val="007369B8"/>
    <w:rsid w:val="00736EFE"/>
    <w:rsid w:val="007402F1"/>
    <w:rsid w:val="00743325"/>
    <w:rsid w:val="0074447D"/>
    <w:rsid w:val="00750490"/>
    <w:rsid w:val="00750FE3"/>
    <w:rsid w:val="00751700"/>
    <w:rsid w:val="007568A7"/>
    <w:rsid w:val="00760325"/>
    <w:rsid w:val="007616B5"/>
    <w:rsid w:val="00761CB2"/>
    <w:rsid w:val="00763743"/>
    <w:rsid w:val="0077215F"/>
    <w:rsid w:val="007725CD"/>
    <w:rsid w:val="007807A1"/>
    <w:rsid w:val="00781C58"/>
    <w:rsid w:val="0078424A"/>
    <w:rsid w:val="007853A2"/>
    <w:rsid w:val="00786BC7"/>
    <w:rsid w:val="00793820"/>
    <w:rsid w:val="00793B0D"/>
    <w:rsid w:val="007A0F20"/>
    <w:rsid w:val="007A1941"/>
    <w:rsid w:val="007A4B14"/>
    <w:rsid w:val="007A4D05"/>
    <w:rsid w:val="007A506E"/>
    <w:rsid w:val="007A569A"/>
    <w:rsid w:val="007A6D8E"/>
    <w:rsid w:val="007B3053"/>
    <w:rsid w:val="007B3A0D"/>
    <w:rsid w:val="007C2DC8"/>
    <w:rsid w:val="007C3CC8"/>
    <w:rsid w:val="007C73AC"/>
    <w:rsid w:val="007D51FB"/>
    <w:rsid w:val="007D60E6"/>
    <w:rsid w:val="007D7813"/>
    <w:rsid w:val="007D7E5A"/>
    <w:rsid w:val="007D7FA9"/>
    <w:rsid w:val="007E55E0"/>
    <w:rsid w:val="007E66DC"/>
    <w:rsid w:val="007E6F43"/>
    <w:rsid w:val="007F3B50"/>
    <w:rsid w:val="007F4963"/>
    <w:rsid w:val="00802916"/>
    <w:rsid w:val="008029FE"/>
    <w:rsid w:val="0080354B"/>
    <w:rsid w:val="008112E7"/>
    <w:rsid w:val="008124CA"/>
    <w:rsid w:val="00813161"/>
    <w:rsid w:val="008209B6"/>
    <w:rsid w:val="00824F33"/>
    <w:rsid w:val="008251D0"/>
    <w:rsid w:val="008252F3"/>
    <w:rsid w:val="00832689"/>
    <w:rsid w:val="00835BE4"/>
    <w:rsid w:val="0084137E"/>
    <w:rsid w:val="00841BDE"/>
    <w:rsid w:val="008442E7"/>
    <w:rsid w:val="00844691"/>
    <w:rsid w:val="008446D7"/>
    <w:rsid w:val="0085154D"/>
    <w:rsid w:val="00851831"/>
    <w:rsid w:val="00855665"/>
    <w:rsid w:val="00856D6D"/>
    <w:rsid w:val="00857913"/>
    <w:rsid w:val="0086096D"/>
    <w:rsid w:val="008614B6"/>
    <w:rsid w:val="008648BD"/>
    <w:rsid w:val="00867447"/>
    <w:rsid w:val="008677A9"/>
    <w:rsid w:val="0087518C"/>
    <w:rsid w:val="008808AB"/>
    <w:rsid w:val="00883703"/>
    <w:rsid w:val="00883ED6"/>
    <w:rsid w:val="00884A60"/>
    <w:rsid w:val="00890B4E"/>
    <w:rsid w:val="00890F71"/>
    <w:rsid w:val="00890FE9"/>
    <w:rsid w:val="00895AA5"/>
    <w:rsid w:val="008A00CB"/>
    <w:rsid w:val="008A6587"/>
    <w:rsid w:val="008A68B2"/>
    <w:rsid w:val="008A7DE1"/>
    <w:rsid w:val="008B4213"/>
    <w:rsid w:val="008B6F65"/>
    <w:rsid w:val="008C1B86"/>
    <w:rsid w:val="008C1BBB"/>
    <w:rsid w:val="008C3E51"/>
    <w:rsid w:val="008C4F6A"/>
    <w:rsid w:val="008D095A"/>
    <w:rsid w:val="008D232C"/>
    <w:rsid w:val="008E34C0"/>
    <w:rsid w:val="008E4285"/>
    <w:rsid w:val="008E4519"/>
    <w:rsid w:val="00900EA6"/>
    <w:rsid w:val="00902B30"/>
    <w:rsid w:val="0090322A"/>
    <w:rsid w:val="00903C77"/>
    <w:rsid w:val="0090440F"/>
    <w:rsid w:val="00904C84"/>
    <w:rsid w:val="00904DA6"/>
    <w:rsid w:val="009052F9"/>
    <w:rsid w:val="00905E49"/>
    <w:rsid w:val="0090756E"/>
    <w:rsid w:val="009111BD"/>
    <w:rsid w:val="009125E2"/>
    <w:rsid w:val="00916B7A"/>
    <w:rsid w:val="0092224D"/>
    <w:rsid w:val="00922ACA"/>
    <w:rsid w:val="009242FE"/>
    <w:rsid w:val="00931A88"/>
    <w:rsid w:val="00931E64"/>
    <w:rsid w:val="00932CF3"/>
    <w:rsid w:val="00933436"/>
    <w:rsid w:val="00941040"/>
    <w:rsid w:val="009427A2"/>
    <w:rsid w:val="00943A72"/>
    <w:rsid w:val="00945691"/>
    <w:rsid w:val="00945A66"/>
    <w:rsid w:val="00946BF0"/>
    <w:rsid w:val="009506DB"/>
    <w:rsid w:val="009512DB"/>
    <w:rsid w:val="00952F51"/>
    <w:rsid w:val="0095343A"/>
    <w:rsid w:val="00953AAB"/>
    <w:rsid w:val="00956BEF"/>
    <w:rsid w:val="009639B2"/>
    <w:rsid w:val="0096500C"/>
    <w:rsid w:val="009732BA"/>
    <w:rsid w:val="00974085"/>
    <w:rsid w:val="009808FB"/>
    <w:rsid w:val="0098133A"/>
    <w:rsid w:val="00982C5F"/>
    <w:rsid w:val="009833A3"/>
    <w:rsid w:val="00985FFC"/>
    <w:rsid w:val="009864A1"/>
    <w:rsid w:val="009900A5"/>
    <w:rsid w:val="00992FB8"/>
    <w:rsid w:val="00995EF0"/>
    <w:rsid w:val="009A0118"/>
    <w:rsid w:val="009A438D"/>
    <w:rsid w:val="009B0344"/>
    <w:rsid w:val="009B0D35"/>
    <w:rsid w:val="009B424E"/>
    <w:rsid w:val="009B5750"/>
    <w:rsid w:val="009B610D"/>
    <w:rsid w:val="009C08D3"/>
    <w:rsid w:val="009C16FF"/>
    <w:rsid w:val="009C1795"/>
    <w:rsid w:val="009C7E99"/>
    <w:rsid w:val="009D0966"/>
    <w:rsid w:val="009D3FB4"/>
    <w:rsid w:val="009E148A"/>
    <w:rsid w:val="009E1BBB"/>
    <w:rsid w:val="009E303C"/>
    <w:rsid w:val="009E48E7"/>
    <w:rsid w:val="009E669B"/>
    <w:rsid w:val="009E76CE"/>
    <w:rsid w:val="009F0DF7"/>
    <w:rsid w:val="009F37D6"/>
    <w:rsid w:val="00A00019"/>
    <w:rsid w:val="00A001DC"/>
    <w:rsid w:val="00A00A6F"/>
    <w:rsid w:val="00A025C1"/>
    <w:rsid w:val="00A02CD7"/>
    <w:rsid w:val="00A032E6"/>
    <w:rsid w:val="00A037B2"/>
    <w:rsid w:val="00A03B54"/>
    <w:rsid w:val="00A0657C"/>
    <w:rsid w:val="00A07C21"/>
    <w:rsid w:val="00A110A7"/>
    <w:rsid w:val="00A11F8D"/>
    <w:rsid w:val="00A14395"/>
    <w:rsid w:val="00A1508B"/>
    <w:rsid w:val="00A16565"/>
    <w:rsid w:val="00A16BFC"/>
    <w:rsid w:val="00A17DFA"/>
    <w:rsid w:val="00A2590F"/>
    <w:rsid w:val="00A302DD"/>
    <w:rsid w:val="00A30CA5"/>
    <w:rsid w:val="00A314B3"/>
    <w:rsid w:val="00A31833"/>
    <w:rsid w:val="00A34306"/>
    <w:rsid w:val="00A3502A"/>
    <w:rsid w:val="00A40398"/>
    <w:rsid w:val="00A41FB1"/>
    <w:rsid w:val="00A44FF7"/>
    <w:rsid w:val="00A45D1D"/>
    <w:rsid w:val="00A5633D"/>
    <w:rsid w:val="00A56717"/>
    <w:rsid w:val="00A60CC6"/>
    <w:rsid w:val="00A6173C"/>
    <w:rsid w:val="00A61801"/>
    <w:rsid w:val="00A63E9D"/>
    <w:rsid w:val="00A63FC3"/>
    <w:rsid w:val="00A70524"/>
    <w:rsid w:val="00A70CF5"/>
    <w:rsid w:val="00A77E87"/>
    <w:rsid w:val="00A820AC"/>
    <w:rsid w:val="00A83608"/>
    <w:rsid w:val="00A84C04"/>
    <w:rsid w:val="00A905B9"/>
    <w:rsid w:val="00A91EB0"/>
    <w:rsid w:val="00A91FCF"/>
    <w:rsid w:val="00A95460"/>
    <w:rsid w:val="00A95F85"/>
    <w:rsid w:val="00AA2926"/>
    <w:rsid w:val="00AA3972"/>
    <w:rsid w:val="00AA66A8"/>
    <w:rsid w:val="00AA6AF0"/>
    <w:rsid w:val="00AA7F8B"/>
    <w:rsid w:val="00AB4BC5"/>
    <w:rsid w:val="00AB5B08"/>
    <w:rsid w:val="00AB5D55"/>
    <w:rsid w:val="00AC4634"/>
    <w:rsid w:val="00AC573C"/>
    <w:rsid w:val="00AC6C79"/>
    <w:rsid w:val="00AD1358"/>
    <w:rsid w:val="00AD1CB8"/>
    <w:rsid w:val="00AD4E4C"/>
    <w:rsid w:val="00AD4FF5"/>
    <w:rsid w:val="00AD666A"/>
    <w:rsid w:val="00AD6C7C"/>
    <w:rsid w:val="00AE16F7"/>
    <w:rsid w:val="00AE23BF"/>
    <w:rsid w:val="00AF28C3"/>
    <w:rsid w:val="00AF39BA"/>
    <w:rsid w:val="00AF3E8A"/>
    <w:rsid w:val="00AF65E3"/>
    <w:rsid w:val="00AF76B6"/>
    <w:rsid w:val="00B01A9D"/>
    <w:rsid w:val="00B06959"/>
    <w:rsid w:val="00B15849"/>
    <w:rsid w:val="00B20AE6"/>
    <w:rsid w:val="00B224C1"/>
    <w:rsid w:val="00B33062"/>
    <w:rsid w:val="00B3423C"/>
    <w:rsid w:val="00B34A86"/>
    <w:rsid w:val="00B358E6"/>
    <w:rsid w:val="00B366E8"/>
    <w:rsid w:val="00B36A49"/>
    <w:rsid w:val="00B37BEC"/>
    <w:rsid w:val="00B45915"/>
    <w:rsid w:val="00B4757D"/>
    <w:rsid w:val="00B475D4"/>
    <w:rsid w:val="00B510F4"/>
    <w:rsid w:val="00B51828"/>
    <w:rsid w:val="00B53A71"/>
    <w:rsid w:val="00B65030"/>
    <w:rsid w:val="00B66AAB"/>
    <w:rsid w:val="00B70B05"/>
    <w:rsid w:val="00B72B7B"/>
    <w:rsid w:val="00B764D0"/>
    <w:rsid w:val="00B81547"/>
    <w:rsid w:val="00B93977"/>
    <w:rsid w:val="00B94F62"/>
    <w:rsid w:val="00B952E3"/>
    <w:rsid w:val="00B964D5"/>
    <w:rsid w:val="00B966C2"/>
    <w:rsid w:val="00B97DA7"/>
    <w:rsid w:val="00BA0B0C"/>
    <w:rsid w:val="00BA6AC7"/>
    <w:rsid w:val="00BB0277"/>
    <w:rsid w:val="00BB04B7"/>
    <w:rsid w:val="00BB0558"/>
    <w:rsid w:val="00BB0A4D"/>
    <w:rsid w:val="00BB2250"/>
    <w:rsid w:val="00BB31CC"/>
    <w:rsid w:val="00BB746C"/>
    <w:rsid w:val="00BC0BDC"/>
    <w:rsid w:val="00BD0479"/>
    <w:rsid w:val="00BD31E7"/>
    <w:rsid w:val="00BD42DF"/>
    <w:rsid w:val="00BE1E7C"/>
    <w:rsid w:val="00BE2DD0"/>
    <w:rsid w:val="00BE3521"/>
    <w:rsid w:val="00BF4906"/>
    <w:rsid w:val="00BF7AA9"/>
    <w:rsid w:val="00C00390"/>
    <w:rsid w:val="00C0064C"/>
    <w:rsid w:val="00C03EBA"/>
    <w:rsid w:val="00C04069"/>
    <w:rsid w:val="00C06A9B"/>
    <w:rsid w:val="00C10822"/>
    <w:rsid w:val="00C122F6"/>
    <w:rsid w:val="00C13F2E"/>
    <w:rsid w:val="00C14E26"/>
    <w:rsid w:val="00C15E6D"/>
    <w:rsid w:val="00C15FD1"/>
    <w:rsid w:val="00C16571"/>
    <w:rsid w:val="00C17CA0"/>
    <w:rsid w:val="00C21168"/>
    <w:rsid w:val="00C212DF"/>
    <w:rsid w:val="00C21D58"/>
    <w:rsid w:val="00C27E1A"/>
    <w:rsid w:val="00C301D8"/>
    <w:rsid w:val="00C32BBC"/>
    <w:rsid w:val="00C35054"/>
    <w:rsid w:val="00C402E5"/>
    <w:rsid w:val="00C413B9"/>
    <w:rsid w:val="00C43F65"/>
    <w:rsid w:val="00C55844"/>
    <w:rsid w:val="00C56D33"/>
    <w:rsid w:val="00C60B57"/>
    <w:rsid w:val="00C60CB1"/>
    <w:rsid w:val="00C63DE5"/>
    <w:rsid w:val="00C65EA8"/>
    <w:rsid w:val="00C67EB3"/>
    <w:rsid w:val="00C72458"/>
    <w:rsid w:val="00C72FA6"/>
    <w:rsid w:val="00C73254"/>
    <w:rsid w:val="00C76CE4"/>
    <w:rsid w:val="00C778C2"/>
    <w:rsid w:val="00C9284F"/>
    <w:rsid w:val="00C92DDA"/>
    <w:rsid w:val="00C93E53"/>
    <w:rsid w:val="00C94029"/>
    <w:rsid w:val="00CA1420"/>
    <w:rsid w:val="00CA2E9A"/>
    <w:rsid w:val="00CA6450"/>
    <w:rsid w:val="00CA6988"/>
    <w:rsid w:val="00CA7158"/>
    <w:rsid w:val="00CA71C5"/>
    <w:rsid w:val="00CB1DD5"/>
    <w:rsid w:val="00CB46C6"/>
    <w:rsid w:val="00CC06FF"/>
    <w:rsid w:val="00CC320C"/>
    <w:rsid w:val="00CC52A0"/>
    <w:rsid w:val="00CC5681"/>
    <w:rsid w:val="00CC5BF3"/>
    <w:rsid w:val="00CC7B25"/>
    <w:rsid w:val="00CD682C"/>
    <w:rsid w:val="00CE231C"/>
    <w:rsid w:val="00CF0179"/>
    <w:rsid w:val="00CF0283"/>
    <w:rsid w:val="00CF1B4A"/>
    <w:rsid w:val="00CF1BC1"/>
    <w:rsid w:val="00CF245D"/>
    <w:rsid w:val="00CF6F99"/>
    <w:rsid w:val="00D01345"/>
    <w:rsid w:val="00D037F1"/>
    <w:rsid w:val="00D11649"/>
    <w:rsid w:val="00D1261A"/>
    <w:rsid w:val="00D13B3C"/>
    <w:rsid w:val="00D13E36"/>
    <w:rsid w:val="00D16C0D"/>
    <w:rsid w:val="00D16EC9"/>
    <w:rsid w:val="00D328D9"/>
    <w:rsid w:val="00D34540"/>
    <w:rsid w:val="00D3500B"/>
    <w:rsid w:val="00D3711B"/>
    <w:rsid w:val="00D42770"/>
    <w:rsid w:val="00D504CC"/>
    <w:rsid w:val="00D52F3E"/>
    <w:rsid w:val="00D53C3B"/>
    <w:rsid w:val="00D54B4F"/>
    <w:rsid w:val="00D563FD"/>
    <w:rsid w:val="00D57A43"/>
    <w:rsid w:val="00D57FF8"/>
    <w:rsid w:val="00D65781"/>
    <w:rsid w:val="00D66863"/>
    <w:rsid w:val="00D71B73"/>
    <w:rsid w:val="00D73436"/>
    <w:rsid w:val="00D736D4"/>
    <w:rsid w:val="00D752E2"/>
    <w:rsid w:val="00D75303"/>
    <w:rsid w:val="00D80B54"/>
    <w:rsid w:val="00D80BE6"/>
    <w:rsid w:val="00D855C8"/>
    <w:rsid w:val="00D8737B"/>
    <w:rsid w:val="00D87D90"/>
    <w:rsid w:val="00D90922"/>
    <w:rsid w:val="00D91596"/>
    <w:rsid w:val="00D92A92"/>
    <w:rsid w:val="00D94F4A"/>
    <w:rsid w:val="00DA298D"/>
    <w:rsid w:val="00DA703F"/>
    <w:rsid w:val="00DA7464"/>
    <w:rsid w:val="00DB4600"/>
    <w:rsid w:val="00DB543B"/>
    <w:rsid w:val="00DC030B"/>
    <w:rsid w:val="00DC0727"/>
    <w:rsid w:val="00DC0FD1"/>
    <w:rsid w:val="00DC5E39"/>
    <w:rsid w:val="00DC7BA0"/>
    <w:rsid w:val="00DD0AD0"/>
    <w:rsid w:val="00DD125A"/>
    <w:rsid w:val="00DD1A22"/>
    <w:rsid w:val="00DD216D"/>
    <w:rsid w:val="00DD2DA0"/>
    <w:rsid w:val="00DD3182"/>
    <w:rsid w:val="00DD45E8"/>
    <w:rsid w:val="00DD746C"/>
    <w:rsid w:val="00DE0CDF"/>
    <w:rsid w:val="00DE0DE8"/>
    <w:rsid w:val="00DE5D84"/>
    <w:rsid w:val="00DE63AF"/>
    <w:rsid w:val="00DE68E0"/>
    <w:rsid w:val="00DE71A9"/>
    <w:rsid w:val="00DE7313"/>
    <w:rsid w:val="00DF2D92"/>
    <w:rsid w:val="00DF36DD"/>
    <w:rsid w:val="00DF60FE"/>
    <w:rsid w:val="00DF64B3"/>
    <w:rsid w:val="00DF7E6F"/>
    <w:rsid w:val="00E02190"/>
    <w:rsid w:val="00E05C29"/>
    <w:rsid w:val="00E05C8B"/>
    <w:rsid w:val="00E11030"/>
    <w:rsid w:val="00E11CDD"/>
    <w:rsid w:val="00E13FED"/>
    <w:rsid w:val="00E15D2A"/>
    <w:rsid w:val="00E16D7F"/>
    <w:rsid w:val="00E203F1"/>
    <w:rsid w:val="00E23573"/>
    <w:rsid w:val="00E24BB6"/>
    <w:rsid w:val="00E2639F"/>
    <w:rsid w:val="00E268F3"/>
    <w:rsid w:val="00E30995"/>
    <w:rsid w:val="00E311CD"/>
    <w:rsid w:val="00E31B88"/>
    <w:rsid w:val="00E32EBE"/>
    <w:rsid w:val="00E33DD2"/>
    <w:rsid w:val="00E356AC"/>
    <w:rsid w:val="00E366A3"/>
    <w:rsid w:val="00E36C94"/>
    <w:rsid w:val="00E40DB5"/>
    <w:rsid w:val="00E42451"/>
    <w:rsid w:val="00E44F18"/>
    <w:rsid w:val="00E47505"/>
    <w:rsid w:val="00E47B63"/>
    <w:rsid w:val="00E50390"/>
    <w:rsid w:val="00E50FE4"/>
    <w:rsid w:val="00E5217B"/>
    <w:rsid w:val="00E52FCA"/>
    <w:rsid w:val="00E53336"/>
    <w:rsid w:val="00E55BF8"/>
    <w:rsid w:val="00E57288"/>
    <w:rsid w:val="00E57476"/>
    <w:rsid w:val="00E60694"/>
    <w:rsid w:val="00E60B9A"/>
    <w:rsid w:val="00E615AD"/>
    <w:rsid w:val="00E620B6"/>
    <w:rsid w:val="00E627EF"/>
    <w:rsid w:val="00E64BA1"/>
    <w:rsid w:val="00E65304"/>
    <w:rsid w:val="00E668A9"/>
    <w:rsid w:val="00E66D87"/>
    <w:rsid w:val="00E6762E"/>
    <w:rsid w:val="00E7111D"/>
    <w:rsid w:val="00E713A7"/>
    <w:rsid w:val="00E7141C"/>
    <w:rsid w:val="00E74614"/>
    <w:rsid w:val="00E80821"/>
    <w:rsid w:val="00E81109"/>
    <w:rsid w:val="00E81DC5"/>
    <w:rsid w:val="00E94A7F"/>
    <w:rsid w:val="00E95AC3"/>
    <w:rsid w:val="00EA0E13"/>
    <w:rsid w:val="00EA218F"/>
    <w:rsid w:val="00EB35EC"/>
    <w:rsid w:val="00EB5A91"/>
    <w:rsid w:val="00EC21E7"/>
    <w:rsid w:val="00EC4E1F"/>
    <w:rsid w:val="00ED274C"/>
    <w:rsid w:val="00ED31CE"/>
    <w:rsid w:val="00ED662D"/>
    <w:rsid w:val="00ED6EAD"/>
    <w:rsid w:val="00EE07CB"/>
    <w:rsid w:val="00EE24A3"/>
    <w:rsid w:val="00EE4B03"/>
    <w:rsid w:val="00EE7C05"/>
    <w:rsid w:val="00EE7E81"/>
    <w:rsid w:val="00EF2D1E"/>
    <w:rsid w:val="00EF4B59"/>
    <w:rsid w:val="00F03FF5"/>
    <w:rsid w:val="00F05992"/>
    <w:rsid w:val="00F106AB"/>
    <w:rsid w:val="00F13F0A"/>
    <w:rsid w:val="00F14216"/>
    <w:rsid w:val="00F2174D"/>
    <w:rsid w:val="00F22830"/>
    <w:rsid w:val="00F230A7"/>
    <w:rsid w:val="00F2403E"/>
    <w:rsid w:val="00F31F07"/>
    <w:rsid w:val="00F33B01"/>
    <w:rsid w:val="00F33E15"/>
    <w:rsid w:val="00F343D0"/>
    <w:rsid w:val="00F345A9"/>
    <w:rsid w:val="00F37AF5"/>
    <w:rsid w:val="00F424BE"/>
    <w:rsid w:val="00F428C4"/>
    <w:rsid w:val="00F42AE5"/>
    <w:rsid w:val="00F462F9"/>
    <w:rsid w:val="00F51C36"/>
    <w:rsid w:val="00F51E82"/>
    <w:rsid w:val="00F52B27"/>
    <w:rsid w:val="00F52E60"/>
    <w:rsid w:val="00F55799"/>
    <w:rsid w:val="00F56576"/>
    <w:rsid w:val="00F611CA"/>
    <w:rsid w:val="00F647E7"/>
    <w:rsid w:val="00F7080F"/>
    <w:rsid w:val="00F70CC2"/>
    <w:rsid w:val="00F8076E"/>
    <w:rsid w:val="00F80A4B"/>
    <w:rsid w:val="00F818EC"/>
    <w:rsid w:val="00F82181"/>
    <w:rsid w:val="00F909BA"/>
    <w:rsid w:val="00F92B00"/>
    <w:rsid w:val="00F93321"/>
    <w:rsid w:val="00F93B53"/>
    <w:rsid w:val="00F956CD"/>
    <w:rsid w:val="00F96386"/>
    <w:rsid w:val="00FA0F24"/>
    <w:rsid w:val="00FA13DA"/>
    <w:rsid w:val="00FB03B7"/>
    <w:rsid w:val="00FB13B4"/>
    <w:rsid w:val="00FB1D5D"/>
    <w:rsid w:val="00FB2B30"/>
    <w:rsid w:val="00FB3427"/>
    <w:rsid w:val="00FB3685"/>
    <w:rsid w:val="00FB3FD1"/>
    <w:rsid w:val="00FB6D3F"/>
    <w:rsid w:val="00FB7ED9"/>
    <w:rsid w:val="00FC28E9"/>
    <w:rsid w:val="00FC2B37"/>
    <w:rsid w:val="00FC32A0"/>
    <w:rsid w:val="00FC4500"/>
    <w:rsid w:val="00FC4C64"/>
    <w:rsid w:val="00FC4F1C"/>
    <w:rsid w:val="00FC51D5"/>
    <w:rsid w:val="00FC5F49"/>
    <w:rsid w:val="00FD1466"/>
    <w:rsid w:val="00FD3A41"/>
    <w:rsid w:val="00FD610D"/>
    <w:rsid w:val="00FE3B34"/>
    <w:rsid w:val="00FE475C"/>
    <w:rsid w:val="00FE5FE0"/>
    <w:rsid w:val="00FF3F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671B"/>
  <w15:docId w15:val="{BA499CD5-A0BE-478A-A9E9-F5E01D88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83608"/>
    <w:pPr>
      <w:spacing w:after="200" w:line="276" w:lineRule="auto"/>
    </w:pPr>
  </w:style>
  <w:style w:type="paragraph" w:styleId="Heading1">
    <w:name w:val="heading 1"/>
    <w:basedOn w:val="Normal"/>
    <w:next w:val="Normal"/>
    <w:link w:val="Heading1Char"/>
    <w:uiPriority w:val="9"/>
    <w:qFormat/>
    <w:rsid w:val="00BB7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unhideWhenUsed/>
    <w:rsid w:val="007A4D05"/>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7A4D05"/>
    <w:pPr>
      <w:spacing w:before="280"/>
    </w:pPr>
    <w:rPr>
      <w:rFonts w:cs="Arial"/>
      <w:b/>
      <w:bCs/>
      <w:sz w:val="60"/>
      <w:szCs w:val="60"/>
    </w:rPr>
  </w:style>
  <w:style w:type="paragraph" w:customStyle="1" w:styleId="CoverDate">
    <w:name w:val="Cover Date"/>
    <w:basedOn w:val="BasicParagraph"/>
    <w:uiPriority w:val="2"/>
    <w:qFormat/>
    <w:rsid w:val="007A4D05"/>
    <w:rPr>
      <w:rFonts w:cs="Arial"/>
      <w:sz w:val="28"/>
      <w:szCs w:val="28"/>
    </w:rPr>
  </w:style>
  <w:style w:type="paragraph" w:styleId="Title">
    <w:name w:val="Title"/>
    <w:basedOn w:val="NZXTitle"/>
    <w:next w:val="Normal"/>
    <w:link w:val="TitleChar"/>
    <w:qFormat/>
    <w:rsid w:val="007A4D05"/>
    <w:pPr>
      <w:spacing w:before="200"/>
    </w:pPr>
  </w:style>
  <w:style w:type="character" w:customStyle="1" w:styleId="TitleChar">
    <w:name w:val="Title Char"/>
    <w:basedOn w:val="DefaultParagraphFont"/>
    <w:link w:val="Title"/>
    <w:rsid w:val="007A4D05"/>
    <w:rPr>
      <w:rFonts w:cs="Arial"/>
      <w:b/>
      <w:bCs/>
      <w:color w:val="000000"/>
      <w:sz w:val="60"/>
      <w:szCs w:val="60"/>
      <w:lang w:val="en-GB"/>
    </w:rPr>
  </w:style>
  <w:style w:type="paragraph" w:styleId="Subtitle">
    <w:name w:val="Subtitle"/>
    <w:basedOn w:val="Normal"/>
    <w:next w:val="Normal"/>
    <w:link w:val="SubtitleChar"/>
    <w:uiPriority w:val="1"/>
    <w:qFormat/>
    <w:rsid w:val="007A4D05"/>
    <w:pPr>
      <w:autoSpaceDE w:val="0"/>
      <w:autoSpaceDN w:val="0"/>
      <w:adjustRightInd w:val="0"/>
      <w:spacing w:after="0" w:line="288" w:lineRule="auto"/>
      <w:textAlignment w:val="center"/>
    </w:pPr>
    <w:rPr>
      <w:rFonts w:cs="Arial"/>
      <w:color w:val="3397D3"/>
      <w:sz w:val="36"/>
      <w:szCs w:val="40"/>
      <w:lang w:val="en-GB"/>
    </w:rPr>
  </w:style>
  <w:style w:type="character" w:customStyle="1" w:styleId="SubtitleChar">
    <w:name w:val="Subtitle Char"/>
    <w:basedOn w:val="DefaultParagraphFont"/>
    <w:link w:val="Subtitle"/>
    <w:uiPriority w:val="1"/>
    <w:rsid w:val="007A4D05"/>
    <w:rPr>
      <w:rFonts w:cs="Arial"/>
      <w:color w:val="3397D3"/>
      <w:sz w:val="36"/>
      <w:szCs w:val="40"/>
      <w:lang w:val="en-GB"/>
    </w:rPr>
  </w:style>
  <w:style w:type="paragraph" w:styleId="Header">
    <w:name w:val="header"/>
    <w:basedOn w:val="Normal"/>
    <w:link w:val="HeaderChar"/>
    <w:uiPriority w:val="99"/>
    <w:unhideWhenUsed/>
    <w:rsid w:val="00F34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3D0"/>
  </w:style>
  <w:style w:type="paragraph" w:styleId="Footer">
    <w:name w:val="footer"/>
    <w:basedOn w:val="Normal"/>
    <w:link w:val="FooterChar"/>
    <w:uiPriority w:val="99"/>
    <w:unhideWhenUsed/>
    <w:rsid w:val="00F34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3D0"/>
  </w:style>
  <w:style w:type="character" w:customStyle="1" w:styleId="Heading1Char">
    <w:name w:val="Heading 1 Char"/>
    <w:basedOn w:val="DefaultParagraphFont"/>
    <w:link w:val="Heading1"/>
    <w:uiPriority w:val="9"/>
    <w:rsid w:val="00BB746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B746C"/>
    <w:pPr>
      <w:spacing w:line="259" w:lineRule="auto"/>
      <w:outlineLvl w:val="9"/>
    </w:pPr>
    <w:rPr>
      <w:lang w:val="en-US"/>
    </w:rPr>
  </w:style>
  <w:style w:type="paragraph" w:styleId="ListParagraph">
    <w:name w:val="List Paragraph"/>
    <w:basedOn w:val="Normal"/>
    <w:uiPriority w:val="34"/>
    <w:qFormat/>
    <w:rsid w:val="009D3FB4"/>
    <w:pPr>
      <w:ind w:left="720"/>
      <w:contextualSpacing/>
    </w:pPr>
  </w:style>
  <w:style w:type="paragraph" w:styleId="FootnoteText">
    <w:name w:val="footnote text"/>
    <w:basedOn w:val="Normal"/>
    <w:link w:val="FootnoteTextChar"/>
    <w:uiPriority w:val="99"/>
    <w:semiHidden/>
    <w:unhideWhenUsed/>
    <w:rsid w:val="008E4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519"/>
    <w:rPr>
      <w:sz w:val="20"/>
      <w:szCs w:val="20"/>
    </w:rPr>
  </w:style>
  <w:style w:type="character" w:styleId="FootnoteReference">
    <w:name w:val="footnote reference"/>
    <w:basedOn w:val="DefaultParagraphFont"/>
    <w:uiPriority w:val="99"/>
    <w:semiHidden/>
    <w:unhideWhenUsed/>
    <w:rsid w:val="008E4519"/>
    <w:rPr>
      <w:vertAlign w:val="superscript"/>
    </w:rPr>
  </w:style>
  <w:style w:type="table" w:styleId="TableGrid">
    <w:name w:val="Table Grid"/>
    <w:basedOn w:val="TableNormal"/>
    <w:uiPriority w:val="39"/>
    <w:rsid w:val="00E9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712D"/>
    <w:pPr>
      <w:spacing w:after="0" w:line="240" w:lineRule="auto"/>
    </w:pPr>
  </w:style>
  <w:style w:type="character" w:styleId="CommentReference">
    <w:name w:val="annotation reference"/>
    <w:basedOn w:val="DefaultParagraphFont"/>
    <w:uiPriority w:val="99"/>
    <w:semiHidden/>
    <w:unhideWhenUsed/>
    <w:rsid w:val="0011712D"/>
    <w:rPr>
      <w:sz w:val="16"/>
      <w:szCs w:val="16"/>
    </w:rPr>
  </w:style>
  <w:style w:type="paragraph" w:styleId="CommentText">
    <w:name w:val="annotation text"/>
    <w:basedOn w:val="Normal"/>
    <w:link w:val="CommentTextChar"/>
    <w:uiPriority w:val="99"/>
    <w:unhideWhenUsed/>
    <w:rsid w:val="0011712D"/>
    <w:pPr>
      <w:spacing w:line="240" w:lineRule="auto"/>
    </w:pPr>
    <w:rPr>
      <w:sz w:val="20"/>
      <w:szCs w:val="20"/>
    </w:rPr>
  </w:style>
  <w:style w:type="character" w:customStyle="1" w:styleId="CommentTextChar">
    <w:name w:val="Comment Text Char"/>
    <w:basedOn w:val="DefaultParagraphFont"/>
    <w:link w:val="CommentText"/>
    <w:uiPriority w:val="99"/>
    <w:rsid w:val="0011712D"/>
    <w:rPr>
      <w:sz w:val="20"/>
      <w:szCs w:val="20"/>
    </w:rPr>
  </w:style>
  <w:style w:type="paragraph" w:styleId="CommentSubject">
    <w:name w:val="annotation subject"/>
    <w:basedOn w:val="CommentText"/>
    <w:next w:val="CommentText"/>
    <w:link w:val="CommentSubjectChar"/>
    <w:uiPriority w:val="99"/>
    <w:semiHidden/>
    <w:unhideWhenUsed/>
    <w:rsid w:val="0011712D"/>
    <w:rPr>
      <w:b/>
      <w:bCs/>
    </w:rPr>
  </w:style>
  <w:style w:type="character" w:customStyle="1" w:styleId="CommentSubjectChar">
    <w:name w:val="Comment Subject Char"/>
    <w:basedOn w:val="CommentTextChar"/>
    <w:link w:val="CommentSubject"/>
    <w:uiPriority w:val="99"/>
    <w:semiHidden/>
    <w:rsid w:val="0011712D"/>
    <w:rPr>
      <w:b/>
      <w:bCs/>
      <w:sz w:val="20"/>
      <w:szCs w:val="20"/>
    </w:rPr>
  </w:style>
  <w:style w:type="character" w:styleId="Hyperlink">
    <w:name w:val="Hyperlink"/>
    <w:basedOn w:val="DefaultParagraphFont"/>
    <w:uiPriority w:val="99"/>
    <w:unhideWhenUsed/>
    <w:rsid w:val="00DE71A9"/>
    <w:rPr>
      <w:color w:val="0563C1" w:themeColor="hyperlink"/>
      <w:u w:val="single"/>
    </w:rPr>
  </w:style>
  <w:style w:type="character" w:styleId="UnresolvedMention">
    <w:name w:val="Unresolved Mention"/>
    <w:basedOn w:val="DefaultParagraphFont"/>
    <w:uiPriority w:val="99"/>
    <w:semiHidden/>
    <w:unhideWhenUsed/>
    <w:rsid w:val="00DE71A9"/>
    <w:rPr>
      <w:color w:val="605E5C"/>
      <w:shd w:val="clear" w:color="auto" w:fill="E1DFDD"/>
    </w:rPr>
  </w:style>
  <w:style w:type="character" w:customStyle="1" w:styleId="cf01">
    <w:name w:val="cf01"/>
    <w:basedOn w:val="DefaultParagraphFont"/>
    <w:rsid w:val="0065791F"/>
    <w:rPr>
      <w:rFonts w:ascii="Segoe UI" w:hAnsi="Segoe UI" w:cs="Segoe UI" w:hint="default"/>
      <w:sz w:val="18"/>
      <w:szCs w:val="18"/>
    </w:rPr>
  </w:style>
  <w:style w:type="paragraph" w:styleId="TOC1">
    <w:name w:val="toc 1"/>
    <w:basedOn w:val="Normal"/>
    <w:next w:val="Normal"/>
    <w:autoRedefine/>
    <w:uiPriority w:val="39"/>
    <w:unhideWhenUsed/>
    <w:rsid w:val="00A40398"/>
    <w:pPr>
      <w:spacing w:after="100"/>
    </w:pPr>
  </w:style>
  <w:style w:type="character" w:styleId="Strong">
    <w:name w:val="Strong"/>
    <w:basedOn w:val="DefaultParagraphFont"/>
    <w:uiPriority w:val="22"/>
    <w:qFormat/>
    <w:rsid w:val="00701F1E"/>
    <w:rPr>
      <w:b/>
      <w:bCs/>
    </w:rPr>
  </w:style>
  <w:style w:type="character" w:styleId="FollowedHyperlink">
    <w:name w:val="FollowedHyperlink"/>
    <w:basedOn w:val="DefaultParagraphFont"/>
    <w:uiPriority w:val="99"/>
    <w:semiHidden/>
    <w:unhideWhenUsed/>
    <w:rsid w:val="00C12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242">
      <w:bodyDiv w:val="1"/>
      <w:marLeft w:val="0"/>
      <w:marRight w:val="0"/>
      <w:marTop w:val="0"/>
      <w:marBottom w:val="0"/>
      <w:divBdr>
        <w:top w:val="none" w:sz="0" w:space="0" w:color="auto"/>
        <w:left w:val="none" w:sz="0" w:space="0" w:color="auto"/>
        <w:bottom w:val="none" w:sz="0" w:space="0" w:color="auto"/>
        <w:right w:val="none" w:sz="0" w:space="0" w:color="auto"/>
      </w:divBdr>
    </w:div>
    <w:div w:id="68769745">
      <w:bodyDiv w:val="1"/>
      <w:marLeft w:val="0"/>
      <w:marRight w:val="0"/>
      <w:marTop w:val="0"/>
      <w:marBottom w:val="0"/>
      <w:divBdr>
        <w:top w:val="none" w:sz="0" w:space="0" w:color="auto"/>
        <w:left w:val="none" w:sz="0" w:space="0" w:color="auto"/>
        <w:bottom w:val="none" w:sz="0" w:space="0" w:color="auto"/>
        <w:right w:val="none" w:sz="0" w:space="0" w:color="auto"/>
      </w:divBdr>
    </w:div>
    <w:div w:id="97256155">
      <w:bodyDiv w:val="1"/>
      <w:marLeft w:val="0"/>
      <w:marRight w:val="0"/>
      <w:marTop w:val="0"/>
      <w:marBottom w:val="0"/>
      <w:divBdr>
        <w:top w:val="none" w:sz="0" w:space="0" w:color="auto"/>
        <w:left w:val="none" w:sz="0" w:space="0" w:color="auto"/>
        <w:bottom w:val="none" w:sz="0" w:space="0" w:color="auto"/>
        <w:right w:val="none" w:sz="0" w:space="0" w:color="auto"/>
      </w:divBdr>
    </w:div>
    <w:div w:id="192546774">
      <w:bodyDiv w:val="1"/>
      <w:marLeft w:val="0"/>
      <w:marRight w:val="0"/>
      <w:marTop w:val="0"/>
      <w:marBottom w:val="0"/>
      <w:divBdr>
        <w:top w:val="none" w:sz="0" w:space="0" w:color="auto"/>
        <w:left w:val="none" w:sz="0" w:space="0" w:color="auto"/>
        <w:bottom w:val="none" w:sz="0" w:space="0" w:color="auto"/>
        <w:right w:val="none" w:sz="0" w:space="0" w:color="auto"/>
      </w:divBdr>
    </w:div>
    <w:div w:id="248009625">
      <w:bodyDiv w:val="1"/>
      <w:marLeft w:val="0"/>
      <w:marRight w:val="0"/>
      <w:marTop w:val="0"/>
      <w:marBottom w:val="0"/>
      <w:divBdr>
        <w:top w:val="none" w:sz="0" w:space="0" w:color="auto"/>
        <w:left w:val="none" w:sz="0" w:space="0" w:color="auto"/>
        <w:bottom w:val="none" w:sz="0" w:space="0" w:color="auto"/>
        <w:right w:val="none" w:sz="0" w:space="0" w:color="auto"/>
      </w:divBdr>
    </w:div>
    <w:div w:id="497042042">
      <w:bodyDiv w:val="1"/>
      <w:marLeft w:val="0"/>
      <w:marRight w:val="0"/>
      <w:marTop w:val="0"/>
      <w:marBottom w:val="0"/>
      <w:divBdr>
        <w:top w:val="none" w:sz="0" w:space="0" w:color="auto"/>
        <w:left w:val="none" w:sz="0" w:space="0" w:color="auto"/>
        <w:bottom w:val="none" w:sz="0" w:space="0" w:color="auto"/>
        <w:right w:val="none" w:sz="0" w:space="0" w:color="auto"/>
      </w:divBdr>
    </w:div>
    <w:div w:id="528491320">
      <w:bodyDiv w:val="1"/>
      <w:marLeft w:val="0"/>
      <w:marRight w:val="0"/>
      <w:marTop w:val="0"/>
      <w:marBottom w:val="0"/>
      <w:divBdr>
        <w:top w:val="none" w:sz="0" w:space="0" w:color="auto"/>
        <w:left w:val="none" w:sz="0" w:space="0" w:color="auto"/>
        <w:bottom w:val="none" w:sz="0" w:space="0" w:color="auto"/>
        <w:right w:val="none" w:sz="0" w:space="0" w:color="auto"/>
      </w:divBdr>
    </w:div>
    <w:div w:id="613944347">
      <w:bodyDiv w:val="1"/>
      <w:marLeft w:val="0"/>
      <w:marRight w:val="0"/>
      <w:marTop w:val="0"/>
      <w:marBottom w:val="0"/>
      <w:divBdr>
        <w:top w:val="none" w:sz="0" w:space="0" w:color="auto"/>
        <w:left w:val="none" w:sz="0" w:space="0" w:color="auto"/>
        <w:bottom w:val="none" w:sz="0" w:space="0" w:color="auto"/>
        <w:right w:val="none" w:sz="0" w:space="0" w:color="auto"/>
      </w:divBdr>
    </w:div>
    <w:div w:id="655452867">
      <w:bodyDiv w:val="1"/>
      <w:marLeft w:val="0"/>
      <w:marRight w:val="0"/>
      <w:marTop w:val="0"/>
      <w:marBottom w:val="0"/>
      <w:divBdr>
        <w:top w:val="none" w:sz="0" w:space="0" w:color="auto"/>
        <w:left w:val="none" w:sz="0" w:space="0" w:color="auto"/>
        <w:bottom w:val="none" w:sz="0" w:space="0" w:color="auto"/>
        <w:right w:val="none" w:sz="0" w:space="0" w:color="auto"/>
      </w:divBdr>
    </w:div>
    <w:div w:id="659968464">
      <w:bodyDiv w:val="1"/>
      <w:marLeft w:val="0"/>
      <w:marRight w:val="0"/>
      <w:marTop w:val="0"/>
      <w:marBottom w:val="0"/>
      <w:divBdr>
        <w:top w:val="none" w:sz="0" w:space="0" w:color="auto"/>
        <w:left w:val="none" w:sz="0" w:space="0" w:color="auto"/>
        <w:bottom w:val="none" w:sz="0" w:space="0" w:color="auto"/>
        <w:right w:val="none" w:sz="0" w:space="0" w:color="auto"/>
      </w:divBdr>
    </w:div>
    <w:div w:id="665523546">
      <w:bodyDiv w:val="1"/>
      <w:marLeft w:val="0"/>
      <w:marRight w:val="0"/>
      <w:marTop w:val="0"/>
      <w:marBottom w:val="0"/>
      <w:divBdr>
        <w:top w:val="none" w:sz="0" w:space="0" w:color="auto"/>
        <w:left w:val="none" w:sz="0" w:space="0" w:color="auto"/>
        <w:bottom w:val="none" w:sz="0" w:space="0" w:color="auto"/>
        <w:right w:val="none" w:sz="0" w:space="0" w:color="auto"/>
      </w:divBdr>
    </w:div>
    <w:div w:id="671566650">
      <w:bodyDiv w:val="1"/>
      <w:marLeft w:val="0"/>
      <w:marRight w:val="0"/>
      <w:marTop w:val="0"/>
      <w:marBottom w:val="0"/>
      <w:divBdr>
        <w:top w:val="none" w:sz="0" w:space="0" w:color="auto"/>
        <w:left w:val="none" w:sz="0" w:space="0" w:color="auto"/>
        <w:bottom w:val="none" w:sz="0" w:space="0" w:color="auto"/>
        <w:right w:val="none" w:sz="0" w:space="0" w:color="auto"/>
      </w:divBdr>
    </w:div>
    <w:div w:id="713432480">
      <w:bodyDiv w:val="1"/>
      <w:marLeft w:val="0"/>
      <w:marRight w:val="0"/>
      <w:marTop w:val="0"/>
      <w:marBottom w:val="0"/>
      <w:divBdr>
        <w:top w:val="none" w:sz="0" w:space="0" w:color="auto"/>
        <w:left w:val="none" w:sz="0" w:space="0" w:color="auto"/>
        <w:bottom w:val="none" w:sz="0" w:space="0" w:color="auto"/>
        <w:right w:val="none" w:sz="0" w:space="0" w:color="auto"/>
      </w:divBdr>
    </w:div>
    <w:div w:id="788553117">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97196419">
      <w:bodyDiv w:val="1"/>
      <w:marLeft w:val="0"/>
      <w:marRight w:val="0"/>
      <w:marTop w:val="0"/>
      <w:marBottom w:val="0"/>
      <w:divBdr>
        <w:top w:val="none" w:sz="0" w:space="0" w:color="auto"/>
        <w:left w:val="none" w:sz="0" w:space="0" w:color="auto"/>
        <w:bottom w:val="none" w:sz="0" w:space="0" w:color="auto"/>
        <w:right w:val="none" w:sz="0" w:space="0" w:color="auto"/>
      </w:divBdr>
    </w:div>
    <w:div w:id="1261257269">
      <w:bodyDiv w:val="1"/>
      <w:marLeft w:val="0"/>
      <w:marRight w:val="0"/>
      <w:marTop w:val="0"/>
      <w:marBottom w:val="0"/>
      <w:divBdr>
        <w:top w:val="none" w:sz="0" w:space="0" w:color="auto"/>
        <w:left w:val="none" w:sz="0" w:space="0" w:color="auto"/>
        <w:bottom w:val="none" w:sz="0" w:space="0" w:color="auto"/>
        <w:right w:val="none" w:sz="0" w:space="0" w:color="auto"/>
      </w:divBdr>
    </w:div>
    <w:div w:id="1287156839">
      <w:bodyDiv w:val="1"/>
      <w:marLeft w:val="0"/>
      <w:marRight w:val="0"/>
      <w:marTop w:val="0"/>
      <w:marBottom w:val="0"/>
      <w:divBdr>
        <w:top w:val="none" w:sz="0" w:space="0" w:color="auto"/>
        <w:left w:val="none" w:sz="0" w:space="0" w:color="auto"/>
        <w:bottom w:val="none" w:sz="0" w:space="0" w:color="auto"/>
        <w:right w:val="none" w:sz="0" w:space="0" w:color="auto"/>
      </w:divBdr>
    </w:div>
    <w:div w:id="1326861978">
      <w:bodyDiv w:val="1"/>
      <w:marLeft w:val="0"/>
      <w:marRight w:val="0"/>
      <w:marTop w:val="0"/>
      <w:marBottom w:val="0"/>
      <w:divBdr>
        <w:top w:val="none" w:sz="0" w:space="0" w:color="auto"/>
        <w:left w:val="none" w:sz="0" w:space="0" w:color="auto"/>
        <w:bottom w:val="none" w:sz="0" w:space="0" w:color="auto"/>
        <w:right w:val="none" w:sz="0" w:space="0" w:color="auto"/>
      </w:divBdr>
    </w:div>
    <w:div w:id="1327366641">
      <w:bodyDiv w:val="1"/>
      <w:marLeft w:val="0"/>
      <w:marRight w:val="0"/>
      <w:marTop w:val="0"/>
      <w:marBottom w:val="0"/>
      <w:divBdr>
        <w:top w:val="none" w:sz="0" w:space="0" w:color="auto"/>
        <w:left w:val="none" w:sz="0" w:space="0" w:color="auto"/>
        <w:bottom w:val="none" w:sz="0" w:space="0" w:color="auto"/>
        <w:right w:val="none" w:sz="0" w:space="0" w:color="auto"/>
      </w:divBdr>
    </w:div>
    <w:div w:id="1327786932">
      <w:bodyDiv w:val="1"/>
      <w:marLeft w:val="0"/>
      <w:marRight w:val="0"/>
      <w:marTop w:val="0"/>
      <w:marBottom w:val="0"/>
      <w:divBdr>
        <w:top w:val="none" w:sz="0" w:space="0" w:color="auto"/>
        <w:left w:val="none" w:sz="0" w:space="0" w:color="auto"/>
        <w:bottom w:val="none" w:sz="0" w:space="0" w:color="auto"/>
        <w:right w:val="none" w:sz="0" w:space="0" w:color="auto"/>
      </w:divBdr>
    </w:div>
    <w:div w:id="1395280339">
      <w:bodyDiv w:val="1"/>
      <w:marLeft w:val="0"/>
      <w:marRight w:val="0"/>
      <w:marTop w:val="0"/>
      <w:marBottom w:val="0"/>
      <w:divBdr>
        <w:top w:val="none" w:sz="0" w:space="0" w:color="auto"/>
        <w:left w:val="none" w:sz="0" w:space="0" w:color="auto"/>
        <w:bottom w:val="none" w:sz="0" w:space="0" w:color="auto"/>
        <w:right w:val="none" w:sz="0" w:space="0" w:color="auto"/>
      </w:divBdr>
    </w:div>
    <w:div w:id="1442802547">
      <w:bodyDiv w:val="1"/>
      <w:marLeft w:val="0"/>
      <w:marRight w:val="0"/>
      <w:marTop w:val="0"/>
      <w:marBottom w:val="0"/>
      <w:divBdr>
        <w:top w:val="none" w:sz="0" w:space="0" w:color="auto"/>
        <w:left w:val="none" w:sz="0" w:space="0" w:color="auto"/>
        <w:bottom w:val="none" w:sz="0" w:space="0" w:color="auto"/>
        <w:right w:val="none" w:sz="0" w:space="0" w:color="auto"/>
      </w:divBdr>
    </w:div>
    <w:div w:id="1489664991">
      <w:bodyDiv w:val="1"/>
      <w:marLeft w:val="0"/>
      <w:marRight w:val="0"/>
      <w:marTop w:val="0"/>
      <w:marBottom w:val="0"/>
      <w:divBdr>
        <w:top w:val="none" w:sz="0" w:space="0" w:color="auto"/>
        <w:left w:val="none" w:sz="0" w:space="0" w:color="auto"/>
        <w:bottom w:val="none" w:sz="0" w:space="0" w:color="auto"/>
        <w:right w:val="none" w:sz="0" w:space="0" w:color="auto"/>
      </w:divBdr>
    </w:div>
    <w:div w:id="1514615208">
      <w:bodyDiv w:val="1"/>
      <w:marLeft w:val="0"/>
      <w:marRight w:val="0"/>
      <w:marTop w:val="0"/>
      <w:marBottom w:val="0"/>
      <w:divBdr>
        <w:top w:val="none" w:sz="0" w:space="0" w:color="auto"/>
        <w:left w:val="none" w:sz="0" w:space="0" w:color="auto"/>
        <w:bottom w:val="none" w:sz="0" w:space="0" w:color="auto"/>
        <w:right w:val="none" w:sz="0" w:space="0" w:color="auto"/>
      </w:divBdr>
    </w:div>
    <w:div w:id="1636251890">
      <w:bodyDiv w:val="1"/>
      <w:marLeft w:val="0"/>
      <w:marRight w:val="0"/>
      <w:marTop w:val="0"/>
      <w:marBottom w:val="0"/>
      <w:divBdr>
        <w:top w:val="none" w:sz="0" w:space="0" w:color="auto"/>
        <w:left w:val="none" w:sz="0" w:space="0" w:color="auto"/>
        <w:bottom w:val="none" w:sz="0" w:space="0" w:color="auto"/>
        <w:right w:val="none" w:sz="0" w:space="0" w:color="auto"/>
      </w:divBdr>
    </w:div>
    <w:div w:id="1745059101">
      <w:bodyDiv w:val="1"/>
      <w:marLeft w:val="0"/>
      <w:marRight w:val="0"/>
      <w:marTop w:val="0"/>
      <w:marBottom w:val="0"/>
      <w:divBdr>
        <w:top w:val="none" w:sz="0" w:space="0" w:color="auto"/>
        <w:left w:val="none" w:sz="0" w:space="0" w:color="auto"/>
        <w:bottom w:val="none" w:sz="0" w:space="0" w:color="auto"/>
        <w:right w:val="none" w:sz="0" w:space="0" w:color="auto"/>
      </w:divBdr>
    </w:div>
    <w:div w:id="1834644577">
      <w:bodyDiv w:val="1"/>
      <w:marLeft w:val="0"/>
      <w:marRight w:val="0"/>
      <w:marTop w:val="0"/>
      <w:marBottom w:val="0"/>
      <w:divBdr>
        <w:top w:val="none" w:sz="0" w:space="0" w:color="auto"/>
        <w:left w:val="none" w:sz="0" w:space="0" w:color="auto"/>
        <w:bottom w:val="none" w:sz="0" w:space="0" w:color="auto"/>
        <w:right w:val="none" w:sz="0" w:space="0" w:color="auto"/>
      </w:divBdr>
    </w:div>
    <w:div w:id="2053066408">
      <w:bodyDiv w:val="1"/>
      <w:marLeft w:val="0"/>
      <w:marRight w:val="0"/>
      <w:marTop w:val="0"/>
      <w:marBottom w:val="0"/>
      <w:divBdr>
        <w:top w:val="none" w:sz="0" w:space="0" w:color="auto"/>
        <w:left w:val="none" w:sz="0" w:space="0" w:color="auto"/>
        <w:bottom w:val="none" w:sz="0" w:space="0" w:color="auto"/>
        <w:right w:val="none" w:sz="0" w:space="0" w:color="auto"/>
      </w:divBdr>
    </w:div>
    <w:div w:id="209997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zx.com/regulation/nzx-rules-guidance/corporate-governance-c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s.govt.nz/assets/Uploads/Methods/Organisational-gender-pay-gaps-measurement-and-analysis-guidelines/organisational-gender-pay-gaps-measurement-analysis-guidelin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s.govt.nz/methods/organisational-gender-pay-gaps-measurement-and-analysis-guide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ma.govt.nz/assets/Guidance/120901-guidance-Disclosing-non-gaap-financial-inform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C26B-7216-4897-AFB5-0A39CB89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5776</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Rarm</dc:creator>
  <cp:keywords/>
  <dc:description/>
  <cp:lastModifiedBy>Jesse Rarm</cp:lastModifiedBy>
  <cp:revision>5</cp:revision>
  <cp:lastPrinted>2023-12-19T03:32:00Z</cp:lastPrinted>
  <dcterms:created xsi:type="dcterms:W3CDTF">2023-12-17T19:53:00Z</dcterms:created>
  <dcterms:modified xsi:type="dcterms:W3CDTF">2023-12-19T03:53:00Z</dcterms:modified>
</cp:coreProperties>
</file>