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C5CA2" w14:textId="77777777" w:rsidR="00F933DF" w:rsidRDefault="00FA57F9">
      <w:r>
        <w:t xml:space="preserve"> </w:t>
      </w:r>
    </w:p>
    <w:p w14:paraId="601A9E5F" w14:textId="77777777" w:rsidR="00541A8C" w:rsidRDefault="00541A8C" w:rsidP="00541A8C">
      <w:pPr>
        <w:pStyle w:val="NZXTitle"/>
      </w:pPr>
    </w:p>
    <w:p w14:paraId="783A9573" w14:textId="77777777" w:rsidR="00541A8C" w:rsidRDefault="00541A8C" w:rsidP="00541A8C">
      <w:pPr>
        <w:pStyle w:val="NZXTitle"/>
      </w:pPr>
    </w:p>
    <w:p w14:paraId="7A844F0A" w14:textId="13471E30" w:rsidR="00541A8C" w:rsidRPr="0087018E" w:rsidRDefault="00390D69" w:rsidP="0087018E">
      <w:pPr>
        <w:pStyle w:val="Title"/>
      </w:pPr>
      <w:r>
        <w:t xml:space="preserve">NZX </w:t>
      </w:r>
      <w:r w:rsidR="001657F0">
        <w:t>20</w:t>
      </w:r>
    </w:p>
    <w:p w14:paraId="40D932FC" w14:textId="77777777" w:rsidR="00541A8C" w:rsidRDefault="00390D69" w:rsidP="00390D69">
      <w:pPr>
        <w:pStyle w:val="Subtitle"/>
      </w:pPr>
      <w:r>
        <w:t>Final Settlement Price Policy</w:t>
      </w:r>
    </w:p>
    <w:p w14:paraId="6785CD3A" w14:textId="77777777" w:rsidR="00541A8C" w:rsidRDefault="00541A8C" w:rsidP="00541A8C">
      <w:pPr>
        <w:pStyle w:val="BasicParagraph"/>
        <w:rPr>
          <w:rFonts w:cs="Arial"/>
          <w:sz w:val="28"/>
          <w:szCs w:val="28"/>
        </w:rPr>
      </w:pPr>
    </w:p>
    <w:p w14:paraId="131F288D" w14:textId="77777777" w:rsidR="00541A8C" w:rsidRDefault="00541A8C" w:rsidP="00541A8C">
      <w:pPr>
        <w:pStyle w:val="BasicParagraph"/>
        <w:rPr>
          <w:rFonts w:cs="Arial"/>
          <w:sz w:val="28"/>
          <w:szCs w:val="28"/>
        </w:rPr>
      </w:pPr>
    </w:p>
    <w:p w14:paraId="2D637414" w14:textId="77777777" w:rsidR="00541A8C" w:rsidRDefault="00541A8C" w:rsidP="00541A8C">
      <w:pPr>
        <w:pStyle w:val="BasicParagraph"/>
        <w:rPr>
          <w:rFonts w:cs="Arial"/>
          <w:sz w:val="28"/>
          <w:szCs w:val="28"/>
        </w:rPr>
      </w:pPr>
    </w:p>
    <w:p w14:paraId="62A68A4D" w14:textId="77777777" w:rsidR="00390D69" w:rsidRPr="00390D69" w:rsidRDefault="00541A8C" w:rsidP="00722C66">
      <w:pPr>
        <w:pStyle w:val="Heading1"/>
        <w:numPr>
          <w:ilvl w:val="0"/>
          <w:numId w:val="3"/>
        </w:numPr>
        <w:ind w:left="567" w:hanging="567"/>
      </w:pPr>
      <w:r>
        <w:br w:type="page"/>
      </w:r>
      <w:r w:rsidR="00390D69">
        <w:lastRenderedPageBreak/>
        <w:t>Introduction</w:t>
      </w:r>
    </w:p>
    <w:p w14:paraId="2A14A25C" w14:textId="68B536CD" w:rsidR="00390D69" w:rsidRPr="00390D69" w:rsidRDefault="00390D69" w:rsidP="00722C66">
      <w:pPr>
        <w:pStyle w:val="BodyCopy"/>
        <w:numPr>
          <w:ilvl w:val="1"/>
          <w:numId w:val="4"/>
        </w:numPr>
        <w:tabs>
          <w:tab w:val="left" w:pos="567"/>
        </w:tabs>
        <w:ind w:left="567" w:hanging="567"/>
      </w:pPr>
      <w:r>
        <w:t>This document (</w:t>
      </w:r>
      <w:r w:rsidRPr="00677EA0">
        <w:t>“</w:t>
      </w:r>
      <w:r w:rsidRPr="00677EA0">
        <w:rPr>
          <w:b/>
        </w:rPr>
        <w:t>Policy</w:t>
      </w:r>
      <w:r w:rsidRPr="00677EA0">
        <w:t xml:space="preserve">”) details the policy of NZX Limited in </w:t>
      </w:r>
      <w:r w:rsidR="007446C7">
        <w:t xml:space="preserve">exercising its discretion in </w:t>
      </w:r>
      <w:r w:rsidRPr="00677EA0">
        <w:t xml:space="preserve">relation to the calculation of the </w:t>
      </w:r>
      <w:r w:rsidR="00E35BD3">
        <w:t xml:space="preserve">Provisional Final </w:t>
      </w:r>
      <w:r w:rsidRPr="00677EA0">
        <w:t>Settlement Price</w:t>
      </w:r>
      <w:r w:rsidR="00E35BD3">
        <w:t xml:space="preserve"> and Final Settlement Price</w:t>
      </w:r>
      <w:r w:rsidRPr="00677EA0">
        <w:t xml:space="preserve"> for </w:t>
      </w:r>
      <w:r w:rsidR="00E35BD3">
        <w:t>the S&amp;P/NZX 20 Index Futures contract (NZX Derivatives Market Contract No. 5) (</w:t>
      </w:r>
      <w:r w:rsidR="009646B6">
        <w:t>“</w:t>
      </w:r>
      <w:r w:rsidR="00E35BD3" w:rsidRPr="00E35BD3">
        <w:rPr>
          <w:b/>
          <w:bCs/>
        </w:rPr>
        <w:t>S&amp;P/NZX 20 Index Futures</w:t>
      </w:r>
      <w:r w:rsidR="009646B6" w:rsidRPr="009646B6">
        <w:t>”</w:t>
      </w:r>
      <w:r w:rsidR="00E35BD3">
        <w:t>)</w:t>
      </w:r>
      <w:r w:rsidR="007446C7">
        <w:t>, including</w:t>
      </w:r>
      <w:r w:rsidR="00E35BD3">
        <w:t xml:space="preserve"> in the situation where an Emergency Event occurs</w:t>
      </w:r>
      <w:r w:rsidR="007446C7">
        <w:rPr>
          <w:rStyle w:val="FootnoteReference"/>
        </w:rPr>
        <w:footnoteReference w:id="1"/>
      </w:r>
      <w:r w:rsidRPr="00677EA0">
        <w:t xml:space="preserve">. </w:t>
      </w:r>
    </w:p>
    <w:p w14:paraId="68A62EDC" w14:textId="57333086" w:rsidR="007446C7" w:rsidRDefault="00390D69" w:rsidP="00722C66">
      <w:pPr>
        <w:pStyle w:val="BodyCopy"/>
        <w:numPr>
          <w:ilvl w:val="1"/>
          <w:numId w:val="4"/>
        </w:numPr>
        <w:tabs>
          <w:tab w:val="left" w:pos="567"/>
        </w:tabs>
        <w:ind w:left="567" w:hanging="567"/>
      </w:pPr>
      <w:r w:rsidRPr="00A85443">
        <w:t xml:space="preserve">Under the </w:t>
      </w:r>
      <w:r w:rsidRPr="0046552B">
        <w:t>Contract Terms and Administrative Procedures (“</w:t>
      </w:r>
      <w:r w:rsidRPr="0046552B">
        <w:rPr>
          <w:b/>
        </w:rPr>
        <w:t>Contract Terms</w:t>
      </w:r>
      <w:r w:rsidRPr="0046552B">
        <w:t xml:space="preserve">”), </w:t>
      </w:r>
      <w:r w:rsidR="007446C7" w:rsidRPr="0046552B">
        <w:t>S&amp;P/ NZX 20 Index</w:t>
      </w:r>
      <w:r w:rsidRPr="0046552B">
        <w:t xml:space="preserve"> Futures cash settle to</w:t>
      </w:r>
      <w:r w:rsidR="007446C7" w:rsidRPr="0046552B">
        <w:t xml:space="preserve"> </w:t>
      </w:r>
      <w:r w:rsidR="0046552B" w:rsidRPr="0046552B">
        <w:t>the S&amp;P/NZX 20 Capital Index value calculated by S&amp;P using the</w:t>
      </w:r>
      <w:r w:rsidR="0046552B" w:rsidRPr="0046552B">
        <w:rPr>
          <w:spacing w:val="-5"/>
        </w:rPr>
        <w:t xml:space="preserve"> </w:t>
      </w:r>
      <w:r w:rsidR="0046552B" w:rsidRPr="0046552B">
        <w:t>close prices on the Last Trading Day</w:t>
      </w:r>
      <w:r w:rsidR="0046552B" w:rsidRPr="0046552B">
        <w:rPr>
          <w:spacing w:val="-5"/>
        </w:rPr>
        <w:t xml:space="preserve"> </w:t>
      </w:r>
      <w:r w:rsidR="0046552B" w:rsidRPr="0046552B">
        <w:t>in accordance with the S&amp;P/NZX New Zealand Indices Methodology</w:t>
      </w:r>
      <w:r w:rsidR="00627E4A" w:rsidRPr="0046552B">
        <w:t xml:space="preserve"> (“</w:t>
      </w:r>
      <w:r w:rsidR="00627E4A" w:rsidRPr="0046552B">
        <w:rPr>
          <w:b/>
          <w:bCs/>
        </w:rPr>
        <w:t>S&amp;P Methodology</w:t>
      </w:r>
      <w:r w:rsidR="00627E4A" w:rsidRPr="0046552B">
        <w:t>”)</w:t>
      </w:r>
      <w:r w:rsidR="007446C7" w:rsidRPr="0046552B">
        <w:t xml:space="preserve"> as detailed in</w:t>
      </w:r>
      <w:r w:rsidR="007446C7">
        <w:t xml:space="preserve"> the Individual Contract Specification</w:t>
      </w:r>
      <w:r w:rsidRPr="00A85443">
        <w:t xml:space="preserve">. </w:t>
      </w:r>
    </w:p>
    <w:p w14:paraId="74A57CF5" w14:textId="3FA2BED7" w:rsidR="00390D69" w:rsidRDefault="007446C7" w:rsidP="00722C66">
      <w:pPr>
        <w:pStyle w:val="BodyCopy"/>
        <w:numPr>
          <w:ilvl w:val="1"/>
          <w:numId w:val="4"/>
        </w:numPr>
        <w:tabs>
          <w:tab w:val="left" w:pos="567"/>
        </w:tabs>
        <w:ind w:left="567" w:hanging="567"/>
      </w:pPr>
      <w:r>
        <w:t xml:space="preserve">The Contract Terms outline a number of situations that are Emergency Events where NZX may exercise its discretion to determine a Provisional Final Settlement Price and the Final Settlement Price, that is other than the </w:t>
      </w:r>
      <w:r w:rsidRPr="00F416F5">
        <w:t xml:space="preserve">close price of the S&amp;P/NZX 20 Capital Index </w:t>
      </w:r>
      <w:r>
        <w:t xml:space="preserve">on the Last Trading Day </w:t>
      </w:r>
      <w:r w:rsidRPr="00F416F5">
        <w:t>calculated by S&amp;</w:t>
      </w:r>
      <w:r w:rsidR="007D3E4B">
        <w:t>P</w:t>
      </w:r>
      <w:r>
        <w:t>. These situations include where:</w:t>
      </w:r>
    </w:p>
    <w:p w14:paraId="4B66DCF6" w14:textId="40B67041" w:rsidR="007446C7" w:rsidRPr="007446C7" w:rsidRDefault="007446C7" w:rsidP="00722C66">
      <w:pPr>
        <w:pStyle w:val="ListParagraph"/>
        <w:widowControl w:val="0"/>
        <w:numPr>
          <w:ilvl w:val="0"/>
          <w:numId w:val="5"/>
        </w:numPr>
        <w:tabs>
          <w:tab w:val="left" w:pos="761"/>
          <w:tab w:val="left" w:pos="763"/>
        </w:tabs>
        <w:autoSpaceDE w:val="0"/>
        <w:autoSpaceDN w:val="0"/>
        <w:spacing w:before="87" w:after="0" w:afterAutospacing="0" w:line="240" w:lineRule="auto"/>
        <w:ind w:right="130" w:hanging="513"/>
        <w:contextualSpacing w:val="0"/>
        <w:rPr>
          <w:rFonts w:asciiTheme="minorHAnsi" w:hAnsiTheme="minorHAnsi" w:cstheme="minorHAnsi"/>
          <w:sz w:val="22"/>
          <w:szCs w:val="22"/>
        </w:rPr>
      </w:pPr>
      <w:r w:rsidRPr="007446C7">
        <w:rPr>
          <w:rFonts w:asciiTheme="minorHAnsi" w:hAnsiTheme="minorHAnsi" w:cstheme="minorHAnsi"/>
          <w:sz w:val="22"/>
          <w:szCs w:val="22"/>
        </w:rPr>
        <w:t>NZX becomes aware that the Index will not be calculated by S&amp;</w:t>
      </w:r>
      <w:r>
        <w:rPr>
          <w:rFonts w:asciiTheme="minorHAnsi" w:hAnsiTheme="minorHAnsi" w:cstheme="minorHAnsi"/>
          <w:sz w:val="22"/>
          <w:szCs w:val="22"/>
        </w:rPr>
        <w:t>P</w:t>
      </w:r>
      <w:r w:rsidRPr="007446C7">
        <w:rPr>
          <w:rFonts w:asciiTheme="minorHAnsi" w:hAnsiTheme="minorHAnsi" w:cstheme="minorHAnsi"/>
          <w:sz w:val="22"/>
          <w:szCs w:val="22"/>
        </w:rPr>
        <w:t xml:space="preserve">, or provided by S&amp;P to NZX, on the Last Trading Day, </w:t>
      </w:r>
    </w:p>
    <w:p w14:paraId="4437B437" w14:textId="77777777" w:rsidR="007446C7" w:rsidRPr="007446C7" w:rsidRDefault="007446C7" w:rsidP="00722C66">
      <w:pPr>
        <w:pStyle w:val="ListParagraph"/>
        <w:widowControl w:val="0"/>
        <w:numPr>
          <w:ilvl w:val="0"/>
          <w:numId w:val="5"/>
        </w:numPr>
        <w:tabs>
          <w:tab w:val="left" w:pos="761"/>
          <w:tab w:val="left" w:pos="763"/>
        </w:tabs>
        <w:autoSpaceDE w:val="0"/>
        <w:autoSpaceDN w:val="0"/>
        <w:spacing w:before="87" w:after="0" w:afterAutospacing="0" w:line="240" w:lineRule="auto"/>
        <w:ind w:right="130" w:hanging="513"/>
        <w:contextualSpacing w:val="0"/>
        <w:rPr>
          <w:rFonts w:asciiTheme="minorHAnsi" w:hAnsiTheme="minorHAnsi" w:cstheme="minorHAnsi"/>
          <w:sz w:val="22"/>
          <w:szCs w:val="22"/>
        </w:rPr>
      </w:pPr>
      <w:r w:rsidRPr="007446C7">
        <w:rPr>
          <w:rFonts w:asciiTheme="minorHAnsi" w:hAnsiTheme="minorHAnsi" w:cstheme="minorHAnsi"/>
          <w:sz w:val="22"/>
          <w:szCs w:val="22"/>
        </w:rPr>
        <w:t>NZX becomes aware that there is a significant error in the Index value provided by S&amp;P to NZX that would cause the Provisional Final Settlement Price or Final Settlement Price to significantly misrepresent the value of the Index at the Close of the Last Trading Day, and</w:t>
      </w:r>
    </w:p>
    <w:p w14:paraId="0E1AAE57" w14:textId="0F8A8291" w:rsidR="007446C7" w:rsidRDefault="007446C7" w:rsidP="00722C66">
      <w:pPr>
        <w:pStyle w:val="ListParagraph"/>
        <w:widowControl w:val="0"/>
        <w:numPr>
          <w:ilvl w:val="0"/>
          <w:numId w:val="5"/>
        </w:numPr>
        <w:tabs>
          <w:tab w:val="left" w:pos="761"/>
          <w:tab w:val="left" w:pos="763"/>
        </w:tabs>
        <w:autoSpaceDE w:val="0"/>
        <w:autoSpaceDN w:val="0"/>
        <w:spacing w:before="87" w:after="0" w:afterAutospacing="0" w:line="240" w:lineRule="auto"/>
        <w:ind w:right="130" w:hanging="513"/>
        <w:contextualSpacing w:val="0"/>
        <w:rPr>
          <w:rFonts w:asciiTheme="minorHAnsi" w:hAnsiTheme="minorHAnsi" w:cstheme="minorHAnsi"/>
          <w:sz w:val="22"/>
          <w:szCs w:val="22"/>
        </w:rPr>
      </w:pPr>
      <w:r w:rsidRPr="007446C7">
        <w:rPr>
          <w:rFonts w:asciiTheme="minorHAnsi" w:hAnsiTheme="minorHAnsi" w:cstheme="minorHAnsi"/>
          <w:sz w:val="22"/>
          <w:szCs w:val="22"/>
        </w:rPr>
        <w:t>NZX becomes aware that there is a significant error in the prices established in the NZSX Close (as that term is defined in NZX Participant Rule 11.6) that would cause the Provisional Final Settlement Price or Final Settlement Price to significantly misrepresent the value of the Index at the Close of the Last Trading Day</w:t>
      </w:r>
      <w:r>
        <w:rPr>
          <w:rFonts w:asciiTheme="minorHAnsi" w:hAnsiTheme="minorHAnsi" w:cstheme="minorHAnsi"/>
          <w:sz w:val="22"/>
          <w:szCs w:val="22"/>
        </w:rPr>
        <w:t>.</w:t>
      </w:r>
    </w:p>
    <w:p w14:paraId="0868DD69" w14:textId="77777777" w:rsidR="009646B6" w:rsidRPr="009646B6" w:rsidRDefault="009646B6" w:rsidP="009646B6">
      <w:pPr>
        <w:pStyle w:val="ListParagraph"/>
        <w:widowControl w:val="0"/>
        <w:tabs>
          <w:tab w:val="left" w:pos="761"/>
          <w:tab w:val="left" w:pos="763"/>
        </w:tabs>
        <w:autoSpaceDE w:val="0"/>
        <w:autoSpaceDN w:val="0"/>
        <w:spacing w:before="87" w:after="0" w:afterAutospacing="0" w:line="240" w:lineRule="auto"/>
        <w:ind w:left="1080" w:right="130"/>
        <w:contextualSpacing w:val="0"/>
        <w:rPr>
          <w:rFonts w:asciiTheme="minorHAnsi" w:hAnsiTheme="minorHAnsi" w:cstheme="minorHAnsi"/>
          <w:sz w:val="22"/>
          <w:szCs w:val="22"/>
        </w:rPr>
      </w:pPr>
    </w:p>
    <w:p w14:paraId="3E02B91A" w14:textId="003A46EA" w:rsidR="009646B6" w:rsidRPr="009646B6" w:rsidRDefault="007446C7" w:rsidP="00722C66">
      <w:pPr>
        <w:pStyle w:val="BodyCopy"/>
        <w:numPr>
          <w:ilvl w:val="1"/>
          <w:numId w:val="4"/>
        </w:numPr>
        <w:tabs>
          <w:tab w:val="left" w:pos="567"/>
        </w:tabs>
        <w:ind w:left="567" w:hanging="567"/>
        <w:rPr>
          <w:rFonts w:eastAsia="Times New Roman" w:cs="Helvetica"/>
          <w:color w:val="auto"/>
          <w:szCs w:val="20"/>
        </w:rPr>
      </w:pPr>
      <w:r>
        <w:t>In addition u</w:t>
      </w:r>
      <w:r w:rsidR="00390D69" w:rsidRPr="00E1728E">
        <w:t xml:space="preserve">nder Contract Term 8.2, NZX has </w:t>
      </w:r>
      <w:r>
        <w:t xml:space="preserve">general </w:t>
      </w:r>
      <w:r w:rsidR="00390D69" w:rsidRPr="00E1728E">
        <w:t>discretion to amend the method for calculating the</w:t>
      </w:r>
      <w:r w:rsidR="007D3E4B">
        <w:t xml:space="preserve"> Provisional Final Settlement Price and/or the</w:t>
      </w:r>
      <w:r w:rsidR="00390D69" w:rsidRPr="00E1728E">
        <w:t xml:space="preserve"> </w:t>
      </w:r>
      <w:r>
        <w:t xml:space="preserve">Final </w:t>
      </w:r>
      <w:r w:rsidR="00390D69" w:rsidRPr="00E1728E">
        <w:t xml:space="preserve">Settlement Price for any reason determined by NZX. </w:t>
      </w:r>
    </w:p>
    <w:p w14:paraId="2421B612" w14:textId="495BE71A" w:rsidR="00390D69" w:rsidRPr="009646B6" w:rsidRDefault="00390D69" w:rsidP="00722C66">
      <w:pPr>
        <w:pStyle w:val="BodyCopy"/>
        <w:numPr>
          <w:ilvl w:val="1"/>
          <w:numId w:val="4"/>
        </w:numPr>
        <w:tabs>
          <w:tab w:val="left" w:pos="567"/>
        </w:tabs>
        <w:ind w:left="567" w:hanging="567"/>
        <w:rPr>
          <w:rFonts w:eastAsia="Times New Roman" w:cs="Helvetica"/>
          <w:color w:val="auto"/>
          <w:szCs w:val="20"/>
        </w:rPr>
      </w:pPr>
      <w:r w:rsidRPr="00E1728E">
        <w:t xml:space="preserve">This Policy is intended to provide guidance on how NZX may exercise its discretion to amend the method for </w:t>
      </w:r>
      <w:r w:rsidR="009646B6">
        <w:t xml:space="preserve">determining </w:t>
      </w:r>
      <w:r w:rsidRPr="00E1728E">
        <w:t xml:space="preserve">the </w:t>
      </w:r>
      <w:r w:rsidR="009646B6">
        <w:t xml:space="preserve">Provisional Final </w:t>
      </w:r>
      <w:r w:rsidRPr="00E1728E">
        <w:t>Settlement Price</w:t>
      </w:r>
      <w:r w:rsidR="009646B6">
        <w:t xml:space="preserve"> and Final Settlement Price</w:t>
      </w:r>
      <w:r>
        <w:t>.</w:t>
      </w:r>
      <w:r w:rsidR="009646B6">
        <w:rPr>
          <w:rFonts w:eastAsia="Times New Roman" w:cs="Helvetica"/>
          <w:color w:val="auto"/>
          <w:szCs w:val="20"/>
        </w:rPr>
        <w:t xml:space="preserve"> </w:t>
      </w:r>
      <w:r w:rsidRPr="009646B6">
        <w:rPr>
          <w:rFonts w:eastAsia="Times New Roman" w:cs="Helvetica"/>
          <w:color w:val="auto"/>
          <w:szCs w:val="20"/>
        </w:rPr>
        <w:t>NZX retains its absolute discretion to determine how the Settlement Price is to be calculated and is not required to follow this Policy in all circumstances.</w:t>
      </w:r>
    </w:p>
    <w:p w14:paraId="15887C67" w14:textId="45ADA0B4" w:rsidR="009646B6" w:rsidRPr="00390D69" w:rsidRDefault="00390D69" w:rsidP="00722C66">
      <w:pPr>
        <w:pStyle w:val="BodyCopy"/>
        <w:numPr>
          <w:ilvl w:val="1"/>
          <w:numId w:val="4"/>
        </w:numPr>
        <w:tabs>
          <w:tab w:val="left" w:pos="567"/>
        </w:tabs>
        <w:ind w:left="567" w:hanging="567"/>
      </w:pPr>
      <w:r w:rsidRPr="00677EA0">
        <w:t>This Policy does not replace, and is to be read subject to, the NZX Derivatives Market Rules</w:t>
      </w:r>
      <w:r>
        <w:t xml:space="preserve"> (“</w:t>
      </w:r>
      <w:r w:rsidRPr="0002235F">
        <w:rPr>
          <w:b/>
        </w:rPr>
        <w:t>Rules</w:t>
      </w:r>
      <w:r>
        <w:t>”)</w:t>
      </w:r>
      <w:r w:rsidRPr="00677EA0">
        <w:t>, the NZX Derivatives Market Procedures</w:t>
      </w:r>
      <w:r>
        <w:t xml:space="preserve"> (“</w:t>
      </w:r>
      <w:r w:rsidRPr="0002235F">
        <w:rPr>
          <w:b/>
        </w:rPr>
        <w:t>Procedures</w:t>
      </w:r>
      <w:r>
        <w:t>”)</w:t>
      </w:r>
      <w:r w:rsidRPr="00677EA0">
        <w:t>, and the relevant Contract Terms. If there is any inconsistency between this Policy and any of the Rules, Procedures, or Contract Terms,</w:t>
      </w:r>
      <w:r>
        <w:t xml:space="preserve"> then</w:t>
      </w:r>
      <w:r w:rsidRPr="00677EA0">
        <w:t xml:space="preserve"> the Rules, Procedures and Contract Terms prevail.  </w:t>
      </w:r>
    </w:p>
    <w:p w14:paraId="1CA166F1" w14:textId="700DFAC0" w:rsidR="00390D69" w:rsidRDefault="007D3E4B" w:rsidP="00722C66">
      <w:pPr>
        <w:pStyle w:val="BodyCopy"/>
        <w:numPr>
          <w:ilvl w:val="1"/>
          <w:numId w:val="4"/>
        </w:numPr>
        <w:tabs>
          <w:tab w:val="left" w:pos="567"/>
        </w:tabs>
        <w:ind w:left="567" w:hanging="567"/>
      </w:pPr>
      <w:r>
        <w:t xml:space="preserve">In this Policy </w:t>
      </w:r>
      <w:r w:rsidR="00390D69" w:rsidRPr="002075A7">
        <w:t xml:space="preserve">capitalised terms used but not defined in this Policy have the meanings given to them in the Rules, Procedures or relevant Contract Terms. </w:t>
      </w:r>
    </w:p>
    <w:p w14:paraId="4387C68A" w14:textId="77777777" w:rsidR="004B7F68" w:rsidRDefault="004B7F68" w:rsidP="004B7F68">
      <w:pPr>
        <w:pStyle w:val="BodyCopy"/>
        <w:tabs>
          <w:tab w:val="left" w:pos="567"/>
        </w:tabs>
      </w:pPr>
    </w:p>
    <w:p w14:paraId="6EA57271" w14:textId="77777777" w:rsidR="004B7F68" w:rsidRPr="002075A7" w:rsidRDefault="004B7F68" w:rsidP="004B7F68">
      <w:pPr>
        <w:pStyle w:val="BodyCopy"/>
        <w:tabs>
          <w:tab w:val="left" w:pos="567"/>
        </w:tabs>
      </w:pPr>
    </w:p>
    <w:p w14:paraId="6496EE88" w14:textId="229FA787" w:rsidR="007D3E4B" w:rsidRPr="007D3E4B" w:rsidRDefault="009646B6" w:rsidP="00722C66">
      <w:pPr>
        <w:pStyle w:val="Heading1"/>
        <w:numPr>
          <w:ilvl w:val="0"/>
          <w:numId w:val="3"/>
        </w:numPr>
        <w:ind w:left="567" w:hanging="567"/>
      </w:pPr>
      <w:r>
        <w:t>Emergency Events</w:t>
      </w:r>
    </w:p>
    <w:p w14:paraId="786F3A5C" w14:textId="77777777" w:rsidR="002075A7" w:rsidRPr="002075A7" w:rsidRDefault="002075A7" w:rsidP="00722C66">
      <w:pPr>
        <w:pStyle w:val="ListParagraph"/>
        <w:numPr>
          <w:ilvl w:val="0"/>
          <w:numId w:val="4"/>
        </w:numPr>
        <w:tabs>
          <w:tab w:val="left" w:pos="567"/>
        </w:tabs>
        <w:suppressAutoHyphens/>
        <w:autoSpaceDE w:val="0"/>
        <w:autoSpaceDN w:val="0"/>
        <w:adjustRightInd w:val="0"/>
        <w:spacing w:after="227" w:afterAutospacing="0" w:line="240" w:lineRule="auto"/>
        <w:contextualSpacing w:val="0"/>
        <w:textAlignment w:val="center"/>
        <w:rPr>
          <w:rFonts w:ascii="Arial" w:eastAsiaTheme="minorHAnsi" w:hAnsi="Arial" w:cs="Arial"/>
          <w:vanish/>
          <w:color w:val="000000"/>
          <w:sz w:val="22"/>
          <w:szCs w:val="22"/>
          <w:lang w:val="en-GB"/>
        </w:rPr>
      </w:pPr>
    </w:p>
    <w:p w14:paraId="6413D27B" w14:textId="70CB67EA" w:rsidR="009646B6" w:rsidRDefault="00540E40" w:rsidP="00722C66">
      <w:pPr>
        <w:pStyle w:val="BodyCopy"/>
        <w:numPr>
          <w:ilvl w:val="1"/>
          <w:numId w:val="4"/>
        </w:numPr>
        <w:tabs>
          <w:tab w:val="left" w:pos="567"/>
        </w:tabs>
        <w:ind w:left="567" w:hanging="567"/>
        <w:rPr>
          <w:bCs/>
        </w:rPr>
      </w:pPr>
      <w:r>
        <w:rPr>
          <w:bCs/>
        </w:rPr>
        <w:t>This</w:t>
      </w:r>
      <w:r w:rsidR="009646B6" w:rsidRPr="009646B6">
        <w:rPr>
          <w:bCs/>
        </w:rPr>
        <w:t xml:space="preserve"> Policy </w:t>
      </w:r>
      <w:r w:rsidR="009646B6">
        <w:rPr>
          <w:bCs/>
        </w:rPr>
        <w:t xml:space="preserve">outlines the considerations that NZX will apply when exercising its general discretion to </w:t>
      </w:r>
      <w:r>
        <w:rPr>
          <w:bCs/>
        </w:rPr>
        <w:t>use an alternative method to determine the Final Settlement Price and Provisional Final Settlement Price</w:t>
      </w:r>
      <w:r w:rsidR="007D3E4B">
        <w:rPr>
          <w:bCs/>
        </w:rPr>
        <w:t>,</w:t>
      </w:r>
      <w:r>
        <w:rPr>
          <w:bCs/>
        </w:rPr>
        <w:t xml:space="preserve"> as well a</w:t>
      </w:r>
      <w:r w:rsidR="007D3E4B">
        <w:rPr>
          <w:bCs/>
        </w:rPr>
        <w:t>s</w:t>
      </w:r>
      <w:r>
        <w:rPr>
          <w:bCs/>
        </w:rPr>
        <w:t xml:space="preserve"> in the situation where an Emergency Event arises.</w:t>
      </w:r>
    </w:p>
    <w:p w14:paraId="5B2FC645" w14:textId="59BC5F74" w:rsidR="00540E40" w:rsidRPr="00540E40" w:rsidRDefault="00540E40" w:rsidP="00722C66">
      <w:pPr>
        <w:pStyle w:val="BodyCopy"/>
        <w:numPr>
          <w:ilvl w:val="1"/>
          <w:numId w:val="4"/>
        </w:numPr>
        <w:tabs>
          <w:tab w:val="left" w:pos="567"/>
        </w:tabs>
        <w:ind w:left="567" w:hanging="567"/>
        <w:rPr>
          <w:bCs/>
        </w:rPr>
      </w:pPr>
      <w:r>
        <w:rPr>
          <w:bCs/>
        </w:rPr>
        <w:t xml:space="preserve">The Emergency Events contained in the Contract Terms include where there is a </w:t>
      </w:r>
      <w:r w:rsidRPr="00540E40">
        <w:rPr>
          <w:rFonts w:asciiTheme="minorHAnsi" w:hAnsiTheme="minorHAnsi" w:cstheme="minorHAnsi"/>
        </w:rPr>
        <w:t>significant error in the Index value provided by S&amp;P to NZX that would cause the Provisional Final Settlement Price or Final Settlement Price to significantly misrepresent the value of the Index</w:t>
      </w:r>
      <w:r>
        <w:rPr>
          <w:rFonts w:asciiTheme="minorHAnsi" w:hAnsiTheme="minorHAnsi" w:cstheme="minorHAnsi"/>
        </w:rPr>
        <w:t>. NZX considers that a significant error in these circumstances would arise where NZX becomes aware of an error that would cause a 1% or more movement in the Index value.</w:t>
      </w:r>
    </w:p>
    <w:p w14:paraId="79F977D0" w14:textId="488864D9" w:rsidR="007D3E4B" w:rsidRPr="007D3E4B" w:rsidRDefault="007D3E4B" w:rsidP="00722C66">
      <w:pPr>
        <w:pStyle w:val="BodyCopy"/>
        <w:numPr>
          <w:ilvl w:val="1"/>
          <w:numId w:val="4"/>
        </w:numPr>
        <w:tabs>
          <w:tab w:val="left" w:pos="567"/>
        </w:tabs>
        <w:ind w:left="567" w:hanging="567"/>
        <w:rPr>
          <w:bCs/>
        </w:rPr>
      </w:pPr>
      <w:r>
        <w:rPr>
          <w:rFonts w:asciiTheme="minorHAnsi" w:hAnsiTheme="minorHAnsi" w:cstheme="minorHAnsi"/>
        </w:rPr>
        <w:t xml:space="preserve">The Emergency Events outlined in the Contract Terms also include the situation where </w:t>
      </w:r>
      <w:r w:rsidR="00540E40" w:rsidRPr="00540E40">
        <w:rPr>
          <w:rFonts w:asciiTheme="minorHAnsi" w:hAnsiTheme="minorHAnsi" w:cstheme="minorHAnsi"/>
        </w:rPr>
        <w:t>NZX becomes aware that there is a significant error in the prices established in the NZSX Close (as that term is defined in NZX Participant Rule 11.6) that would cause the Provisional Final Settlement Price or Final Settlement Price to significantly misrepresent the value of the Index at the Close of the Last Trading Day</w:t>
      </w:r>
      <w:r>
        <w:rPr>
          <w:rFonts w:asciiTheme="minorHAnsi" w:hAnsiTheme="minorHAnsi" w:cstheme="minorHAnsi"/>
        </w:rPr>
        <w:t>. NZX considers that a significant error would arise where NZX becomes aware of an error trade in the NZSX Close that would cause a 1% or more movement in the Index value, or a 10% or more movement in the price of an Index constituent.</w:t>
      </w:r>
    </w:p>
    <w:p w14:paraId="567672DB" w14:textId="19B2A5D3" w:rsidR="007D3E4B" w:rsidRPr="007D3E4B" w:rsidRDefault="007D3E4B" w:rsidP="00722C66">
      <w:pPr>
        <w:pStyle w:val="Heading1"/>
        <w:numPr>
          <w:ilvl w:val="0"/>
          <w:numId w:val="4"/>
        </w:numPr>
        <w:ind w:left="567" w:hanging="709"/>
      </w:pPr>
      <w:r>
        <w:t>Alternative Methodologies</w:t>
      </w:r>
    </w:p>
    <w:p w14:paraId="5840A439" w14:textId="31A13DDC" w:rsidR="007D3E4B" w:rsidRPr="00627E4A" w:rsidRDefault="007D3E4B" w:rsidP="00722C66">
      <w:pPr>
        <w:pStyle w:val="BodyCopy"/>
        <w:numPr>
          <w:ilvl w:val="1"/>
          <w:numId w:val="4"/>
        </w:numPr>
        <w:tabs>
          <w:tab w:val="left" w:pos="567"/>
        </w:tabs>
        <w:ind w:left="567" w:hanging="709"/>
        <w:rPr>
          <w:bCs/>
        </w:rPr>
      </w:pPr>
      <w:r w:rsidRPr="007D3E4B">
        <w:rPr>
          <w:bCs/>
        </w:rPr>
        <w:t xml:space="preserve">While NZX retains a broad discretion </w:t>
      </w:r>
      <w:r>
        <w:rPr>
          <w:bCs/>
        </w:rPr>
        <w:t xml:space="preserve">to adopt an alternative </w:t>
      </w:r>
      <w:r w:rsidRPr="00E1728E">
        <w:t>method for</w:t>
      </w:r>
      <w:r>
        <w:t xml:space="preserve"> determining</w:t>
      </w:r>
      <w:r w:rsidRPr="00E1728E">
        <w:t xml:space="preserve"> the </w:t>
      </w:r>
      <w:r>
        <w:t xml:space="preserve">Final </w:t>
      </w:r>
      <w:r w:rsidRPr="00E1728E">
        <w:t>Settlement Price for any reason determined by NZX</w:t>
      </w:r>
      <w:r w:rsidR="004B7F68">
        <w:t>, NZX intends to</w:t>
      </w:r>
      <w:r w:rsidR="00D90C19">
        <w:t xml:space="preserve"> generally</w:t>
      </w:r>
      <w:r w:rsidR="004B7F68">
        <w:t xml:space="preserve"> adopt the following approach</w:t>
      </w:r>
      <w:r w:rsidR="00D90C19">
        <w:t xml:space="preserve"> in establishing an alternative Provisional Final Settlement Price or Final Settlement Price</w:t>
      </w:r>
      <w:r w:rsidR="00627E4A">
        <w:t>.</w:t>
      </w:r>
    </w:p>
    <w:p w14:paraId="5A443FEA" w14:textId="5B105E05" w:rsidR="00627E4A" w:rsidRPr="00B86D9C" w:rsidRDefault="00627E4A" w:rsidP="00722C66">
      <w:pPr>
        <w:pStyle w:val="BodyCopy"/>
        <w:numPr>
          <w:ilvl w:val="1"/>
          <w:numId w:val="4"/>
        </w:numPr>
        <w:tabs>
          <w:tab w:val="left" w:pos="567"/>
        </w:tabs>
        <w:ind w:left="567" w:hanging="709"/>
        <w:rPr>
          <w:bCs/>
        </w:rPr>
      </w:pPr>
      <w:r>
        <w:t xml:space="preserve">NZX notes that in a scenario where S&amp;P informs NZX that it intends to revise its calculation of the Index </w:t>
      </w:r>
      <w:r w:rsidRPr="00F416F5">
        <w:t xml:space="preserve">close price </w:t>
      </w:r>
      <w:r>
        <w:t xml:space="preserve">on the Last Trading Day, that NZX will use that revised file as the Provisional Final Settlement Price, so long as it is received prior to 5pm on the Trading Day after the Last Trading Day. </w:t>
      </w:r>
    </w:p>
    <w:p w14:paraId="0CB68F49" w14:textId="500BB757" w:rsidR="00B86D9C" w:rsidRPr="00B86D9C" w:rsidRDefault="00B86D9C" w:rsidP="00722C66">
      <w:pPr>
        <w:pStyle w:val="BodyCopy"/>
        <w:numPr>
          <w:ilvl w:val="1"/>
          <w:numId w:val="4"/>
        </w:numPr>
        <w:ind w:left="567" w:hanging="709"/>
        <w:rPr>
          <w:b/>
        </w:rPr>
      </w:pPr>
      <w:r w:rsidRPr="00396922">
        <w:rPr>
          <w:bCs/>
        </w:rPr>
        <w:t>NZX will consider any objections to the Provisional Final Settlement Price that are received within the 30-minute period after the publication of the Provisional Final Settlement Price, to determine whether that price should be used as the Final Settlement Price.</w:t>
      </w:r>
    </w:p>
    <w:p w14:paraId="253A72EB" w14:textId="7C117BC3" w:rsidR="00396922" w:rsidRDefault="00501D4D" w:rsidP="00396922">
      <w:pPr>
        <w:pStyle w:val="BodyCopy"/>
        <w:tabs>
          <w:tab w:val="left" w:pos="567"/>
        </w:tabs>
        <w:ind w:left="-142"/>
        <w:rPr>
          <w:b/>
        </w:rPr>
      </w:pPr>
      <w:r>
        <w:rPr>
          <w:b/>
        </w:rPr>
        <w:t>Pre-Close Index Value</w:t>
      </w:r>
    </w:p>
    <w:p w14:paraId="5559EF6C" w14:textId="77777777" w:rsidR="00627E4A" w:rsidRDefault="00396922" w:rsidP="00722C66">
      <w:pPr>
        <w:pStyle w:val="BodyCopy"/>
        <w:numPr>
          <w:ilvl w:val="1"/>
          <w:numId w:val="4"/>
        </w:numPr>
        <w:tabs>
          <w:tab w:val="left" w:pos="567"/>
        </w:tabs>
        <w:ind w:left="567" w:hanging="709"/>
        <w:rPr>
          <w:b/>
        </w:rPr>
      </w:pPr>
      <w:r w:rsidRPr="00396922">
        <w:rPr>
          <w:bCs/>
        </w:rPr>
        <w:t>NZX intends to use the last Index value file provided to NZX by S&amp;P within the minute of 4.50pm on the Last Trading Day as the Provisional Final Settlement Price</w:t>
      </w:r>
      <w:r w:rsidR="00627E4A">
        <w:rPr>
          <w:bCs/>
        </w:rPr>
        <w:t>, w</w:t>
      </w:r>
      <w:r w:rsidR="00627E4A" w:rsidRPr="00396922">
        <w:rPr>
          <w:bCs/>
        </w:rPr>
        <w:t>here</w:t>
      </w:r>
      <w:r w:rsidR="00627E4A">
        <w:rPr>
          <w:bCs/>
        </w:rPr>
        <w:t>:</w:t>
      </w:r>
    </w:p>
    <w:p w14:paraId="783C9A8C" w14:textId="77777777" w:rsidR="00627E4A" w:rsidRPr="00627E4A" w:rsidRDefault="00627E4A" w:rsidP="00722C66">
      <w:pPr>
        <w:pStyle w:val="BodyCopy"/>
        <w:numPr>
          <w:ilvl w:val="0"/>
          <w:numId w:val="7"/>
        </w:numPr>
        <w:tabs>
          <w:tab w:val="left" w:pos="567"/>
        </w:tabs>
        <w:rPr>
          <w:b/>
        </w:rPr>
      </w:pPr>
      <w:r w:rsidRPr="00627E4A">
        <w:rPr>
          <w:bCs/>
        </w:rPr>
        <w:t>S&amp;P does not provide NZX with an Index value using close prices on the Last Trading Day, or</w:t>
      </w:r>
      <w:r>
        <w:rPr>
          <w:bCs/>
        </w:rPr>
        <w:t>,</w:t>
      </w:r>
    </w:p>
    <w:p w14:paraId="6F63BF81" w14:textId="3BCACA74" w:rsidR="0024233D" w:rsidRPr="0024233D" w:rsidRDefault="00627E4A" w:rsidP="00722C66">
      <w:pPr>
        <w:pStyle w:val="BodyCopy"/>
        <w:numPr>
          <w:ilvl w:val="0"/>
          <w:numId w:val="7"/>
        </w:numPr>
        <w:tabs>
          <w:tab w:val="left" w:pos="567"/>
        </w:tabs>
        <w:rPr>
          <w:b/>
        </w:rPr>
      </w:pPr>
      <w:r w:rsidRPr="00627E4A">
        <w:rPr>
          <w:bCs/>
        </w:rPr>
        <w:t>NZX is aware that there is a significant error in the Index value provided by S&amp;P</w:t>
      </w:r>
      <w:r w:rsidR="0024233D">
        <w:rPr>
          <w:bCs/>
        </w:rPr>
        <w:t xml:space="preserve"> as the Index value using close prices on the Last Trading Day</w:t>
      </w:r>
      <w:r w:rsidRPr="00627E4A">
        <w:rPr>
          <w:bCs/>
        </w:rPr>
        <w:t xml:space="preserve">, or </w:t>
      </w:r>
    </w:p>
    <w:p w14:paraId="509D6E99" w14:textId="2CDDB8DA" w:rsidR="00396922" w:rsidRPr="00627E4A" w:rsidRDefault="0024233D" w:rsidP="00722C66">
      <w:pPr>
        <w:pStyle w:val="BodyCopy"/>
        <w:numPr>
          <w:ilvl w:val="0"/>
          <w:numId w:val="7"/>
        </w:numPr>
        <w:tabs>
          <w:tab w:val="left" w:pos="567"/>
        </w:tabs>
        <w:rPr>
          <w:b/>
        </w:rPr>
      </w:pPr>
      <w:r w:rsidRPr="00627E4A">
        <w:rPr>
          <w:bCs/>
        </w:rPr>
        <w:t xml:space="preserve">NZX is aware that there is a significant error in </w:t>
      </w:r>
      <w:r w:rsidR="00627E4A" w:rsidRPr="00627E4A">
        <w:rPr>
          <w:bCs/>
        </w:rPr>
        <w:t>in the NZSX Close</w:t>
      </w:r>
      <w:r>
        <w:rPr>
          <w:bCs/>
        </w:rPr>
        <w:t>.</w:t>
      </w:r>
    </w:p>
    <w:p w14:paraId="5AEBDC40" w14:textId="3EF87ACE" w:rsidR="00396922" w:rsidRDefault="00B86D9C" w:rsidP="00396922">
      <w:pPr>
        <w:pStyle w:val="BodyCopy"/>
        <w:tabs>
          <w:tab w:val="left" w:pos="567"/>
        </w:tabs>
        <w:ind w:left="-142"/>
        <w:rPr>
          <w:b/>
        </w:rPr>
      </w:pPr>
      <w:r>
        <w:rPr>
          <w:b/>
        </w:rPr>
        <w:lastRenderedPageBreak/>
        <w:t>Last</w:t>
      </w:r>
      <w:r w:rsidR="00396922">
        <w:rPr>
          <w:b/>
        </w:rPr>
        <w:t xml:space="preserve"> Trading Day Index Value</w:t>
      </w:r>
      <w:r>
        <w:rPr>
          <w:b/>
        </w:rPr>
        <w:t xml:space="preserve"> at the Open</w:t>
      </w:r>
    </w:p>
    <w:p w14:paraId="4BA274CE" w14:textId="311110E0" w:rsidR="00B86D9C" w:rsidRDefault="00B86D9C" w:rsidP="00722C66">
      <w:pPr>
        <w:pStyle w:val="BodyCopy"/>
        <w:numPr>
          <w:ilvl w:val="1"/>
          <w:numId w:val="4"/>
        </w:numPr>
        <w:tabs>
          <w:tab w:val="left" w:pos="567"/>
        </w:tabs>
        <w:ind w:left="567" w:hanging="709"/>
        <w:rPr>
          <w:bCs/>
        </w:rPr>
      </w:pPr>
      <w:r>
        <w:rPr>
          <w:bCs/>
        </w:rPr>
        <w:t xml:space="preserve">NZX </w:t>
      </w:r>
      <w:r w:rsidRPr="00396922">
        <w:rPr>
          <w:bCs/>
        </w:rPr>
        <w:t xml:space="preserve">intends to use the Index value file provided to NZX by S&amp;P </w:t>
      </w:r>
      <w:r>
        <w:rPr>
          <w:bCs/>
        </w:rPr>
        <w:t xml:space="preserve">as at the Open </w:t>
      </w:r>
      <w:r w:rsidRPr="00396922">
        <w:rPr>
          <w:bCs/>
        </w:rPr>
        <w:t>on the Last Trading Day as the Provisional Final Settlement Price</w:t>
      </w:r>
      <w:r w:rsidR="0024233D">
        <w:rPr>
          <w:bCs/>
        </w:rPr>
        <w:t>, where:</w:t>
      </w:r>
    </w:p>
    <w:p w14:paraId="1EEE0757" w14:textId="3169C8EB" w:rsidR="0024233D" w:rsidRPr="0024233D" w:rsidRDefault="0024233D" w:rsidP="00722C66">
      <w:pPr>
        <w:pStyle w:val="BodyCopy"/>
        <w:numPr>
          <w:ilvl w:val="0"/>
          <w:numId w:val="8"/>
        </w:numPr>
        <w:tabs>
          <w:tab w:val="left" w:pos="567"/>
        </w:tabs>
        <w:ind w:left="993"/>
        <w:rPr>
          <w:bCs/>
        </w:rPr>
      </w:pPr>
      <w:r w:rsidRPr="0024233D">
        <w:rPr>
          <w:bCs/>
        </w:rPr>
        <w:t xml:space="preserve">S&amp;P does not provide NZX with an Index value </w:t>
      </w:r>
      <w:r>
        <w:rPr>
          <w:bCs/>
        </w:rPr>
        <w:t>at 4.50pm</w:t>
      </w:r>
      <w:r w:rsidRPr="0024233D">
        <w:rPr>
          <w:bCs/>
        </w:rPr>
        <w:t xml:space="preserve"> on the Last Trading Day, or</w:t>
      </w:r>
    </w:p>
    <w:p w14:paraId="5FE40AC1" w14:textId="5AC62709" w:rsidR="0024233D" w:rsidRPr="00307530" w:rsidRDefault="0024233D" w:rsidP="00722C66">
      <w:pPr>
        <w:pStyle w:val="BodyCopy"/>
        <w:numPr>
          <w:ilvl w:val="0"/>
          <w:numId w:val="8"/>
        </w:numPr>
        <w:tabs>
          <w:tab w:val="left" w:pos="567"/>
        </w:tabs>
        <w:ind w:left="993"/>
        <w:rPr>
          <w:bCs/>
        </w:rPr>
      </w:pPr>
      <w:r w:rsidRPr="0024233D">
        <w:rPr>
          <w:bCs/>
        </w:rPr>
        <w:t xml:space="preserve">NZX is aware that there is a significant error in the Index value provided by S&amp;P as the Index value </w:t>
      </w:r>
      <w:r w:rsidR="00307530">
        <w:rPr>
          <w:bCs/>
        </w:rPr>
        <w:t>at 4.50pm</w:t>
      </w:r>
      <w:r w:rsidRPr="0024233D">
        <w:rPr>
          <w:bCs/>
        </w:rPr>
        <w:t xml:space="preserve"> on the Last Trading Day</w:t>
      </w:r>
      <w:r w:rsidRPr="00307530">
        <w:rPr>
          <w:bCs/>
        </w:rPr>
        <w:t>.</w:t>
      </w:r>
    </w:p>
    <w:p w14:paraId="4A70D9E9" w14:textId="6ACC99C5" w:rsidR="00B86D9C" w:rsidRDefault="00307530" w:rsidP="00B86D9C">
      <w:pPr>
        <w:pStyle w:val="BodyCopy"/>
        <w:tabs>
          <w:tab w:val="left" w:pos="567"/>
        </w:tabs>
        <w:ind w:left="-142"/>
        <w:rPr>
          <w:bCs/>
        </w:rPr>
      </w:pPr>
      <w:r>
        <w:rPr>
          <w:b/>
        </w:rPr>
        <w:t xml:space="preserve">Prior </w:t>
      </w:r>
      <w:r w:rsidR="00B86D9C" w:rsidRPr="00B86D9C">
        <w:rPr>
          <w:b/>
        </w:rPr>
        <w:t>Trading Day Index Value at the Open</w:t>
      </w:r>
    </w:p>
    <w:p w14:paraId="25721AAA" w14:textId="7FF1C22C" w:rsidR="00307530" w:rsidRPr="0046552B" w:rsidRDefault="00307530" w:rsidP="00722C66">
      <w:pPr>
        <w:pStyle w:val="BodyCopy"/>
        <w:numPr>
          <w:ilvl w:val="1"/>
          <w:numId w:val="4"/>
        </w:numPr>
        <w:tabs>
          <w:tab w:val="left" w:pos="567"/>
        </w:tabs>
        <w:ind w:left="567" w:hanging="709"/>
        <w:rPr>
          <w:bCs/>
        </w:rPr>
      </w:pPr>
      <w:r w:rsidRPr="0046552B">
        <w:rPr>
          <w:bCs/>
        </w:rPr>
        <w:t xml:space="preserve">NZX intends to use the Index value file provided to NZX by S&amp;P </w:t>
      </w:r>
      <w:r w:rsidR="0046552B" w:rsidRPr="0046552B">
        <w:t>using the</w:t>
      </w:r>
      <w:r w:rsidR="0046552B" w:rsidRPr="0046552B">
        <w:rPr>
          <w:spacing w:val="-5"/>
        </w:rPr>
        <w:t xml:space="preserve"> </w:t>
      </w:r>
      <w:r w:rsidR="0046552B" w:rsidRPr="0046552B">
        <w:t>close prices on the Trading Day immediately prior to the Last Trading Day</w:t>
      </w:r>
      <w:r w:rsidR="0046552B" w:rsidRPr="0046552B">
        <w:rPr>
          <w:spacing w:val="-5"/>
        </w:rPr>
        <w:t xml:space="preserve"> </w:t>
      </w:r>
      <w:r w:rsidR="0046552B" w:rsidRPr="0046552B">
        <w:t>in accordance with the S&amp;P/NZX New Zealand Indices Methodology</w:t>
      </w:r>
      <w:r w:rsidRPr="0046552B">
        <w:rPr>
          <w:bCs/>
        </w:rPr>
        <w:t>, where:</w:t>
      </w:r>
    </w:p>
    <w:p w14:paraId="2575BD0F" w14:textId="0A58A43D" w:rsidR="00307530" w:rsidRPr="0024233D" w:rsidRDefault="00307530" w:rsidP="00722C66">
      <w:pPr>
        <w:pStyle w:val="BodyCopy"/>
        <w:numPr>
          <w:ilvl w:val="0"/>
          <w:numId w:val="9"/>
        </w:numPr>
        <w:tabs>
          <w:tab w:val="left" w:pos="567"/>
        </w:tabs>
        <w:rPr>
          <w:bCs/>
        </w:rPr>
      </w:pPr>
      <w:r w:rsidRPr="0024233D">
        <w:rPr>
          <w:bCs/>
        </w:rPr>
        <w:t xml:space="preserve">S&amp;P does not provide NZX with an Index value </w:t>
      </w:r>
      <w:r>
        <w:rPr>
          <w:bCs/>
        </w:rPr>
        <w:t xml:space="preserve">at the Open </w:t>
      </w:r>
      <w:r w:rsidRPr="0024233D">
        <w:rPr>
          <w:bCs/>
        </w:rPr>
        <w:t>on the Last Trading Day, or</w:t>
      </w:r>
    </w:p>
    <w:p w14:paraId="56876A6D" w14:textId="1E979836" w:rsidR="00B86D9C" w:rsidRPr="00307530" w:rsidRDefault="00307530" w:rsidP="00722C66">
      <w:pPr>
        <w:pStyle w:val="BodyCopy"/>
        <w:numPr>
          <w:ilvl w:val="0"/>
          <w:numId w:val="9"/>
        </w:numPr>
        <w:tabs>
          <w:tab w:val="left" w:pos="567"/>
        </w:tabs>
        <w:rPr>
          <w:bCs/>
        </w:rPr>
      </w:pPr>
      <w:r w:rsidRPr="0024233D">
        <w:rPr>
          <w:bCs/>
        </w:rPr>
        <w:t xml:space="preserve">NZX is aware that there is a significant error in the Index value provided by S&amp;P as the Index value </w:t>
      </w:r>
      <w:r>
        <w:rPr>
          <w:bCs/>
        </w:rPr>
        <w:t xml:space="preserve">at </w:t>
      </w:r>
      <w:r w:rsidRPr="0024233D">
        <w:rPr>
          <w:bCs/>
        </w:rPr>
        <w:t xml:space="preserve">the </w:t>
      </w:r>
      <w:r w:rsidR="0046552B">
        <w:rPr>
          <w:bCs/>
        </w:rPr>
        <w:t xml:space="preserve">Open on the </w:t>
      </w:r>
      <w:r w:rsidRPr="0024233D">
        <w:rPr>
          <w:bCs/>
        </w:rPr>
        <w:t>Last Trading Day</w:t>
      </w:r>
      <w:r w:rsidRPr="00307530">
        <w:rPr>
          <w:bCs/>
        </w:rPr>
        <w:t>.</w:t>
      </w:r>
    </w:p>
    <w:p w14:paraId="3ED10706" w14:textId="77777777" w:rsidR="00390D69" w:rsidRPr="007C7B6C" w:rsidRDefault="007C7B6C" w:rsidP="00722C66">
      <w:pPr>
        <w:pStyle w:val="Heading1"/>
        <w:numPr>
          <w:ilvl w:val="0"/>
          <w:numId w:val="6"/>
        </w:numPr>
        <w:ind w:left="567" w:hanging="709"/>
      </w:pPr>
      <w:r>
        <w:t>NZX Retains Discretion to Determine the Settlement Price</w:t>
      </w:r>
    </w:p>
    <w:p w14:paraId="74074492" w14:textId="15EFB620" w:rsidR="00390D69" w:rsidRPr="00E91235" w:rsidRDefault="00390D69" w:rsidP="007C7B6C">
      <w:pPr>
        <w:pStyle w:val="BodyCopy"/>
        <w:ind w:left="567"/>
      </w:pPr>
      <w:r>
        <w:t xml:space="preserve">This policy provides a guide as to how NZX intends to determine the </w:t>
      </w:r>
      <w:r w:rsidR="00396922">
        <w:t xml:space="preserve">Provisional Final </w:t>
      </w:r>
      <w:r>
        <w:t>Settlement Price</w:t>
      </w:r>
      <w:r w:rsidR="00396922">
        <w:t xml:space="preserve"> and Final Settlement Price</w:t>
      </w:r>
      <w:r>
        <w:t xml:space="preserve"> in certain circumstances. Nothing in this </w:t>
      </w:r>
      <w:r w:rsidR="00396922">
        <w:t>P</w:t>
      </w:r>
      <w:r>
        <w:t xml:space="preserve">olicy overrides NZX powers under the Rules (in particular Rule 8.11) or NZX’s ability to amend the </w:t>
      </w:r>
      <w:r w:rsidRPr="00396922">
        <w:t xml:space="preserve">Settlement Price in accordance with Contract Term 8.2 of the </w:t>
      </w:r>
      <w:r w:rsidR="00396922" w:rsidRPr="00396922">
        <w:t>S&amp;P/NZX 20 Index Futures.</w:t>
      </w:r>
    </w:p>
    <w:p w14:paraId="55DE9B9C" w14:textId="77777777" w:rsidR="00AD1D22" w:rsidRPr="00E91235" w:rsidRDefault="00AD1D22" w:rsidP="00AD1D22">
      <w:pPr>
        <w:pStyle w:val="TOCHeading1"/>
        <w:tabs>
          <w:tab w:val="clear" w:pos="9632"/>
          <w:tab w:val="right" w:pos="8504"/>
          <w:tab w:val="right" w:pos="8705"/>
          <w:tab w:val="left" w:pos="8844"/>
        </w:tabs>
        <w:spacing w:line="480" w:lineRule="auto"/>
        <w:ind w:left="680"/>
        <w:rPr>
          <w:rFonts w:ascii="Arial" w:hAnsi="Arial" w:cs="Arial"/>
        </w:rPr>
      </w:pPr>
    </w:p>
    <w:sectPr w:rsidR="00AD1D22" w:rsidRPr="00E91235" w:rsidSect="00C91B94">
      <w:headerReference w:type="even" r:id="rId8"/>
      <w:headerReference w:type="default" r:id="rId9"/>
      <w:footerReference w:type="even" r:id="rId10"/>
      <w:footerReference w:type="default" r:id="rId11"/>
      <w:headerReference w:type="first" r:id="rId12"/>
      <w:footerReference w:type="first" r:id="rId13"/>
      <w:pgSz w:w="11906" w:h="16838"/>
      <w:pgMar w:top="1701" w:right="1276" w:bottom="1440" w:left="1276"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4F7F5" w14:textId="77777777" w:rsidR="00091546" w:rsidRDefault="00091546" w:rsidP="00541A8C">
      <w:pPr>
        <w:spacing w:after="0" w:line="240" w:lineRule="auto"/>
      </w:pPr>
      <w:r>
        <w:separator/>
      </w:r>
    </w:p>
    <w:p w14:paraId="38593D3C" w14:textId="77777777" w:rsidR="00091546" w:rsidRDefault="00091546"/>
  </w:endnote>
  <w:endnote w:type="continuationSeparator" w:id="0">
    <w:p w14:paraId="4F74E8CA" w14:textId="77777777" w:rsidR="00091546" w:rsidRDefault="00091546" w:rsidP="00541A8C">
      <w:pPr>
        <w:spacing w:after="0" w:line="240" w:lineRule="auto"/>
      </w:pPr>
      <w:r>
        <w:continuationSeparator/>
      </w:r>
    </w:p>
    <w:p w14:paraId="53135F47" w14:textId="77777777" w:rsidR="00091546" w:rsidRDefault="00091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Lucida Grande">
    <w:altName w:val="Segoe UI"/>
    <w:charset w:val="00"/>
    <w:family w:val="auto"/>
    <w:pitch w:val="variable"/>
    <w:sig w:usb0="00000003" w:usb1="00000000" w:usb2="00000000" w:usb3="00000000" w:csb0="00000001" w:csb1="00000000"/>
  </w:font>
  <w:font w:name="ヒラギノ角ゴ Pro W3">
    <w:altName w:val="Yu Gothic UI"/>
    <w:charset w:val="4E"/>
    <w:family w:val="auto"/>
    <w:pitch w:val="variable"/>
    <w:sig w:usb0="00000001" w:usb1="00000000" w:usb2="01000407" w:usb3="00000000" w:csb0="00020000" w:csb1="00000000"/>
  </w:font>
  <w:font w:name="ITC Franklin Gothic LT Book">
    <w:charset w:val="00"/>
    <w:family w:val="auto"/>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DIN-Medium">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6E72" w14:textId="77777777" w:rsidR="0049049D" w:rsidRDefault="00490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D823" w14:textId="6E819617" w:rsidR="00091546" w:rsidRPr="00A84B39" w:rsidRDefault="001408CA" w:rsidP="002A552C">
    <w:pPr>
      <w:pStyle w:val="FooterText"/>
    </w:pPr>
    <w:r>
      <w:rPr>
        <w:caps/>
        <w:noProof/>
        <w:lang w:val="en-US"/>
      </w:rPr>
      <mc:AlternateContent>
        <mc:Choice Requires="wps">
          <w:drawing>
            <wp:anchor distT="0" distB="0" distL="114300" distR="114300" simplePos="0" relativeHeight="251666432" behindDoc="0" locked="0" layoutInCell="1" allowOverlap="1" wp14:anchorId="7C645790" wp14:editId="7AA6DD38">
              <wp:simplePos x="0" y="0"/>
              <wp:positionH relativeFrom="column">
                <wp:posOffset>6471920</wp:posOffset>
              </wp:positionH>
              <wp:positionV relativeFrom="paragraph">
                <wp:posOffset>27940</wp:posOffset>
              </wp:positionV>
              <wp:extent cx="195580" cy="19558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5580" cy="195580"/>
                      </a:xfrm>
                      <a:prstGeom prst="rtTriangle">
                        <a:avLst/>
                      </a:prstGeom>
                      <a:solidFill>
                        <a:schemeClr val="accent2">
                          <a:lumMod val="100000"/>
                          <a:lumOff val="0"/>
                        </a:scheme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5E48B" id="_x0000_t6" coordsize="21600,21600" o:spt="6" path="m,l,21600r21600,xe">
              <v:stroke joinstyle="miter"/>
              <v:path gradientshapeok="t" o:connecttype="custom" o:connectlocs="0,0;0,10800;0,21600;10800,21600;21600,21600;10800,10800" textboxrect="1800,12600,12600,19800"/>
            </v:shapetype>
            <v:shape id="AutoShape 1" o:spid="_x0000_s1026" type="#_x0000_t6" style="position:absolute;margin-left:509.6pt;margin-top:2.2pt;width:15.4pt;height:15.4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" fillcolor="#3397d3 [3205]" stroked="f"/>
          </w:pict>
        </mc:Fallback>
      </mc:AlternateContent>
    </w:r>
    <w:r w:rsidR="00091546">
      <w:tab/>
    </w:r>
    <w:r w:rsidR="00120274">
      <w:fldChar w:fldCharType="begin"/>
    </w:r>
    <w:r w:rsidR="00120274">
      <w:instrText xml:space="preserve"> PAGE   \* MERGEFORMAT </w:instrText>
    </w:r>
    <w:r w:rsidR="00120274">
      <w:fldChar w:fldCharType="separate"/>
    </w:r>
    <w:r w:rsidR="009F3A24" w:rsidRPr="009F3A24">
      <w:rPr>
        <w:noProof/>
        <w:color w:val="3397D3" w:themeColor="accent2"/>
      </w:rPr>
      <w:t>2</w:t>
    </w:r>
    <w:r w:rsidR="00120274">
      <w:rPr>
        <w:noProof/>
        <w:color w:val="3397D3" w:themeColor="accent2"/>
      </w:rPr>
      <w:fldChar w:fldCharType="end"/>
    </w:r>
    <w:r w:rsidR="00091546">
      <w:rPr>
        <w:color w:val="3397D3" w:themeColor="accent2"/>
      </w:rPr>
      <w:t xml:space="preserve"> </w:t>
    </w:r>
    <w:r w:rsidR="00091546" w:rsidRPr="00A84B39">
      <w:t xml:space="preserve">of </w:t>
    </w:r>
    <w:r w:rsidR="00120274">
      <w:fldChar w:fldCharType="begin"/>
    </w:r>
    <w:r w:rsidR="00120274">
      <w:instrText xml:space="preserve"> NUMPAGES  \# "0"  \* MERGEFORMAT </w:instrText>
    </w:r>
    <w:r w:rsidR="00120274">
      <w:fldChar w:fldCharType="separate"/>
    </w:r>
    <w:r w:rsidR="009F3A24">
      <w:rPr>
        <w:noProof/>
      </w:rPr>
      <w:t>5</w:t>
    </w:r>
    <w:r w:rsidR="0012027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654A" w14:textId="77777777" w:rsidR="0049049D" w:rsidRDefault="00490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9A943" w14:textId="77777777" w:rsidR="00091546" w:rsidRDefault="00091546"/>
  </w:footnote>
  <w:footnote w:type="continuationSeparator" w:id="0">
    <w:p w14:paraId="133F9AAF" w14:textId="77777777" w:rsidR="00091546" w:rsidRDefault="00091546" w:rsidP="00541A8C">
      <w:pPr>
        <w:spacing w:after="0" w:line="240" w:lineRule="auto"/>
      </w:pPr>
      <w:r>
        <w:continuationSeparator/>
      </w:r>
    </w:p>
    <w:p w14:paraId="0A1DDE74" w14:textId="77777777" w:rsidR="00091546" w:rsidRDefault="00091546"/>
  </w:footnote>
  <w:footnote w:id="1">
    <w:p w14:paraId="0EB9EFD3" w14:textId="56B48B2B" w:rsidR="007446C7" w:rsidRPr="007446C7" w:rsidRDefault="007446C7">
      <w:pPr>
        <w:pStyle w:val="FootnoteText"/>
        <w:rPr>
          <w:lang w:val="en-NZ"/>
        </w:rPr>
      </w:pPr>
      <w:r>
        <w:rPr>
          <w:rStyle w:val="FootnoteReference"/>
        </w:rPr>
        <w:footnoteRef/>
      </w:r>
      <w:r>
        <w:t xml:space="preserve"> </w:t>
      </w:r>
      <w:r>
        <w:rPr>
          <w:lang w:val="en-NZ"/>
        </w:rPr>
        <w:t>Contract Terms and Administrative Procedure, Term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4D537" w14:textId="77777777" w:rsidR="0049049D" w:rsidRDefault="00490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561E" w14:textId="77777777" w:rsidR="00091546" w:rsidRDefault="00091546">
    <w:pPr>
      <w:pStyle w:val="Header"/>
    </w:pPr>
  </w:p>
  <w:p w14:paraId="2D86ACB2" w14:textId="77777777" w:rsidR="00091546" w:rsidRDefault="000915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3AA6" w14:textId="77777777" w:rsidR="00091546" w:rsidRDefault="00091546">
    <w:pPr>
      <w:pStyle w:val="Header"/>
    </w:pPr>
    <w:r>
      <w:rPr>
        <w:noProof/>
        <w:lang w:val="en-US"/>
      </w:rPr>
      <w:drawing>
        <wp:anchor distT="0" distB="0" distL="114300" distR="114300" simplePos="0" relativeHeight="251664384" behindDoc="1" locked="0" layoutInCell="1" allowOverlap="1" wp14:anchorId="30802F5E" wp14:editId="40A5ECF5">
          <wp:simplePos x="0" y="0"/>
          <wp:positionH relativeFrom="page">
            <wp:posOffset>2043430</wp:posOffset>
          </wp:positionH>
          <wp:positionV relativeFrom="page">
            <wp:posOffset>5189855</wp:posOffset>
          </wp:positionV>
          <wp:extent cx="5518150" cy="5512435"/>
          <wp:effectExtent l="19050" t="0" r="6350" b="0"/>
          <wp:wrapNone/>
          <wp:docPr id="2" name="Picture 1" descr="Blue De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Device.jpg"/>
                  <pic:cNvPicPr/>
                </pic:nvPicPr>
                <pic:blipFill>
                  <a:blip r:embed="rId1"/>
                  <a:stretch>
                    <a:fillRect/>
                  </a:stretch>
                </pic:blipFill>
                <pic:spPr>
                  <a:xfrm>
                    <a:off x="0" y="0"/>
                    <a:ext cx="5518150" cy="5512435"/>
                  </a:xfrm>
                  <a:prstGeom prst="rect">
                    <a:avLst/>
                  </a:prstGeom>
                </pic:spPr>
              </pic:pic>
            </a:graphicData>
          </a:graphic>
        </wp:anchor>
      </w:drawing>
    </w:r>
    <w:r>
      <w:rPr>
        <w:noProof/>
        <w:lang w:val="en-US"/>
      </w:rPr>
      <w:drawing>
        <wp:anchor distT="0" distB="0" distL="114300" distR="114300" simplePos="0" relativeHeight="251665408" behindDoc="1" locked="0" layoutInCell="1" allowOverlap="1" wp14:anchorId="38805B9B" wp14:editId="2F4712AA">
          <wp:simplePos x="0" y="0"/>
          <wp:positionH relativeFrom="page">
            <wp:posOffset>810260</wp:posOffset>
          </wp:positionH>
          <wp:positionV relativeFrom="page">
            <wp:posOffset>635330</wp:posOffset>
          </wp:positionV>
          <wp:extent cx="1720685" cy="475013"/>
          <wp:effectExtent l="0" t="0" r="6985" b="7620"/>
          <wp:wrapNone/>
          <wp:docPr id="1" name="Picture 0"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X Logo.jpg"/>
                  <pic:cNvPicPr/>
                </pic:nvPicPr>
                <pic:blipFill>
                  <a:blip r:embed="rId2"/>
                  <a:stretch>
                    <a:fillRect/>
                  </a:stretch>
                </pic:blipFill>
                <pic:spPr>
                  <a:xfrm>
                    <a:off x="0" y="0"/>
                    <a:ext cx="1720685" cy="4750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17D"/>
    <w:multiLevelType w:val="multilevel"/>
    <w:tmpl w:val="2AC664CA"/>
    <w:lvl w:ilvl="0">
      <w:start w:val="1"/>
      <w:numFmt w:val="lowerLetter"/>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56D515E"/>
    <w:multiLevelType w:val="multilevel"/>
    <w:tmpl w:val="9D8C967E"/>
    <w:lvl w:ilvl="0">
      <w:start w:val="1"/>
      <w:numFmt w:val="lowerLetter"/>
      <w:lvlText w:val="%1)"/>
      <w:lvlJc w:val="left"/>
      <w:pPr>
        <w:ind w:left="786" w:hanging="360"/>
      </w:pPr>
      <w:rPr>
        <w:rFonts w:hint="default"/>
      </w:rPr>
    </w:lvl>
    <w:lvl w:ilvl="1">
      <w:start w:val="1"/>
      <w:numFmt w:val="decimal"/>
      <w:lvlText w:val="%1.%2."/>
      <w:lvlJc w:val="left"/>
      <w:pPr>
        <w:ind w:left="432" w:hanging="432"/>
      </w:pPr>
      <w:rPr>
        <w:b w:val="0"/>
        <w:bCs/>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0F392618"/>
    <w:multiLevelType w:val="hybridMultilevel"/>
    <w:tmpl w:val="1B12CDD4"/>
    <w:lvl w:ilvl="0" w:tplc="EDD6E4D6">
      <w:numFmt w:val="bullet"/>
      <w:pStyle w:val="Bullet"/>
      <w:lvlText w:val="•"/>
      <w:lvlJc w:val="left"/>
      <w:pPr>
        <w:ind w:left="720" w:hanging="360"/>
      </w:pPr>
      <w:rPr>
        <w:rFonts w:ascii="Arial" w:eastAsiaTheme="minorHAnsi" w:hAnsi="Arial" w:cs="Arial" w:hint="default"/>
      </w:rPr>
    </w:lvl>
    <w:lvl w:ilvl="1" w:tplc="8B1C110C">
      <w:start w:val="1"/>
      <w:numFmt w:val="bullet"/>
      <w:pStyle w:val="SubBullet"/>
      <w:lvlText w:val="-"/>
      <w:lvlJc w:val="left"/>
      <w:pPr>
        <w:ind w:left="1440" w:hanging="360"/>
      </w:pPr>
      <w:rPr>
        <w:rFonts w:ascii="Arial" w:hAnsi="Arial" w:hint="default"/>
      </w:rPr>
    </w:lvl>
    <w:lvl w:ilvl="2" w:tplc="7FDCBCFA" w:tentative="1">
      <w:start w:val="1"/>
      <w:numFmt w:val="bullet"/>
      <w:lvlText w:val=""/>
      <w:lvlJc w:val="left"/>
      <w:pPr>
        <w:ind w:left="2160" w:hanging="360"/>
      </w:pPr>
      <w:rPr>
        <w:rFonts w:ascii="Wingdings" w:hAnsi="Wingdings" w:hint="default"/>
      </w:rPr>
    </w:lvl>
    <w:lvl w:ilvl="3" w:tplc="4CA85956" w:tentative="1">
      <w:start w:val="1"/>
      <w:numFmt w:val="bullet"/>
      <w:lvlText w:val=""/>
      <w:lvlJc w:val="left"/>
      <w:pPr>
        <w:ind w:left="2880" w:hanging="360"/>
      </w:pPr>
      <w:rPr>
        <w:rFonts w:ascii="Symbol" w:hAnsi="Symbol" w:hint="default"/>
      </w:rPr>
    </w:lvl>
    <w:lvl w:ilvl="4" w:tplc="CD88672A" w:tentative="1">
      <w:start w:val="1"/>
      <w:numFmt w:val="bullet"/>
      <w:lvlText w:val="o"/>
      <w:lvlJc w:val="left"/>
      <w:pPr>
        <w:ind w:left="3600" w:hanging="360"/>
      </w:pPr>
      <w:rPr>
        <w:rFonts w:ascii="Courier New" w:hAnsi="Courier New" w:cs="Courier New" w:hint="default"/>
      </w:rPr>
    </w:lvl>
    <w:lvl w:ilvl="5" w:tplc="26C8146E" w:tentative="1">
      <w:start w:val="1"/>
      <w:numFmt w:val="bullet"/>
      <w:lvlText w:val=""/>
      <w:lvlJc w:val="left"/>
      <w:pPr>
        <w:ind w:left="4320" w:hanging="360"/>
      </w:pPr>
      <w:rPr>
        <w:rFonts w:ascii="Wingdings" w:hAnsi="Wingdings" w:hint="default"/>
      </w:rPr>
    </w:lvl>
    <w:lvl w:ilvl="6" w:tplc="1988D6A0" w:tentative="1">
      <w:start w:val="1"/>
      <w:numFmt w:val="bullet"/>
      <w:lvlText w:val=""/>
      <w:lvlJc w:val="left"/>
      <w:pPr>
        <w:ind w:left="5040" w:hanging="360"/>
      </w:pPr>
      <w:rPr>
        <w:rFonts w:ascii="Symbol" w:hAnsi="Symbol" w:hint="default"/>
      </w:rPr>
    </w:lvl>
    <w:lvl w:ilvl="7" w:tplc="76227676" w:tentative="1">
      <w:start w:val="1"/>
      <w:numFmt w:val="bullet"/>
      <w:lvlText w:val="o"/>
      <w:lvlJc w:val="left"/>
      <w:pPr>
        <w:ind w:left="5760" w:hanging="360"/>
      </w:pPr>
      <w:rPr>
        <w:rFonts w:ascii="Courier New" w:hAnsi="Courier New" w:cs="Courier New" w:hint="default"/>
      </w:rPr>
    </w:lvl>
    <w:lvl w:ilvl="8" w:tplc="2F042220" w:tentative="1">
      <w:start w:val="1"/>
      <w:numFmt w:val="bullet"/>
      <w:lvlText w:val=""/>
      <w:lvlJc w:val="left"/>
      <w:pPr>
        <w:ind w:left="6480" w:hanging="360"/>
      </w:pPr>
      <w:rPr>
        <w:rFonts w:ascii="Wingdings" w:hAnsi="Wingdings" w:hint="default"/>
      </w:rPr>
    </w:lvl>
  </w:abstractNum>
  <w:abstractNum w:abstractNumId="3" w15:restartNumberingAfterBreak="0">
    <w:nsid w:val="42A15B8B"/>
    <w:multiLevelType w:val="multilevel"/>
    <w:tmpl w:val="FED25A40"/>
    <w:lvl w:ilvl="0">
      <w:start w:val="1"/>
      <w:numFmt w:val="decimal"/>
      <w:lvlText w:val="%1."/>
      <w:lvlJc w:val="left"/>
      <w:pPr>
        <w:ind w:left="786" w:hanging="360"/>
      </w:pPr>
    </w:lvl>
    <w:lvl w:ilvl="1">
      <w:start w:val="1"/>
      <w:numFmt w:val="decimal"/>
      <w:lvlText w:val="%1.%2."/>
      <w:lvlJc w:val="left"/>
      <w:pPr>
        <w:ind w:left="432" w:hanging="432"/>
      </w:pPr>
      <w:rPr>
        <w:b w:val="0"/>
        <w:bCs/>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62F7605C"/>
    <w:multiLevelType w:val="hybridMultilevel"/>
    <w:tmpl w:val="C1B26710"/>
    <w:lvl w:ilvl="0" w:tplc="14090001">
      <w:start w:val="1"/>
      <w:numFmt w:val="decimal"/>
      <w:pStyle w:val="ListNumber"/>
      <w:lvlText w:val="%1."/>
      <w:lvlJc w:val="left"/>
      <w:pPr>
        <w:ind w:left="360" w:hanging="360"/>
      </w:pPr>
    </w:lvl>
    <w:lvl w:ilvl="1" w:tplc="14090003">
      <w:start w:val="1"/>
      <w:numFmt w:val="lowerLetter"/>
      <w:pStyle w:val="ListNumber2"/>
      <w:lvlText w:val="%2."/>
      <w:lvlJc w:val="left"/>
      <w:pPr>
        <w:ind w:left="1080" w:hanging="360"/>
      </w:pPr>
    </w:lvl>
    <w:lvl w:ilvl="2" w:tplc="14090005" w:tentative="1">
      <w:start w:val="1"/>
      <w:numFmt w:val="lowerRoman"/>
      <w:lvlText w:val="%3."/>
      <w:lvlJc w:val="right"/>
      <w:pPr>
        <w:ind w:left="1800" w:hanging="180"/>
      </w:pPr>
    </w:lvl>
    <w:lvl w:ilvl="3" w:tplc="14090001" w:tentative="1">
      <w:start w:val="1"/>
      <w:numFmt w:val="decimal"/>
      <w:lvlText w:val="%4."/>
      <w:lvlJc w:val="left"/>
      <w:pPr>
        <w:ind w:left="2520" w:hanging="360"/>
      </w:pPr>
    </w:lvl>
    <w:lvl w:ilvl="4" w:tplc="14090003" w:tentative="1">
      <w:start w:val="1"/>
      <w:numFmt w:val="lowerLetter"/>
      <w:lvlText w:val="%5."/>
      <w:lvlJc w:val="left"/>
      <w:pPr>
        <w:ind w:left="3240" w:hanging="360"/>
      </w:pPr>
    </w:lvl>
    <w:lvl w:ilvl="5" w:tplc="14090005" w:tentative="1">
      <w:start w:val="1"/>
      <w:numFmt w:val="lowerRoman"/>
      <w:lvlText w:val="%6."/>
      <w:lvlJc w:val="right"/>
      <w:pPr>
        <w:ind w:left="3960" w:hanging="180"/>
      </w:pPr>
    </w:lvl>
    <w:lvl w:ilvl="6" w:tplc="14090001" w:tentative="1">
      <w:start w:val="1"/>
      <w:numFmt w:val="decimal"/>
      <w:lvlText w:val="%7."/>
      <w:lvlJc w:val="left"/>
      <w:pPr>
        <w:ind w:left="4680" w:hanging="360"/>
      </w:pPr>
    </w:lvl>
    <w:lvl w:ilvl="7" w:tplc="14090003" w:tentative="1">
      <w:start w:val="1"/>
      <w:numFmt w:val="lowerLetter"/>
      <w:lvlText w:val="%8."/>
      <w:lvlJc w:val="left"/>
      <w:pPr>
        <w:ind w:left="5400" w:hanging="360"/>
      </w:pPr>
    </w:lvl>
    <w:lvl w:ilvl="8" w:tplc="14090005" w:tentative="1">
      <w:start w:val="1"/>
      <w:numFmt w:val="lowerRoman"/>
      <w:lvlText w:val="%9."/>
      <w:lvlJc w:val="right"/>
      <w:pPr>
        <w:ind w:left="6120" w:hanging="180"/>
      </w:pPr>
    </w:lvl>
  </w:abstractNum>
  <w:abstractNum w:abstractNumId="5" w15:restartNumberingAfterBreak="0">
    <w:nsid w:val="64CF32EB"/>
    <w:multiLevelType w:val="hybridMultilevel"/>
    <w:tmpl w:val="EAA68EE0"/>
    <w:lvl w:ilvl="0" w:tplc="9BCA0198">
      <w:start w:val="1"/>
      <w:numFmt w:val="lowerLetter"/>
      <w:lvlText w:val="(%1)"/>
      <w:lvlJc w:val="left"/>
      <w:pPr>
        <w:ind w:left="927" w:hanging="360"/>
      </w:pPr>
      <w:rPr>
        <w:rFonts w:hint="default"/>
        <w:b w:val="0"/>
        <w:bCs/>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 w15:restartNumberingAfterBreak="0">
    <w:nsid w:val="6EC70F5E"/>
    <w:multiLevelType w:val="multilevel"/>
    <w:tmpl w:val="FABE06BE"/>
    <w:lvl w:ilvl="0">
      <w:start w:val="1"/>
      <w:numFmt w:val="lowerLetter"/>
      <w:lvlText w:val="(%1)"/>
      <w:lvlJc w:val="left"/>
      <w:pPr>
        <w:ind w:left="786" w:hanging="360"/>
      </w:pPr>
      <w:rPr>
        <w:rFonts w:hint="default"/>
      </w:rPr>
    </w:lvl>
    <w:lvl w:ilvl="1">
      <w:start w:val="1"/>
      <w:numFmt w:val="decimal"/>
      <w:lvlText w:val="%1.%2."/>
      <w:lvlJc w:val="left"/>
      <w:pPr>
        <w:ind w:left="432" w:hanging="432"/>
      </w:pPr>
      <w:rPr>
        <w:b w:val="0"/>
        <w:bCs/>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7" w15:restartNumberingAfterBreak="0">
    <w:nsid w:val="6F9B6D2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FA02FA"/>
    <w:multiLevelType w:val="multilevel"/>
    <w:tmpl w:val="1BF04AA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6422810">
    <w:abstractNumId w:val="2"/>
  </w:num>
  <w:num w:numId="2" w16cid:durableId="38290973">
    <w:abstractNumId w:val="4"/>
  </w:num>
  <w:num w:numId="3" w16cid:durableId="2033650937">
    <w:abstractNumId w:val="7"/>
  </w:num>
  <w:num w:numId="4" w16cid:durableId="222496935">
    <w:abstractNumId w:val="3"/>
  </w:num>
  <w:num w:numId="5" w16cid:durableId="452748912">
    <w:abstractNumId w:val="0"/>
  </w:num>
  <w:num w:numId="6" w16cid:durableId="1135878218">
    <w:abstractNumId w:val="8"/>
  </w:num>
  <w:num w:numId="7" w16cid:durableId="246578967">
    <w:abstractNumId w:val="5"/>
  </w:num>
  <w:num w:numId="8" w16cid:durableId="1182933040">
    <w:abstractNumId w:val="6"/>
  </w:num>
  <w:num w:numId="9" w16cid:durableId="152385609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NZX"/>
  <w:drawingGridHorizontalSpacing w:val="110"/>
  <w:displayHorizontalDrawingGridEvery w:val="2"/>
  <w:characterSpacingControl w:val="doNotCompress"/>
  <w:hdrShapeDefaults>
    <o:shapedefaults v:ext="edit" spidmax="12289">
      <o:colormenu v:ext="edit" fillcolor="none [3205]"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C"/>
    <w:rsid w:val="00031317"/>
    <w:rsid w:val="00043EB2"/>
    <w:rsid w:val="00064FCD"/>
    <w:rsid w:val="00075AD6"/>
    <w:rsid w:val="00091546"/>
    <w:rsid w:val="00120274"/>
    <w:rsid w:val="00135BE8"/>
    <w:rsid w:val="001408CA"/>
    <w:rsid w:val="00152FEB"/>
    <w:rsid w:val="001570D2"/>
    <w:rsid w:val="001657F0"/>
    <w:rsid w:val="001A77E2"/>
    <w:rsid w:val="002075A7"/>
    <w:rsid w:val="002122FD"/>
    <w:rsid w:val="0024233D"/>
    <w:rsid w:val="00265916"/>
    <w:rsid w:val="00271749"/>
    <w:rsid w:val="002766E3"/>
    <w:rsid w:val="002A552C"/>
    <w:rsid w:val="002F041A"/>
    <w:rsid w:val="00307530"/>
    <w:rsid w:val="00343B29"/>
    <w:rsid w:val="0035425A"/>
    <w:rsid w:val="00360EED"/>
    <w:rsid w:val="00390D69"/>
    <w:rsid w:val="00396922"/>
    <w:rsid w:val="003B1272"/>
    <w:rsid w:val="003B2EEC"/>
    <w:rsid w:val="003C73D0"/>
    <w:rsid w:val="003F351C"/>
    <w:rsid w:val="004208C6"/>
    <w:rsid w:val="004405F9"/>
    <w:rsid w:val="0046552B"/>
    <w:rsid w:val="00465C06"/>
    <w:rsid w:val="00480D70"/>
    <w:rsid w:val="0049049D"/>
    <w:rsid w:val="00490C4B"/>
    <w:rsid w:val="004B2A54"/>
    <w:rsid w:val="004B7F68"/>
    <w:rsid w:val="004C3EF8"/>
    <w:rsid w:val="004F7C76"/>
    <w:rsid w:val="00501D4D"/>
    <w:rsid w:val="00540E40"/>
    <w:rsid w:val="00541A8C"/>
    <w:rsid w:val="00556D1F"/>
    <w:rsid w:val="005952BD"/>
    <w:rsid w:val="0061150C"/>
    <w:rsid w:val="00627E4A"/>
    <w:rsid w:val="00651F3F"/>
    <w:rsid w:val="00653D1F"/>
    <w:rsid w:val="00690BB7"/>
    <w:rsid w:val="006C32F3"/>
    <w:rsid w:val="006C5791"/>
    <w:rsid w:val="006D4815"/>
    <w:rsid w:val="007056EE"/>
    <w:rsid w:val="00717A3B"/>
    <w:rsid w:val="00722C66"/>
    <w:rsid w:val="007255E9"/>
    <w:rsid w:val="0073679A"/>
    <w:rsid w:val="00743690"/>
    <w:rsid w:val="007446C7"/>
    <w:rsid w:val="00747EDF"/>
    <w:rsid w:val="00750BBE"/>
    <w:rsid w:val="007976C6"/>
    <w:rsid w:val="007C2153"/>
    <w:rsid w:val="007C33F5"/>
    <w:rsid w:val="007C7B6C"/>
    <w:rsid w:val="007D3E4B"/>
    <w:rsid w:val="007E0E53"/>
    <w:rsid w:val="007E190C"/>
    <w:rsid w:val="007E58E5"/>
    <w:rsid w:val="007F0FDF"/>
    <w:rsid w:val="008271D9"/>
    <w:rsid w:val="008316E2"/>
    <w:rsid w:val="008345CB"/>
    <w:rsid w:val="008676BD"/>
    <w:rsid w:val="0087018E"/>
    <w:rsid w:val="00890ECC"/>
    <w:rsid w:val="00892A23"/>
    <w:rsid w:val="008951D1"/>
    <w:rsid w:val="008953C8"/>
    <w:rsid w:val="008F7216"/>
    <w:rsid w:val="00934A84"/>
    <w:rsid w:val="00946308"/>
    <w:rsid w:val="009605E7"/>
    <w:rsid w:val="009646B6"/>
    <w:rsid w:val="00965288"/>
    <w:rsid w:val="009E3C78"/>
    <w:rsid w:val="009F23FC"/>
    <w:rsid w:val="009F3A24"/>
    <w:rsid w:val="00A35B2E"/>
    <w:rsid w:val="00A54268"/>
    <w:rsid w:val="00A63C1A"/>
    <w:rsid w:val="00A65525"/>
    <w:rsid w:val="00A70CF8"/>
    <w:rsid w:val="00A84B39"/>
    <w:rsid w:val="00AD1D22"/>
    <w:rsid w:val="00AF5826"/>
    <w:rsid w:val="00B07782"/>
    <w:rsid w:val="00B24814"/>
    <w:rsid w:val="00B86D9C"/>
    <w:rsid w:val="00BA762F"/>
    <w:rsid w:val="00BC655E"/>
    <w:rsid w:val="00BF7A45"/>
    <w:rsid w:val="00C00162"/>
    <w:rsid w:val="00C20824"/>
    <w:rsid w:val="00C27879"/>
    <w:rsid w:val="00C62A5C"/>
    <w:rsid w:val="00C64A23"/>
    <w:rsid w:val="00C839C7"/>
    <w:rsid w:val="00C91B94"/>
    <w:rsid w:val="00CF0140"/>
    <w:rsid w:val="00D032C7"/>
    <w:rsid w:val="00D377C9"/>
    <w:rsid w:val="00D6311C"/>
    <w:rsid w:val="00D90C19"/>
    <w:rsid w:val="00D979B7"/>
    <w:rsid w:val="00DF4EFA"/>
    <w:rsid w:val="00E0057E"/>
    <w:rsid w:val="00E105AE"/>
    <w:rsid w:val="00E31227"/>
    <w:rsid w:val="00E34B59"/>
    <w:rsid w:val="00E35BD3"/>
    <w:rsid w:val="00E44D1D"/>
    <w:rsid w:val="00E4592A"/>
    <w:rsid w:val="00E85D7B"/>
    <w:rsid w:val="00EF2BCE"/>
    <w:rsid w:val="00EF62D6"/>
    <w:rsid w:val="00F12E1D"/>
    <w:rsid w:val="00F22E06"/>
    <w:rsid w:val="00F62034"/>
    <w:rsid w:val="00F73853"/>
    <w:rsid w:val="00F73AFD"/>
    <w:rsid w:val="00F916E3"/>
    <w:rsid w:val="00F933DF"/>
    <w:rsid w:val="00FA57F9"/>
    <w:rsid w:val="00FD5775"/>
    <w:rsid w:val="00FE5839"/>
    <w:rsid w:val="00FF4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205]" strokecolor="none"/>
    </o:shapedefaults>
    <o:shapelayout v:ext="edit">
      <o:idmap v:ext="edit" data="1"/>
    </o:shapelayout>
  </w:shapeDefaults>
  <w:decimalSymbol w:val="."/>
  <w:listSeparator w:val=","/>
  <w14:docId w14:val="2C7933C4"/>
  <w15:docId w15:val="{7A0ECF5C-4D50-4D53-A4E9-76C10D13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556D1F"/>
    <w:rPr>
      <w:rFonts w:ascii="Arial" w:hAnsi="Arial"/>
    </w:rPr>
  </w:style>
  <w:style w:type="paragraph" w:styleId="Heading1">
    <w:name w:val="heading 1"/>
    <w:basedOn w:val="BasicParagraph"/>
    <w:next w:val="Normal"/>
    <w:link w:val="Heading1Char"/>
    <w:uiPriority w:val="3"/>
    <w:qFormat/>
    <w:rsid w:val="00FA57F9"/>
    <w:pPr>
      <w:outlineLvl w:val="0"/>
    </w:pPr>
    <w:rPr>
      <w:rFonts w:ascii="Arial Bold" w:hAnsi="Arial Bold" w:cs="Arial"/>
      <w:b/>
      <w:bCs/>
      <w:color w:val="0061A2" w:themeColor="accent1"/>
      <w:sz w:val="36"/>
      <w:szCs w:val="36"/>
    </w:rPr>
  </w:style>
  <w:style w:type="paragraph" w:styleId="Heading2">
    <w:name w:val="heading 2"/>
    <w:basedOn w:val="Normal"/>
    <w:next w:val="Normal"/>
    <w:link w:val="Heading2Char"/>
    <w:qFormat/>
    <w:rsid w:val="00BC655E"/>
    <w:pPr>
      <w:keepNext/>
      <w:keepLines/>
      <w:spacing w:before="200" w:after="0"/>
      <w:outlineLvl w:val="1"/>
    </w:pPr>
    <w:rPr>
      <w:rFonts w:asciiTheme="majorHAnsi" w:eastAsiaTheme="majorEastAsia" w:hAnsiTheme="majorHAnsi" w:cstheme="majorBidi"/>
      <w:b/>
      <w:bCs/>
      <w:color w:val="000000" w:themeColor="text1"/>
      <w:sz w:val="24"/>
      <w:szCs w:val="24"/>
    </w:rPr>
  </w:style>
  <w:style w:type="paragraph" w:styleId="Heading3">
    <w:name w:val="heading 3"/>
    <w:basedOn w:val="Normal"/>
    <w:next w:val="Normal"/>
    <w:link w:val="Heading3Char"/>
    <w:uiPriority w:val="99"/>
    <w:qFormat/>
    <w:rsid w:val="00BC655E"/>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9"/>
    <w:qFormat/>
    <w:rsid w:val="00BC655E"/>
    <w:pPr>
      <w:keepNext/>
      <w:keepLines/>
      <w:spacing w:before="200" w:after="0"/>
      <w:outlineLvl w:val="3"/>
    </w:pPr>
    <w:rPr>
      <w:rFonts w:asciiTheme="majorHAnsi" w:eastAsiaTheme="majorEastAsia" w:hAnsiTheme="majorHAnsi" w:cstheme="majorBidi"/>
      <w:bCs/>
      <w:iCs/>
      <w:color w:val="0061A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52C"/>
  </w:style>
  <w:style w:type="table" w:customStyle="1" w:styleId="LightShading1">
    <w:name w:val="Light Shading1"/>
    <w:aliases w:val="Lotteries 2"/>
    <w:basedOn w:val="TableNormal"/>
    <w:uiPriority w:val="60"/>
    <w:rsid w:val="003B2EEC"/>
    <w:pPr>
      <w:spacing w:after="0" w:line="240" w:lineRule="auto"/>
    </w:pPr>
    <w:rPr>
      <w:rFonts w:ascii="Arial Narrow" w:hAnsi="Arial Narrow"/>
      <w:b/>
      <w:color w:val="000000" w:themeColor="text1" w:themeShade="BF"/>
      <w:sz w:val="18"/>
    </w:rPr>
    <w:tblPr>
      <w:tblStyleRowBandSize w:val="1"/>
      <w:tblStyleColBandSize w:val="1"/>
    </w:tblPr>
    <w:tcPr>
      <w:shd w:val="clear" w:color="auto" w:fill="auto"/>
      <w:vAlign w:val="center"/>
    </w:tcPr>
    <w:tblStylePr w:type="firstRow">
      <w:pPr>
        <w:spacing w:before="0" w:after="0" w:line="240" w:lineRule="auto"/>
      </w:pPr>
      <w:rPr>
        <w:rFonts w:ascii="Arial Narrow" w:hAnsi="Arial Narrow"/>
        <w:b/>
        <w:bCs/>
        <w:color w:val="FFFFFF" w:themeColor="background1"/>
        <w:sz w:val="18"/>
      </w:rPr>
      <w:tblPr/>
      <w:tcPr>
        <w:shd w:val="clear" w:color="auto" w:fill="0061A2" w:themeFill="accent1"/>
      </w:tcPr>
    </w:tblStylePr>
    <w:tblStylePr w:type="lastRow">
      <w:pPr>
        <w:spacing w:before="0" w:after="0" w:line="240" w:lineRule="auto"/>
      </w:pPr>
      <w:rPr>
        <w:rFonts w:ascii="Arial Narrow" w:hAnsi="Arial Narrow"/>
        <w:b w:val="0"/>
        <w:bCs/>
        <w:sz w:val="18"/>
      </w:rPr>
    </w:tblStylePr>
    <w:tblStylePr w:type="firstCol">
      <w:rPr>
        <w:rFonts w:ascii="Arial" w:hAnsi="Arial"/>
        <w:b w:val="0"/>
        <w:bCs/>
        <w:sz w:val="18"/>
      </w:rPr>
    </w:tblStylePr>
    <w:tblStylePr w:type="lastCol">
      <w:rPr>
        <w:rFonts w:ascii="Arial" w:hAnsi="Arial"/>
        <w:b w:val="0"/>
        <w:bCs/>
        <w:sz w:val="18"/>
      </w:rPr>
    </w:tblStylePr>
    <w:tblStylePr w:type="band1Horz">
      <w:rPr>
        <w:rFonts w:ascii="Arial Narrow" w:hAnsi="Arial Narrow"/>
        <w:sz w:val="18"/>
      </w:rPr>
    </w:tblStylePr>
    <w:tblStylePr w:type="band2Horz">
      <w:rPr>
        <w:rFonts w:ascii="Arial Narrow" w:hAnsi="Arial Narrow"/>
        <w:sz w:val="18"/>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4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52C"/>
    <w:rPr>
      <w:rFonts w:ascii="Tahoma" w:hAnsi="Tahoma" w:cs="Tahoma"/>
      <w:sz w:val="16"/>
      <w:szCs w:val="16"/>
    </w:rPr>
  </w:style>
  <w:style w:type="paragraph" w:styleId="Footer">
    <w:name w:val="footer"/>
    <w:basedOn w:val="Normal"/>
    <w:link w:val="FooterChar"/>
    <w:uiPriority w:val="99"/>
    <w:unhideWhenUsed/>
    <w:rsid w:val="00541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52C"/>
  </w:style>
  <w:style w:type="paragraph" w:customStyle="1" w:styleId="BasicParagraph">
    <w:name w:val="[Basic Paragraph]"/>
    <w:basedOn w:val="Normal"/>
    <w:uiPriority w:val="99"/>
    <w:unhideWhenUsed/>
    <w:rsid w:val="00A35B2E"/>
    <w:pPr>
      <w:autoSpaceDE w:val="0"/>
      <w:autoSpaceDN w:val="0"/>
      <w:adjustRightInd w:val="0"/>
      <w:spacing w:after="0" w:line="288" w:lineRule="auto"/>
      <w:textAlignment w:val="center"/>
    </w:pPr>
    <w:rPr>
      <w:rFonts w:cs="Minion Pro"/>
      <w:color w:val="000000"/>
      <w:sz w:val="24"/>
      <w:szCs w:val="24"/>
      <w:lang w:val="en-GB"/>
    </w:rPr>
  </w:style>
  <w:style w:type="paragraph" w:customStyle="1" w:styleId="NZXTitle">
    <w:name w:val="NZX Title"/>
    <w:basedOn w:val="BasicParagraph"/>
    <w:uiPriority w:val="99"/>
    <w:semiHidden/>
    <w:rsid w:val="00541A8C"/>
    <w:pPr>
      <w:spacing w:before="280"/>
    </w:pPr>
    <w:rPr>
      <w:rFonts w:cs="Arial"/>
      <w:b/>
      <w:bCs/>
      <w:sz w:val="60"/>
      <w:szCs w:val="60"/>
    </w:rPr>
  </w:style>
  <w:style w:type="paragraph" w:customStyle="1" w:styleId="NZXSubtitle">
    <w:name w:val="NZX Subtitle"/>
    <w:basedOn w:val="BasicParagraph"/>
    <w:uiPriority w:val="99"/>
    <w:semiHidden/>
    <w:unhideWhenUsed/>
    <w:rsid w:val="00541A8C"/>
    <w:rPr>
      <w:rFonts w:cs="Arial"/>
      <w:color w:val="3397D3"/>
      <w:sz w:val="40"/>
      <w:szCs w:val="40"/>
    </w:rPr>
  </w:style>
  <w:style w:type="paragraph" w:customStyle="1" w:styleId="CoverDate">
    <w:name w:val="Cover Date"/>
    <w:basedOn w:val="BasicParagraph"/>
    <w:uiPriority w:val="2"/>
    <w:qFormat/>
    <w:rsid w:val="0087018E"/>
    <w:rPr>
      <w:rFonts w:cs="Arial"/>
      <w:sz w:val="28"/>
      <w:szCs w:val="28"/>
    </w:rPr>
  </w:style>
  <w:style w:type="character" w:customStyle="1" w:styleId="Bold">
    <w:name w:val="Bold"/>
    <w:uiPriority w:val="99"/>
    <w:unhideWhenUsed/>
    <w:rsid w:val="0087018E"/>
    <w:rPr>
      <w:rFonts w:ascii="Arial" w:hAnsi="Arial" w:cs="Arial"/>
      <w:b/>
      <w:bCs/>
      <w:bdr w:val="none" w:sz="0" w:space="0" w:color="auto"/>
    </w:rPr>
  </w:style>
  <w:style w:type="paragraph" w:styleId="Title">
    <w:name w:val="Title"/>
    <w:basedOn w:val="NZXTitle"/>
    <w:next w:val="Normal"/>
    <w:link w:val="TitleChar"/>
    <w:qFormat/>
    <w:rsid w:val="0087018E"/>
    <w:pPr>
      <w:spacing w:before="200"/>
    </w:pPr>
  </w:style>
  <w:style w:type="character" w:customStyle="1" w:styleId="TitleChar">
    <w:name w:val="Title Char"/>
    <w:basedOn w:val="DefaultParagraphFont"/>
    <w:link w:val="Title"/>
    <w:rsid w:val="0087018E"/>
    <w:rPr>
      <w:rFonts w:ascii="Arial" w:hAnsi="Arial" w:cs="Arial"/>
      <w:b/>
      <w:bCs/>
      <w:color w:val="000000"/>
      <w:sz w:val="60"/>
      <w:szCs w:val="60"/>
      <w:lang w:val="en-GB"/>
    </w:rPr>
  </w:style>
  <w:style w:type="paragraph" w:styleId="Subtitle">
    <w:name w:val="Subtitle"/>
    <w:basedOn w:val="NZXSubtitle"/>
    <w:next w:val="Normal"/>
    <w:link w:val="SubtitleChar"/>
    <w:uiPriority w:val="1"/>
    <w:qFormat/>
    <w:rsid w:val="0087018E"/>
    <w:rPr>
      <w:sz w:val="36"/>
    </w:rPr>
  </w:style>
  <w:style w:type="character" w:customStyle="1" w:styleId="SubtitleChar">
    <w:name w:val="Subtitle Char"/>
    <w:basedOn w:val="DefaultParagraphFont"/>
    <w:link w:val="Subtitle"/>
    <w:uiPriority w:val="1"/>
    <w:rsid w:val="0087018E"/>
    <w:rPr>
      <w:rFonts w:ascii="Arial" w:hAnsi="Arial" w:cs="Arial"/>
      <w:color w:val="3397D3"/>
      <w:sz w:val="36"/>
      <w:szCs w:val="40"/>
      <w:lang w:val="en-GB"/>
    </w:rPr>
  </w:style>
  <w:style w:type="character" w:customStyle="1" w:styleId="Heading1Char">
    <w:name w:val="Heading 1 Char"/>
    <w:basedOn w:val="DefaultParagraphFont"/>
    <w:link w:val="Heading1"/>
    <w:uiPriority w:val="3"/>
    <w:rsid w:val="00FA57F9"/>
    <w:rPr>
      <w:rFonts w:ascii="Arial Bold" w:hAnsi="Arial Bold" w:cs="Arial"/>
      <w:b/>
      <w:bCs/>
      <w:color w:val="0061A2" w:themeColor="accent1"/>
      <w:sz w:val="36"/>
      <w:szCs w:val="36"/>
      <w:lang w:val="en-GB"/>
    </w:rPr>
  </w:style>
  <w:style w:type="paragraph" w:customStyle="1" w:styleId="Disclaimer">
    <w:name w:val="Disclaimer"/>
    <w:basedOn w:val="BasicParagraph"/>
    <w:uiPriority w:val="99"/>
    <w:qFormat/>
    <w:rsid w:val="00D979B7"/>
    <w:pPr>
      <w:spacing w:after="113" w:line="240" w:lineRule="auto"/>
      <w:ind w:right="2126"/>
    </w:pPr>
    <w:rPr>
      <w:rFonts w:cs="Arial"/>
      <w:color w:val="808080" w:themeColor="accent3"/>
      <w:sz w:val="14"/>
      <w:szCs w:val="14"/>
    </w:rPr>
  </w:style>
  <w:style w:type="paragraph" w:styleId="TOC1">
    <w:name w:val="toc 1"/>
    <w:basedOn w:val="BasicParagraph"/>
    <w:next w:val="Normal"/>
    <w:autoRedefine/>
    <w:uiPriority w:val="39"/>
    <w:rsid w:val="00135BE8"/>
    <w:pPr>
      <w:tabs>
        <w:tab w:val="left" w:leader="dot" w:pos="9214"/>
      </w:tabs>
      <w:spacing w:after="227"/>
      <w:jc w:val="both"/>
    </w:pPr>
    <w:rPr>
      <w:rFonts w:cs="Arial"/>
      <w:noProof/>
    </w:rPr>
  </w:style>
  <w:style w:type="paragraph" w:customStyle="1" w:styleId="BodyCopy">
    <w:name w:val="Body Copy"/>
    <w:basedOn w:val="BasicParagraph"/>
    <w:uiPriority w:val="4"/>
    <w:qFormat/>
    <w:rsid w:val="00D377C9"/>
    <w:pPr>
      <w:suppressAutoHyphens/>
      <w:spacing w:after="227" w:line="240" w:lineRule="auto"/>
    </w:pPr>
    <w:rPr>
      <w:rFonts w:cs="Arial"/>
      <w:sz w:val="22"/>
      <w:szCs w:val="22"/>
    </w:rPr>
  </w:style>
  <w:style w:type="paragraph" w:customStyle="1" w:styleId="Bullet">
    <w:name w:val="Bullet"/>
    <w:basedOn w:val="BasicParagraph"/>
    <w:uiPriority w:val="5"/>
    <w:qFormat/>
    <w:rsid w:val="00AF5826"/>
    <w:pPr>
      <w:numPr>
        <w:numId w:val="1"/>
      </w:numPr>
      <w:tabs>
        <w:tab w:val="left" w:pos="426"/>
      </w:tabs>
      <w:suppressAutoHyphens/>
      <w:spacing w:after="227" w:line="240" w:lineRule="auto"/>
      <w:ind w:left="425" w:hanging="425"/>
    </w:pPr>
    <w:rPr>
      <w:rFonts w:cs="Arial"/>
      <w:sz w:val="22"/>
      <w:szCs w:val="22"/>
    </w:rPr>
  </w:style>
  <w:style w:type="paragraph" w:customStyle="1" w:styleId="SubBullet">
    <w:name w:val="Sub Bullet"/>
    <w:basedOn w:val="Bullet"/>
    <w:uiPriority w:val="6"/>
    <w:qFormat/>
    <w:rsid w:val="00AF5826"/>
    <w:pPr>
      <w:numPr>
        <w:ilvl w:val="1"/>
      </w:numPr>
      <w:tabs>
        <w:tab w:val="left" w:pos="851"/>
      </w:tabs>
      <w:ind w:left="850" w:hanging="425"/>
    </w:pPr>
  </w:style>
  <w:style w:type="paragraph" w:customStyle="1" w:styleId="Footnote">
    <w:name w:val="Footnote"/>
    <w:basedOn w:val="BasicParagraph"/>
    <w:uiPriority w:val="99"/>
    <w:qFormat/>
    <w:rsid w:val="00A84B39"/>
    <w:pPr>
      <w:pBdr>
        <w:top w:val="single" w:sz="4" w:space="10" w:color="808080" w:themeColor="accent3"/>
      </w:pBdr>
      <w:suppressAutoHyphens/>
      <w:spacing w:after="113"/>
      <w:ind w:right="2126"/>
    </w:pPr>
    <w:rPr>
      <w:rFonts w:cs="Arial"/>
      <w:color w:val="808080" w:themeColor="accent3"/>
      <w:sz w:val="14"/>
      <w:szCs w:val="14"/>
    </w:rPr>
  </w:style>
  <w:style w:type="table" w:styleId="TableGrid">
    <w:name w:val="Table Grid"/>
    <w:basedOn w:val="TableNormal"/>
    <w:uiPriority w:val="59"/>
    <w:rsid w:val="00C0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001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NZX">
    <w:name w:val="NZX"/>
    <w:basedOn w:val="TableNormal"/>
    <w:uiPriority w:val="99"/>
    <w:qFormat/>
    <w:rsid w:val="00C00162"/>
    <w:pPr>
      <w:spacing w:after="0" w:line="240" w:lineRule="auto"/>
    </w:pPr>
    <w:rPr>
      <w:rFonts w:ascii="Arial" w:hAnsi="Arial"/>
      <w:sz w:val="20"/>
    </w:rPr>
    <w:tblPr>
      <w:tblBorders>
        <w:top w:val="single" w:sz="4" w:space="0" w:color="808080" w:themeColor="accent3"/>
        <w:left w:val="single" w:sz="4" w:space="0" w:color="808080" w:themeColor="accent3"/>
        <w:bottom w:val="single" w:sz="4" w:space="0" w:color="808080" w:themeColor="accent3"/>
        <w:right w:val="single" w:sz="4" w:space="0" w:color="808080" w:themeColor="accent3"/>
        <w:insideH w:val="single" w:sz="4" w:space="0" w:color="808080" w:themeColor="accent3"/>
        <w:insideV w:val="single" w:sz="4" w:space="0" w:color="808080" w:themeColor="accent3"/>
      </w:tblBorders>
      <w:tblCellMar>
        <w:top w:w="57" w:type="dxa"/>
        <w:left w:w="79" w:type="dxa"/>
        <w:bottom w:w="113" w:type="dxa"/>
        <w:right w:w="79" w:type="dxa"/>
      </w:tblCellMar>
    </w:tblPr>
    <w:tcPr>
      <w:vAlign w:val="center"/>
    </w:tcPr>
    <w:tblStylePr w:type="firstRow">
      <w:rPr>
        <w:rFonts w:ascii="Arial" w:hAnsi="Arial"/>
        <w:b/>
        <w:color w:val="FFFFFF" w:themeColor="background1"/>
        <w:sz w:val="20"/>
      </w:rPr>
      <w:tblPr/>
      <w:tcPr>
        <w:tcBorders>
          <w:top w:val="single" w:sz="4" w:space="0" w:color="0061A2" w:themeColor="accent1"/>
          <w:left w:val="single" w:sz="4" w:space="0" w:color="0061A2" w:themeColor="accent1"/>
          <w:bottom w:val="single" w:sz="4" w:space="0" w:color="0061A2" w:themeColor="accent1"/>
          <w:right w:val="single" w:sz="4" w:space="0" w:color="0061A2" w:themeColor="accent1"/>
          <w:insideH w:val="single" w:sz="4" w:space="0" w:color="0061A2" w:themeColor="accent1"/>
          <w:insideV w:val="single" w:sz="4" w:space="0" w:color="0061A2" w:themeColor="accent1"/>
          <w:tl2br w:val="nil"/>
          <w:tr2bl w:val="nil"/>
        </w:tcBorders>
        <w:shd w:val="clear" w:color="auto" w:fill="0061A2" w:themeFill="accent1"/>
      </w:tcPr>
    </w:tblStylePr>
  </w:style>
  <w:style w:type="paragraph" w:customStyle="1" w:styleId="TableHeader">
    <w:name w:val="Table Header"/>
    <w:basedOn w:val="Normal"/>
    <w:uiPriority w:val="99"/>
    <w:qFormat/>
    <w:rsid w:val="002A552C"/>
    <w:pPr>
      <w:autoSpaceDE w:val="0"/>
      <w:autoSpaceDN w:val="0"/>
      <w:adjustRightInd w:val="0"/>
      <w:spacing w:after="0" w:line="240" w:lineRule="auto"/>
      <w:jc w:val="center"/>
      <w:textAlignment w:val="center"/>
    </w:pPr>
    <w:rPr>
      <w:rFonts w:cs="Arial"/>
      <w:b/>
      <w:bCs/>
      <w:color w:val="FFFFFF"/>
      <w:sz w:val="20"/>
      <w:szCs w:val="20"/>
      <w:lang w:val="en-GB"/>
    </w:rPr>
  </w:style>
  <w:style w:type="paragraph" w:customStyle="1" w:styleId="TableSubhead">
    <w:name w:val="Table Subhead"/>
    <w:basedOn w:val="Normal"/>
    <w:uiPriority w:val="99"/>
    <w:qFormat/>
    <w:rsid w:val="002A552C"/>
    <w:pPr>
      <w:autoSpaceDE w:val="0"/>
      <w:autoSpaceDN w:val="0"/>
      <w:adjustRightInd w:val="0"/>
      <w:spacing w:after="0" w:line="240" w:lineRule="auto"/>
      <w:textAlignment w:val="center"/>
    </w:pPr>
    <w:rPr>
      <w:rFonts w:cs="Arial"/>
      <w:b/>
      <w:bCs/>
      <w:color w:val="000000"/>
      <w:sz w:val="20"/>
      <w:szCs w:val="20"/>
      <w:lang w:val="en-GB"/>
    </w:rPr>
  </w:style>
  <w:style w:type="paragraph" w:customStyle="1" w:styleId="TableBody">
    <w:name w:val="Table Body"/>
    <w:basedOn w:val="Normal"/>
    <w:uiPriority w:val="99"/>
    <w:qFormat/>
    <w:rsid w:val="002A552C"/>
    <w:pPr>
      <w:autoSpaceDE w:val="0"/>
      <w:autoSpaceDN w:val="0"/>
      <w:adjustRightInd w:val="0"/>
      <w:spacing w:after="0" w:line="240" w:lineRule="auto"/>
      <w:textAlignment w:val="center"/>
    </w:pPr>
    <w:rPr>
      <w:rFonts w:cs="Arial"/>
      <w:color w:val="000000"/>
      <w:sz w:val="20"/>
      <w:szCs w:val="20"/>
      <w:lang w:val="en-GB"/>
    </w:rPr>
  </w:style>
  <w:style w:type="paragraph" w:customStyle="1" w:styleId="FooterText">
    <w:name w:val="Footer Text"/>
    <w:basedOn w:val="BasicParagraph"/>
    <w:uiPriority w:val="99"/>
    <w:qFormat/>
    <w:rsid w:val="002A552C"/>
    <w:pPr>
      <w:tabs>
        <w:tab w:val="right" w:pos="9743"/>
      </w:tabs>
    </w:pPr>
    <w:rPr>
      <w:rFonts w:cs="Arial"/>
      <w:b/>
      <w:bCs/>
      <w:color w:val="808080" w:themeColor="accent3"/>
      <w:sz w:val="18"/>
      <w:szCs w:val="18"/>
    </w:rPr>
  </w:style>
  <w:style w:type="paragraph" w:styleId="FootnoteText">
    <w:name w:val="footnote text"/>
    <w:basedOn w:val="Footnote"/>
    <w:link w:val="FootnoteTextChar"/>
    <w:uiPriority w:val="99"/>
    <w:rsid w:val="009E3C78"/>
    <w:pPr>
      <w:ind w:right="0"/>
    </w:pPr>
  </w:style>
  <w:style w:type="character" w:customStyle="1" w:styleId="FootnoteTextChar">
    <w:name w:val="Footnote Text Char"/>
    <w:basedOn w:val="DefaultParagraphFont"/>
    <w:link w:val="FootnoteText"/>
    <w:uiPriority w:val="99"/>
    <w:rsid w:val="009E3C78"/>
    <w:rPr>
      <w:rFonts w:ascii="Arial" w:hAnsi="Arial" w:cs="Arial"/>
      <w:color w:val="808080" w:themeColor="accent3"/>
      <w:sz w:val="14"/>
      <w:szCs w:val="14"/>
      <w:lang w:val="en-GB"/>
    </w:rPr>
  </w:style>
  <w:style w:type="character" w:styleId="FootnoteReference">
    <w:name w:val="footnote reference"/>
    <w:basedOn w:val="DefaultParagraphFont"/>
    <w:uiPriority w:val="99"/>
    <w:unhideWhenUsed/>
    <w:rsid w:val="00C839C7"/>
    <w:rPr>
      <w:vertAlign w:val="superscript"/>
    </w:rPr>
  </w:style>
  <w:style w:type="paragraph" w:styleId="TOC2">
    <w:name w:val="toc 2"/>
    <w:basedOn w:val="Normal"/>
    <w:next w:val="Normal"/>
    <w:autoRedefine/>
    <w:uiPriority w:val="39"/>
    <w:unhideWhenUsed/>
    <w:rsid w:val="00135BE8"/>
    <w:pPr>
      <w:tabs>
        <w:tab w:val="right" w:leader="dot" w:pos="9344"/>
      </w:tabs>
      <w:ind w:left="284"/>
    </w:pPr>
    <w:rPr>
      <w:noProof/>
    </w:rPr>
  </w:style>
  <w:style w:type="paragraph" w:styleId="TOC3">
    <w:name w:val="toc 3"/>
    <w:basedOn w:val="Normal"/>
    <w:next w:val="Normal"/>
    <w:autoRedefine/>
    <w:uiPriority w:val="39"/>
    <w:unhideWhenUsed/>
    <w:rsid w:val="00135BE8"/>
    <w:pPr>
      <w:tabs>
        <w:tab w:val="right" w:leader="dot" w:pos="9344"/>
      </w:tabs>
      <w:ind w:left="567"/>
    </w:pPr>
    <w:rPr>
      <w:noProof/>
    </w:rPr>
  </w:style>
  <w:style w:type="paragraph" w:styleId="TOC4">
    <w:name w:val="toc 4"/>
    <w:basedOn w:val="Normal"/>
    <w:next w:val="Normal"/>
    <w:autoRedefine/>
    <w:uiPriority w:val="99"/>
    <w:semiHidden/>
    <w:rsid w:val="001570D2"/>
    <w:pPr>
      <w:ind w:left="660"/>
    </w:pPr>
  </w:style>
  <w:style w:type="paragraph" w:styleId="TOC5">
    <w:name w:val="toc 5"/>
    <w:basedOn w:val="Normal"/>
    <w:next w:val="Normal"/>
    <w:autoRedefine/>
    <w:uiPriority w:val="99"/>
    <w:semiHidden/>
    <w:rsid w:val="001570D2"/>
    <w:pPr>
      <w:ind w:left="880"/>
    </w:pPr>
  </w:style>
  <w:style w:type="paragraph" w:styleId="TOC6">
    <w:name w:val="toc 6"/>
    <w:basedOn w:val="Normal"/>
    <w:next w:val="Normal"/>
    <w:autoRedefine/>
    <w:uiPriority w:val="99"/>
    <w:semiHidden/>
    <w:rsid w:val="001570D2"/>
    <w:pPr>
      <w:ind w:left="1100"/>
    </w:pPr>
  </w:style>
  <w:style w:type="paragraph" w:styleId="TOC7">
    <w:name w:val="toc 7"/>
    <w:basedOn w:val="Normal"/>
    <w:next w:val="Normal"/>
    <w:autoRedefine/>
    <w:uiPriority w:val="99"/>
    <w:semiHidden/>
    <w:rsid w:val="001570D2"/>
    <w:pPr>
      <w:ind w:left="1320"/>
    </w:pPr>
  </w:style>
  <w:style w:type="paragraph" w:styleId="TOC8">
    <w:name w:val="toc 8"/>
    <w:basedOn w:val="Normal"/>
    <w:next w:val="Normal"/>
    <w:autoRedefine/>
    <w:uiPriority w:val="99"/>
    <w:semiHidden/>
    <w:rsid w:val="001570D2"/>
    <w:pPr>
      <w:ind w:left="1540"/>
    </w:pPr>
  </w:style>
  <w:style w:type="paragraph" w:styleId="TOC9">
    <w:name w:val="toc 9"/>
    <w:basedOn w:val="Normal"/>
    <w:next w:val="Normal"/>
    <w:autoRedefine/>
    <w:uiPriority w:val="99"/>
    <w:semiHidden/>
    <w:rsid w:val="001570D2"/>
    <w:pPr>
      <w:ind w:left="1760"/>
    </w:pPr>
  </w:style>
  <w:style w:type="paragraph" w:customStyle="1" w:styleId="Contentsheaderspecificstyle">
    <w:name w:val="Contents header specific style"/>
    <w:basedOn w:val="Heading1"/>
    <w:uiPriority w:val="99"/>
    <w:qFormat/>
    <w:rsid w:val="00A35B2E"/>
  </w:style>
  <w:style w:type="character" w:customStyle="1" w:styleId="Heading2Char">
    <w:name w:val="Heading 2 Char"/>
    <w:basedOn w:val="DefaultParagraphFont"/>
    <w:link w:val="Heading2"/>
    <w:uiPriority w:val="99"/>
    <w:rsid w:val="00556D1F"/>
    <w:rPr>
      <w:rFonts w:asciiTheme="majorHAnsi" w:eastAsiaTheme="majorEastAsia" w:hAnsiTheme="majorHAnsi" w:cstheme="majorBidi"/>
      <w:b/>
      <w:bCs/>
      <w:color w:val="000000" w:themeColor="text1"/>
      <w:sz w:val="24"/>
      <w:szCs w:val="24"/>
    </w:rPr>
  </w:style>
  <w:style w:type="character" w:customStyle="1" w:styleId="Heading3Char">
    <w:name w:val="Heading 3 Char"/>
    <w:basedOn w:val="DefaultParagraphFont"/>
    <w:link w:val="Heading3"/>
    <w:uiPriority w:val="99"/>
    <w:rsid w:val="00556D1F"/>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556D1F"/>
    <w:rPr>
      <w:rFonts w:asciiTheme="majorHAnsi" w:eastAsiaTheme="majorEastAsia" w:hAnsiTheme="majorHAnsi" w:cstheme="majorBidi"/>
      <w:bCs/>
      <w:iCs/>
      <w:color w:val="0061A2" w:themeColor="text2"/>
    </w:rPr>
  </w:style>
  <w:style w:type="paragraph" w:styleId="ListNumber">
    <w:name w:val="List Number"/>
    <w:basedOn w:val="BodyCopy"/>
    <w:uiPriority w:val="99"/>
    <w:unhideWhenUsed/>
    <w:rsid w:val="0073679A"/>
    <w:pPr>
      <w:numPr>
        <w:numId w:val="2"/>
      </w:numPr>
      <w:ind w:left="425" w:hanging="425"/>
    </w:pPr>
  </w:style>
  <w:style w:type="paragraph" w:styleId="ListNumber2">
    <w:name w:val="List Number 2"/>
    <w:basedOn w:val="ListNumber"/>
    <w:uiPriority w:val="99"/>
    <w:unhideWhenUsed/>
    <w:rsid w:val="00AF5826"/>
    <w:pPr>
      <w:numPr>
        <w:ilvl w:val="1"/>
      </w:numPr>
      <w:ind w:left="851" w:hanging="425"/>
    </w:pPr>
  </w:style>
  <w:style w:type="paragraph" w:styleId="ListParagraph">
    <w:name w:val="List Paragraph"/>
    <w:basedOn w:val="Normal"/>
    <w:autoRedefine/>
    <w:uiPriority w:val="1"/>
    <w:qFormat/>
    <w:rsid w:val="007E0E53"/>
    <w:pPr>
      <w:spacing w:after="100" w:afterAutospacing="1" w:line="360" w:lineRule="auto"/>
      <w:contextualSpacing/>
    </w:pPr>
    <w:rPr>
      <w:rFonts w:ascii="Lucida Grande" w:eastAsiaTheme="minorEastAsia" w:hAnsi="Lucida Grande" w:cs="Lucida Grande"/>
      <w:sz w:val="20"/>
      <w:szCs w:val="20"/>
      <w:lang w:val="en-US"/>
    </w:rPr>
  </w:style>
  <w:style w:type="paragraph" w:customStyle="1" w:styleId="FreeForm">
    <w:name w:val="Free Form"/>
    <w:rsid w:val="00AD1D22"/>
    <w:pPr>
      <w:spacing w:after="0" w:line="240" w:lineRule="auto"/>
    </w:pPr>
    <w:rPr>
      <w:rFonts w:ascii="Times New Roman" w:eastAsia="ヒラギノ角ゴ Pro W3" w:hAnsi="Times New Roman" w:cs="Times New Roman"/>
      <w:color w:val="000000"/>
      <w:sz w:val="20"/>
      <w:szCs w:val="20"/>
      <w:lang w:val="en-US"/>
    </w:rPr>
  </w:style>
  <w:style w:type="paragraph" w:customStyle="1" w:styleId="Body">
    <w:name w:val="Body"/>
    <w:rsid w:val="00AD1D22"/>
    <w:pPr>
      <w:suppressAutoHyphens/>
      <w:spacing w:after="240" w:line="360" w:lineRule="auto"/>
      <w:jc w:val="both"/>
    </w:pPr>
    <w:rPr>
      <w:rFonts w:ascii="ITC Franklin Gothic LT Book" w:eastAsia="ヒラギノ角ゴ Pro W3" w:hAnsi="ITC Franklin Gothic LT Book" w:cs="Times New Roman"/>
      <w:color w:val="000000"/>
      <w:sz w:val="20"/>
      <w:szCs w:val="20"/>
      <w:lang w:val="en-US"/>
    </w:rPr>
  </w:style>
  <w:style w:type="paragraph" w:customStyle="1" w:styleId="ContentsPageHeading">
    <w:name w:val="Contents Page Heading"/>
    <w:rsid w:val="00AD1D22"/>
    <w:pPr>
      <w:tabs>
        <w:tab w:val="right" w:pos="8260"/>
      </w:tabs>
      <w:spacing w:after="0" w:line="280" w:lineRule="atLeast"/>
      <w:ind w:right="129"/>
      <w:jc w:val="center"/>
    </w:pPr>
    <w:rPr>
      <w:rFonts w:ascii="Helvetica Neue" w:eastAsia="ヒラギノ角ゴ Pro W3" w:hAnsi="Helvetica Neue" w:cs="Times New Roman"/>
      <w:b/>
      <w:caps/>
      <w:color w:val="7E6D21"/>
      <w:sz w:val="32"/>
      <w:szCs w:val="20"/>
      <w:lang w:val="en-US"/>
    </w:rPr>
  </w:style>
  <w:style w:type="character" w:customStyle="1" w:styleId="Pagenumbers">
    <w:name w:val="Page numbers"/>
    <w:rsid w:val="00AD1D22"/>
    <w:rPr>
      <w:rFonts w:ascii="Helvetica Neue" w:eastAsia="ヒラギノ角ゴ Pro W3" w:hAnsi="Helvetica Neue"/>
      <w:b/>
      <w:i w:val="0"/>
      <w:caps w:val="0"/>
      <w:smallCaps w:val="0"/>
      <w:strike w:val="0"/>
      <w:dstrike w:val="0"/>
      <w:color w:val="7E6D21"/>
      <w:spacing w:val="0"/>
      <w:position w:val="0"/>
      <w:sz w:val="28"/>
      <w:u w:val="none"/>
      <w:vertAlign w:val="baseline"/>
      <w:lang w:val="en-US"/>
    </w:rPr>
  </w:style>
  <w:style w:type="paragraph" w:customStyle="1" w:styleId="TOCHeading1">
    <w:name w:val="TOC Heading 1"/>
    <w:rsid w:val="00AD1D22"/>
    <w:pPr>
      <w:tabs>
        <w:tab w:val="right" w:pos="9632"/>
      </w:tabs>
      <w:spacing w:before="240" w:after="0" w:line="240" w:lineRule="auto"/>
      <w:outlineLvl w:val="0"/>
    </w:pPr>
    <w:rPr>
      <w:rFonts w:ascii="DIN-Medium" w:eastAsia="ヒラギノ角ゴ Pro W3" w:hAnsi="DIN-Medium" w:cs="Times New Roman"/>
      <w:color w:val="7E6D21"/>
      <w:sz w:val="28"/>
      <w:szCs w:val="20"/>
      <w:lang w:val="en-US"/>
    </w:rPr>
  </w:style>
  <w:style w:type="paragraph" w:customStyle="1" w:styleId="BodyA">
    <w:name w:val="Body A"/>
    <w:rsid w:val="00AD1D22"/>
    <w:pPr>
      <w:suppressAutoHyphens/>
      <w:spacing w:after="240" w:line="360" w:lineRule="auto"/>
      <w:jc w:val="both"/>
    </w:pPr>
    <w:rPr>
      <w:rFonts w:ascii="ITC Franklin Gothic LT Book" w:eastAsia="ヒラギノ角ゴ Pro W3" w:hAnsi="ITC Franklin Gothic LT Book"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ZX">
      <a:dk1>
        <a:sysClr val="windowText" lastClr="000000"/>
      </a:dk1>
      <a:lt1>
        <a:sysClr val="window" lastClr="FFFFFF"/>
      </a:lt1>
      <a:dk2>
        <a:srgbClr val="0061A2"/>
      </a:dk2>
      <a:lt2>
        <a:srgbClr val="F2F2F2"/>
      </a:lt2>
      <a:accent1>
        <a:srgbClr val="0061A2"/>
      </a:accent1>
      <a:accent2>
        <a:srgbClr val="3397D3"/>
      </a:accent2>
      <a:accent3>
        <a:srgbClr val="808080"/>
      </a:accent3>
      <a:accent4>
        <a:srgbClr val="D9D9D9"/>
      </a:accent4>
      <a:accent5>
        <a:srgbClr val="49A942"/>
      </a:accent5>
      <a:accent6>
        <a:srgbClr val="FFD400"/>
      </a:accent6>
      <a:hlink>
        <a:srgbClr val="808080"/>
      </a:hlink>
      <a:folHlink>
        <a:srgbClr val="3397D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92D52-DE2B-1C45-9012-0BA8D233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Empson</dc:creator>
  <cp:lastModifiedBy>Kristin Brandon</cp:lastModifiedBy>
  <cp:revision>3</cp:revision>
  <cp:lastPrinted>2013-11-14T21:29:00Z</cp:lastPrinted>
  <dcterms:created xsi:type="dcterms:W3CDTF">2024-09-23T00:47:00Z</dcterms:created>
  <dcterms:modified xsi:type="dcterms:W3CDTF">2025-07-28T23:12:00Z</dcterms:modified>
</cp:coreProperties>
</file>