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>
          <w:rFonts w:ascii="Barlow ExtraBold" w:cs="Barlow ExtraBold" w:eastAsia="Barlow ExtraBold" w:hAnsi="Barlow ExtraBold"/>
          <w:i w:val="1"/>
          <w:color w:val="006b50"/>
          <w:sz w:val="46"/>
          <w:szCs w:val="46"/>
        </w:rPr>
      </w:pPr>
      <w:bookmarkStart w:colFirst="0" w:colLast="0" w:name="_onoar3pfucz" w:id="0"/>
      <w:bookmarkEnd w:id="0"/>
      <w:r w:rsidDel="00000000" w:rsidR="00000000" w:rsidRPr="00000000">
        <w:rPr>
          <w:rFonts w:ascii="Barlow ExtraBold" w:cs="Barlow ExtraBold" w:eastAsia="Barlow ExtraBold" w:hAnsi="Barlow ExtraBold"/>
          <w:i w:val="1"/>
          <w:color w:val="006b50"/>
          <w:sz w:val="46"/>
          <w:szCs w:val="4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6506944</wp:posOffset>
            </wp:positionH>
            <wp:positionV relativeFrom="page">
              <wp:posOffset>347663</wp:posOffset>
            </wp:positionV>
            <wp:extent cx="846356" cy="903875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657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6356" cy="90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arlow ExtraBold" w:cs="Barlow ExtraBold" w:eastAsia="Barlow ExtraBold" w:hAnsi="Barlow ExtraBold"/>
          <w:i w:val="1"/>
          <w:color w:val="006b50"/>
          <w:sz w:val="46"/>
          <w:szCs w:val="46"/>
          <w:rtl w:val="0"/>
        </w:rPr>
        <w:t xml:space="preserve">CURRICULUM </w:t>
      </w:r>
      <w:r w:rsidDel="00000000" w:rsidR="00000000" w:rsidRPr="00000000">
        <w:rPr>
          <w:rFonts w:ascii="Barlow ExtraBold" w:cs="Barlow ExtraBold" w:eastAsia="Barlow ExtraBold" w:hAnsi="Barlow ExtraBold"/>
          <w:i w:val="1"/>
          <w:color w:val="006b50"/>
          <w:sz w:val="46"/>
          <w:szCs w:val="46"/>
          <w:rtl w:val="0"/>
        </w:rPr>
        <w:t xml:space="preserve">PRINCIPLES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color w:val="666666"/>
        </w:rPr>
      </w:pPr>
      <w:r w:rsidDel="00000000" w:rsidR="00000000" w:rsidRPr="00000000">
        <w:rPr>
          <w:rFonts w:ascii="Barlow Medium" w:cs="Barlow Medium" w:eastAsia="Barlow Medium" w:hAnsi="Barlow Medium"/>
          <w:i w:val="1"/>
          <w:color w:val="666666"/>
          <w:sz w:val="34"/>
          <w:szCs w:val="34"/>
          <w:rtl w:val="0"/>
        </w:rPr>
        <w:t xml:space="preserve">October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left"/>
        <w:rPr>
          <w:color w:val="006b50"/>
        </w:rPr>
      </w:pPr>
      <w:r w:rsidDel="00000000" w:rsidR="00000000" w:rsidRPr="00000000">
        <w:rPr>
          <w:color w:val="006b50"/>
        </w:rPr>
        <mc:AlternateContent>
          <mc:Choice Requires="wpg">
            <w:drawing>
              <wp:inline distB="114300" distT="114300" distL="114300" distR="114300">
                <wp:extent cx="6772275" cy="2857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91100" y="663075"/>
                          <a:ext cx="6752100" cy="102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666666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772275" cy="2857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247650</wp:posOffset>
            </wp:positionV>
            <wp:extent cx="981075" cy="783339"/>
            <wp:effectExtent b="0" l="0" r="0" t="0"/>
            <wp:wrapSquare wrapText="bothSides" distB="114300" distT="114300" distL="114300" distR="11430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46511" l="0" r="622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83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>
          <w:color w:val="015581"/>
        </w:rPr>
      </w:pPr>
      <w:bookmarkStart w:colFirst="0" w:colLast="0" w:name="_izjwz3lx6rdu" w:id="1"/>
      <w:bookmarkEnd w:id="1"/>
      <w:r w:rsidDel="00000000" w:rsidR="00000000" w:rsidRPr="00000000">
        <w:rPr>
          <w:color w:val="015581"/>
          <w:rtl w:val="0"/>
        </w:rPr>
        <w:t xml:space="preserve">GUIDING PRINCIPLE 1: CONNECT CONTENT AND LEARNING TO INDUSTRY AND CAREERS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4"/>
        </w:numPr>
        <w:spacing w:after="200" w:lineRule="auto"/>
        <w:ind w:left="2160" w:hanging="360"/>
        <w:rPr>
          <w:color w:val="015581"/>
        </w:rPr>
      </w:pPr>
      <w:bookmarkStart w:colFirst="0" w:colLast="0" w:name="_dtbgo4hn7n5c" w:id="2"/>
      <w:bookmarkEnd w:id="2"/>
      <w:r w:rsidDel="00000000" w:rsidR="00000000" w:rsidRPr="00000000">
        <w:rPr>
          <w:rFonts w:ascii="Barlow Medium" w:cs="Barlow Medium" w:eastAsia="Barlow Medium" w:hAnsi="Barlow Medium"/>
          <w:color w:val="015581"/>
          <w:rtl w:val="0"/>
        </w:rPr>
        <w:t xml:space="preserve">Work-Based Learning (WBL)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4"/>
        </w:numPr>
        <w:spacing w:after="200" w:lineRule="auto"/>
        <w:ind w:left="2610" w:hanging="360"/>
        <w:rPr>
          <w:rFonts w:ascii="Barlow Medium" w:cs="Barlow Medium" w:eastAsia="Barlow Medium" w:hAnsi="Barlow Medium"/>
          <w:b w:val="0"/>
          <w:color w:val="015581"/>
        </w:rPr>
      </w:pPr>
      <w:bookmarkStart w:colFirst="0" w:colLast="0" w:name="_15rdxqns3rhh" w:id="3"/>
      <w:bookmarkEnd w:id="3"/>
      <w:r w:rsidDel="00000000" w:rsidR="00000000" w:rsidRPr="00000000">
        <w:rPr>
          <w:rFonts w:ascii="Barlow Medium" w:cs="Barlow Medium" w:eastAsia="Barlow Medium" w:hAnsi="Barlow Medium"/>
          <w:b w:val="0"/>
          <w:rtl w:val="0"/>
        </w:rPr>
        <w:t xml:space="preserve">Incorporate the full continuum of WBL activities to foster students' aspirations, skills, and industry connections.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4"/>
        </w:numPr>
        <w:spacing w:after="200" w:lineRule="auto"/>
        <w:ind w:left="2160" w:hanging="360"/>
        <w:rPr>
          <w:color w:val="015581"/>
        </w:rPr>
      </w:pPr>
      <w:bookmarkStart w:colFirst="0" w:colLast="0" w:name="_40akefj6r38t" w:id="4"/>
      <w:bookmarkEnd w:id="4"/>
      <w:r w:rsidDel="00000000" w:rsidR="00000000" w:rsidRPr="00000000">
        <w:rPr>
          <w:rFonts w:ascii="Barlow Medium" w:cs="Barlow Medium" w:eastAsia="Barlow Medium" w:hAnsi="Barlow Medium"/>
          <w:color w:val="015581"/>
          <w:rtl w:val="0"/>
        </w:rPr>
        <w:t xml:space="preserve">Upskilling</w:t>
      </w:r>
    </w:p>
    <w:p w:rsidR="00000000" w:rsidDel="00000000" w:rsidP="00000000" w:rsidRDefault="00000000" w:rsidRPr="00000000" w14:paraId="0000000A">
      <w:pPr>
        <w:pStyle w:val="Heading2"/>
        <w:numPr>
          <w:ilvl w:val="1"/>
          <w:numId w:val="4"/>
        </w:numPr>
        <w:spacing w:after="200" w:lineRule="auto"/>
        <w:ind w:left="2610" w:hanging="360"/>
        <w:rPr>
          <w:rFonts w:ascii="Barlow Medium" w:cs="Barlow Medium" w:eastAsia="Barlow Medium" w:hAnsi="Barlow Medium"/>
          <w:b w:val="0"/>
          <w:color w:val="015581"/>
        </w:rPr>
      </w:pPr>
      <w:bookmarkStart w:colFirst="0" w:colLast="0" w:name="_tbe30h3mjemb" w:id="5"/>
      <w:bookmarkEnd w:id="5"/>
      <w:r w:rsidDel="00000000" w:rsidR="00000000" w:rsidRPr="00000000">
        <w:rPr>
          <w:rFonts w:ascii="Barlow Medium" w:cs="Barlow Medium" w:eastAsia="Barlow Medium" w:hAnsi="Barlow Medium"/>
          <w:b w:val="0"/>
          <w:rtl w:val="0"/>
        </w:rPr>
        <w:t xml:space="preserve">Embed activities and assessments that develop Future-Ready Skills (collaboration, communication, problem-solving, social awareness, initiative/self-direction, and planning for success).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4"/>
        </w:numPr>
        <w:spacing w:after="200" w:lineRule="auto"/>
        <w:ind w:left="2160" w:hanging="360"/>
        <w:rPr>
          <w:color w:val="015581"/>
        </w:rPr>
      </w:pPr>
      <w:bookmarkStart w:colFirst="0" w:colLast="0" w:name="_3bsxpbtv6l43" w:id="6"/>
      <w:bookmarkEnd w:id="6"/>
      <w:r w:rsidDel="00000000" w:rsidR="00000000" w:rsidRPr="00000000">
        <w:rPr>
          <w:rFonts w:ascii="Barlow Medium" w:cs="Barlow Medium" w:eastAsia="Barlow Medium" w:hAnsi="Barlow Medium"/>
          <w:color w:val="015581"/>
          <w:rtl w:val="0"/>
        </w:rPr>
        <w:t xml:space="preserve">Industry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numPr>
          <w:ilvl w:val="1"/>
          <w:numId w:val="4"/>
        </w:numPr>
        <w:spacing w:after="200" w:lineRule="auto"/>
        <w:ind w:left="2610" w:hanging="360"/>
        <w:rPr>
          <w:rFonts w:ascii="Barlow Medium" w:cs="Barlow Medium" w:eastAsia="Barlow Medium" w:hAnsi="Barlow Medium"/>
          <w:b w:val="0"/>
          <w:color w:val="015581"/>
        </w:rPr>
      </w:pPr>
      <w:bookmarkStart w:colFirst="0" w:colLast="0" w:name="_6wkkylz3qsh" w:id="7"/>
      <w:bookmarkEnd w:id="7"/>
      <w:r w:rsidDel="00000000" w:rsidR="00000000" w:rsidRPr="00000000">
        <w:rPr>
          <w:rFonts w:ascii="Barlow Medium" w:cs="Barlow Medium" w:eastAsia="Barlow Medium" w:hAnsi="Barlow Medium"/>
          <w:b w:val="0"/>
          <w:rtl w:val="0"/>
        </w:rPr>
        <w:t xml:space="preserve">Align learning with industry standards, professional organizations, and current practices, including emerging technologies (e.g., AI).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4"/>
        </w:numPr>
        <w:spacing w:after="200" w:lineRule="auto"/>
        <w:ind w:left="2160" w:hanging="360"/>
        <w:rPr>
          <w:color w:val="015581"/>
        </w:rPr>
      </w:pPr>
      <w:bookmarkStart w:colFirst="0" w:colLast="0" w:name="_fjibcrvwzfgq" w:id="8"/>
      <w:bookmarkEnd w:id="8"/>
      <w:r w:rsidDel="00000000" w:rsidR="00000000" w:rsidRPr="00000000">
        <w:rPr>
          <w:rFonts w:ascii="Barlow Medium" w:cs="Barlow Medium" w:eastAsia="Barlow Medium" w:hAnsi="Barlow Medium"/>
          <w:color w:val="015581"/>
          <w:rtl w:val="0"/>
        </w:rPr>
        <w:t xml:space="preserve">Post-Secondary and Career Exploration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numPr>
          <w:ilvl w:val="1"/>
          <w:numId w:val="4"/>
        </w:numPr>
        <w:spacing w:after="200" w:lineRule="auto"/>
        <w:ind w:left="2610" w:hanging="360"/>
        <w:rPr>
          <w:rFonts w:ascii="Barlow Medium" w:cs="Barlow Medium" w:eastAsia="Barlow Medium" w:hAnsi="Barlow Medium"/>
          <w:b w:val="0"/>
          <w:color w:val="015581"/>
        </w:rPr>
      </w:pPr>
      <w:bookmarkStart w:colFirst="0" w:colLast="0" w:name="_evhzopsrpqyf" w:id="9"/>
      <w:bookmarkEnd w:id="9"/>
      <w:r w:rsidDel="00000000" w:rsidR="00000000" w:rsidRPr="00000000">
        <w:rPr>
          <w:rFonts w:ascii="Barlow Medium" w:cs="Barlow Medium" w:eastAsia="Barlow Medium" w:hAnsi="Barlow Medium"/>
          <w:b w:val="0"/>
          <w:rtl w:val="0"/>
        </w:rPr>
        <w:t xml:space="preserve">Showcase careers, workplaces, and post-secondary options that align with unit themes, helping students make informed decisions about their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ind w:left="720" w:firstLine="0"/>
        <w:rPr/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200" w:lineRule="auto"/>
        <w:ind w:left="0" w:firstLine="0"/>
        <w:rPr>
          <w:sz w:val="26"/>
          <w:szCs w:val="26"/>
        </w:rPr>
      </w:pPr>
      <w:bookmarkStart w:colFirst="0" w:colLast="0" w:name="_k1dez9w5qvue" w:id="10"/>
      <w:bookmarkEnd w:id="1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334767</wp:posOffset>
            </wp:positionV>
            <wp:extent cx="981075" cy="960847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46511" l="42912" r="2629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08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pStyle w:val="Heading1"/>
        <w:spacing w:after="200" w:lineRule="auto"/>
        <w:ind w:left="0" w:firstLine="0"/>
        <w:rPr>
          <w:color w:val="31b149"/>
        </w:rPr>
      </w:pPr>
      <w:bookmarkStart w:colFirst="0" w:colLast="0" w:name="_vd8gw8rq0wnh" w:id="11"/>
      <w:bookmarkEnd w:id="11"/>
      <w:r w:rsidDel="00000000" w:rsidR="00000000" w:rsidRPr="00000000">
        <w:rPr>
          <w:color w:val="31b149"/>
          <w:rtl w:val="0"/>
        </w:rPr>
        <w:t xml:space="preserve">GUIDING PRINCIPLE 2: PERSONALIZE THE LEARNING ENVIRONMENT WITH ENGAGING CONTENT AND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numPr>
          <w:ilvl w:val="0"/>
          <w:numId w:val="3"/>
        </w:numPr>
        <w:spacing w:after="200" w:lineRule="auto"/>
        <w:ind w:left="1980" w:hanging="360"/>
        <w:rPr>
          <w:color w:val="31b149"/>
        </w:rPr>
      </w:pPr>
      <w:bookmarkStart w:colFirst="0" w:colLast="0" w:name="_qx0uoeh3q3vy" w:id="12"/>
      <w:bookmarkEnd w:id="12"/>
      <w:r w:rsidDel="00000000" w:rsidR="00000000" w:rsidRPr="00000000">
        <w:rPr>
          <w:color w:val="31b149"/>
          <w:rtl w:val="0"/>
        </w:rPr>
        <w:t xml:space="preserve">Engaging, Multi-modal Instruction 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Infuse differentiated, multi-modal instruction based on Universal Design for Learning (UDL) principles to meet diverse learner needs.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Incorporate hands-on experiences like experiments, simulations, and problem-solving.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Provide choice within lessons, activities, assessments, and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numPr>
          <w:ilvl w:val="0"/>
          <w:numId w:val="5"/>
        </w:numPr>
        <w:spacing w:after="160" w:lineRule="auto"/>
        <w:ind w:left="1980" w:hanging="360"/>
        <w:rPr>
          <w:color w:val="31b149"/>
        </w:rPr>
      </w:pPr>
      <w:bookmarkStart w:colFirst="0" w:colLast="0" w:name="_5c4w2l1rgj2t" w:id="13"/>
      <w:bookmarkEnd w:id="13"/>
      <w:r w:rsidDel="00000000" w:rsidR="00000000" w:rsidRPr="00000000">
        <w:rPr>
          <w:color w:val="31b149"/>
          <w:rtl w:val="0"/>
        </w:rPr>
        <w:t xml:space="preserve">Authentic and Relevant Learning</w:t>
      </w:r>
      <w:r w:rsidDel="00000000" w:rsidR="00000000" w:rsidRPr="00000000">
        <w:rPr>
          <w:color w:val="31b14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Design activities and assessments that reflect real-world problems, current industry trends, skills and competencies needed to succeed in the workforce.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Utilize authentic assessments like portfolios, performance tasks, and real-world projects.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160" w:lineRule="auto"/>
        <w:ind w:left="2070" w:hanging="360"/>
        <w:rPr>
          <w:rFonts w:ascii="Barlow" w:cs="Barlow" w:eastAsia="Barlow" w:hAnsi="Barlow"/>
          <w:b w:val="1"/>
          <w:color w:val="31b149"/>
          <w:sz w:val="28"/>
          <w:szCs w:val="28"/>
        </w:rPr>
      </w:pPr>
      <w:r w:rsidDel="00000000" w:rsidR="00000000" w:rsidRPr="00000000">
        <w:rPr>
          <w:rFonts w:ascii="Barlow" w:cs="Barlow" w:eastAsia="Barlow" w:hAnsi="Barlow"/>
          <w:b w:val="1"/>
          <w:color w:val="31b149"/>
          <w:sz w:val="28"/>
          <w:szCs w:val="28"/>
          <w:rtl w:val="0"/>
        </w:rPr>
        <w:t xml:space="preserve">Diversity, Equity, Inclusion, and Access (DEIA)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160" w:lineRule="auto"/>
        <w:ind w:left="2700" w:hanging="360"/>
        <w:rPr>
          <w:rFonts w:ascii="Barlow" w:cs="Barlow" w:eastAsia="Barlow" w:hAnsi="Barlow"/>
          <w:b w:val="1"/>
          <w:sz w:val="28"/>
          <w:szCs w:val="28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Integrate diverse perspectives and backgrounds in content, ensuring students feel represented and valued.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160" w:lineRule="auto"/>
        <w:ind w:left="2700" w:hanging="360"/>
        <w:rPr>
          <w:rFonts w:ascii="Barlow" w:cs="Barlow" w:eastAsia="Barlow" w:hAnsi="Barlow"/>
          <w:b w:val="1"/>
          <w:sz w:val="28"/>
          <w:szCs w:val="28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Prioritize asset-based language that highlights the strengths of individuals and communities.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160" w:lineRule="auto"/>
        <w:ind w:left="2700" w:hanging="360"/>
        <w:rPr>
          <w:rFonts w:ascii="Barlow" w:cs="Barlow" w:eastAsia="Barlow" w:hAnsi="Barlow"/>
          <w:b w:val="1"/>
          <w:sz w:val="28"/>
          <w:szCs w:val="28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Provide opportunities for students to appreciate their own cultures and those around them.</w:t>
      </w:r>
    </w:p>
    <w:p w:rsidR="00000000" w:rsidDel="00000000" w:rsidP="00000000" w:rsidRDefault="00000000" w:rsidRPr="00000000" w14:paraId="0000001D">
      <w:pPr>
        <w:spacing w:after="160" w:lineRule="auto"/>
        <w:ind w:left="0" w:firstLine="0"/>
        <w:rPr>
          <w:rFonts w:ascii="Barlow Medium" w:cs="Barlow Medium" w:eastAsia="Barlow Medium" w:hAnsi="Barlow Medium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Rule="auto"/>
        <w:ind w:left="0" w:firstLine="0"/>
        <w:rPr>
          <w:rFonts w:ascii="Barlow Medium" w:cs="Barlow Medium" w:eastAsia="Barlow Medium" w:hAnsi="Barlow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980" w:right="0" w:hanging="360"/>
        <w:jc w:val="left"/>
        <w:rPr>
          <w:color w:val="31b149"/>
        </w:rPr>
      </w:pPr>
      <w:bookmarkStart w:colFirst="0" w:colLast="0" w:name="_36wyov69s4b1" w:id="14"/>
      <w:bookmarkEnd w:id="14"/>
      <w:r w:rsidDel="00000000" w:rsidR="00000000" w:rsidRPr="00000000">
        <w:rPr>
          <w:color w:val="31b149"/>
          <w:rtl w:val="0"/>
        </w:rPr>
        <w:t xml:space="preserve">Reflecting and Connecting to Their Why</w:t>
      </w:r>
      <w:r w:rsidDel="00000000" w:rsidR="00000000" w:rsidRPr="00000000">
        <w:rPr>
          <w:color w:val="31b14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Encourage students to reflect on the relevance of activities to their career aspirations.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Provide opportunities for them to select activities aligned with their personal goals.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Encourage reflection and self-assessment, with opportunities for students to share their learning and progress.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200" w:before="0" w:lineRule="auto"/>
        <w:ind w:left="270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Highlight their connection to a national network of NAF students, alumni, and supporters.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after="200" w:before="500" w:lineRule="auto"/>
        <w:rPr/>
      </w:pPr>
      <w:bookmarkStart w:colFirst="0" w:colLast="0" w:name="_z5f4bq2aa1dd" w:id="15"/>
      <w:bookmarkEnd w:id="15"/>
      <w:r w:rsidDel="00000000" w:rsidR="00000000" w:rsidRPr="00000000">
        <w:rPr>
          <w:rtl w:val="0"/>
        </w:rPr>
        <w:t xml:space="preserve">GUIDING PRINCIPLE 3: SUPPORT EDUCATORS AND STUDENTS WITH A COMPREHENSIVE LEARNING ECOSYSTEM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176657</wp:posOffset>
            </wp:positionV>
            <wp:extent cx="942975" cy="904875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-3063" l="70112" r="-1278" t="4957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0"/>
          <w:numId w:val="6"/>
        </w:numPr>
        <w:spacing w:after="160" w:lineRule="auto"/>
        <w:ind w:left="2160" w:hanging="360"/>
        <w:rPr>
          <w:color w:val="006b50"/>
        </w:rPr>
      </w:pPr>
      <w:bookmarkStart w:colFirst="0" w:colLast="0" w:name="_1wo7zgg59leq" w:id="16"/>
      <w:bookmarkEnd w:id="16"/>
      <w:r w:rsidDel="00000000" w:rsidR="00000000" w:rsidRPr="00000000">
        <w:rPr>
          <w:color w:val="006b50"/>
          <w:rtl w:val="0"/>
        </w:rPr>
        <w:t xml:space="preserve">Educator Resources and Tools 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160" w:lineRule="auto"/>
        <w:ind w:left="288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Define clear, specific learning outcomes and provide resources aligned with them.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160" w:lineRule="auto"/>
        <w:ind w:left="288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Offer planning tools (e.g., scope and sequence, rubrics, culminating projects) and provide links to relevant resources to more easily integrate with various LMS.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160" w:lineRule="auto"/>
        <w:ind w:left="288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Share suggestions for lesson plans or other ways to use and integrate the resources provided (e.g., teacher tips or scripts). 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240" w:before="0" w:lineRule="auto"/>
        <w:ind w:left="288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Ensure language and content represent our diverse network of students and global community while also being sensitive to limitations set forth by some state policies. </w:t>
      </w:r>
    </w:p>
    <w:p w:rsidR="00000000" w:rsidDel="00000000" w:rsidP="00000000" w:rsidRDefault="00000000" w:rsidRPr="00000000" w14:paraId="0000002B">
      <w:pPr>
        <w:pStyle w:val="Heading2"/>
        <w:numPr>
          <w:ilvl w:val="0"/>
          <w:numId w:val="2"/>
        </w:numPr>
        <w:spacing w:after="160" w:lineRule="auto"/>
        <w:ind w:left="2160" w:hanging="360"/>
        <w:rPr>
          <w:color w:val="006b50"/>
        </w:rPr>
      </w:pPr>
      <w:bookmarkStart w:colFirst="0" w:colLast="0" w:name="_lzji65yzxmnc" w:id="17"/>
      <w:bookmarkEnd w:id="17"/>
      <w:r w:rsidDel="00000000" w:rsidR="00000000" w:rsidRPr="00000000">
        <w:rPr>
          <w:color w:val="006b50"/>
          <w:rtl w:val="0"/>
        </w:rPr>
        <w:t xml:space="preserve">Student Resources and Tools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200" w:before="0" w:lineRule="auto"/>
        <w:ind w:left="288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Provide accessible materials (e.g., slides, rubrics, resources) to enhance learning and engagement.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200" w:lineRule="auto"/>
        <w:ind w:left="2880" w:hanging="360"/>
        <w:rPr>
          <w:rFonts w:ascii="Barlow Medium" w:cs="Barlow Medium" w:eastAsia="Barlow Medium" w:hAnsi="Barlow Medium"/>
          <w:sz w:val="28"/>
          <w:szCs w:val="28"/>
          <w:u w:val="none"/>
        </w:rPr>
      </w:pPr>
      <w:r w:rsidDel="00000000" w:rsidR="00000000" w:rsidRPr="00000000">
        <w:rPr>
          <w:rFonts w:ascii="Barlow Medium" w:cs="Barlow Medium" w:eastAsia="Barlow Medium" w:hAnsi="Barlow Medium"/>
          <w:sz w:val="28"/>
          <w:szCs w:val="28"/>
          <w:rtl w:val="0"/>
        </w:rPr>
        <w:t xml:space="preserve">Ensure resources are easy to find and use, supporting both in-class and independent study.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5840" w:w="12240" w:orient="portrait"/>
      <w:pgMar w:bottom="720" w:top="431.99999999999994" w:left="720" w:right="720" w:header="431.99999999999994" w:footer="431.999999999999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rlow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 ExtraBold">
    <w:embedBold w:fontKey="{00000000-0000-0000-0000-000000000000}" r:id="rId5" w:subsetted="0"/>
    <w:embedBoldItalic w:fontKey="{00000000-0000-0000-0000-000000000000}" r:id="rId6" w:subsetted="0"/>
  </w:font>
  <w:font w:name="Barlow SemiBold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Barlow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rFonts w:ascii="Barlow" w:cs="Barlow" w:eastAsia="Barlow" w:hAnsi="Barlow"/>
        <w:i w:val="1"/>
        <w:color w:val="006b50"/>
        <w:sz w:val="20"/>
        <w:szCs w:val="20"/>
      </w:rPr>
    </w:pPr>
    <w:r w:rsidDel="00000000" w:rsidR="00000000" w:rsidRPr="00000000">
      <w:rPr>
        <w:rFonts w:ascii="Barlow" w:cs="Barlow" w:eastAsia="Barlow" w:hAnsi="Barlow"/>
        <w:i w:val="1"/>
        <w:color w:val="006b50"/>
        <w:sz w:val="20"/>
        <w:szCs w:val="20"/>
        <w:rtl w:val="0"/>
      </w:rPr>
      <w:t xml:space="preserve">LEARNING.NAF.ORG</w:t>
      <w:tab/>
      <w:tab/>
      <w:tab/>
      <w:tab/>
      <w:tab/>
      <w:tab/>
      <w:tab/>
      <w:tab/>
      <w:tab/>
      <w:tab/>
      <w:t xml:space="preserve">      </w:t>
      <w:tab/>
      <w:t xml:space="preserve">PAGE </w:t>
    </w:r>
    <w:r w:rsidDel="00000000" w:rsidR="00000000" w:rsidRPr="00000000">
      <w:rPr>
        <w:rFonts w:ascii="Barlow" w:cs="Barlow" w:eastAsia="Barlow" w:hAnsi="Barlow"/>
        <w:i w:val="1"/>
        <w:color w:val="006b5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arlow" w:cs="Barlow" w:eastAsia="Barlow" w:hAnsi="Barlow"/>
        <w:i w:val="1"/>
        <w:color w:val="006b50"/>
        <w:sz w:val="20"/>
        <w:szCs w:val="20"/>
        <w:rtl w:val="0"/>
      </w:rPr>
      <w:t xml:space="preserve">/3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>
        <w:rFonts w:ascii="Barlow" w:cs="Barlow" w:eastAsia="Barlow" w:hAnsi="Barlow"/>
        <w:i w:val="1"/>
        <w:color w:val="006b50"/>
        <w:sz w:val="20"/>
        <w:szCs w:val="20"/>
      </w:rPr>
    </w:pPr>
    <w:r w:rsidDel="00000000" w:rsidR="00000000" w:rsidRPr="00000000">
      <w:rPr>
        <w:rFonts w:ascii="Barlow" w:cs="Barlow" w:eastAsia="Barlow" w:hAnsi="Barlow"/>
        <w:i w:val="1"/>
        <w:color w:val="006b50"/>
        <w:sz w:val="20"/>
        <w:szCs w:val="20"/>
        <w:rtl w:val="0"/>
      </w:rPr>
      <w:t xml:space="preserve">LEARNING.NAF.ORG</w:t>
      <w:tab/>
      <w:tab/>
      <w:tab/>
      <w:tab/>
      <w:tab/>
      <w:tab/>
      <w:tab/>
      <w:tab/>
      <w:tab/>
      <w:tab/>
      <w:tab/>
      <w:t xml:space="preserve">      PAGE 1/4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700" w:hanging="360"/>
      </w:pPr>
      <w:rPr>
        <w:color w:val="31b14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6b5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700" w:hanging="360"/>
      </w:pPr>
      <w:rPr>
        <w:color w:val="31b14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6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700" w:hanging="360"/>
      </w:pPr>
      <w:rPr>
        <w:color w:val="31b14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6b5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Rule="auto"/>
    </w:pPr>
    <w:rPr>
      <w:rFonts w:ascii="Barlow" w:cs="Barlow" w:eastAsia="Barlow" w:hAnsi="Barlow"/>
      <w:b w:val="1"/>
      <w:color w:val="006b5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  <w:ind w:left="720" w:hanging="360"/>
    </w:pPr>
    <w:rPr>
      <w:rFonts w:ascii="Barlow" w:cs="Barlow" w:eastAsia="Barlow" w:hAnsi="Barlow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Barlow SemiBold" w:cs="Barlow SemiBold" w:eastAsia="Barlow SemiBold" w:hAnsi="Barlow SemiBol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Barlow-regular.ttf"/><Relationship Id="rId10" Type="http://schemas.openxmlformats.org/officeDocument/2006/relationships/font" Target="fonts/BarlowSemiBold-boldItalic.ttf"/><Relationship Id="rId13" Type="http://schemas.openxmlformats.org/officeDocument/2006/relationships/font" Target="fonts/Barlow-italic.ttf"/><Relationship Id="rId12" Type="http://schemas.openxmlformats.org/officeDocument/2006/relationships/font" Target="fonts/Barlow-bold.ttf"/><Relationship Id="rId1" Type="http://schemas.openxmlformats.org/officeDocument/2006/relationships/font" Target="fonts/BarlowMedium-regular.ttf"/><Relationship Id="rId2" Type="http://schemas.openxmlformats.org/officeDocument/2006/relationships/font" Target="fonts/BarlowMedium-bold.ttf"/><Relationship Id="rId3" Type="http://schemas.openxmlformats.org/officeDocument/2006/relationships/font" Target="fonts/BarlowMedium-italic.ttf"/><Relationship Id="rId4" Type="http://schemas.openxmlformats.org/officeDocument/2006/relationships/font" Target="fonts/BarlowMedium-boldItalic.ttf"/><Relationship Id="rId9" Type="http://schemas.openxmlformats.org/officeDocument/2006/relationships/font" Target="fonts/BarlowSemiBold-italic.ttf"/><Relationship Id="rId14" Type="http://schemas.openxmlformats.org/officeDocument/2006/relationships/font" Target="fonts/Barlow-boldItalic.ttf"/><Relationship Id="rId5" Type="http://schemas.openxmlformats.org/officeDocument/2006/relationships/font" Target="fonts/BarlowExtraBold-bold.ttf"/><Relationship Id="rId6" Type="http://schemas.openxmlformats.org/officeDocument/2006/relationships/font" Target="fonts/BarlowExtraBold-boldItalic.ttf"/><Relationship Id="rId7" Type="http://schemas.openxmlformats.org/officeDocument/2006/relationships/font" Target="fonts/BarlowSemiBold-regular.ttf"/><Relationship Id="rId8" Type="http://schemas.openxmlformats.org/officeDocument/2006/relationships/font" Target="fonts/BarlowSemi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