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F598E8" w14:textId="70D3F59C" w:rsidR="001478A0" w:rsidRDefault="001A00DE" w:rsidP="001478A0">
      <w:pPr>
        <w:rPr>
          <w:rFonts w:ascii="Tahoma" w:eastAsia="Tahoma" w:hAnsi="Tahoma" w:cs="Tahoma"/>
          <w:b/>
          <w:bCs/>
          <w:sz w:val="32"/>
          <w:szCs w:val="32"/>
        </w:rPr>
      </w:pPr>
      <w:r>
        <w:rPr>
          <w:rFonts w:ascii="Tahoma" w:eastAsia="Tahoma" w:hAnsi="Tahoma" w:cs="Tahoma"/>
          <w:b/>
          <w:bCs/>
          <w:sz w:val="32"/>
          <w:szCs w:val="32"/>
          <w:lang w:val="es"/>
        </w:rPr>
        <w:t>Plantilla de los embajadores del consejo asesor de la academia</w:t>
      </w:r>
    </w:p>
    <w:p w14:paraId="3FF7C663" w14:textId="77777777" w:rsidR="00A73EDA" w:rsidRPr="001C512B" w:rsidRDefault="00A73EDA" w:rsidP="00A73EDA">
      <w:pPr>
        <w:contextualSpacing/>
        <w:rPr>
          <w:rFonts w:ascii="Arial" w:eastAsia="+mn-ea" w:hAnsi="Arial" w:cs="Arial"/>
          <w:kern w:val="24"/>
          <w:sz w:val="20"/>
          <w:szCs w:val="20"/>
        </w:rPr>
      </w:pPr>
    </w:p>
    <w:tbl>
      <w:tblPr>
        <w:tblStyle w:val="myOwnTableStyle11"/>
        <w:tblpPr w:leftFromText="180" w:rightFromText="180" w:vertAnchor="text" w:tblpXSpec="center" w:tblpY="1"/>
        <w:tblOverlap w:val="never"/>
        <w:tblW w:w="5000" w:type="pct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74"/>
        <w:gridCol w:w="10436"/>
      </w:tblGrid>
      <w:tr w:rsidR="00267B1B" w:rsidRPr="00027453" w14:paraId="6EDEB12C" w14:textId="77777777" w:rsidTr="00267B1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40"/>
          <w:jc w:val="center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00B050"/>
            <w:vAlign w:val="center"/>
          </w:tcPr>
          <w:p w14:paraId="1F829018" w14:textId="2424C497" w:rsidR="00267B1B" w:rsidRPr="00DF2E88" w:rsidRDefault="00267B1B" w:rsidP="00267B1B">
            <w:pPr>
              <w:spacing w:before="60" w:after="60"/>
              <w:rPr>
                <w:rFonts w:ascii="Tahoma" w:hAnsi="Tahoma" w:cs="Tahoma"/>
                <w:b/>
                <w:color w:val="FFFFFF" w:themeColor="background1"/>
              </w:rPr>
            </w:pPr>
            <w:r>
              <w:rPr>
                <w:rFonts w:ascii="Tahoma" w:hAnsi="Tahoma"/>
                <w:b/>
                <w:bCs/>
                <w:color w:val="FFFFFF" w:themeColor="background1"/>
                <w:lang w:val="es"/>
              </w:rPr>
              <w:t>Apoyo para la sostenibilidad 2.3.a:</w:t>
            </w:r>
            <w:r>
              <w:rPr>
                <w:rFonts w:ascii="Tahoma" w:hAnsi="Tahoma"/>
                <w:color w:val="FFFFFF" w:themeColor="background1"/>
                <w:lang w:val="es"/>
              </w:rPr>
              <w:t xml:space="preserve"> </w:t>
            </w:r>
            <w:r>
              <w:rPr>
                <w:lang w:val="es"/>
              </w:rPr>
              <w:t xml:space="preserve"> </w:t>
            </w:r>
            <w:r>
              <w:rPr>
                <w:rFonts w:ascii="Tahoma" w:hAnsi="Tahoma"/>
                <w:color w:val="FFFFFF" w:themeColor="background1"/>
                <w:lang w:val="es"/>
              </w:rPr>
              <w:t>El consejo asesor trabaja para involucrar a líderes comunitarios, de educación superior y cívicos para promover y sostener academias como parte integral de los sistemas de desarrollo económico y la fuerza laboral local.</w:t>
            </w:r>
          </w:p>
        </w:tc>
      </w:tr>
      <w:tr w:rsidR="00C77E24" w:rsidRPr="00027453" w14:paraId="0BB31352" w14:textId="77777777" w:rsidTr="00C77E24">
        <w:trPr>
          <w:trHeight w:val="512"/>
          <w:jc w:val="center"/>
        </w:trPr>
        <w:tc>
          <w:tcPr>
            <w:tcW w:w="1328" w:type="pct"/>
            <w:tcBorders>
              <w:bottom w:val="single" w:sz="4" w:space="0" w:color="auto"/>
            </w:tcBorders>
            <w:shd w:val="clear" w:color="auto" w:fill="006A4F"/>
            <w:vAlign w:val="center"/>
          </w:tcPr>
          <w:p w14:paraId="703FD79F" w14:textId="79E8BC9F" w:rsidR="00C77E24" w:rsidRPr="00EB25A1" w:rsidRDefault="00121A12" w:rsidP="00267B1B">
            <w:pPr>
              <w:spacing w:after="0"/>
              <w:jc w:val="center"/>
              <w:rPr>
                <w:rFonts w:ascii="Tahoma" w:hAnsi="Tahoma" w:cs="Tahoma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color w:val="FFFFFF" w:themeColor="background1"/>
                <w:sz w:val="22"/>
                <w:szCs w:val="22"/>
                <w:lang w:val="es"/>
              </w:rPr>
              <w:t>Acción estratégica</w:t>
            </w:r>
          </w:p>
        </w:tc>
        <w:tc>
          <w:tcPr>
            <w:tcW w:w="3672" w:type="pct"/>
            <w:tcBorders>
              <w:bottom w:val="single" w:sz="4" w:space="0" w:color="auto"/>
            </w:tcBorders>
            <w:shd w:val="clear" w:color="auto" w:fill="006A4F"/>
            <w:vAlign w:val="center"/>
          </w:tcPr>
          <w:p w14:paraId="7CDB7F64" w14:textId="0FFF5BD5" w:rsidR="00C77E24" w:rsidRPr="00EB25A1" w:rsidRDefault="00C77E24" w:rsidP="00267B1B">
            <w:pPr>
              <w:spacing w:after="0"/>
              <w:jc w:val="center"/>
              <w:rPr>
                <w:rFonts w:ascii="Tahoma" w:hAnsi="Tahoma" w:cs="Tahoma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color w:val="FFFFFF" w:themeColor="background1"/>
                <w:sz w:val="22"/>
                <w:szCs w:val="22"/>
                <w:lang w:val="es"/>
              </w:rPr>
              <w:t>Descripción/evidencia del apoyo del consejo asesor para la acción estratégica:</w:t>
            </w:r>
          </w:p>
        </w:tc>
      </w:tr>
      <w:tr w:rsidR="00C77E24" w:rsidRPr="00027453" w14:paraId="43F9E3D5" w14:textId="77777777" w:rsidTr="00C77E24">
        <w:trPr>
          <w:trHeight w:val="1887"/>
          <w:jc w:val="center"/>
        </w:trPr>
        <w:tc>
          <w:tcPr>
            <w:tcW w:w="1328" w:type="pct"/>
            <w:vAlign w:val="center"/>
          </w:tcPr>
          <w:p w14:paraId="6FF8EB28" w14:textId="3B89033E" w:rsidR="00C77E24" w:rsidRPr="007855CD" w:rsidRDefault="00C77E24" w:rsidP="00CF5AB5">
            <w:pPr>
              <w:spacing w:before="120" w:after="120"/>
              <w:ind w:left="180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lang w:val="es"/>
              </w:rPr>
              <w:t>Promover las academias NAF como una estrategia de desarrollo de la fuerza laboral local en sus comunidades.</w:t>
            </w:r>
          </w:p>
        </w:tc>
        <w:tc>
          <w:tcPr>
            <w:tcW w:w="3672" w:type="pct"/>
            <w:shd w:val="clear" w:color="auto" w:fill="FFFFFF" w:themeFill="background1"/>
          </w:tcPr>
          <w:p w14:paraId="77383FF0" w14:textId="77777777" w:rsidR="00C77E24" w:rsidRPr="007855CD" w:rsidRDefault="00C77E24" w:rsidP="00CF5AB5">
            <w:pPr>
              <w:spacing w:before="120" w:after="120"/>
              <w:ind w:left="180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77E24" w:rsidRPr="00027453" w14:paraId="533B7261" w14:textId="77777777" w:rsidTr="00C77E24">
        <w:trPr>
          <w:trHeight w:val="1977"/>
          <w:jc w:val="center"/>
        </w:trPr>
        <w:tc>
          <w:tcPr>
            <w:tcW w:w="1328" w:type="pct"/>
            <w:vAlign w:val="center"/>
          </w:tcPr>
          <w:p w14:paraId="64A62FC7" w14:textId="3806FD8B" w:rsidR="00C77E24" w:rsidRPr="007855CD" w:rsidRDefault="00C77E24" w:rsidP="00CF5AB5">
            <w:pPr>
              <w:spacing w:before="120" w:after="120"/>
              <w:ind w:left="180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lang w:val="es"/>
              </w:rPr>
              <w:t>Recaudar fondos para pasantías remuneradas, actividades de aprendizaje basado en el trabajo y/o becas.</w:t>
            </w:r>
          </w:p>
        </w:tc>
        <w:tc>
          <w:tcPr>
            <w:tcW w:w="3672" w:type="pct"/>
            <w:shd w:val="clear" w:color="auto" w:fill="FFFFFF" w:themeFill="background1"/>
          </w:tcPr>
          <w:p w14:paraId="44FA592A" w14:textId="77777777" w:rsidR="00C77E24" w:rsidRPr="007855CD" w:rsidRDefault="00C77E24" w:rsidP="00CF5AB5">
            <w:pPr>
              <w:spacing w:before="120" w:after="120"/>
              <w:ind w:left="180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77E24" w:rsidRPr="00027453" w14:paraId="7579F4DA" w14:textId="77777777" w:rsidTr="00C77E24">
        <w:trPr>
          <w:trHeight w:val="1725"/>
          <w:jc w:val="center"/>
        </w:trPr>
        <w:tc>
          <w:tcPr>
            <w:tcW w:w="1328" w:type="pct"/>
            <w:vAlign w:val="center"/>
          </w:tcPr>
          <w:p w14:paraId="2A9FD013" w14:textId="61FA796D" w:rsidR="00C77E24" w:rsidRPr="007855CD" w:rsidRDefault="00C77E24" w:rsidP="00CF5AB5">
            <w:pPr>
              <w:spacing w:before="120" w:after="120"/>
              <w:ind w:left="180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lang w:val="es"/>
              </w:rPr>
              <w:t>Reclutar a otros socios comerciales e instituciones de educación superior para apoyar el WBL y la preparación para la universidad y la carrera.</w:t>
            </w:r>
          </w:p>
        </w:tc>
        <w:tc>
          <w:tcPr>
            <w:tcW w:w="3672" w:type="pct"/>
            <w:shd w:val="clear" w:color="auto" w:fill="FFFFFF" w:themeFill="background1"/>
          </w:tcPr>
          <w:p w14:paraId="4DEF6EC9" w14:textId="77777777" w:rsidR="00C77E24" w:rsidRPr="007855CD" w:rsidRDefault="00C77E24" w:rsidP="00CF5AB5">
            <w:pPr>
              <w:spacing w:before="120" w:after="120"/>
              <w:ind w:left="180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77E24" w:rsidRPr="007855CD" w14:paraId="22D7D6D4" w14:textId="77777777" w:rsidTr="00C77E24">
        <w:trPr>
          <w:trHeight w:val="812"/>
          <w:jc w:val="center"/>
        </w:trPr>
        <w:tc>
          <w:tcPr>
            <w:tcW w:w="1328" w:type="pct"/>
            <w:vAlign w:val="center"/>
          </w:tcPr>
          <w:p w14:paraId="62B3353F" w14:textId="77777777" w:rsidR="00C77E24" w:rsidRPr="007855CD" w:rsidRDefault="00C77E24" w:rsidP="00CF5AB5">
            <w:pPr>
              <w:spacing w:before="120" w:after="120"/>
              <w:ind w:left="180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lang w:val="es"/>
              </w:rPr>
              <w:t>Otra</w:t>
            </w:r>
          </w:p>
        </w:tc>
        <w:tc>
          <w:tcPr>
            <w:tcW w:w="3672" w:type="pct"/>
            <w:shd w:val="clear" w:color="auto" w:fill="FFFFFF" w:themeFill="background1"/>
          </w:tcPr>
          <w:p w14:paraId="06BD2F9A" w14:textId="77777777" w:rsidR="00C77E24" w:rsidRPr="007855CD" w:rsidRDefault="00C77E24" w:rsidP="00CF5AB5">
            <w:pPr>
              <w:spacing w:before="120" w:after="120"/>
              <w:ind w:left="180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4D59391D" w14:textId="77777777" w:rsidR="00EB4EBF" w:rsidRDefault="00EB4EBF" w:rsidP="00DB18A5">
      <w:pPr>
        <w:tabs>
          <w:tab w:val="left" w:pos="14040"/>
          <w:tab w:val="left" w:pos="14220"/>
        </w:tabs>
        <w:spacing w:after="0"/>
        <w:contextualSpacing/>
        <w:rPr>
          <w:rFonts w:ascii="Arial" w:eastAsia="+mn-ea" w:hAnsi="Arial" w:cs="Arial"/>
          <w:kern w:val="24"/>
          <w:sz w:val="20"/>
          <w:szCs w:val="20"/>
        </w:rPr>
      </w:pPr>
    </w:p>
    <w:sectPr w:rsidR="00EB4EBF" w:rsidSect="009E2966">
      <w:headerReference w:type="default" r:id="rId8"/>
      <w:pgSz w:w="15840" w:h="12240" w:orient="landscape"/>
      <w:pgMar w:top="1440" w:right="810" w:bottom="288" w:left="81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4E1C7C" w14:textId="77777777" w:rsidR="009E2966" w:rsidRDefault="009E2966" w:rsidP="002137BE">
      <w:pPr>
        <w:spacing w:after="0" w:line="240" w:lineRule="auto"/>
      </w:pPr>
      <w:r>
        <w:separator/>
      </w:r>
    </w:p>
  </w:endnote>
  <w:endnote w:type="continuationSeparator" w:id="0">
    <w:p w14:paraId="3C6C9978" w14:textId="77777777" w:rsidR="009E2966" w:rsidRDefault="009E2966" w:rsidP="002137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E1D10F" w14:textId="77777777" w:rsidR="009E2966" w:rsidRDefault="009E2966" w:rsidP="002137BE">
      <w:pPr>
        <w:spacing w:after="0" w:line="240" w:lineRule="auto"/>
      </w:pPr>
      <w:r>
        <w:separator/>
      </w:r>
    </w:p>
  </w:footnote>
  <w:footnote w:type="continuationSeparator" w:id="0">
    <w:p w14:paraId="2FDB4B6F" w14:textId="77777777" w:rsidR="009E2966" w:rsidRDefault="009E2966" w:rsidP="002137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82"/>
      <w:gridCol w:w="4585"/>
      <w:gridCol w:w="2610"/>
      <w:gridCol w:w="4140"/>
    </w:tblGrid>
    <w:tr w:rsidR="008B441B" w:rsidRPr="00C67AAE" w14:paraId="393B14B4" w14:textId="77777777" w:rsidTr="0086323D">
      <w:tc>
        <w:tcPr>
          <w:tcW w:w="1440" w:type="dxa"/>
          <w:tcBorders>
            <w:top w:val="nil"/>
            <w:bottom w:val="nil"/>
          </w:tcBorders>
          <w:vAlign w:val="bottom"/>
        </w:tcPr>
        <w:p w14:paraId="2BE56C44" w14:textId="29B4777A" w:rsidR="008B441B" w:rsidRPr="00C67AAE" w:rsidRDefault="008B441B" w:rsidP="0086323D">
          <w:pPr>
            <w:spacing w:before="120" w:after="0" w:line="240" w:lineRule="auto"/>
            <w:ind w:left="-105"/>
            <w:jc w:val="both"/>
            <w:rPr>
              <w:rFonts w:ascii="Tahoma" w:eastAsia="Times New Roman" w:hAnsi="Tahoma" w:cs="Tahoma"/>
              <w:sz w:val="28"/>
              <w:szCs w:val="28"/>
            </w:rPr>
          </w:pPr>
          <w:r>
            <w:rPr>
              <w:rFonts w:ascii="Tahoma" w:eastAsia="Times New Roman" w:hAnsi="Tahoma" w:cs="Tahoma"/>
              <w:b/>
              <w:bCs/>
              <w:sz w:val="28"/>
              <w:szCs w:val="28"/>
              <w:lang w:val="es"/>
            </w:rPr>
            <w:t>Academia:</w:t>
          </w:r>
        </w:p>
      </w:tc>
      <w:tc>
        <w:tcPr>
          <w:tcW w:w="4585" w:type="dxa"/>
          <w:vAlign w:val="bottom"/>
        </w:tcPr>
        <w:p w14:paraId="1B7740C6" w14:textId="1808D6C1" w:rsidR="008B441B" w:rsidRPr="00C67AAE" w:rsidRDefault="008B441B" w:rsidP="008B441B">
          <w:pPr>
            <w:spacing w:before="120" w:after="0" w:line="240" w:lineRule="auto"/>
            <w:jc w:val="both"/>
            <w:rPr>
              <w:rFonts w:ascii="Tahoma" w:eastAsia="Times New Roman" w:hAnsi="Tahoma" w:cs="Tahoma"/>
              <w:sz w:val="20"/>
              <w:szCs w:val="20"/>
            </w:rPr>
          </w:pPr>
        </w:p>
      </w:tc>
      <w:tc>
        <w:tcPr>
          <w:tcW w:w="2610" w:type="dxa"/>
          <w:tcBorders>
            <w:top w:val="nil"/>
            <w:bottom w:val="nil"/>
          </w:tcBorders>
          <w:vAlign w:val="bottom"/>
        </w:tcPr>
        <w:p w14:paraId="48FCBE20" w14:textId="250DBA53" w:rsidR="008B441B" w:rsidRPr="00C67AAE" w:rsidRDefault="008B441B" w:rsidP="008B441B">
          <w:pPr>
            <w:spacing w:before="120" w:after="0" w:line="240" w:lineRule="auto"/>
            <w:jc w:val="both"/>
            <w:rPr>
              <w:rFonts w:ascii="Tahoma" w:eastAsia="Times New Roman" w:hAnsi="Tahoma" w:cs="Tahoma"/>
              <w:b/>
              <w:sz w:val="28"/>
              <w:szCs w:val="28"/>
            </w:rPr>
          </w:pPr>
          <w:r>
            <w:rPr>
              <w:rFonts w:ascii="Tahoma" w:eastAsia="Times New Roman" w:hAnsi="Tahoma" w:cs="Tahoma"/>
              <w:b/>
              <w:bCs/>
              <w:sz w:val="28"/>
              <w:szCs w:val="28"/>
              <w:lang w:val="es"/>
            </w:rPr>
            <w:t>Trayectoria profesional:</w:t>
          </w:r>
          <w:r>
            <w:rPr>
              <w:rFonts w:ascii="Tahoma" w:eastAsia="Times New Roman" w:hAnsi="Tahoma" w:cs="Tahoma"/>
              <w:sz w:val="28"/>
              <w:szCs w:val="28"/>
              <w:lang w:val="es"/>
            </w:rPr>
            <w:t xml:space="preserve"> </w:t>
          </w:r>
        </w:p>
      </w:tc>
      <w:tc>
        <w:tcPr>
          <w:tcW w:w="4140" w:type="dxa"/>
          <w:vAlign w:val="bottom"/>
        </w:tcPr>
        <w:p w14:paraId="2316B56E" w14:textId="77777777" w:rsidR="008B441B" w:rsidRPr="00C67AAE" w:rsidRDefault="008B441B" w:rsidP="008B441B">
          <w:pPr>
            <w:spacing w:before="120" w:after="0" w:line="240" w:lineRule="auto"/>
            <w:jc w:val="both"/>
            <w:rPr>
              <w:rFonts w:ascii="Tahoma" w:eastAsia="Times New Roman" w:hAnsi="Tahoma" w:cs="Tahoma"/>
              <w:b/>
              <w:sz w:val="20"/>
              <w:szCs w:val="20"/>
            </w:rPr>
          </w:pPr>
        </w:p>
      </w:tc>
    </w:tr>
  </w:tbl>
  <w:p w14:paraId="194C050B" w14:textId="0B58463C" w:rsidR="000C65B7" w:rsidRPr="008B441B" w:rsidRDefault="004636F2" w:rsidP="008B441B">
    <w:pPr>
      <w:pStyle w:val="Header"/>
    </w:pPr>
    <w:r>
      <w:rPr>
        <w:rFonts w:ascii="Tahoma" w:hAnsi="Tahoma"/>
        <w:b/>
        <w:bCs/>
        <w:noProof/>
        <w:sz w:val="28"/>
        <w:szCs w:val="28"/>
        <w:lang w:val="es"/>
      </w:rPr>
      <w:drawing>
        <wp:anchor distT="0" distB="0" distL="114300" distR="114300" simplePos="0" relativeHeight="251659264" behindDoc="0" locked="0" layoutInCell="1" allowOverlap="1" wp14:anchorId="2A960BC4" wp14:editId="548B2724">
          <wp:simplePos x="0" y="0"/>
          <wp:positionH relativeFrom="margin">
            <wp:posOffset>8173085</wp:posOffset>
          </wp:positionH>
          <wp:positionV relativeFrom="paragraph">
            <wp:posOffset>-344805</wp:posOffset>
          </wp:positionV>
          <wp:extent cx="957580" cy="438785"/>
          <wp:effectExtent l="0" t="0" r="0" b="0"/>
          <wp:wrapNone/>
          <wp:docPr id="23" name="Pictur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Picture 2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7580" cy="4387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ahoma" w:hAnsi="Tahoma"/>
        <w:noProof/>
        <w:lang w:val="es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0940E1F6" wp14:editId="569BD515">
              <wp:simplePos x="0" y="0"/>
              <wp:positionH relativeFrom="page">
                <wp:posOffset>10424</wp:posOffset>
              </wp:positionH>
              <wp:positionV relativeFrom="page">
                <wp:posOffset>12065</wp:posOffset>
              </wp:positionV>
              <wp:extent cx="10039350" cy="95250"/>
              <wp:effectExtent l="0" t="0" r="0" b="0"/>
              <wp:wrapNone/>
              <wp:docPr id="10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0039350" cy="95250"/>
                      </a:xfrm>
                      <a:prstGeom prst="rect">
                        <a:avLst/>
                      </a:prstGeom>
                      <a:solidFill>
                        <a:srgbClr val="31AF4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1075F12" id="Rectangle 3" o:spid="_x0000_s1026" style="position:absolute;margin-left:.8pt;margin-top:.95pt;width:790.5pt;height:7.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" fillcolor="#31af49" stroked="f"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2452B"/>
    <w:multiLevelType w:val="hybridMultilevel"/>
    <w:tmpl w:val="8C44A2DA"/>
    <w:lvl w:ilvl="0" w:tplc="0C6E36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29EDF6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90ED47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1763F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7E4B7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12C6B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45231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5C2F5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41489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3131B00"/>
    <w:multiLevelType w:val="hybridMultilevel"/>
    <w:tmpl w:val="EB023E8E"/>
    <w:lvl w:ilvl="0" w:tplc="59E052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0304B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632F5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D0461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94CF6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B20DD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87804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02AF8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7D043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AD5488C"/>
    <w:multiLevelType w:val="hybridMultilevel"/>
    <w:tmpl w:val="3EB4F17C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 w15:restartNumberingAfterBreak="0">
    <w:nsid w:val="66A35494"/>
    <w:multiLevelType w:val="hybridMultilevel"/>
    <w:tmpl w:val="DF2C252E"/>
    <w:lvl w:ilvl="0" w:tplc="CFD6E1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7BCDD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EF878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4B8A8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9B246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88829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7BAE0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CF2B2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87A73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71854DA6"/>
    <w:multiLevelType w:val="hybridMultilevel"/>
    <w:tmpl w:val="5C64F2CC"/>
    <w:lvl w:ilvl="0" w:tplc="1DCA1B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64849F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E2C22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BCC9D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2045C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0AE5F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1BC1A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DE2A3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694D8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786803302">
    <w:abstractNumId w:val="2"/>
  </w:num>
  <w:num w:numId="2" w16cid:durableId="2097095958">
    <w:abstractNumId w:val="4"/>
  </w:num>
  <w:num w:numId="3" w16cid:durableId="1572495535">
    <w:abstractNumId w:val="1"/>
  </w:num>
  <w:num w:numId="4" w16cid:durableId="456607513">
    <w:abstractNumId w:val="0"/>
  </w:num>
  <w:num w:numId="5" w16cid:durableId="20526563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LUwtzA2MTUxMzIxNzRX0lEKTi0uzszPAykwNKwFAJ8lEE0tAAAA"/>
  </w:docVars>
  <w:rsids>
    <w:rsidRoot w:val="001C512B"/>
    <w:rsid w:val="00016B81"/>
    <w:rsid w:val="00027453"/>
    <w:rsid w:val="000724C7"/>
    <w:rsid w:val="0007375E"/>
    <w:rsid w:val="00082FF9"/>
    <w:rsid w:val="000A4154"/>
    <w:rsid w:val="000C65B7"/>
    <w:rsid w:val="001163EE"/>
    <w:rsid w:val="00121A12"/>
    <w:rsid w:val="001478A0"/>
    <w:rsid w:val="00154463"/>
    <w:rsid w:val="00166C23"/>
    <w:rsid w:val="00175155"/>
    <w:rsid w:val="001A00DE"/>
    <w:rsid w:val="001A63DE"/>
    <w:rsid w:val="001C512B"/>
    <w:rsid w:val="001D4AFB"/>
    <w:rsid w:val="001E77E9"/>
    <w:rsid w:val="00205DEF"/>
    <w:rsid w:val="002137BE"/>
    <w:rsid w:val="00221516"/>
    <w:rsid w:val="00222515"/>
    <w:rsid w:val="00223BD0"/>
    <w:rsid w:val="002301EB"/>
    <w:rsid w:val="00246428"/>
    <w:rsid w:val="00251518"/>
    <w:rsid w:val="00267B1B"/>
    <w:rsid w:val="002740FB"/>
    <w:rsid w:val="002923FA"/>
    <w:rsid w:val="002F533E"/>
    <w:rsid w:val="00304117"/>
    <w:rsid w:val="00342A81"/>
    <w:rsid w:val="003444FB"/>
    <w:rsid w:val="00344A59"/>
    <w:rsid w:val="00350FFE"/>
    <w:rsid w:val="003542F7"/>
    <w:rsid w:val="0036373D"/>
    <w:rsid w:val="00375C08"/>
    <w:rsid w:val="003A10F4"/>
    <w:rsid w:val="003A29C9"/>
    <w:rsid w:val="003A7AAE"/>
    <w:rsid w:val="003B164A"/>
    <w:rsid w:val="003B481A"/>
    <w:rsid w:val="003F6720"/>
    <w:rsid w:val="003F6800"/>
    <w:rsid w:val="00423023"/>
    <w:rsid w:val="0043052A"/>
    <w:rsid w:val="00437428"/>
    <w:rsid w:val="00455ACE"/>
    <w:rsid w:val="004636F2"/>
    <w:rsid w:val="00463962"/>
    <w:rsid w:val="00464D6F"/>
    <w:rsid w:val="00473751"/>
    <w:rsid w:val="004803F3"/>
    <w:rsid w:val="004851CD"/>
    <w:rsid w:val="00497815"/>
    <w:rsid w:val="004B5C08"/>
    <w:rsid w:val="004C73FA"/>
    <w:rsid w:val="004F1695"/>
    <w:rsid w:val="00535868"/>
    <w:rsid w:val="00541CB5"/>
    <w:rsid w:val="005E2EC5"/>
    <w:rsid w:val="00607AC4"/>
    <w:rsid w:val="00622279"/>
    <w:rsid w:val="006278C7"/>
    <w:rsid w:val="00627FDF"/>
    <w:rsid w:val="006479EB"/>
    <w:rsid w:val="00665559"/>
    <w:rsid w:val="00673F85"/>
    <w:rsid w:val="0067422C"/>
    <w:rsid w:val="00684D68"/>
    <w:rsid w:val="006C378F"/>
    <w:rsid w:val="006D6EC7"/>
    <w:rsid w:val="006F472E"/>
    <w:rsid w:val="006F5F83"/>
    <w:rsid w:val="007855CD"/>
    <w:rsid w:val="00793222"/>
    <w:rsid w:val="007A69C7"/>
    <w:rsid w:val="007B1BEE"/>
    <w:rsid w:val="007C744F"/>
    <w:rsid w:val="007E61A7"/>
    <w:rsid w:val="00800482"/>
    <w:rsid w:val="0081784C"/>
    <w:rsid w:val="00824F5A"/>
    <w:rsid w:val="008250B0"/>
    <w:rsid w:val="00840932"/>
    <w:rsid w:val="00860D8A"/>
    <w:rsid w:val="0086323D"/>
    <w:rsid w:val="0087707B"/>
    <w:rsid w:val="008B441B"/>
    <w:rsid w:val="008C2B1F"/>
    <w:rsid w:val="008F3326"/>
    <w:rsid w:val="00903D61"/>
    <w:rsid w:val="0092528D"/>
    <w:rsid w:val="00972029"/>
    <w:rsid w:val="0097740C"/>
    <w:rsid w:val="009E2966"/>
    <w:rsid w:val="009E3F06"/>
    <w:rsid w:val="00A11510"/>
    <w:rsid w:val="00A30B4E"/>
    <w:rsid w:val="00A73EDA"/>
    <w:rsid w:val="00A87322"/>
    <w:rsid w:val="00AD5C70"/>
    <w:rsid w:val="00AE66F2"/>
    <w:rsid w:val="00B32EF7"/>
    <w:rsid w:val="00B454D6"/>
    <w:rsid w:val="00BB06DE"/>
    <w:rsid w:val="00BB0BD1"/>
    <w:rsid w:val="00BB7BC4"/>
    <w:rsid w:val="00BD6B74"/>
    <w:rsid w:val="00C065C8"/>
    <w:rsid w:val="00C21BC8"/>
    <w:rsid w:val="00C30183"/>
    <w:rsid w:val="00C7502E"/>
    <w:rsid w:val="00C76FB7"/>
    <w:rsid w:val="00C77E24"/>
    <w:rsid w:val="00C85CC6"/>
    <w:rsid w:val="00CB4ED6"/>
    <w:rsid w:val="00CD2854"/>
    <w:rsid w:val="00CF5AB5"/>
    <w:rsid w:val="00D14ABD"/>
    <w:rsid w:val="00D408D4"/>
    <w:rsid w:val="00D466D3"/>
    <w:rsid w:val="00D4786E"/>
    <w:rsid w:val="00D71EE8"/>
    <w:rsid w:val="00D760DC"/>
    <w:rsid w:val="00D85DEA"/>
    <w:rsid w:val="00D9414C"/>
    <w:rsid w:val="00DA0AD4"/>
    <w:rsid w:val="00DB18A5"/>
    <w:rsid w:val="00DD224D"/>
    <w:rsid w:val="00DD5140"/>
    <w:rsid w:val="00DE4C5F"/>
    <w:rsid w:val="00DF2E88"/>
    <w:rsid w:val="00E25FCE"/>
    <w:rsid w:val="00E3017C"/>
    <w:rsid w:val="00E81C2A"/>
    <w:rsid w:val="00E96DD0"/>
    <w:rsid w:val="00EB0C1C"/>
    <w:rsid w:val="00EB25A1"/>
    <w:rsid w:val="00EB4EBF"/>
    <w:rsid w:val="00ED1326"/>
    <w:rsid w:val="00ED1936"/>
    <w:rsid w:val="00ED7169"/>
    <w:rsid w:val="00EE4456"/>
    <w:rsid w:val="00EE62B9"/>
    <w:rsid w:val="00EF1C7C"/>
    <w:rsid w:val="00F17BAC"/>
    <w:rsid w:val="00F17C78"/>
    <w:rsid w:val="00F53BBC"/>
    <w:rsid w:val="00F55BD4"/>
    <w:rsid w:val="00F5658F"/>
    <w:rsid w:val="00F8396E"/>
    <w:rsid w:val="00F85E72"/>
    <w:rsid w:val="00F87356"/>
    <w:rsid w:val="00F95D8F"/>
    <w:rsid w:val="00FA3A8C"/>
    <w:rsid w:val="00FC1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B710C5"/>
  <w15:chartTrackingRefBased/>
  <w15:docId w15:val="{9EBDCFDA-C255-4CD6-AA25-71C08BA0F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512B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C51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512B"/>
  </w:style>
  <w:style w:type="paragraph" w:styleId="ListParagraph">
    <w:name w:val="List Paragraph"/>
    <w:basedOn w:val="Normal"/>
    <w:uiPriority w:val="34"/>
    <w:qFormat/>
    <w:rsid w:val="001C512B"/>
    <w:pPr>
      <w:ind w:left="720"/>
      <w:contextualSpacing/>
    </w:pPr>
  </w:style>
  <w:style w:type="table" w:customStyle="1" w:styleId="myOwnTableStyle11">
    <w:name w:val="myOwnTableStyle11"/>
    <w:uiPriority w:val="99"/>
    <w:rsid w:val="001C512B"/>
    <w:pPr>
      <w:spacing w:after="200" w:line="276" w:lineRule="auto"/>
    </w:pPr>
    <w:rPr>
      <w:rFonts w:ascii="Arial" w:eastAsia="Arial" w:hAnsi="Arial" w:cs="Arial"/>
      <w:sz w:val="20"/>
      <w:szCs w:val="20"/>
    </w:rPr>
    <w:tblPr>
      <w:tblBorders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  <w:insideH w:val="single" w:sz="6" w:space="0" w:color="DDDDDD"/>
        <w:insideV w:val="single" w:sz="6" w:space="0" w:color="DDDDDD"/>
      </w:tblBorders>
      <w:tblCellMar>
        <w:top w:w="80" w:type="dxa"/>
        <w:left w:w="80" w:type="dxa"/>
        <w:bottom w:w="80" w:type="dxa"/>
        <w:right w:w="80" w:type="dxa"/>
      </w:tblCellMar>
    </w:tblPr>
    <w:tblStylePr w:type="firstRow">
      <w:tblPr/>
      <w:tcPr>
        <w:tcBorders>
          <w:bottom w:val="single" w:sz="18" w:space="0" w:color="0000FF"/>
        </w:tcBorders>
        <w:shd w:val="clear" w:color="auto" w:fill="DDDDDD"/>
      </w:tcPr>
    </w:tblStylePr>
  </w:style>
  <w:style w:type="paragraph" w:styleId="NormalWeb">
    <w:name w:val="Normal (Web)"/>
    <w:basedOn w:val="Normal"/>
    <w:uiPriority w:val="99"/>
    <w:unhideWhenUsed/>
    <w:rsid w:val="001C51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1C51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7932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9322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9322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32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9322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32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3222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2137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37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04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01041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8712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0260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81692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3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5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37945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03772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60687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4725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762532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235686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65335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53141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26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01947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47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116308-F333-44D7-B962-1612E8C221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Aazam Irilian</dc:creator>
  <cp:keywords/>
  <dc:description/>
  <cp:lastModifiedBy>Lily González</cp:lastModifiedBy>
  <cp:revision>2</cp:revision>
  <dcterms:created xsi:type="dcterms:W3CDTF">2025-10-28T13:43:00Z</dcterms:created>
  <dcterms:modified xsi:type="dcterms:W3CDTF">2025-10-28T13:43:00Z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6de3faa40671c4865e0661f35a8719ffb438b8f86a1ce1bec946915734234707</vt:lpwstr>
  </property>
</Properties>
</file>