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B7" w:rsidRDefault="003D60B7">
      <w:pPr>
        <w:pStyle w:val="BodyText"/>
        <w:rPr>
          <w:rFonts w:ascii="Times New Roman"/>
          <w:sz w:val="32"/>
        </w:rPr>
      </w:pPr>
    </w:p>
    <w:p w:rsidR="003D60B7" w:rsidRDefault="003D60B7">
      <w:pPr>
        <w:pStyle w:val="BodyText"/>
        <w:rPr>
          <w:rFonts w:ascii="Times New Roman"/>
          <w:sz w:val="32"/>
        </w:rPr>
      </w:pPr>
    </w:p>
    <w:p w:rsidR="003D60B7" w:rsidRDefault="003D60B7">
      <w:pPr>
        <w:pStyle w:val="BodyText"/>
        <w:rPr>
          <w:rFonts w:ascii="Times New Roman"/>
          <w:sz w:val="32"/>
        </w:rPr>
      </w:pPr>
    </w:p>
    <w:p w:rsidR="003D60B7" w:rsidRDefault="003D60B7">
      <w:pPr>
        <w:pStyle w:val="BodyText"/>
        <w:rPr>
          <w:rFonts w:ascii="Times New Roman"/>
          <w:sz w:val="32"/>
        </w:rPr>
      </w:pPr>
    </w:p>
    <w:p w:rsidR="003D60B7" w:rsidRDefault="003D60B7">
      <w:pPr>
        <w:pStyle w:val="BodyText"/>
        <w:rPr>
          <w:rFonts w:ascii="Times New Roman"/>
          <w:sz w:val="32"/>
        </w:rPr>
      </w:pPr>
    </w:p>
    <w:p w:rsidR="003D60B7" w:rsidRDefault="003D60B7">
      <w:pPr>
        <w:pStyle w:val="BodyText"/>
        <w:rPr>
          <w:rFonts w:ascii="Times New Roman"/>
          <w:sz w:val="32"/>
        </w:rPr>
      </w:pPr>
    </w:p>
    <w:p w:rsidR="003D60B7" w:rsidRDefault="003D60B7">
      <w:pPr>
        <w:pStyle w:val="BodyText"/>
        <w:rPr>
          <w:rFonts w:ascii="Times New Roman"/>
          <w:sz w:val="32"/>
        </w:rPr>
      </w:pPr>
    </w:p>
    <w:p w:rsidR="003D60B7" w:rsidRDefault="003D60B7">
      <w:pPr>
        <w:pStyle w:val="BodyText"/>
        <w:rPr>
          <w:rFonts w:ascii="Times New Roman"/>
          <w:sz w:val="32"/>
        </w:rPr>
      </w:pPr>
    </w:p>
    <w:p w:rsidR="003D60B7" w:rsidRDefault="003D60B7">
      <w:pPr>
        <w:pStyle w:val="BodyText"/>
        <w:rPr>
          <w:rFonts w:ascii="Times New Roman"/>
          <w:sz w:val="32"/>
        </w:rPr>
      </w:pPr>
    </w:p>
    <w:p w:rsidR="003D60B7" w:rsidRDefault="003D60B7">
      <w:pPr>
        <w:pStyle w:val="BodyText"/>
        <w:spacing w:before="118"/>
        <w:rPr>
          <w:rFonts w:ascii="Times New Roman"/>
          <w:sz w:val="32"/>
        </w:rPr>
      </w:pPr>
    </w:p>
    <w:p w:rsidR="003D60B7" w:rsidRPr="00E925FE" w:rsidRDefault="00E925FE">
      <w:pPr>
        <w:pStyle w:val="Heading1"/>
        <w:rPr>
          <w:lang w:val="es-ES"/>
        </w:rPr>
      </w:pPr>
      <w:r>
        <w:rPr>
          <w:noProof/>
          <w:lang w:val="es-ES" w:eastAsia="zh-CN"/>
        </w:rPr>
        <mc:AlternateContent>
          <mc:Choice Requires="wps">
            <w:drawing>
              <wp:anchor distT="0" distB="0" distL="0" distR="0" simplePos="0" relativeHeight="15729152" behindDoc="0" locked="0" layoutInCell="1" allowOverlap="1">
                <wp:simplePos x="0" y="0"/>
                <wp:positionH relativeFrom="page">
                  <wp:posOffset>0</wp:posOffset>
                </wp:positionH>
                <wp:positionV relativeFrom="paragraph">
                  <wp:posOffset>-2415976</wp:posOffset>
                </wp:positionV>
                <wp:extent cx="7772400" cy="204533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2045335"/>
                          <a:chOff x="0" y="0"/>
                          <a:chExt cx="7772400" cy="2045335"/>
                        </a:xfrm>
                      </wpg:grpSpPr>
                      <pic:pic xmlns:pic="http://schemas.openxmlformats.org/drawingml/2006/picture">
                        <pic:nvPicPr>
                          <pic:cNvPr id="2" name="Image 2"/>
                          <pic:cNvPicPr/>
                        </pic:nvPicPr>
                        <pic:blipFill>
                          <a:blip r:embed="rId6" cstate="print"/>
                          <a:stretch>
                            <a:fillRect/>
                          </a:stretch>
                        </pic:blipFill>
                        <pic:spPr>
                          <a:xfrm>
                            <a:off x="0" y="0"/>
                            <a:ext cx="7772400" cy="2045010"/>
                          </a:xfrm>
                          <a:prstGeom prst="rect">
                            <a:avLst/>
                          </a:prstGeom>
                        </pic:spPr>
                      </pic:pic>
                      <wps:wsp>
                        <wps:cNvPr id="3" name="Textbox 3"/>
                        <wps:cNvSpPr txBox="1"/>
                        <wps:spPr>
                          <a:xfrm>
                            <a:off x="0" y="0"/>
                            <a:ext cx="7772400" cy="2045335"/>
                          </a:xfrm>
                          <a:prstGeom prst="rect">
                            <a:avLst/>
                          </a:prstGeom>
                        </wps:spPr>
                        <wps:txbx>
                          <w:txbxContent>
                            <w:p w:rsidR="003D60B7" w:rsidRPr="00E925FE" w:rsidRDefault="00E925FE">
                              <w:pPr>
                                <w:spacing w:before="556"/>
                                <w:ind w:left="3151"/>
                                <w:rPr>
                                  <w:rFonts w:ascii="Trebuchet MS"/>
                                  <w:sz w:val="84"/>
                                  <w:lang w:val="es-ES"/>
                                </w:rPr>
                              </w:pPr>
                              <w:r>
                                <w:rPr>
                                  <w:rFonts w:ascii="Trebuchet MS" w:hAnsi="Trebuchet MS"/>
                                  <w:color w:val="FFFFFF"/>
                                  <w:sz w:val="84"/>
                                  <w:lang w:val="es"/>
                                </w:rPr>
                                <w:t>Planes de clase de WBL</w:t>
                              </w:r>
                            </w:p>
                            <w:p w:rsidR="003D60B7" w:rsidRPr="00E925FE" w:rsidRDefault="00E925FE">
                              <w:pPr>
                                <w:spacing w:before="22"/>
                                <w:ind w:left="3151"/>
                                <w:rPr>
                                  <w:b/>
                                  <w:sz w:val="32"/>
                                  <w:lang w:val="es-ES"/>
                                </w:rPr>
                              </w:pPr>
                              <w:r>
                                <w:rPr>
                                  <w:b/>
                                  <w:bCs/>
                                  <w:color w:val="009CC6"/>
                                  <w:sz w:val="32"/>
                                  <w:lang w:val="es"/>
                                </w:rPr>
                                <w:t>Guía de integración e implementación</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190.234375pt;width:612pt;height:161.050pt;mso-position-horizontal-relative:page;mso-position-vertical-relative:paragraph;z-index:15729152" id="docshapegroup1" coordorigin="0,-3805" coordsize="12240,3221">
                <v:shape style="position:absolute;left:0;top:-3805;width:12240;height:3221" type="#_x0000_t75" id="docshape2" stroked="false">
                  <v:imagedata r:id="rId7" o:title=""/>
                </v:shape>
                <v:shapetype id="_x0000_t202" o:spt="202" coordsize="21600,21600" path="m,l,21600r21600,l21600,xe">
                  <v:stroke joinstyle="miter"/>
                  <v:path gradientshapeok="t" o:connecttype="rect"/>
                </v:shapetype>
                <v:shape style="position:absolute;left:0;top:-3805;width:12240;height:3221" type="#_x0000_t202" id="docshape3" filled="false" stroked="false">
                  <v:textbox inset="0,0,0,0">
                    <w:txbxContent>
                      <w:p>
                        <w:pPr>
                          <w:spacing w:before="556"/>
                          <w:ind w:left="3151" w:right="0" w:firstLine="0"/>
                          <w:jc w:val="left"/>
                          <w:rPr>
                            <w:rFonts w:ascii="Trebuchet MS"/>
                            <w:sz w:val="84"/>
                          </w:rPr>
                          <w:bidi w:val="0"/>
                        </w:pPr>
                        <w:r>
                          <w:rPr>
                            <w:rFonts w:ascii="Trebuchet MS" w:hAnsi="Trebuchet MS"/>
                            <w:color w:val="FFFFFF"/>
                            <w:sz w:val="84"/>
                            <w:lang w:val="es"/>
                            <w:b w:val="0"/>
                            <w:bCs w:val="0"/>
                            <w:i w:val="0"/>
                            <w:iCs w:val="0"/>
                            <w:u w:val="none"/>
                            <w:vertAlign w:val="baseline"/>
                            <w:rtl w:val="0"/>
                          </w:rPr>
                          <w:t xml:space="preserve">Planes de clase de WBL</w:t>
                        </w:r>
                      </w:p>
                      <w:p>
                        <w:pPr>
                          <w:spacing w:before="22"/>
                          <w:ind w:left="3151" w:right="0" w:firstLine="0"/>
                          <w:jc w:val="left"/>
                          <w:rPr>
                            <w:b/>
                            <w:sz w:val="32"/>
                          </w:rPr>
                          <w:bidi w:val="0"/>
                        </w:pPr>
                        <w:r>
                          <w:rPr>
                            <w:color w:val="009CC6"/>
                            <w:sz w:val="32"/>
                            <w:lang w:val="es"/>
                            <w:b w:val="1"/>
                            <w:bCs w:val="1"/>
                            <w:i w:val="0"/>
                            <w:iCs w:val="0"/>
                            <w:u w:val="none"/>
                            <w:vertAlign w:val="baseline"/>
                            <w:rtl w:val="0"/>
                          </w:rPr>
                          <w:t xml:space="preserve">Guía de integración e implementación</w:t>
                        </w:r>
                      </w:p>
                    </w:txbxContent>
                  </v:textbox>
                  <w10:wrap type="none"/>
                </v:shape>
                <w10:wrap type="none"/>
              </v:group>
            </w:pict>
          </mc:Fallback>
        </mc:AlternateContent>
      </w:r>
      <w:r>
        <w:rPr>
          <w:color w:val="866AB8"/>
          <w:lang w:val="es"/>
        </w:rPr>
        <w:t>Integración del aprendizaje basado en el trabajo: Planes de clases para su aula</w:t>
      </w:r>
    </w:p>
    <w:p w:rsidR="003D60B7" w:rsidRPr="00E925FE" w:rsidRDefault="00E925FE">
      <w:pPr>
        <w:pStyle w:val="BodyText"/>
        <w:spacing w:before="11" w:line="254" w:lineRule="auto"/>
        <w:ind w:left="1439" w:right="1560"/>
        <w:rPr>
          <w:lang w:val="es-ES"/>
        </w:rPr>
      </w:pPr>
      <w:r>
        <w:rPr>
          <w:lang w:val="es"/>
        </w:rPr>
        <w:t>Conectar eventos de aprendizaje basado en el trabajo a los objetivos del aula permite que los estudiantes asocien intencionalmente el contenido de la actividad escolar con aspiraciones profesionales. Brindar aprendizaje basado en el trabajo como parte de l</w:t>
      </w:r>
      <w:r>
        <w:rPr>
          <w:lang w:val="es"/>
        </w:rPr>
        <w:t>as prácticas en aula habituales de un estudiante también permite más interacción con socios y ayuda a los estudiantes a desarrollar habilidades constantemente. Los planes de clase de aprendizaje basado en el trabajo ayudan a los docentes a explorar ejercic</w:t>
      </w:r>
      <w:r>
        <w:rPr>
          <w:lang w:val="es"/>
        </w:rPr>
        <w:t>ios de integración y crear experiencias mejor adaptadas para los estudiantes y socios.</w:t>
      </w:r>
    </w:p>
    <w:p w:rsidR="003D60B7" w:rsidRPr="00E925FE" w:rsidRDefault="003D60B7">
      <w:pPr>
        <w:pStyle w:val="BodyText"/>
        <w:spacing w:before="12"/>
        <w:rPr>
          <w:lang w:val="es-ES"/>
        </w:rPr>
      </w:pPr>
    </w:p>
    <w:p w:rsidR="003D60B7" w:rsidRPr="00E925FE" w:rsidRDefault="00E925FE">
      <w:pPr>
        <w:pStyle w:val="Heading1"/>
        <w:spacing w:before="1"/>
        <w:rPr>
          <w:lang w:val="es-ES"/>
        </w:rPr>
      </w:pPr>
      <w:r>
        <w:rPr>
          <w:color w:val="866AB8"/>
          <w:lang w:val="es"/>
        </w:rPr>
        <w:t>Implementación guiada</w:t>
      </w:r>
    </w:p>
    <w:p w:rsidR="003D60B7" w:rsidRPr="00E925FE" w:rsidRDefault="00E925FE">
      <w:pPr>
        <w:pStyle w:val="BodyText"/>
        <w:spacing w:before="13" w:line="254" w:lineRule="auto"/>
        <w:ind w:left="1440" w:right="1560"/>
        <w:rPr>
          <w:lang w:val="es-ES"/>
        </w:rPr>
      </w:pPr>
      <w:r>
        <w:rPr>
          <w:lang w:val="es"/>
        </w:rPr>
        <w:t xml:space="preserve">Cada plan de clase está diseñado para ayudar a los docentes a pensar sobre la implementación intencional de las actividades de aprendizaje basado </w:t>
      </w:r>
      <w:r>
        <w:rPr>
          <w:lang w:val="es"/>
        </w:rPr>
        <w:t>en el trabajo.</w:t>
      </w:r>
    </w:p>
    <w:p w:rsidR="003D60B7" w:rsidRPr="00E925FE" w:rsidRDefault="003D60B7">
      <w:pPr>
        <w:pStyle w:val="BodyText"/>
        <w:spacing w:before="14"/>
        <w:rPr>
          <w:lang w:val="es-ES"/>
        </w:rPr>
      </w:pPr>
    </w:p>
    <w:p w:rsidR="003D60B7" w:rsidRPr="00E925FE" w:rsidRDefault="00E925FE">
      <w:pPr>
        <w:pStyle w:val="BodyText"/>
        <w:ind w:left="1439"/>
        <w:rPr>
          <w:lang w:val="es-ES"/>
        </w:rPr>
      </w:pPr>
      <w:r>
        <w:rPr>
          <w:lang w:val="es"/>
        </w:rPr>
        <w:t>Algunos elementos del plan de clase son:</w:t>
      </w:r>
    </w:p>
    <w:p w:rsidR="003D60B7" w:rsidRPr="00E925FE" w:rsidRDefault="00E925FE">
      <w:pPr>
        <w:pStyle w:val="ListParagraph"/>
        <w:numPr>
          <w:ilvl w:val="0"/>
          <w:numId w:val="1"/>
        </w:numPr>
        <w:tabs>
          <w:tab w:val="left" w:pos="2159"/>
        </w:tabs>
        <w:spacing w:before="14" w:line="252" w:lineRule="auto"/>
        <w:ind w:right="1587"/>
        <w:rPr>
          <w:lang w:val="es-ES"/>
        </w:rPr>
      </w:pPr>
      <w:r>
        <w:rPr>
          <w:lang w:val="es"/>
        </w:rPr>
        <w:t>Introducción al evento de WBL: Esta sección prepara el escenario para la implementación de la clase. Esta sección aparece al comienzo de cada plan de clase, proporcionando una descripción general de la clase, los objetivos de aprendizaje del estudiante y u</w:t>
      </w:r>
      <w:r>
        <w:rPr>
          <w:lang w:val="es"/>
        </w:rPr>
        <w:t>n vistazo a las aspiraciones, habilidades y conexiones.</w:t>
      </w:r>
    </w:p>
    <w:p w:rsidR="003D60B7" w:rsidRPr="00E925FE" w:rsidRDefault="00E925FE">
      <w:pPr>
        <w:pStyle w:val="ListParagraph"/>
        <w:numPr>
          <w:ilvl w:val="0"/>
          <w:numId w:val="1"/>
        </w:numPr>
        <w:tabs>
          <w:tab w:val="left" w:pos="2160"/>
        </w:tabs>
        <w:spacing w:before="5" w:line="252" w:lineRule="auto"/>
        <w:ind w:left="2160" w:right="1597"/>
        <w:rPr>
          <w:lang w:val="es-ES"/>
        </w:rPr>
      </w:pPr>
      <w:r>
        <w:rPr>
          <w:lang w:val="es"/>
        </w:rPr>
        <w:t>Preparación del docente, estudiante, socio: Sabemos que la preparación intencional conduce a un aprendizaje basado en el trabajo impactante. Cada plan de clase orienta a las partes interesadas a travé</w:t>
      </w:r>
      <w:r>
        <w:rPr>
          <w:lang w:val="es"/>
        </w:rPr>
        <w:t>s de los preparativos del evento para garantizar que estén listos.</w:t>
      </w:r>
    </w:p>
    <w:p w:rsidR="003D60B7" w:rsidRPr="00E925FE" w:rsidRDefault="00E925FE">
      <w:pPr>
        <w:pStyle w:val="ListParagraph"/>
        <w:numPr>
          <w:ilvl w:val="0"/>
          <w:numId w:val="1"/>
        </w:numPr>
        <w:tabs>
          <w:tab w:val="left" w:pos="2160"/>
        </w:tabs>
        <w:spacing w:line="252" w:lineRule="auto"/>
        <w:ind w:left="2160" w:right="1527"/>
        <w:rPr>
          <w:lang w:val="es-ES"/>
        </w:rPr>
      </w:pPr>
      <w:r>
        <w:rPr>
          <w:lang w:val="es"/>
        </w:rPr>
        <w:t>Implementación del aprendizaje basado en el trabajo: Esta sección proporciona orientación sobre las actividades de implementación asociadas con los preparativos y el evento de aprendizaje b</w:t>
      </w:r>
      <w:r>
        <w:rPr>
          <w:lang w:val="es"/>
        </w:rPr>
        <w:t>asado en el trabajo. Los docentes encontrarán instrucciones paso a paso, enlaces a recursos y actividades de reflexión en la sección de implementación.</w:t>
      </w:r>
    </w:p>
    <w:p w:rsidR="003D60B7" w:rsidRPr="00E925FE" w:rsidRDefault="00E925FE">
      <w:pPr>
        <w:pStyle w:val="ListParagraph"/>
        <w:numPr>
          <w:ilvl w:val="0"/>
          <w:numId w:val="1"/>
        </w:numPr>
        <w:tabs>
          <w:tab w:val="left" w:pos="2160"/>
        </w:tabs>
        <w:spacing w:before="6" w:line="252" w:lineRule="auto"/>
        <w:ind w:left="2160"/>
        <w:rPr>
          <w:lang w:val="es-ES"/>
        </w:rPr>
      </w:pPr>
      <w:r>
        <w:rPr>
          <w:lang w:val="es"/>
        </w:rPr>
        <w:t>Implementación flexible: Los planes de clase proporcionan una plantilla que puede ajustarse para adaptar</w:t>
      </w:r>
      <w:r>
        <w:rPr>
          <w:lang w:val="es"/>
        </w:rPr>
        <w:t>se a las necesidades específicas de su socio, estudiantes y programa. Revise cada plan de clase a medida que esté planificando el evento de aprendizaje basado en el trabajo para formar mejor el equipo de implementación y dar tiempo suficiente para las acti</w:t>
      </w:r>
      <w:r>
        <w:rPr>
          <w:lang w:val="es"/>
        </w:rPr>
        <w:t>vidades. Todos los planes de clase están diseñados para adaptarse con cualquier curso y no son específicos a una industria en particular.</w:t>
      </w:r>
    </w:p>
    <w:p w:rsidR="003D60B7" w:rsidRPr="00E925FE" w:rsidRDefault="003D60B7">
      <w:pPr>
        <w:pStyle w:val="BodyText"/>
        <w:rPr>
          <w:sz w:val="20"/>
          <w:lang w:val="es-ES"/>
        </w:rPr>
      </w:pPr>
    </w:p>
    <w:p w:rsidR="003D60B7" w:rsidRPr="00E925FE" w:rsidRDefault="003D60B7">
      <w:pPr>
        <w:pStyle w:val="BodyText"/>
        <w:rPr>
          <w:sz w:val="20"/>
          <w:lang w:val="es-ES"/>
        </w:rPr>
      </w:pPr>
    </w:p>
    <w:p w:rsidR="003D60B7" w:rsidRPr="00E925FE" w:rsidRDefault="003D60B7">
      <w:pPr>
        <w:pStyle w:val="BodyText"/>
        <w:rPr>
          <w:sz w:val="20"/>
          <w:lang w:val="es-ES"/>
        </w:rPr>
      </w:pPr>
    </w:p>
    <w:p w:rsidR="003D60B7" w:rsidRPr="00E925FE" w:rsidRDefault="00E925FE" w:rsidP="00E925FE">
      <w:pPr>
        <w:pStyle w:val="BodyText"/>
        <w:spacing w:before="179"/>
        <w:rPr>
          <w:sz w:val="20"/>
          <w:lang w:val="es-ES"/>
        </w:rPr>
        <w:sectPr w:rsidR="003D60B7" w:rsidRPr="00E925FE">
          <w:type w:val="continuous"/>
          <w:pgSz w:w="12240" w:h="15840"/>
          <w:pgMar w:top="20" w:right="0" w:bottom="0" w:left="0" w:header="720" w:footer="720" w:gutter="0"/>
          <w:cols w:space="720"/>
        </w:sectPr>
      </w:pPr>
      <w:r>
        <w:rPr>
          <w:noProof/>
          <w:lang w:val="es-ES" w:eastAsia="zh-CN"/>
        </w:rPr>
        <mc:AlternateContent>
          <mc:Choice Requires="wps">
            <w:drawing>
              <wp:anchor distT="0" distB="0" distL="0" distR="0" simplePos="0" relativeHeight="487587840" behindDoc="1" locked="0" layoutInCell="1" allowOverlap="1" wp14:anchorId="56ADEFF0" wp14:editId="69DAA2E6">
                <wp:simplePos x="0" y="0"/>
                <wp:positionH relativeFrom="page">
                  <wp:posOffset>336606</wp:posOffset>
                </wp:positionH>
                <wp:positionV relativeFrom="paragraph">
                  <wp:posOffset>282197</wp:posOffset>
                </wp:positionV>
                <wp:extent cx="7049134" cy="82105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9134" cy="821055"/>
                          <a:chOff x="0" y="0"/>
                          <a:chExt cx="7049134" cy="821055"/>
                        </a:xfrm>
                      </wpg:grpSpPr>
                      <pic:pic xmlns:pic="http://schemas.openxmlformats.org/drawingml/2006/picture">
                        <pic:nvPicPr>
                          <pic:cNvPr id="5" name="Image 5"/>
                          <pic:cNvPicPr/>
                        </pic:nvPicPr>
                        <pic:blipFill>
                          <a:blip r:embed="rId8" cstate="print"/>
                          <a:stretch>
                            <a:fillRect/>
                          </a:stretch>
                        </pic:blipFill>
                        <pic:spPr>
                          <a:xfrm>
                            <a:off x="0" y="0"/>
                            <a:ext cx="7048689" cy="820849"/>
                          </a:xfrm>
                          <a:prstGeom prst="rect">
                            <a:avLst/>
                          </a:prstGeom>
                        </pic:spPr>
                      </pic:pic>
                      <wps:wsp>
                        <wps:cNvPr id="6" name="Textbox 6"/>
                        <wps:cNvSpPr txBox="1"/>
                        <wps:spPr>
                          <a:xfrm>
                            <a:off x="0" y="0"/>
                            <a:ext cx="7049134" cy="821055"/>
                          </a:xfrm>
                          <a:prstGeom prst="rect">
                            <a:avLst/>
                          </a:prstGeom>
                        </wps:spPr>
                        <wps:txbx>
                          <w:txbxContent>
                            <w:p w:rsidR="003D60B7" w:rsidRDefault="003D60B7">
                              <w:pPr>
                                <w:rPr>
                                  <w:sz w:val="25"/>
                                </w:rPr>
                              </w:pPr>
                            </w:p>
                            <w:p w:rsidR="003D60B7" w:rsidRDefault="003D60B7">
                              <w:pPr>
                                <w:rPr>
                                  <w:sz w:val="25"/>
                                </w:rPr>
                              </w:pPr>
                            </w:p>
                            <w:p w:rsidR="003D60B7" w:rsidRDefault="003D60B7">
                              <w:pPr>
                                <w:spacing w:before="10"/>
                                <w:rPr>
                                  <w:sz w:val="25"/>
                                </w:rPr>
                              </w:pPr>
                            </w:p>
                            <w:p w:rsidR="003D60B7" w:rsidRDefault="00E925FE">
                              <w:pPr>
                                <w:ind w:left="1181"/>
                                <w:rPr>
                                  <w:rFonts w:ascii="Trebuchet MS"/>
                                  <w:i/>
                                  <w:sz w:val="25"/>
                                </w:rPr>
                              </w:pPr>
                              <w:r>
                                <w:rPr>
                                  <w:rFonts w:ascii="Trebuchet MS" w:hAnsi="Trebuchet MS"/>
                                  <w:i/>
                                  <w:iCs/>
                                  <w:color w:val="BCC7D5"/>
                                  <w:sz w:val="25"/>
                                  <w:lang w:val="es"/>
                                </w:rPr>
                                <w:t>Derecho de autor NAF 2023</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6.504425pt;margin-top:22.220312pt;width:555.050pt;height:64.6500pt;mso-position-horizontal-relative:page;mso-position-vertical-relative:paragraph;z-index:-15728640;mso-wrap-distance-left:0;mso-wrap-distance-right:0" id="docshapegroup4" coordorigin="530,444" coordsize="11101,1293">
                <v:shape style="position:absolute;left:530;top:444;width:11101;height:1293" type="#_x0000_t75" id="docshape5" stroked="false">
                  <v:imagedata r:id="rId9" o:title=""/>
                </v:shape>
                <v:shape style="position:absolute;left:530;top:444;width:11101;height:1293" type="#_x0000_t202" id="docshape6" filled="false" stroked="false">
                  <v:textbox inset="0,0,0,0">
                    <w:txbxContent>
                      <w:p>
                        <w:pPr>
                          <w:spacing w:line="240" w:lineRule="auto" w:before="0"/>
                          <w:rPr>
                            <w:sz w:val="25"/>
                          </w:rPr>
                        </w:pPr>
                      </w:p>
                      <w:p>
                        <w:pPr>
                          <w:spacing w:line="240" w:lineRule="auto" w:before="0"/>
                          <w:rPr>
                            <w:sz w:val="25"/>
                          </w:rPr>
                        </w:pPr>
                      </w:p>
                      <w:p>
                        <w:pPr>
                          <w:spacing w:line="240" w:lineRule="auto" w:before="10"/>
                          <w:rPr>
                            <w:sz w:val="25"/>
                          </w:rPr>
                        </w:pPr>
                      </w:p>
                      <w:p>
                        <w:pPr>
                          <w:spacing w:before="0"/>
                          <w:ind w:left="1181" w:right="0" w:firstLine="0"/>
                          <w:jc w:val="left"/>
                          <w:rPr>
                            <w:rFonts w:ascii="Trebuchet MS"/>
                            <w:i/>
                            <w:sz w:val="25"/>
                          </w:rPr>
                          <w:bidi w:val="0"/>
                        </w:pPr>
                        <w:r>
                          <w:rPr>
                            <w:rFonts w:ascii="Trebuchet MS" w:hAnsi="Trebuchet MS"/>
                            <w:color w:val="BCC7D5"/>
                            <w:sz w:val="25"/>
                            <w:lang w:val="es"/>
                            <w:b w:val="0"/>
                            <w:bCs w:val="0"/>
                            <w:i w:val="1"/>
                            <w:iCs w:val="1"/>
                            <w:u w:val="none"/>
                            <w:vertAlign w:val="baseline"/>
                            <w:rtl w:val="0"/>
                          </w:rPr>
                          <w:t xml:space="preserve">Derecho de autor NAF 2023</w:t>
                        </w:r>
                      </w:p>
                    </w:txbxContent>
                  </v:textbox>
                  <w10:wrap type="none"/>
                </v:shape>
                <w10:wrap type="topAndBottom"/>
              </v:group>
            </w:pict>
          </mc:Fallback>
        </mc:AlternateContent>
      </w:r>
    </w:p>
    <w:p w:rsidR="003D60B7" w:rsidRDefault="00E925FE">
      <w:pPr>
        <w:pStyle w:val="BodyText"/>
        <w:ind w:left="241"/>
        <w:rPr>
          <w:sz w:val="20"/>
        </w:rPr>
      </w:pPr>
      <w:r>
        <w:rPr>
          <w:noProof/>
          <w:sz w:val="20"/>
          <w:lang w:val="es-ES" w:eastAsia="zh-CN"/>
        </w:rPr>
        <w:lastRenderedPageBreak/>
        <mc:AlternateContent>
          <mc:Choice Requires="wps">
            <w:drawing>
              <wp:inline distT="0" distB="0" distL="0" distR="0">
                <wp:extent cx="7518400" cy="1175385"/>
                <wp:effectExtent l="0" t="0" r="0" b="5715"/>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18400" cy="1175385"/>
                          <a:chOff x="0" y="0"/>
                          <a:chExt cx="7518400" cy="1175385"/>
                        </a:xfrm>
                      </wpg:grpSpPr>
                      <pic:pic xmlns:pic="http://schemas.openxmlformats.org/drawingml/2006/picture">
                        <pic:nvPicPr>
                          <pic:cNvPr id="8" name="Image 8"/>
                          <pic:cNvPicPr/>
                        </pic:nvPicPr>
                        <pic:blipFill>
                          <a:blip r:embed="rId10" cstate="print"/>
                          <a:stretch>
                            <a:fillRect/>
                          </a:stretch>
                        </pic:blipFill>
                        <pic:spPr>
                          <a:xfrm>
                            <a:off x="0" y="0"/>
                            <a:ext cx="7518219" cy="1174777"/>
                          </a:xfrm>
                          <a:prstGeom prst="rect">
                            <a:avLst/>
                          </a:prstGeom>
                        </pic:spPr>
                      </pic:pic>
                      <wps:wsp>
                        <wps:cNvPr id="9" name="Textbox 9"/>
                        <wps:cNvSpPr txBox="1"/>
                        <wps:spPr>
                          <a:xfrm>
                            <a:off x="0" y="0"/>
                            <a:ext cx="7518400" cy="1175385"/>
                          </a:xfrm>
                          <a:prstGeom prst="rect">
                            <a:avLst/>
                          </a:prstGeom>
                        </wps:spPr>
                        <wps:txbx>
                          <w:txbxContent>
                            <w:p w:rsidR="003D60B7" w:rsidRPr="00E925FE" w:rsidRDefault="00E925FE">
                              <w:pPr>
                                <w:spacing w:before="309"/>
                                <w:ind w:left="2910"/>
                                <w:rPr>
                                  <w:rFonts w:ascii="Trebuchet MS"/>
                                  <w:sz w:val="72"/>
                                  <w:lang w:val="es-ES"/>
                                </w:rPr>
                              </w:pPr>
                              <w:r>
                                <w:rPr>
                                  <w:rFonts w:ascii="Trebuchet MS" w:hAnsi="Trebuchet MS"/>
                                  <w:color w:val="866AB8"/>
                                  <w:sz w:val="72"/>
                                  <w:lang w:val="es"/>
                                </w:rPr>
                                <w:t>Planes de clase ODWBL</w:t>
                              </w:r>
                            </w:p>
                            <w:p w:rsidR="003D60B7" w:rsidRPr="00E925FE" w:rsidRDefault="00E925FE">
                              <w:pPr>
                                <w:spacing w:before="15"/>
                                <w:ind w:left="2910"/>
                                <w:rPr>
                                  <w:b/>
                                  <w:sz w:val="24"/>
                                  <w:lang w:val="es-ES"/>
                                </w:rPr>
                              </w:pPr>
                              <w:r>
                                <w:rPr>
                                  <w:b/>
                                  <w:bCs/>
                                  <w:color w:val="009CC6"/>
                                  <w:sz w:val="24"/>
                                  <w:lang w:val="es"/>
                                </w:rPr>
                                <w:t>Guía de integración e implementación</w:t>
                              </w:r>
                            </w:p>
                          </w:txbxContent>
                        </wps:txbx>
                        <wps:bodyPr wrap="square" lIns="0" tIns="0" rIns="0" bIns="0" rtlCol="0">
                          <a:noAutofit/>
                        </wps:bodyPr>
                      </wps:wsp>
                    </wpg:wgp>
                  </a:graphicData>
                </a:graphic>
              </wp:inline>
            </w:drawing>
          </mc:Choice>
          <mc:Fallback xmlns:pic="http://schemas.openxmlformats.org/drawingml/2006/picture" xmlns:a="http://schemas.openxmlformats.org/drawingml/2006/main" xmlns:ve="http://schemas.openxmlformats.org/markup-compatibility/2006">
            <w:pict>
              <v:group style="width:592pt;height:92.55pt;mso-position-horizontal-relative:char;mso-position-vertical-relative:line" id="docshapegroup7" coordorigin="0,0" coordsize="11840,1851">
                <v:shape style="position:absolute;left:0;top:0;width:11840;height:1851" type="#_x0000_t75" id="docshape8" stroked="false">
                  <v:imagedata r:id="rId11" o:title=""/>
                </v:shape>
                <v:shape style="position:absolute;left:0;top:0;width:11840;height:1851" type="#_x0000_t202" id="docshape9" filled="false" stroked="false">
                  <v:textbox inset="0,0,0,0">
                    <w:txbxContent>
                      <w:p>
                        <w:pPr>
                          <w:spacing w:before="309"/>
                          <w:ind w:left="2910" w:right="0" w:firstLine="0"/>
                          <w:jc w:val="left"/>
                          <w:rPr>
                            <w:rFonts w:ascii="Trebuchet MS"/>
                            <w:sz w:val="72"/>
                          </w:rPr>
                          <w:bidi w:val="0"/>
                        </w:pPr>
                        <w:r>
                          <w:rPr>
                            <w:rFonts w:ascii="Trebuchet MS" w:hAnsi="Trebuchet MS"/>
                            <w:color w:val="866AB8"/>
                            <w:sz w:val="72"/>
                            <w:lang w:val="es"/>
                            <w:b w:val="0"/>
                            <w:bCs w:val="0"/>
                            <w:i w:val="0"/>
                            <w:iCs w:val="0"/>
                            <w:u w:val="none"/>
                            <w:vertAlign w:val="baseline"/>
                            <w:rtl w:val="0"/>
                          </w:rPr>
                          <w:t xml:space="preserve">Planes de clase ODWBL</w:t>
                        </w:r>
                      </w:p>
                      <w:p>
                        <w:pPr>
                          <w:spacing w:before="15"/>
                          <w:ind w:left="2910" w:right="0" w:firstLine="0"/>
                          <w:jc w:val="left"/>
                          <w:rPr>
                            <w:b/>
                            <w:sz w:val="24"/>
                          </w:rPr>
                          <w:bidi w:val="0"/>
                        </w:pPr>
                        <w:r>
                          <w:rPr>
                            <w:color w:val="009CC6"/>
                            <w:sz w:val="24"/>
                            <w:lang w:val="es"/>
                            <w:b w:val="1"/>
                            <w:bCs w:val="1"/>
                            <w:i w:val="0"/>
                            <w:iCs w:val="0"/>
                            <w:u w:val="none"/>
                            <w:vertAlign w:val="baseline"/>
                            <w:rtl w:val="0"/>
                          </w:rPr>
                          <w:t xml:space="preserve">Guía de integración e implementación</w:t>
                        </w:r>
                      </w:p>
                    </w:txbxContent>
                  </v:textbox>
                  <w10:wrap type="none"/>
                </v:shape>
              </v:group>
            </w:pict>
          </mc:Fallback>
        </mc:AlternateContent>
      </w:r>
    </w:p>
    <w:p w:rsidR="003D60B7" w:rsidRPr="00E925FE" w:rsidRDefault="00E925FE">
      <w:pPr>
        <w:pStyle w:val="Heading1"/>
        <w:spacing w:before="278"/>
        <w:rPr>
          <w:lang w:val="es-ES"/>
        </w:rPr>
      </w:pPr>
      <w:r>
        <w:rPr>
          <w:color w:val="866AB8"/>
          <w:lang w:val="es"/>
        </w:rPr>
        <w:t>Planes de clase para actividades específicas de aprendizaje basado en el trabajo</w:t>
      </w:r>
    </w:p>
    <w:p w:rsidR="003D60B7" w:rsidRPr="00E925FE" w:rsidRDefault="00E925FE">
      <w:pPr>
        <w:pStyle w:val="BodyText"/>
        <w:spacing w:before="11" w:line="254" w:lineRule="auto"/>
        <w:ind w:left="1440" w:right="1560"/>
        <w:rPr>
          <w:lang w:val="es-ES"/>
        </w:rPr>
      </w:pPr>
      <w:hyperlink r:id="rId12">
        <w:r>
          <w:rPr>
            <w:color w:val="0562C1"/>
            <w:lang w:val="es"/>
          </w:rPr>
          <w:t>Taller de habilidades</w:t>
        </w:r>
      </w:hyperlink>
      <w:r>
        <w:rPr>
          <w:lang w:val="es"/>
        </w:rPr>
        <w:t xml:space="preserve"> Lleve una actividad de presentador invitado tradici</w:t>
      </w:r>
      <w:r>
        <w:rPr>
          <w:lang w:val="es"/>
        </w:rPr>
        <w:t>onal al siguiente nivel, invitando a socios a enseñar habilidades relevantes a carreras a los estudiantes. Esta actividad se adapta mejor a estudiantes del noveno y décimo grados que exploran aspiraciones y desarrollan habilidades profesionales.</w:t>
      </w:r>
    </w:p>
    <w:p w:rsidR="003D60B7" w:rsidRPr="00E925FE" w:rsidRDefault="003D60B7">
      <w:pPr>
        <w:pStyle w:val="BodyText"/>
        <w:spacing w:before="16"/>
        <w:rPr>
          <w:lang w:val="es-ES"/>
        </w:rPr>
      </w:pPr>
    </w:p>
    <w:p w:rsidR="003D60B7" w:rsidRPr="00E925FE" w:rsidRDefault="00E925FE">
      <w:pPr>
        <w:pStyle w:val="BodyText"/>
        <w:spacing w:line="254" w:lineRule="auto"/>
        <w:ind w:left="1440" w:right="1400"/>
        <w:rPr>
          <w:lang w:val="es-ES"/>
        </w:rPr>
      </w:pPr>
      <w:hyperlink r:id="rId13">
        <w:r>
          <w:rPr>
            <w:color w:val="944F71"/>
            <w:u w:val="single"/>
            <w:lang w:val="es"/>
          </w:rPr>
          <w:t>Entrevista informativa</w:t>
        </w:r>
      </w:hyperlink>
      <w:r>
        <w:rPr>
          <w:lang w:val="es"/>
        </w:rPr>
        <w:t>: Las entrevistas informativas brindan una oportunidad importante para que los estudiantes se relacionen y exploren. A través de est</w:t>
      </w:r>
      <w:r>
        <w:rPr>
          <w:lang w:val="es"/>
        </w:rPr>
        <w:t>a actividad, los estudiantes explorarán aspiraciones profesionales, desarrollarán habilidades y tendrán oportunidades para establecer conexiones profesionales. Esta actividad se adapta mejor a estudiantes del onceavo y doceavo grados.</w:t>
      </w:r>
    </w:p>
    <w:p w:rsidR="003D60B7" w:rsidRPr="00E925FE" w:rsidRDefault="003D60B7">
      <w:pPr>
        <w:pStyle w:val="BodyText"/>
        <w:spacing w:before="15"/>
        <w:rPr>
          <w:lang w:val="es-ES"/>
        </w:rPr>
      </w:pPr>
    </w:p>
    <w:p w:rsidR="003D60B7" w:rsidRPr="00E925FE" w:rsidRDefault="00E925FE">
      <w:pPr>
        <w:pStyle w:val="BodyText"/>
        <w:spacing w:line="254" w:lineRule="auto"/>
        <w:ind w:left="1440" w:right="1400"/>
        <w:rPr>
          <w:lang w:val="es-ES"/>
        </w:rPr>
      </w:pPr>
      <w:hyperlink r:id="rId14">
        <w:r>
          <w:rPr>
            <w:color w:val="0562C1"/>
            <w:u w:val="single"/>
            <w:lang w:val="es"/>
          </w:rPr>
          <w:t>Revisión del currículum</w:t>
        </w:r>
      </w:hyperlink>
      <w:r>
        <w:rPr>
          <w:lang w:val="es"/>
        </w:rPr>
        <w:t>: Las sesiones de revisión de currículum ayudan a los estudiantes a prepararse para pasantías, resaltar sus habilidades y experiencia y recibir comentarios profesionales sobre su currículum. Integrar este evento de aprendizaje basado en el trabajo en su au</w:t>
      </w:r>
      <w:r>
        <w:rPr>
          <w:lang w:val="es"/>
        </w:rPr>
        <w:t>la permite el desarrollo continuo de habilidades y conecta a profesionales con el entorno del aula de una manera única. Utilice esta actividad para estudiantes junior que se estén preparando para una pasantía o estudiantes senior que se estén preparando pa</w:t>
      </w:r>
      <w:r>
        <w:rPr>
          <w:lang w:val="es"/>
        </w:rPr>
        <w:t>ra estudios de educación superior y empleos. Organizar este evento como parte del proceso de pasantías brinda oportunidades adicionales de prácticas de habilidades y relacionamiento para los estudiantes.</w:t>
      </w:r>
    </w:p>
    <w:p w:rsidR="003D60B7" w:rsidRPr="00E925FE" w:rsidRDefault="003D60B7">
      <w:pPr>
        <w:pStyle w:val="BodyText"/>
        <w:spacing w:before="13"/>
        <w:rPr>
          <w:lang w:val="es-ES"/>
        </w:rPr>
      </w:pPr>
    </w:p>
    <w:p w:rsidR="003D60B7" w:rsidRPr="00E925FE" w:rsidRDefault="00E925FE">
      <w:pPr>
        <w:pStyle w:val="BodyText"/>
        <w:spacing w:line="254" w:lineRule="auto"/>
        <w:ind w:left="1440" w:right="1400"/>
        <w:rPr>
          <w:lang w:val="es-ES"/>
        </w:rPr>
      </w:pPr>
      <w:hyperlink r:id="rId15">
        <w:r>
          <w:rPr>
            <w:color w:val="0562C1"/>
            <w:u w:val="single"/>
            <w:lang w:val="es"/>
          </w:rPr>
          <w:t>Simulacros de entrevistas</w:t>
        </w:r>
      </w:hyperlink>
      <w:r>
        <w:rPr>
          <w:lang w:val="es"/>
        </w:rPr>
        <w:t>: Los simulacros de entrevistas permiten a los estudiantes practicar sus habilidades de entrevistas y obtener valiosos comentarios de socios de la industria. Estas sesiones no solo</w:t>
      </w:r>
      <w:r>
        <w:rPr>
          <w:lang w:val="es"/>
        </w:rPr>
        <w:t xml:space="preserve"> permiten que los estudiantes practiquen habilidades para el futuro, sino también establecer conexiones con profesionales locales, incluyendo posibles supervisores y empleadores de pasantías. Utilice esta actividad en conjunto con las sesiones de revisión </w:t>
      </w:r>
      <w:r>
        <w:rPr>
          <w:lang w:val="es"/>
        </w:rPr>
        <w:t>de currículums o después de éstas.</w:t>
      </w:r>
    </w:p>
    <w:p w:rsidR="003D60B7" w:rsidRPr="00E925FE" w:rsidRDefault="003D60B7">
      <w:pPr>
        <w:pStyle w:val="BodyText"/>
        <w:spacing w:before="14"/>
        <w:rPr>
          <w:lang w:val="es-ES"/>
        </w:rPr>
      </w:pPr>
    </w:p>
    <w:p w:rsidR="003D60B7" w:rsidRPr="00E925FE" w:rsidRDefault="00E925FE">
      <w:pPr>
        <w:pStyle w:val="BodyText"/>
        <w:spacing w:line="254" w:lineRule="auto"/>
        <w:ind w:left="1440" w:right="1560"/>
        <w:rPr>
          <w:lang w:val="es-ES"/>
        </w:rPr>
      </w:pPr>
      <w:hyperlink r:id="rId16">
        <w:r>
          <w:rPr>
            <w:color w:val="0562C1"/>
            <w:u w:val="single"/>
            <w:lang w:val="es"/>
          </w:rPr>
          <w:t>Recorrido de sitios de trabajo</w:t>
        </w:r>
      </w:hyperlink>
      <w:r>
        <w:rPr>
          <w:lang w:val="es"/>
        </w:rPr>
        <w:t>: Los recorridos de sitios de trabajo brindan a los estudiantes una oportunida</w:t>
      </w:r>
      <w:r>
        <w:rPr>
          <w:lang w:val="es"/>
        </w:rPr>
        <w:t xml:space="preserve">d de ver muchas trayectorias profesionales trabajando juntas en una sola empresa. Este plan de clase se enfoca en la preparación y reflexión de aspectos de un recorrido de un sitio de trabajo y no describe detalladamente el evento de aprendizaje basado en </w:t>
      </w:r>
      <w:r>
        <w:rPr>
          <w:lang w:val="es"/>
        </w:rPr>
        <w:t>el trabajo dado que este ocurre fuera de la escuela en una organización del socio.</w:t>
      </w:r>
    </w:p>
    <w:p w:rsidR="003D60B7" w:rsidRPr="00E925FE" w:rsidRDefault="003D60B7">
      <w:pPr>
        <w:pStyle w:val="BodyText"/>
        <w:rPr>
          <w:sz w:val="20"/>
          <w:lang w:val="es-ES"/>
        </w:rPr>
      </w:pPr>
    </w:p>
    <w:p w:rsidR="003D60B7" w:rsidRPr="00E925FE" w:rsidRDefault="003D60B7">
      <w:pPr>
        <w:pStyle w:val="BodyText"/>
        <w:rPr>
          <w:sz w:val="20"/>
          <w:lang w:val="es-ES"/>
        </w:rPr>
      </w:pPr>
    </w:p>
    <w:p w:rsidR="003D60B7" w:rsidRPr="00E925FE" w:rsidRDefault="003D60B7">
      <w:pPr>
        <w:pStyle w:val="BodyText"/>
        <w:rPr>
          <w:sz w:val="20"/>
          <w:lang w:val="es-ES"/>
        </w:rPr>
      </w:pPr>
    </w:p>
    <w:p w:rsidR="003D60B7" w:rsidRPr="00E925FE" w:rsidRDefault="003D60B7">
      <w:pPr>
        <w:pStyle w:val="BodyText"/>
        <w:rPr>
          <w:sz w:val="20"/>
          <w:lang w:val="es-ES"/>
        </w:rPr>
      </w:pPr>
      <w:bookmarkStart w:id="0" w:name="_GoBack"/>
      <w:bookmarkEnd w:id="0"/>
    </w:p>
    <w:p w:rsidR="003D60B7" w:rsidRDefault="00E925FE">
      <w:pPr>
        <w:pStyle w:val="BodyText"/>
        <w:spacing w:before="233"/>
        <w:rPr>
          <w:sz w:val="20"/>
        </w:rPr>
      </w:pPr>
      <w:r>
        <w:rPr>
          <w:noProof/>
          <w:lang w:val="es-ES" w:eastAsia="zh-CN"/>
        </w:rPr>
        <mc:AlternateContent>
          <mc:Choice Requires="wps">
            <w:drawing>
              <wp:anchor distT="0" distB="0" distL="0" distR="0" simplePos="0" relativeHeight="487589376" behindDoc="1" locked="0" layoutInCell="1" allowOverlap="1">
                <wp:simplePos x="0" y="0"/>
                <wp:positionH relativeFrom="page">
                  <wp:posOffset>320731</wp:posOffset>
                </wp:positionH>
                <wp:positionV relativeFrom="paragraph">
                  <wp:posOffset>316487</wp:posOffset>
                </wp:positionV>
                <wp:extent cx="7049134" cy="820419"/>
                <wp:effectExtent l="0" t="0" r="0" b="0"/>
                <wp:wrapTopAndBottom/>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49134" cy="820419"/>
                          <a:chOff x="0" y="0"/>
                          <a:chExt cx="7049134" cy="820419"/>
                        </a:xfrm>
                      </wpg:grpSpPr>
                      <pic:pic xmlns:pic="http://schemas.openxmlformats.org/drawingml/2006/picture">
                        <pic:nvPicPr>
                          <pic:cNvPr id="11" name="Image 11"/>
                          <pic:cNvPicPr/>
                        </pic:nvPicPr>
                        <pic:blipFill>
                          <a:blip r:embed="rId8" cstate="print"/>
                          <a:stretch>
                            <a:fillRect/>
                          </a:stretch>
                        </pic:blipFill>
                        <pic:spPr>
                          <a:xfrm>
                            <a:off x="0" y="0"/>
                            <a:ext cx="7048689" cy="820202"/>
                          </a:xfrm>
                          <a:prstGeom prst="rect">
                            <a:avLst/>
                          </a:prstGeom>
                        </pic:spPr>
                      </pic:pic>
                      <wps:wsp>
                        <wps:cNvPr id="12" name="Textbox 12"/>
                        <wps:cNvSpPr txBox="1"/>
                        <wps:spPr>
                          <a:xfrm>
                            <a:off x="0" y="0"/>
                            <a:ext cx="7049134" cy="820419"/>
                          </a:xfrm>
                          <a:prstGeom prst="rect">
                            <a:avLst/>
                          </a:prstGeom>
                        </wps:spPr>
                        <wps:txbx>
                          <w:txbxContent>
                            <w:p w:rsidR="003D60B7" w:rsidRDefault="003D60B7">
                              <w:pPr>
                                <w:rPr>
                                  <w:sz w:val="25"/>
                                </w:rPr>
                              </w:pPr>
                            </w:p>
                            <w:p w:rsidR="003D60B7" w:rsidRDefault="003D60B7">
                              <w:pPr>
                                <w:spacing w:before="269"/>
                                <w:rPr>
                                  <w:sz w:val="25"/>
                                </w:rPr>
                              </w:pPr>
                            </w:p>
                            <w:p w:rsidR="003D60B7" w:rsidRDefault="00E925FE">
                              <w:pPr>
                                <w:ind w:left="1206"/>
                                <w:rPr>
                                  <w:rFonts w:ascii="Trebuchet MS"/>
                                  <w:i/>
                                  <w:sz w:val="25"/>
                                </w:rPr>
                              </w:pPr>
                              <w:r>
                                <w:rPr>
                                  <w:rFonts w:ascii="Trebuchet MS" w:hAnsi="Trebuchet MS"/>
                                  <w:i/>
                                  <w:iCs/>
                                  <w:color w:val="BCC7D5"/>
                                  <w:sz w:val="25"/>
                                  <w:lang w:val="es"/>
                                </w:rPr>
                                <w:t>Derecho de autor NAF 2023</w:t>
                              </w:r>
                            </w:p>
                          </w:txbxContent>
                        </wps:txbx>
                        <wps:bodyPr wrap="square" lIns="0" tIns="0" rIns="0" bIns="0" rtlCol="0">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5.254427pt;margin-top:24.920313pt;width:555.050pt;height:64.6pt;mso-position-horizontal-relative:page;mso-position-vertical-relative:paragraph;z-index:-15727104;mso-wrap-distance-left:0;mso-wrap-distance-right:0" id="docshapegroup10" coordorigin="505,498" coordsize="11101,1292">
                <v:shape style="position:absolute;left:505;top:498;width:11101;height:1292" type="#_x0000_t75" id="docshape11" stroked="false">
                  <v:imagedata r:id="rId9" o:title=""/>
                </v:shape>
                <v:shape style="position:absolute;left:505;top:498;width:11101;height:1292" type="#_x0000_t202" id="docshape12" filled="false" stroked="false">
                  <v:textbox inset="0,0,0,0">
                    <w:txbxContent>
                      <w:p>
                        <w:pPr>
                          <w:spacing w:line="240" w:lineRule="auto" w:before="0"/>
                          <w:rPr>
                            <w:sz w:val="25"/>
                          </w:rPr>
                        </w:pPr>
                      </w:p>
                      <w:p>
                        <w:pPr>
                          <w:spacing w:line="240" w:lineRule="auto" w:before="269"/>
                          <w:rPr>
                            <w:sz w:val="25"/>
                          </w:rPr>
                        </w:pPr>
                      </w:p>
                      <w:p>
                        <w:pPr>
                          <w:spacing w:before="0"/>
                          <w:ind w:left="1206" w:right="0" w:firstLine="0"/>
                          <w:jc w:val="left"/>
                          <w:rPr>
                            <w:rFonts w:ascii="Trebuchet MS"/>
                            <w:i/>
                            <w:sz w:val="25"/>
                          </w:rPr>
                          <w:bidi w:val="0"/>
                        </w:pPr>
                        <w:r>
                          <w:rPr>
                            <w:rFonts w:ascii="Trebuchet MS" w:hAnsi="Trebuchet MS"/>
                            <w:color w:val="BCC7D5"/>
                            <w:sz w:val="25"/>
                            <w:lang w:val="es"/>
                            <w:b w:val="0"/>
                            <w:bCs w:val="0"/>
                            <w:i w:val="1"/>
                            <w:iCs w:val="1"/>
                            <w:u w:val="none"/>
                            <w:vertAlign w:val="baseline"/>
                            <w:rtl w:val="0"/>
                          </w:rPr>
                          <w:t xml:space="preserve">Derecho de autor NAF 2023</w:t>
                        </w:r>
                      </w:p>
                    </w:txbxContent>
                  </v:textbox>
                  <w10:wrap type="none"/>
                </v:shape>
                <w10:wrap type="topAndBottom"/>
              </v:group>
            </w:pict>
          </mc:Fallback>
        </mc:AlternateContent>
      </w:r>
    </w:p>
    <w:sectPr w:rsidR="003D60B7">
      <w:pgSz w:w="12240" w:h="15840"/>
      <w:pgMar w:top="26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4218E"/>
    <w:multiLevelType w:val="hybridMultilevel"/>
    <w:tmpl w:val="D69CDD6C"/>
    <w:lvl w:ilvl="0" w:tplc="20B40B68">
      <w:numFmt w:val="bullet"/>
      <w:lvlText w:val=""/>
      <w:lvlJc w:val="left"/>
      <w:pPr>
        <w:ind w:left="2159" w:hanging="361"/>
      </w:pPr>
      <w:rPr>
        <w:rFonts w:ascii="Symbol" w:eastAsia="Symbol" w:hAnsi="Symbol" w:cs="Symbol" w:hint="default"/>
        <w:b w:val="0"/>
        <w:bCs w:val="0"/>
        <w:i w:val="0"/>
        <w:iCs w:val="0"/>
        <w:spacing w:val="0"/>
        <w:w w:val="100"/>
        <w:sz w:val="22"/>
        <w:szCs w:val="22"/>
        <w:lang w:val="en-US" w:eastAsia="en-US" w:bidi="ar-SA"/>
      </w:rPr>
    </w:lvl>
    <w:lvl w:ilvl="1" w:tplc="FE4423A0">
      <w:numFmt w:val="bullet"/>
      <w:lvlText w:val="•"/>
      <w:lvlJc w:val="left"/>
      <w:pPr>
        <w:ind w:left="3168" w:hanging="361"/>
      </w:pPr>
      <w:rPr>
        <w:rFonts w:hint="default"/>
        <w:lang w:val="en-US" w:eastAsia="en-US" w:bidi="ar-SA"/>
      </w:rPr>
    </w:lvl>
    <w:lvl w:ilvl="2" w:tplc="0944E052">
      <w:numFmt w:val="bullet"/>
      <w:lvlText w:val="•"/>
      <w:lvlJc w:val="left"/>
      <w:pPr>
        <w:ind w:left="4176" w:hanging="361"/>
      </w:pPr>
      <w:rPr>
        <w:rFonts w:hint="default"/>
        <w:lang w:val="en-US" w:eastAsia="en-US" w:bidi="ar-SA"/>
      </w:rPr>
    </w:lvl>
    <w:lvl w:ilvl="3" w:tplc="414EC8EE">
      <w:numFmt w:val="bullet"/>
      <w:lvlText w:val="•"/>
      <w:lvlJc w:val="left"/>
      <w:pPr>
        <w:ind w:left="5184" w:hanging="361"/>
      </w:pPr>
      <w:rPr>
        <w:rFonts w:hint="default"/>
        <w:lang w:val="en-US" w:eastAsia="en-US" w:bidi="ar-SA"/>
      </w:rPr>
    </w:lvl>
    <w:lvl w:ilvl="4" w:tplc="F136634C">
      <w:numFmt w:val="bullet"/>
      <w:lvlText w:val="•"/>
      <w:lvlJc w:val="left"/>
      <w:pPr>
        <w:ind w:left="6192" w:hanging="361"/>
      </w:pPr>
      <w:rPr>
        <w:rFonts w:hint="default"/>
        <w:lang w:val="en-US" w:eastAsia="en-US" w:bidi="ar-SA"/>
      </w:rPr>
    </w:lvl>
    <w:lvl w:ilvl="5" w:tplc="C7082A3A">
      <w:numFmt w:val="bullet"/>
      <w:lvlText w:val="•"/>
      <w:lvlJc w:val="left"/>
      <w:pPr>
        <w:ind w:left="7200" w:hanging="361"/>
      </w:pPr>
      <w:rPr>
        <w:rFonts w:hint="default"/>
        <w:lang w:val="en-US" w:eastAsia="en-US" w:bidi="ar-SA"/>
      </w:rPr>
    </w:lvl>
    <w:lvl w:ilvl="6" w:tplc="57D043D0">
      <w:numFmt w:val="bullet"/>
      <w:lvlText w:val="•"/>
      <w:lvlJc w:val="left"/>
      <w:pPr>
        <w:ind w:left="8208" w:hanging="361"/>
      </w:pPr>
      <w:rPr>
        <w:rFonts w:hint="default"/>
        <w:lang w:val="en-US" w:eastAsia="en-US" w:bidi="ar-SA"/>
      </w:rPr>
    </w:lvl>
    <w:lvl w:ilvl="7" w:tplc="0AC48422">
      <w:numFmt w:val="bullet"/>
      <w:lvlText w:val="•"/>
      <w:lvlJc w:val="left"/>
      <w:pPr>
        <w:ind w:left="9216" w:hanging="361"/>
      </w:pPr>
      <w:rPr>
        <w:rFonts w:hint="default"/>
        <w:lang w:val="en-US" w:eastAsia="en-US" w:bidi="ar-SA"/>
      </w:rPr>
    </w:lvl>
    <w:lvl w:ilvl="8" w:tplc="ADD43E52">
      <w:numFmt w:val="bullet"/>
      <w:lvlText w:val="•"/>
      <w:lvlJc w:val="left"/>
      <w:pPr>
        <w:ind w:left="10224" w:hanging="361"/>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hyphenationZone w:val="425"/>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3D60B7"/>
    <w:rsid w:val="003D60B7"/>
    <w:rsid w:val="00E925FE"/>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440"/>
      <w:outlineLvl w:val="0"/>
    </w:pPr>
    <w:rPr>
      <w:rFonts w:ascii="Trebuchet MS" w:eastAsia="Trebuchet MS" w:hAnsi="Trebuchet MS" w:cs="Trebuchet M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
      <w:ind w:left="2160" w:right="1443" w:hanging="361"/>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ahoma" w:eastAsia="Tahoma" w:hAnsi="Tahoma" w:cs="Tahoma"/>
    </w:rPr>
  </w:style>
  <w:style w:type="paragraph" w:styleId="Heading1">
    <w:name w:val="heading 1"/>
    <w:basedOn w:val="Normal"/>
    <w:uiPriority w:val="1"/>
    <w:qFormat/>
    <w:pPr>
      <w:ind w:left="1440"/>
      <w:outlineLvl w:val="0"/>
    </w:pPr>
    <w:rPr>
      <w:rFonts w:ascii="Trebuchet MS" w:eastAsia="Trebuchet MS" w:hAnsi="Trebuchet MS" w:cs="Trebuchet M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2"/>
      <w:ind w:left="2160" w:right="1443"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ash.naf.org/public/downloadable-resource/index/informational-interviews-lesson-plan"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0.png"/><Relationship Id="rId12" Type="http://schemas.openxmlformats.org/officeDocument/2006/relationships/hyperlink" Target="https://ash.naf.org/public/downloadable-resource/index/skills-workshop-lesson-plan"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ash.naf.org/public/downloadable-resource/index/prepare-for-worksite-tour-lesson-plan"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hyperlink" Target="https://ash.naf.org/public/downloadable-resource/index/mock-interviews-lesson-plan"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hyperlink" Target="https://ash.naf.org/public/downloadable-resource/index/resume-review-lesson-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822</Words>
  <Characters>4527</Characters>
  <Application>Microsoft Office Word</Application>
  <DocSecurity>0</DocSecurity>
  <Lines>37</Lines>
  <Paragraphs>10</Paragraphs>
  <ScaleCrop>false</ScaleCrop>
  <Company/>
  <LinksUpToDate>false</LinksUpToDate>
  <CharactersWithSpaces>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dc:description/>
  <cp:lastModifiedBy>JR105SERVER</cp:lastModifiedBy>
  <cp:revision>2</cp:revision>
  <dcterms:created xsi:type="dcterms:W3CDTF">2023-12-15T15:24:00Z</dcterms:created>
  <dcterms:modified xsi:type="dcterms:W3CDTF">2024-02-27T22:00:00Z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2023-10-20T00:00:00Z</vt:filetime>
  </property>
  <property fmtid="{D5CDD505-2E9C-101B-9397-08002B2CF9AE}" pid="3" name="Creator">
    <vt:lpwstr>Acrobat PDFMaker 23 for Word</vt:lpwstr>
  </property>
  <property fmtid="{D5CDD505-2E9C-101B-9397-08002B2CF9AE}" pid="4" name="LastSaved">
    <vt:filetime>2023-12-15T00:00:00Z</vt:filetime>
  </property>
  <property fmtid="{D5CDD505-2E9C-101B-9397-08002B2CF9AE}" pid="5" name="Producer">
    <vt:lpwstr>Adobe PDF Library 23.6.136</vt:lpwstr>
  </property>
  <property fmtid="{D5CDD505-2E9C-101B-9397-08002B2CF9AE}" pid="6" name="SourceModified">
    <vt:lpwstr>D:20231020180735</vt:lpwstr>
  </property>
</Properties>
</file>