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6344" w14:textId="6C713EF3" w:rsidR="004012CE" w:rsidRPr="004012CE" w:rsidRDefault="000523D6" w:rsidP="004012CE">
      <w:pPr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  <w:lang w:val="es"/>
        </w:rPr>
        <w:t>Plantilla para el entorno de aprendizaje personalizado</w:t>
      </w:r>
    </w:p>
    <w:tbl>
      <w:tblPr>
        <w:tblStyle w:val="myOwnTableStyle11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88"/>
      </w:tblGrid>
      <w:tr w:rsidR="00AD7F3E" w:rsidRPr="008B22E5" w14:paraId="709E46B7" w14:textId="77777777" w:rsidTr="3CA81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4519249C" w14:textId="38B9C83B" w:rsidR="00AD7F3E" w:rsidRPr="008B22E5" w:rsidRDefault="000523D6" w:rsidP="003119B8">
            <w:pPr>
              <w:spacing w:before="60" w:after="60"/>
              <w:contextualSpacing/>
              <w:rPr>
                <w:rFonts w:ascii="Tahoma" w:hAnsi="Tahoma" w:cs="Tahoma"/>
                <w:bCs/>
                <w:color w:val="FFFFFF" w:themeColor="background1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lang w:val="es"/>
              </w:rPr>
              <w:t>Plantilla para el entorno de aprendizaje personalizado 1.2.a:</w:t>
            </w:r>
            <w:r>
              <w:rPr>
                <w:rFonts w:ascii="Tahoma" w:hAnsi="Tahoma" w:cs="Tahoma"/>
                <w:color w:val="FFFFFF" w:themeColor="background1"/>
                <w:lang w:val="es"/>
              </w:rPr>
              <w:t xml:space="preserve"> La academia fomenta un entorno de aprendizaje personalizado que promueve el éxito del estudiante y el logro de las metas universitarias y profesionales.</w:t>
            </w:r>
          </w:p>
        </w:tc>
      </w:tr>
      <w:tr w:rsidR="000523D6" w:rsidRPr="008B22E5" w14:paraId="221FA296" w14:textId="77777777" w:rsidTr="3CA81B44">
        <w:trPr>
          <w:trHeight w:val="273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  <w:vAlign w:val="center"/>
          </w:tcPr>
          <w:p w14:paraId="030BD6B7" w14:textId="52E76C24" w:rsidR="000523D6" w:rsidRPr="008B22E5" w:rsidRDefault="00382E72" w:rsidP="003119B8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s"/>
              </w:rPr>
              <w:t>Acción estratégica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</w:tcPr>
          <w:p w14:paraId="483E8921" w14:textId="463649E3" w:rsidR="000523D6" w:rsidRPr="008B22E5" w:rsidRDefault="00382E72" w:rsidP="003119B8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bCs/>
                <w:color w:val="FFFFFF"/>
                <w:sz w:val="22"/>
                <w:szCs w:val="22"/>
                <w:lang w:val="es"/>
              </w:rPr>
              <w:t>Descripción</w:t>
            </w:r>
          </w:p>
        </w:tc>
      </w:tr>
      <w:tr w:rsidR="000523D6" w:rsidRPr="008B22E5" w14:paraId="6DB4AA18" w14:textId="77777777" w:rsidTr="008B22E5">
        <w:trPr>
          <w:trHeight w:val="1940"/>
        </w:trPr>
        <w:tc>
          <w:tcPr>
            <w:tcW w:w="2437" w:type="pct"/>
            <w:tcBorders>
              <w:top w:val="single" w:sz="4" w:space="0" w:color="auto"/>
            </w:tcBorders>
          </w:tcPr>
          <w:p w14:paraId="63A19915" w14:textId="77777777" w:rsidR="00270113" w:rsidRPr="00330DE3" w:rsidRDefault="14D502EC" w:rsidP="008B22E5">
            <w:pPr>
              <w:spacing w:before="20" w:after="20"/>
              <w:rPr>
                <w:rFonts w:ascii="Tahoma" w:hAnsi="Tahoma" w:cs="Tahoma"/>
                <w:color w:val="178D4D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s"/>
              </w:rPr>
              <w:t>Conectar el aprendizaje a los intereses habilidades y aspiraciones de los estudiantes.</w:t>
            </w:r>
            <w:r>
              <w:rPr>
                <w:rFonts w:ascii="Tahoma" w:hAnsi="Tahoma" w:cs="Tahoma"/>
                <w:lang w:val="es"/>
              </w:rPr>
              <w:br/>
            </w:r>
            <w:r>
              <w:rPr>
                <w:rFonts w:ascii="Tahoma" w:hAnsi="Tahoma" w:cs="Tahoma"/>
                <w:b/>
                <w:bCs/>
                <w:color w:val="178D4D"/>
                <w:sz w:val="16"/>
                <w:szCs w:val="16"/>
                <w:lang w:val="es"/>
              </w:rPr>
              <w:t>Ejemplos:</w:t>
            </w:r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 xml:space="preserve"> Darle al estudiante la opción de elegir una trayectoria profesional, una selección de cursos de programas de estudio, temas de proyectos/asignaciones y experiencias de aprendizaje basado en el trabajo; monitorear los logros académicos de los estudiantes; brindar sistemas de apoyo para garantizar el éxito académico y social de los estudiantes. </w:t>
            </w:r>
            <w:r>
              <w:rPr>
                <w:rFonts w:ascii="Tahoma" w:hAnsi="Tahoma" w:cs="Tahoma"/>
                <w:color w:val="178D4D"/>
                <w:lang w:val="es"/>
              </w:rPr>
              <w:t xml:space="preserve"> </w:t>
            </w:r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 xml:space="preserve">Los estudiantes completan proyectos de aprendizaje auténticos. </w:t>
            </w:r>
          </w:p>
          <w:p w14:paraId="7F032CBC" w14:textId="67F3989F" w:rsidR="00270113" w:rsidRPr="00330DE3" w:rsidRDefault="4A9B7BEE" w:rsidP="008B22E5">
            <w:pPr>
              <w:spacing w:before="20" w:after="20"/>
              <w:rPr>
                <w:rFonts w:ascii="Tahoma" w:hAnsi="Tahoma" w:cs="Tahoma"/>
                <w:color w:val="178D4D"/>
                <w:sz w:val="16"/>
                <w:szCs w:val="16"/>
              </w:rPr>
            </w:pPr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>(p. ej. Expediciones de NAF, proyectos de feriados nacionales de carreras como la Semana Nacional de Ingenieros y la Semana Nacional de Viajes y Turismo, etc.)</w:t>
            </w:r>
          </w:p>
          <w:p w14:paraId="32AD280A" w14:textId="7A9F2D89" w:rsidR="00801ECC" w:rsidRPr="00330DE3" w:rsidRDefault="4A9B7BEE" w:rsidP="00697F12">
            <w:pPr>
              <w:pStyle w:val="ListParagraph"/>
              <w:numPr>
                <w:ilvl w:val="0"/>
                <w:numId w:val="8"/>
              </w:numPr>
              <w:spacing w:before="20" w:after="20"/>
              <w:ind w:left="504" w:hanging="216"/>
              <w:rPr>
                <w:rFonts w:ascii="Tahoma" w:hAnsi="Tahoma" w:cs="Tahoma"/>
                <w:color w:val="00B050"/>
                <w:sz w:val="16"/>
                <w:szCs w:val="16"/>
              </w:rPr>
            </w:pPr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 xml:space="preserve">Visite nuestras </w:t>
            </w:r>
            <w:hyperlink r:id="rId8">
              <w:r>
                <w:rPr>
                  <w:rStyle w:val="Hyperlink"/>
                  <w:rFonts w:ascii="Tahoma" w:hAnsi="Tahoma" w:cs="Tahoma"/>
                  <w:sz w:val="16"/>
                  <w:szCs w:val="16"/>
                  <w:lang w:val="es"/>
                </w:rPr>
                <w:t>páginas de trayectorias de proyectos</w:t>
              </w:r>
            </w:hyperlink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 xml:space="preserve"> para obtener ideas para proyectos finales auténticos. </w:t>
            </w:r>
          </w:p>
        </w:tc>
        <w:tc>
          <w:tcPr>
            <w:tcW w:w="256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6C63A3B" w14:textId="41B0A587" w:rsidR="000523D6" w:rsidRPr="008B22E5" w:rsidRDefault="000523D6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23D6" w:rsidRPr="008B22E5" w14:paraId="2D10F4A7" w14:textId="77777777" w:rsidTr="008B22E5">
        <w:trPr>
          <w:trHeight w:val="1940"/>
        </w:trPr>
        <w:tc>
          <w:tcPr>
            <w:tcW w:w="2437" w:type="pct"/>
          </w:tcPr>
          <w:p w14:paraId="46EE518E" w14:textId="1F738A2D" w:rsidR="000523D6" w:rsidRPr="008B22E5" w:rsidRDefault="3CA81B44" w:rsidP="008B22E5">
            <w:pPr>
              <w:spacing w:before="20" w:after="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s"/>
              </w:rPr>
              <w:t>Implementar estructuras académicas que fomenten el relacionamiento entre compañeros y desarrollen un sentido de pertenencia entre los miembros de la academia.</w:t>
            </w:r>
            <w:r>
              <w:rPr>
                <w:rFonts w:ascii="Tahoma" w:hAnsi="Tahoma" w:cs="Tahoma"/>
                <w:lang w:val="es"/>
              </w:rPr>
              <w:br/>
            </w:r>
            <w:r>
              <w:rPr>
                <w:rFonts w:ascii="Tahoma" w:hAnsi="Tahoma" w:cs="Tahoma"/>
                <w:b/>
                <w:bCs/>
                <w:color w:val="178D4D"/>
                <w:sz w:val="16"/>
                <w:szCs w:val="16"/>
                <w:lang w:val="es"/>
              </w:rPr>
              <w:t xml:space="preserve">Ejemplos: </w:t>
            </w:r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>Fomentar la participación en organizaciones estudiantiles técnicas y profesionales (CTSO) y competencias (locales, regionales o nacionales); vestir indumentaria que distinga a los estudiantes de la academia y promueva el espíritu académico y clubes temáticos; fomentar oportunidades de liderazgo dentro de la academia; organizar eventos para compartir proyectos académicos.</w:t>
            </w:r>
          </w:p>
        </w:tc>
        <w:tc>
          <w:tcPr>
            <w:tcW w:w="2563" w:type="pct"/>
            <w:shd w:val="clear" w:color="auto" w:fill="FFFFFF" w:themeFill="background1"/>
          </w:tcPr>
          <w:p w14:paraId="30AB0CA5" w14:textId="30CB1013" w:rsidR="000523D6" w:rsidRPr="008B22E5" w:rsidRDefault="000523D6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23D6" w:rsidRPr="008B22E5" w14:paraId="0694A1DD" w14:textId="77777777" w:rsidTr="008B22E5">
        <w:trPr>
          <w:trHeight w:val="1940"/>
        </w:trPr>
        <w:tc>
          <w:tcPr>
            <w:tcW w:w="2437" w:type="pct"/>
          </w:tcPr>
          <w:p w14:paraId="7E8674EB" w14:textId="47A2D103" w:rsidR="000523D6" w:rsidRPr="008B22E5" w:rsidRDefault="3CA81B44" w:rsidP="008B22E5">
            <w:pPr>
              <w:spacing w:before="20" w:after="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s"/>
              </w:rPr>
              <w:t>Desarrollar planes de aprendizaje personalizados de la academia que el equipo de la academia revise y adapte con regularidad para satisfacer las necesidades de los estudiantes y apoyarlos en sus objetivos universitarios y de carrera</w:t>
            </w:r>
            <w:r>
              <w:rPr>
                <w:rFonts w:ascii="Tahoma" w:hAnsi="Tahoma" w:cs="Tahoma"/>
                <w:lang w:val="es"/>
              </w:rPr>
              <w:br/>
            </w:r>
            <w:r>
              <w:rPr>
                <w:rFonts w:ascii="Tahoma" w:hAnsi="Tahoma" w:cs="Tahoma"/>
                <w:b/>
                <w:bCs/>
                <w:color w:val="178D4D"/>
                <w:sz w:val="16"/>
                <w:szCs w:val="16"/>
                <w:lang w:val="es"/>
              </w:rPr>
              <w:t>Ejemplos:</w:t>
            </w:r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 xml:space="preserve"> Llevar a cabo chats trimestrales de datos con estudiantes de la academia para evaluar el avance en la Certificación NAFTrack; compartir otras prácticas creativas para garantizar que los estudiantes logren sus objetivos universitarios/profesionales.</w:t>
            </w:r>
          </w:p>
        </w:tc>
        <w:tc>
          <w:tcPr>
            <w:tcW w:w="2563" w:type="pct"/>
            <w:shd w:val="clear" w:color="auto" w:fill="FFFFFF" w:themeFill="background1"/>
          </w:tcPr>
          <w:p w14:paraId="077DF7B5" w14:textId="79346F2F" w:rsidR="000523D6" w:rsidRPr="008B22E5" w:rsidRDefault="000523D6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1ECC" w:rsidRPr="008B22E5" w14:paraId="0E919EFF" w14:textId="77777777" w:rsidTr="008B22E5">
        <w:trPr>
          <w:trHeight w:val="1940"/>
        </w:trPr>
        <w:tc>
          <w:tcPr>
            <w:tcW w:w="2437" w:type="pct"/>
          </w:tcPr>
          <w:p w14:paraId="17805827" w14:textId="1CB2F7C9" w:rsidR="00801ECC" w:rsidRPr="008B22E5" w:rsidRDefault="00801ECC" w:rsidP="008B22E5">
            <w:pPr>
              <w:spacing w:before="20" w:after="20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s"/>
              </w:rPr>
              <w:lastRenderedPageBreak/>
              <w:t>Participar en una red de maestros, familia, mentores y miembros del consejo asesor que se relacionen con estudiantes de la academia para brindar apoyo para cumplir sus objetivos universitarios y profesionales.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s"/>
              </w:rPr>
              <w:br/>
            </w:r>
            <w:r>
              <w:rPr>
                <w:rFonts w:ascii="Tahoma" w:hAnsi="Tahoma" w:cs="Tahoma"/>
                <w:b/>
                <w:bCs/>
                <w:color w:val="178D4D"/>
                <w:sz w:val="16"/>
                <w:szCs w:val="16"/>
                <w:lang w:val="es"/>
              </w:rPr>
              <w:t>Ejemplos:</w:t>
            </w:r>
            <w:r>
              <w:rPr>
                <w:rFonts w:ascii="Tahoma" w:hAnsi="Tahoma" w:cs="Tahoma"/>
                <w:color w:val="178D4D"/>
                <w:sz w:val="16"/>
                <w:szCs w:val="16"/>
                <w:lang w:val="es"/>
              </w:rPr>
              <w:t xml:space="preserve"> Planificar actividades para que los padres participen en la academia y el trabajo de sus estudiantes; crear un programa para que estudiantes del último año de la academia sean mentores de estudiantes que ingresan; brindar otras formas para que los estudiantes se conecten con adultos comprensivos que alienten, guíen y promuevan el éxito de los estudiantes.</w:t>
            </w:r>
          </w:p>
        </w:tc>
        <w:tc>
          <w:tcPr>
            <w:tcW w:w="2563" w:type="pct"/>
            <w:shd w:val="clear" w:color="auto" w:fill="FFFFFF" w:themeFill="background1"/>
          </w:tcPr>
          <w:p w14:paraId="31C285BE" w14:textId="77777777" w:rsidR="00801ECC" w:rsidRPr="008B22E5" w:rsidRDefault="00801ECC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F125D3A" w14:textId="77777777" w:rsidR="004012CE" w:rsidRDefault="004012CE" w:rsidP="004012CE">
      <w:pPr>
        <w:rPr>
          <w:rFonts w:ascii="Tahoma" w:eastAsia="Tahoma" w:hAnsi="Tahoma" w:cs="Tahoma"/>
          <w:b/>
          <w:bCs/>
        </w:rPr>
      </w:pPr>
    </w:p>
    <w:sectPr w:rsidR="004012CE" w:rsidSect="00B60C88">
      <w:headerReference w:type="default" r:id="rId9"/>
      <w:pgSz w:w="15840" w:h="12240" w:orient="landscape"/>
      <w:pgMar w:top="1440" w:right="806" w:bottom="144" w:left="806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B74E" w14:textId="77777777" w:rsidR="00111D96" w:rsidRDefault="00111D96" w:rsidP="002137BE">
      <w:pPr>
        <w:spacing w:after="0" w:line="240" w:lineRule="auto"/>
      </w:pPr>
      <w:r>
        <w:separator/>
      </w:r>
    </w:p>
  </w:endnote>
  <w:endnote w:type="continuationSeparator" w:id="0">
    <w:p w14:paraId="09B8E4A5" w14:textId="77777777" w:rsidR="00111D96" w:rsidRDefault="00111D96" w:rsidP="0021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91BF" w14:textId="77777777" w:rsidR="00111D96" w:rsidRDefault="00111D96" w:rsidP="002137BE">
      <w:pPr>
        <w:spacing w:after="0" w:line="240" w:lineRule="auto"/>
      </w:pPr>
      <w:r>
        <w:separator/>
      </w:r>
    </w:p>
  </w:footnote>
  <w:footnote w:type="continuationSeparator" w:id="0">
    <w:p w14:paraId="119A88BA" w14:textId="77777777" w:rsidR="00111D96" w:rsidRDefault="00111D96" w:rsidP="0021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2"/>
      <w:gridCol w:w="4410"/>
      <w:gridCol w:w="2610"/>
      <w:gridCol w:w="4140"/>
    </w:tblGrid>
    <w:tr w:rsidR="000268EB" w:rsidRPr="00C67AAE" w14:paraId="4CF04C85" w14:textId="77777777" w:rsidTr="006A264D">
      <w:tc>
        <w:tcPr>
          <w:tcW w:w="1350" w:type="dxa"/>
          <w:tcBorders>
            <w:top w:val="nil"/>
            <w:bottom w:val="nil"/>
          </w:tcBorders>
          <w:vAlign w:val="bottom"/>
        </w:tcPr>
        <w:p w14:paraId="244E3E6E" w14:textId="38786F37" w:rsidR="000268EB" w:rsidRPr="00C67AAE" w:rsidRDefault="000268EB" w:rsidP="006A264D">
          <w:pPr>
            <w:spacing w:before="120" w:after="0" w:line="240" w:lineRule="auto"/>
            <w:ind w:left="-105"/>
            <w:jc w:val="both"/>
            <w:rPr>
              <w:rFonts w:ascii="Tahoma" w:eastAsia="Times New Roman" w:hAnsi="Tahoma" w:cs="Tahoma"/>
              <w:sz w:val="28"/>
              <w:szCs w:val="28"/>
            </w:rPr>
          </w:pPr>
          <w:r>
            <w:rPr>
              <w:rFonts w:ascii="Tahoma" w:hAnsi="Tahoma" w:cs="Tahoma"/>
              <w:noProof/>
              <w:sz w:val="28"/>
              <w:szCs w:val="28"/>
              <w:lang w:val="es"/>
            </w:rPr>
            <w:drawing>
              <wp:anchor distT="0" distB="0" distL="114300" distR="114300" simplePos="0" relativeHeight="251658240" behindDoc="0" locked="0" layoutInCell="1" allowOverlap="1" wp14:anchorId="39B46FEB" wp14:editId="3CFB881C">
                <wp:simplePos x="0" y="0"/>
                <wp:positionH relativeFrom="margin">
                  <wp:posOffset>8101330</wp:posOffset>
                </wp:positionH>
                <wp:positionV relativeFrom="paragraph">
                  <wp:posOffset>-48733</wp:posOffset>
                </wp:positionV>
                <wp:extent cx="960120" cy="438912"/>
                <wp:effectExtent l="0" t="0" r="0" b="0"/>
                <wp:wrapNone/>
                <wp:docPr id="6" name="Picture 6" descr="Ícono 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Ico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bCs/>
              <w:sz w:val="28"/>
              <w:szCs w:val="28"/>
              <w:lang w:val="es"/>
            </w:rPr>
            <w:t>Academia:</w:t>
          </w:r>
        </w:p>
      </w:tc>
      <w:tc>
        <w:tcPr>
          <w:tcW w:w="4410" w:type="dxa"/>
          <w:vAlign w:val="bottom"/>
        </w:tcPr>
        <w:p w14:paraId="68BDC94A" w14:textId="46E9640D" w:rsidR="000268EB" w:rsidRPr="00C67AAE" w:rsidRDefault="000268EB" w:rsidP="000268EB">
          <w:pPr>
            <w:spacing w:before="120" w:after="0" w:line="240" w:lineRule="auto"/>
            <w:jc w:val="both"/>
            <w:rPr>
              <w:rFonts w:ascii="Tahoma" w:eastAsia="Times New Roman" w:hAnsi="Tahoma" w:cs="Tahoma"/>
              <w:sz w:val="20"/>
              <w:szCs w:val="20"/>
            </w:rPr>
          </w:pPr>
        </w:p>
      </w:tc>
      <w:tc>
        <w:tcPr>
          <w:tcW w:w="2610" w:type="dxa"/>
          <w:tcBorders>
            <w:top w:val="nil"/>
            <w:bottom w:val="nil"/>
          </w:tcBorders>
          <w:vAlign w:val="bottom"/>
        </w:tcPr>
        <w:p w14:paraId="53E01916" w14:textId="77777777" w:rsidR="000268EB" w:rsidRPr="00C67AAE" w:rsidRDefault="000268EB" w:rsidP="000268EB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8"/>
              <w:szCs w:val="28"/>
            </w:rPr>
          </w:pPr>
          <w:r>
            <w:rPr>
              <w:rFonts w:ascii="Tahoma" w:eastAsia="Times New Roman" w:hAnsi="Tahoma" w:cs="Tahoma"/>
              <w:b/>
              <w:bCs/>
              <w:sz w:val="28"/>
              <w:szCs w:val="28"/>
              <w:lang w:val="es"/>
            </w:rPr>
            <w:t>Trayectoria profesional:</w:t>
          </w:r>
          <w:r>
            <w:rPr>
              <w:rFonts w:ascii="Tahoma" w:eastAsia="Times New Roman" w:hAnsi="Tahoma" w:cs="Tahoma"/>
              <w:sz w:val="28"/>
              <w:szCs w:val="28"/>
              <w:lang w:val="es"/>
            </w:rPr>
            <w:t xml:space="preserve"> </w:t>
          </w:r>
        </w:p>
      </w:tc>
      <w:tc>
        <w:tcPr>
          <w:tcW w:w="4140" w:type="dxa"/>
          <w:vAlign w:val="bottom"/>
        </w:tcPr>
        <w:p w14:paraId="572F4ED6" w14:textId="49CA9CD5" w:rsidR="000268EB" w:rsidRPr="00C67AAE" w:rsidRDefault="000268EB" w:rsidP="000268EB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0"/>
              <w:szCs w:val="20"/>
            </w:rPr>
          </w:pPr>
        </w:p>
      </w:tc>
    </w:tr>
  </w:tbl>
  <w:p w14:paraId="5128B9A5" w14:textId="7F4F5E9A" w:rsidR="000C65B7" w:rsidRPr="000268EB" w:rsidRDefault="00AD135E" w:rsidP="000268EB">
    <w:pPr>
      <w:pStyle w:val="Head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A17155" wp14:editId="2C294C53">
              <wp:simplePos x="0" y="0"/>
              <wp:positionH relativeFrom="page">
                <wp:posOffset>11430</wp:posOffset>
              </wp:positionH>
              <wp:positionV relativeFrom="page">
                <wp:posOffset>4709</wp:posOffset>
              </wp:positionV>
              <wp:extent cx="10039350" cy="86591"/>
              <wp:effectExtent l="0" t="0" r="0" b="889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9350" cy="86591"/>
                      </a:xfrm>
                      <a:prstGeom prst="rect">
                        <a:avLst/>
                      </a:prstGeom>
                      <a:solidFill>
                        <a:srgbClr val="31AF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3" style="position:absolute;margin-left:.9pt;margin-top:.35pt;width:790.5pt;height:6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31af49" stroked="f" w14:anchorId="1305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52B"/>
    <w:multiLevelType w:val="hybridMultilevel"/>
    <w:tmpl w:val="8C44A2DA"/>
    <w:lvl w:ilvl="0" w:tplc="0C6E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ED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6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C6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3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48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31B00"/>
    <w:multiLevelType w:val="hybridMultilevel"/>
    <w:tmpl w:val="EB023E8E"/>
    <w:lvl w:ilvl="0" w:tplc="59E0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4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F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4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0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AF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D5488C"/>
    <w:multiLevelType w:val="hybridMultilevel"/>
    <w:tmpl w:val="3EB4F1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C0C0F36"/>
    <w:multiLevelType w:val="hybridMultilevel"/>
    <w:tmpl w:val="781C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A3C4D"/>
    <w:multiLevelType w:val="hybridMultilevel"/>
    <w:tmpl w:val="39F00560"/>
    <w:lvl w:ilvl="0" w:tplc="AAC4B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5494"/>
    <w:multiLevelType w:val="hybridMultilevel"/>
    <w:tmpl w:val="DF2C252E"/>
    <w:lvl w:ilvl="0" w:tplc="CFD6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D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8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8A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A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1C5F3E"/>
    <w:multiLevelType w:val="hybridMultilevel"/>
    <w:tmpl w:val="90D02166"/>
    <w:lvl w:ilvl="0" w:tplc="CEAAEB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854DA6"/>
    <w:multiLevelType w:val="hybridMultilevel"/>
    <w:tmpl w:val="5C64F2CC"/>
    <w:lvl w:ilvl="0" w:tplc="1DCA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84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C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C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45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5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8551832">
    <w:abstractNumId w:val="2"/>
  </w:num>
  <w:num w:numId="2" w16cid:durableId="1862157075">
    <w:abstractNumId w:val="7"/>
  </w:num>
  <w:num w:numId="3" w16cid:durableId="137916041">
    <w:abstractNumId w:val="1"/>
  </w:num>
  <w:num w:numId="4" w16cid:durableId="2087412493">
    <w:abstractNumId w:val="0"/>
  </w:num>
  <w:num w:numId="5" w16cid:durableId="176581617">
    <w:abstractNumId w:val="5"/>
  </w:num>
  <w:num w:numId="6" w16cid:durableId="1145271255">
    <w:abstractNumId w:val="3"/>
  </w:num>
  <w:num w:numId="7" w16cid:durableId="2044667241">
    <w:abstractNumId w:val="4"/>
  </w:num>
  <w:num w:numId="8" w16cid:durableId="1533613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zc3sTA0MjW3NLRU0lEKTi0uzszPAykwNKgFAMSSvLgtAAAA"/>
  </w:docVars>
  <w:rsids>
    <w:rsidRoot w:val="001C512B"/>
    <w:rsid w:val="00016B81"/>
    <w:rsid w:val="0002436B"/>
    <w:rsid w:val="00025B36"/>
    <w:rsid w:val="000268EB"/>
    <w:rsid w:val="00027453"/>
    <w:rsid w:val="0003440B"/>
    <w:rsid w:val="000523D6"/>
    <w:rsid w:val="00082FF9"/>
    <w:rsid w:val="000A4154"/>
    <w:rsid w:val="000B2705"/>
    <w:rsid w:val="000C65B7"/>
    <w:rsid w:val="000F4336"/>
    <w:rsid w:val="0010346B"/>
    <w:rsid w:val="00111D96"/>
    <w:rsid w:val="001478A0"/>
    <w:rsid w:val="001641E6"/>
    <w:rsid w:val="00166C23"/>
    <w:rsid w:val="001766FB"/>
    <w:rsid w:val="00190C3E"/>
    <w:rsid w:val="001A2884"/>
    <w:rsid w:val="001C512B"/>
    <w:rsid w:val="001C558E"/>
    <w:rsid w:val="00205DEF"/>
    <w:rsid w:val="00206A3C"/>
    <w:rsid w:val="00210002"/>
    <w:rsid w:val="002137BE"/>
    <w:rsid w:val="00244E95"/>
    <w:rsid w:val="00251518"/>
    <w:rsid w:val="00270113"/>
    <w:rsid w:val="002740FB"/>
    <w:rsid w:val="0029035D"/>
    <w:rsid w:val="002923FA"/>
    <w:rsid w:val="002B5DF8"/>
    <w:rsid w:val="002C6BF9"/>
    <w:rsid w:val="002E1BB9"/>
    <w:rsid w:val="002E637D"/>
    <w:rsid w:val="002F0722"/>
    <w:rsid w:val="003119B8"/>
    <w:rsid w:val="00330DE3"/>
    <w:rsid w:val="00335488"/>
    <w:rsid w:val="00342A81"/>
    <w:rsid w:val="003444FB"/>
    <w:rsid w:val="00344A59"/>
    <w:rsid w:val="00350FFE"/>
    <w:rsid w:val="003542F7"/>
    <w:rsid w:val="00364635"/>
    <w:rsid w:val="00366870"/>
    <w:rsid w:val="00375544"/>
    <w:rsid w:val="00380394"/>
    <w:rsid w:val="003826AB"/>
    <w:rsid w:val="00382E72"/>
    <w:rsid w:val="003A10F4"/>
    <w:rsid w:val="003E2D5E"/>
    <w:rsid w:val="003E507B"/>
    <w:rsid w:val="004012CE"/>
    <w:rsid w:val="00423023"/>
    <w:rsid w:val="00437428"/>
    <w:rsid w:val="00447B4B"/>
    <w:rsid w:val="00463962"/>
    <w:rsid w:val="00464D6F"/>
    <w:rsid w:val="0046554D"/>
    <w:rsid w:val="004803F3"/>
    <w:rsid w:val="00496369"/>
    <w:rsid w:val="00497815"/>
    <w:rsid w:val="004A7166"/>
    <w:rsid w:val="004B25CA"/>
    <w:rsid w:val="004B34C7"/>
    <w:rsid w:val="004C5C1C"/>
    <w:rsid w:val="004F1695"/>
    <w:rsid w:val="005303D0"/>
    <w:rsid w:val="00562694"/>
    <w:rsid w:val="005654B6"/>
    <w:rsid w:val="00581939"/>
    <w:rsid w:val="00581FDF"/>
    <w:rsid w:val="00583261"/>
    <w:rsid w:val="005B060E"/>
    <w:rsid w:val="005F09D7"/>
    <w:rsid w:val="00607AC4"/>
    <w:rsid w:val="00610F90"/>
    <w:rsid w:val="00627FDF"/>
    <w:rsid w:val="0064109D"/>
    <w:rsid w:val="00665699"/>
    <w:rsid w:val="00666C68"/>
    <w:rsid w:val="00684D68"/>
    <w:rsid w:val="00697F12"/>
    <w:rsid w:val="006A264D"/>
    <w:rsid w:val="006A4730"/>
    <w:rsid w:val="006C378F"/>
    <w:rsid w:val="006D1247"/>
    <w:rsid w:val="006D625F"/>
    <w:rsid w:val="006D6EC7"/>
    <w:rsid w:val="006F472E"/>
    <w:rsid w:val="006F74A4"/>
    <w:rsid w:val="00753962"/>
    <w:rsid w:val="0076086D"/>
    <w:rsid w:val="00790A6E"/>
    <w:rsid w:val="00793222"/>
    <w:rsid w:val="007A7CC8"/>
    <w:rsid w:val="007C3243"/>
    <w:rsid w:val="007D7231"/>
    <w:rsid w:val="007E253B"/>
    <w:rsid w:val="007E3B61"/>
    <w:rsid w:val="00800482"/>
    <w:rsid w:val="00801ECC"/>
    <w:rsid w:val="00824F5A"/>
    <w:rsid w:val="00840932"/>
    <w:rsid w:val="0087707B"/>
    <w:rsid w:val="008B22E5"/>
    <w:rsid w:val="008B709A"/>
    <w:rsid w:val="008C4B9F"/>
    <w:rsid w:val="008D02FB"/>
    <w:rsid w:val="008F0C4D"/>
    <w:rsid w:val="008F3326"/>
    <w:rsid w:val="00903D61"/>
    <w:rsid w:val="00911F1D"/>
    <w:rsid w:val="00913721"/>
    <w:rsid w:val="0092528D"/>
    <w:rsid w:val="00972029"/>
    <w:rsid w:val="0097740C"/>
    <w:rsid w:val="009A231E"/>
    <w:rsid w:val="009B7B6B"/>
    <w:rsid w:val="009C437B"/>
    <w:rsid w:val="009E3F06"/>
    <w:rsid w:val="009F29E8"/>
    <w:rsid w:val="00A112E0"/>
    <w:rsid w:val="00A11510"/>
    <w:rsid w:val="00A17249"/>
    <w:rsid w:val="00A20051"/>
    <w:rsid w:val="00A23E20"/>
    <w:rsid w:val="00A30B4E"/>
    <w:rsid w:val="00A378FD"/>
    <w:rsid w:val="00A453B2"/>
    <w:rsid w:val="00A468B3"/>
    <w:rsid w:val="00A502C3"/>
    <w:rsid w:val="00A73EDA"/>
    <w:rsid w:val="00A87322"/>
    <w:rsid w:val="00AA127C"/>
    <w:rsid w:val="00AA4AC9"/>
    <w:rsid w:val="00AC718E"/>
    <w:rsid w:val="00AD135E"/>
    <w:rsid w:val="00AD7F3E"/>
    <w:rsid w:val="00AE66F2"/>
    <w:rsid w:val="00AF5876"/>
    <w:rsid w:val="00B454D6"/>
    <w:rsid w:val="00B54B49"/>
    <w:rsid w:val="00B60C88"/>
    <w:rsid w:val="00B6659E"/>
    <w:rsid w:val="00B81982"/>
    <w:rsid w:val="00BB06DE"/>
    <w:rsid w:val="00BE0C1C"/>
    <w:rsid w:val="00C065C8"/>
    <w:rsid w:val="00C075D4"/>
    <w:rsid w:val="00C21BC8"/>
    <w:rsid w:val="00C25550"/>
    <w:rsid w:val="00C30183"/>
    <w:rsid w:val="00C622FA"/>
    <w:rsid w:val="00C7502E"/>
    <w:rsid w:val="00C76FB7"/>
    <w:rsid w:val="00CD2823"/>
    <w:rsid w:val="00D00070"/>
    <w:rsid w:val="00D375BC"/>
    <w:rsid w:val="00D466D3"/>
    <w:rsid w:val="00D4786E"/>
    <w:rsid w:val="00D71EE8"/>
    <w:rsid w:val="00D836CD"/>
    <w:rsid w:val="00D85DEA"/>
    <w:rsid w:val="00DA0AD4"/>
    <w:rsid w:val="00DB18A5"/>
    <w:rsid w:val="00DB439A"/>
    <w:rsid w:val="00DD224D"/>
    <w:rsid w:val="00DD23B9"/>
    <w:rsid w:val="00DD303F"/>
    <w:rsid w:val="00DD5B65"/>
    <w:rsid w:val="00DF67F8"/>
    <w:rsid w:val="00E02E94"/>
    <w:rsid w:val="00E542C8"/>
    <w:rsid w:val="00E63F41"/>
    <w:rsid w:val="00E72ECA"/>
    <w:rsid w:val="00E96DD0"/>
    <w:rsid w:val="00E9770F"/>
    <w:rsid w:val="00EB4EBF"/>
    <w:rsid w:val="00ED1326"/>
    <w:rsid w:val="00ED19C3"/>
    <w:rsid w:val="00ED7169"/>
    <w:rsid w:val="00EF1C7C"/>
    <w:rsid w:val="00EF4F9D"/>
    <w:rsid w:val="00F01FAD"/>
    <w:rsid w:val="00F17BAC"/>
    <w:rsid w:val="00F17C78"/>
    <w:rsid w:val="00F316DF"/>
    <w:rsid w:val="00F53BBC"/>
    <w:rsid w:val="00F55BD4"/>
    <w:rsid w:val="00F5658F"/>
    <w:rsid w:val="00F77F67"/>
    <w:rsid w:val="00F85E72"/>
    <w:rsid w:val="00F87356"/>
    <w:rsid w:val="00FA3A8C"/>
    <w:rsid w:val="00FA58B9"/>
    <w:rsid w:val="00FA5D09"/>
    <w:rsid w:val="00FE4902"/>
    <w:rsid w:val="14D502EC"/>
    <w:rsid w:val="3CA81B44"/>
    <w:rsid w:val="4A9B7BEE"/>
    <w:rsid w:val="54A25695"/>
    <w:rsid w:val="5AA284B3"/>
    <w:rsid w:val="61C25264"/>
    <w:rsid w:val="702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6D303"/>
  <w15:chartTrackingRefBased/>
  <w15:docId w15:val="{43FD6208-1098-4040-94BD-D7089329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2B"/>
  </w:style>
  <w:style w:type="paragraph" w:styleId="ListParagraph">
    <w:name w:val="List Paragraph"/>
    <w:basedOn w:val="Normal"/>
    <w:uiPriority w:val="34"/>
    <w:qFormat/>
    <w:rsid w:val="001C512B"/>
    <w:pPr>
      <w:ind w:left="720"/>
      <w:contextualSpacing/>
    </w:pPr>
  </w:style>
  <w:style w:type="table" w:customStyle="1" w:styleId="myOwnTableStyle11">
    <w:name w:val="myOwnTableStyle11"/>
    <w:uiPriority w:val="99"/>
    <w:rsid w:val="001C512B"/>
    <w:pPr>
      <w:spacing w:after="200" w:line="276" w:lineRule="auto"/>
    </w:pPr>
    <w:rPr>
      <w:rFonts w:ascii="Arial" w:eastAsia="Arial" w:hAnsi="Arial" w:cs="Arial"/>
      <w:sz w:val="20"/>
      <w:szCs w:val="20"/>
      <w:lang w:eastAsia="ja-JP"/>
    </w:rPr>
    <w:tblPr>
      <w:tblBorders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  <w:insideH w:val="single" w:sz="6" w:space="0" w:color="DDDDDD"/>
        <w:insideV w:val="single" w:sz="6" w:space="0" w:color="DDDDDD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  <w:shd w:val="clear" w:color="auto" w:fill="DDDDDD"/>
      </w:tcPr>
    </w:tblStylePr>
  </w:style>
  <w:style w:type="paragraph" w:styleId="NormalWeb">
    <w:name w:val="Normal (Web)"/>
    <w:basedOn w:val="Normal"/>
    <w:uiPriority w:val="99"/>
    <w:unhideWhenUsed/>
    <w:rsid w:val="001C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2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BE"/>
  </w:style>
  <w:style w:type="character" w:styleId="Hyperlink">
    <w:name w:val="Hyperlink"/>
    <w:basedOn w:val="DefaultParagraphFont"/>
    <w:uiPriority w:val="99"/>
    <w:unhideWhenUsed/>
    <w:rsid w:val="00D37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72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83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.naf.org/public/lear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9386-AAF8-4092-822E-46E9A617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Aazam Irilian</dc:creator>
  <cp:keywords/>
  <dc:description/>
  <cp:lastModifiedBy>Lily González</cp:lastModifiedBy>
  <cp:revision>2</cp:revision>
  <dcterms:created xsi:type="dcterms:W3CDTF">2025-10-28T13:44:00Z</dcterms:created>
  <dcterms:modified xsi:type="dcterms:W3CDTF">2025-10-28T13:44:00Z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0b39bfb3be2afdb7d59133d98d5a319a8ac0082d6d7fbcabfd13505ad55b5c9c</vt:lpwstr>
  </property>
</Properties>
</file>