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5C248" w14:textId="74EE5FFC" w:rsidR="003069DC" w:rsidRDefault="004F1D21" w:rsidP="003069DC">
      <w:pPr>
        <w:pStyle w:val="CourseName"/>
      </w:pPr>
      <w:r>
        <w:t>AOHS</w:t>
      </w:r>
      <w:r w:rsidR="003069DC">
        <w:t xml:space="preserve"> </w:t>
      </w:r>
      <w:r>
        <w:t>Health Careers Exploration</w:t>
      </w:r>
    </w:p>
    <w:p w14:paraId="419AFA8E" w14:textId="77777777" w:rsidR="00C17572" w:rsidRPr="00C17572" w:rsidRDefault="00C17572" w:rsidP="003069DC">
      <w:pPr>
        <w:pStyle w:val="ResourceTitle"/>
      </w:pPr>
      <w:r w:rsidRPr="00C17572">
        <w:t xml:space="preserve">Learning Objectives Eligible for Assessment on </w:t>
      </w:r>
      <w:r w:rsidR="00A20745">
        <w:t xml:space="preserve">NAFTrack Certification </w:t>
      </w:r>
      <w:r w:rsidRPr="00C17572">
        <w:t xml:space="preserve">End-of-Course Examination </w:t>
      </w:r>
    </w:p>
    <w:p w14:paraId="718AEE7A" w14:textId="77777777" w:rsidR="003E179A" w:rsidRPr="003069DC" w:rsidRDefault="009B7ABA" w:rsidP="003069DC">
      <w:pPr>
        <w:pStyle w:val="Instructions"/>
      </w:pPr>
      <w:r>
        <w:t xml:space="preserve">Industry stakeholders and NAF educators reviewed this course to identify the 16 learning objectives that represent the most important content for students to master. The NAFTrack Certification end-of-course exam is based on these 16 key learning objectives. Some teachers find it necessary to make course modifications to meet local requirements or the needs of particular student populations. If you choose to modify this course, make sure you still cover the NAF content for these 16 learning objectives. </w:t>
      </w:r>
    </w:p>
    <w:tbl>
      <w:tblPr>
        <w:tblW w:w="5000" w:type="pct"/>
        <w:jc w:val="center"/>
        <w:tblCellMar>
          <w:left w:w="0" w:type="dxa"/>
          <w:right w:w="0" w:type="dxa"/>
        </w:tblCellMar>
        <w:tblLook w:val="04A0" w:firstRow="1" w:lastRow="0" w:firstColumn="1" w:lastColumn="0" w:noHBand="0" w:noVBand="1"/>
      </w:tblPr>
      <w:tblGrid>
        <w:gridCol w:w="1938"/>
        <w:gridCol w:w="387"/>
        <w:gridCol w:w="387"/>
        <w:gridCol w:w="387"/>
        <w:gridCol w:w="6299"/>
      </w:tblGrid>
      <w:tr w:rsidR="00C17572" w:rsidRPr="00C17572" w14:paraId="43C12F5D" w14:textId="77777777" w:rsidTr="003069DC">
        <w:trPr>
          <w:trHeight w:val="1872"/>
          <w:tblHeader/>
          <w:jc w:val="center"/>
        </w:trPr>
        <w:tc>
          <w:tcPr>
            <w:tcW w:w="1031" w:type="pct"/>
            <w:tcBorders>
              <w:top w:val="single" w:sz="4" w:space="0" w:color="auto"/>
              <w:left w:val="single" w:sz="4" w:space="0" w:color="auto"/>
              <w:bottom w:val="single" w:sz="4" w:space="0" w:color="auto"/>
              <w:right w:val="single" w:sz="4" w:space="0" w:color="auto"/>
            </w:tcBorders>
            <w:shd w:val="clear" w:color="000000" w:fill="D8D8D8"/>
            <w:tcMar>
              <w:top w:w="19" w:type="dxa"/>
              <w:left w:w="19" w:type="dxa"/>
              <w:bottom w:w="0" w:type="dxa"/>
              <w:right w:w="19" w:type="dxa"/>
            </w:tcMar>
            <w:vAlign w:val="center"/>
            <w:hideMark/>
          </w:tcPr>
          <w:p w14:paraId="79EBB6CD" w14:textId="77777777" w:rsidR="00C17572" w:rsidRPr="00C17572" w:rsidRDefault="00C17572" w:rsidP="00C17572">
            <w:pPr>
              <w:spacing w:after="0" w:line="240" w:lineRule="auto"/>
              <w:jc w:val="center"/>
              <w:rPr>
                <w:rFonts w:ascii="Calibri" w:hAnsi="Calibri" w:cs="Calibri"/>
                <w:b/>
                <w:bCs/>
              </w:rPr>
            </w:pPr>
            <w:r w:rsidRPr="00C17572">
              <w:rPr>
                <w:rFonts w:ascii="Calibri" w:hAnsi="Calibri" w:cs="Calibri"/>
                <w:b/>
                <w:bCs/>
              </w:rPr>
              <w:t>Unit Name</w:t>
            </w:r>
          </w:p>
        </w:tc>
        <w:tc>
          <w:tcPr>
            <w:tcW w:w="206" w:type="pct"/>
            <w:tcBorders>
              <w:top w:val="single" w:sz="4" w:space="0" w:color="auto"/>
              <w:left w:val="nil"/>
              <w:bottom w:val="single" w:sz="4" w:space="0" w:color="auto"/>
              <w:right w:val="single" w:sz="4" w:space="0" w:color="auto"/>
            </w:tcBorders>
            <w:shd w:val="clear" w:color="000000" w:fill="D8D8D8"/>
            <w:tcMar>
              <w:top w:w="19" w:type="dxa"/>
              <w:left w:w="19" w:type="dxa"/>
              <w:bottom w:w="0" w:type="dxa"/>
              <w:right w:w="19" w:type="dxa"/>
            </w:tcMar>
            <w:textDirection w:val="btLr"/>
            <w:vAlign w:val="center"/>
            <w:hideMark/>
          </w:tcPr>
          <w:p w14:paraId="62D0D9AC" w14:textId="77777777" w:rsidR="00C17572" w:rsidRPr="00C17572" w:rsidRDefault="00C17572" w:rsidP="00857185">
            <w:pPr>
              <w:spacing w:after="0" w:line="240" w:lineRule="auto"/>
              <w:jc w:val="center"/>
              <w:rPr>
                <w:rFonts w:ascii="Calibri" w:hAnsi="Calibri" w:cs="Calibri"/>
                <w:b/>
                <w:bCs/>
              </w:rPr>
            </w:pPr>
            <w:r w:rsidRPr="00C17572">
              <w:rPr>
                <w:rFonts w:ascii="Calibri" w:hAnsi="Calibri" w:cs="Calibri"/>
                <w:b/>
                <w:bCs/>
              </w:rPr>
              <w:t xml:space="preserve">Unit </w:t>
            </w:r>
            <w:r w:rsidR="00857185">
              <w:rPr>
                <w:rFonts w:ascii="Calibri" w:hAnsi="Calibri" w:cs="Calibri"/>
                <w:b/>
                <w:bCs/>
              </w:rPr>
              <w:t>#</w:t>
            </w:r>
          </w:p>
        </w:tc>
        <w:tc>
          <w:tcPr>
            <w:tcW w:w="206" w:type="pct"/>
            <w:tcBorders>
              <w:top w:val="single" w:sz="4" w:space="0" w:color="auto"/>
              <w:left w:val="nil"/>
              <w:bottom w:val="single" w:sz="4" w:space="0" w:color="auto"/>
              <w:right w:val="single" w:sz="4" w:space="0" w:color="auto"/>
            </w:tcBorders>
            <w:shd w:val="clear" w:color="000000" w:fill="D8D8D8"/>
            <w:tcMar>
              <w:top w:w="19" w:type="dxa"/>
              <w:left w:w="19" w:type="dxa"/>
              <w:bottom w:w="0" w:type="dxa"/>
              <w:right w:w="19" w:type="dxa"/>
            </w:tcMar>
            <w:textDirection w:val="btLr"/>
            <w:vAlign w:val="center"/>
            <w:hideMark/>
          </w:tcPr>
          <w:p w14:paraId="013B776D" w14:textId="77777777" w:rsidR="00C17572" w:rsidRPr="00C17572" w:rsidRDefault="00C17572" w:rsidP="00857185">
            <w:pPr>
              <w:spacing w:after="0" w:line="240" w:lineRule="auto"/>
              <w:jc w:val="center"/>
              <w:rPr>
                <w:rFonts w:ascii="Calibri" w:hAnsi="Calibri" w:cs="Calibri"/>
                <w:b/>
                <w:bCs/>
              </w:rPr>
            </w:pPr>
            <w:r w:rsidRPr="00C17572">
              <w:rPr>
                <w:rFonts w:ascii="Calibri" w:hAnsi="Calibri" w:cs="Calibri"/>
                <w:b/>
                <w:bCs/>
              </w:rPr>
              <w:t xml:space="preserve">Lesson </w:t>
            </w:r>
            <w:r w:rsidR="00857185">
              <w:rPr>
                <w:rFonts w:ascii="Calibri" w:hAnsi="Calibri" w:cs="Calibri"/>
                <w:b/>
                <w:bCs/>
              </w:rPr>
              <w:t>#</w:t>
            </w:r>
          </w:p>
        </w:tc>
        <w:tc>
          <w:tcPr>
            <w:tcW w:w="206" w:type="pct"/>
            <w:tcBorders>
              <w:top w:val="single" w:sz="4" w:space="0" w:color="auto"/>
              <w:left w:val="nil"/>
              <w:bottom w:val="single" w:sz="4" w:space="0" w:color="auto"/>
              <w:right w:val="single" w:sz="4" w:space="0" w:color="auto"/>
            </w:tcBorders>
            <w:shd w:val="clear" w:color="000000" w:fill="D8D8D8"/>
            <w:tcMar>
              <w:top w:w="19" w:type="dxa"/>
              <w:left w:w="19" w:type="dxa"/>
              <w:bottom w:w="0" w:type="dxa"/>
              <w:right w:w="19" w:type="dxa"/>
            </w:tcMar>
            <w:textDirection w:val="btLr"/>
            <w:vAlign w:val="center"/>
            <w:hideMark/>
          </w:tcPr>
          <w:p w14:paraId="61613F34" w14:textId="77777777" w:rsidR="00C17572" w:rsidRPr="00C17572" w:rsidRDefault="00C17572" w:rsidP="00C17572">
            <w:pPr>
              <w:spacing w:after="0" w:line="240" w:lineRule="auto"/>
              <w:jc w:val="center"/>
              <w:rPr>
                <w:rFonts w:ascii="Calibri" w:hAnsi="Calibri" w:cs="Calibri"/>
                <w:b/>
                <w:bCs/>
              </w:rPr>
            </w:pPr>
            <w:r w:rsidRPr="00C17572">
              <w:rPr>
                <w:rFonts w:ascii="Calibri" w:hAnsi="Calibri" w:cs="Calibri"/>
                <w:b/>
                <w:bCs/>
              </w:rPr>
              <w:t>Learning Objective</w:t>
            </w:r>
          </w:p>
        </w:tc>
        <w:tc>
          <w:tcPr>
            <w:tcW w:w="3351" w:type="pct"/>
            <w:tcBorders>
              <w:top w:val="single" w:sz="4" w:space="0" w:color="auto"/>
              <w:left w:val="nil"/>
              <w:bottom w:val="single" w:sz="4" w:space="0" w:color="auto"/>
              <w:right w:val="single" w:sz="4" w:space="0" w:color="auto"/>
            </w:tcBorders>
            <w:shd w:val="clear" w:color="000000" w:fill="D8D8D8"/>
            <w:tcMar>
              <w:top w:w="19" w:type="dxa"/>
              <w:left w:w="19" w:type="dxa"/>
              <w:bottom w:w="0" w:type="dxa"/>
              <w:right w:w="19" w:type="dxa"/>
            </w:tcMar>
            <w:vAlign w:val="center"/>
            <w:hideMark/>
          </w:tcPr>
          <w:p w14:paraId="6AC286FB" w14:textId="77777777" w:rsidR="00C17572" w:rsidRPr="00C17572" w:rsidRDefault="00C17572" w:rsidP="00C17572">
            <w:pPr>
              <w:spacing w:after="0" w:line="240" w:lineRule="auto"/>
              <w:jc w:val="center"/>
              <w:rPr>
                <w:rFonts w:ascii="Calibri" w:hAnsi="Calibri" w:cs="Calibri"/>
                <w:b/>
                <w:bCs/>
              </w:rPr>
            </w:pPr>
            <w:r w:rsidRPr="00C17572">
              <w:rPr>
                <w:rFonts w:ascii="Calibri" w:hAnsi="Calibri" w:cs="Calibri"/>
                <w:b/>
                <w:bCs/>
              </w:rPr>
              <w:t>Description</w:t>
            </w:r>
          </w:p>
        </w:tc>
      </w:tr>
      <w:tr w:rsidR="004F1D21" w:rsidRPr="00C17572" w14:paraId="15121B26" w14:textId="77777777" w:rsidTr="004F1D21">
        <w:trPr>
          <w:trHeight w:val="360"/>
          <w:jc w:val="center"/>
        </w:trPr>
        <w:tc>
          <w:tcPr>
            <w:tcW w:w="1031" w:type="pct"/>
            <w:vMerge w:val="restart"/>
            <w:tcBorders>
              <w:top w:val="single" w:sz="4" w:space="0" w:color="auto"/>
              <w:left w:val="single" w:sz="4" w:space="0" w:color="auto"/>
              <w:right w:val="single" w:sz="4" w:space="0" w:color="auto"/>
            </w:tcBorders>
            <w:vAlign w:val="center"/>
          </w:tcPr>
          <w:p w14:paraId="6542D701" w14:textId="2F9C0FB9" w:rsidR="004F1D21" w:rsidRPr="00C17572" w:rsidRDefault="004F1D21" w:rsidP="004F1D21">
            <w:pPr>
              <w:spacing w:after="0" w:line="240" w:lineRule="auto"/>
              <w:ind w:left="0" w:firstLine="0"/>
              <w:jc w:val="center"/>
              <w:rPr>
                <w:rFonts w:ascii="Calibri" w:hAnsi="Calibri" w:cs="Calibri"/>
              </w:rPr>
            </w:pPr>
            <w:r w:rsidRPr="0043490C">
              <w:rPr>
                <w:rFonts w:ascii="Calibri" w:hAnsi="Calibri" w:cs="Arial"/>
                <w:szCs w:val="20"/>
              </w:rPr>
              <w:t>Introduction to the Health Care Profession</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03F217F" w14:textId="1113FDF5"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0F4E0B4" w14:textId="47025A00"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D5D0B84" w14:textId="40437C1B"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5</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58FB4A6" w14:textId="77FCE3EF" w:rsidR="004F1D21" w:rsidRPr="004F1D21" w:rsidRDefault="004F1D21" w:rsidP="004F1D21">
            <w:pPr>
              <w:spacing w:after="0" w:line="240" w:lineRule="auto"/>
              <w:ind w:left="58" w:firstLine="0"/>
              <w:rPr>
                <w:rFonts w:asciiTheme="minorHAnsi" w:hAnsiTheme="minorHAnsi" w:cs="Calibri"/>
                <w:color w:val="000000"/>
                <w:szCs w:val="20"/>
              </w:rPr>
            </w:pPr>
            <w:r w:rsidRPr="004F1D21">
              <w:rPr>
                <w:rFonts w:asciiTheme="minorHAnsi" w:hAnsiTheme="minorHAnsi"/>
                <w:szCs w:val="20"/>
              </w:rPr>
              <w:t>Describe the trends and potential advances in health care treatments over the next few decades, and identify associated careers that may emerge</w:t>
            </w:r>
          </w:p>
        </w:tc>
      </w:tr>
      <w:tr w:rsidR="004F1D21" w:rsidRPr="00C17572" w14:paraId="605D53E2" w14:textId="77777777" w:rsidTr="004F1D21">
        <w:trPr>
          <w:trHeight w:val="360"/>
          <w:jc w:val="center"/>
        </w:trPr>
        <w:tc>
          <w:tcPr>
            <w:tcW w:w="1031" w:type="pct"/>
            <w:vMerge/>
            <w:tcBorders>
              <w:left w:val="single" w:sz="4" w:space="0" w:color="auto"/>
              <w:bottom w:val="single" w:sz="4" w:space="0" w:color="auto"/>
              <w:right w:val="single" w:sz="4" w:space="0" w:color="auto"/>
            </w:tcBorders>
            <w:vAlign w:val="center"/>
          </w:tcPr>
          <w:p w14:paraId="72A84849"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CE9FD4C" w14:textId="3BC136A5"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7A73249" w14:textId="7E5A244A"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4410704" w14:textId="632F2E9B"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9</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DB6FEE5" w14:textId="241BD6BD"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Describe occupations in each of the five main career pathways in terms of key education and employment-related characteristics</w:t>
            </w:r>
          </w:p>
        </w:tc>
      </w:tr>
      <w:tr w:rsidR="004F1D21" w:rsidRPr="00C17572" w14:paraId="1ECC6B1A" w14:textId="77777777" w:rsidTr="004F1D21">
        <w:trPr>
          <w:trHeight w:val="360"/>
          <w:jc w:val="center"/>
        </w:trPr>
        <w:tc>
          <w:tcPr>
            <w:tcW w:w="1031" w:type="pct"/>
            <w:vMerge w:val="restart"/>
            <w:tcBorders>
              <w:top w:val="single" w:sz="4" w:space="0" w:color="auto"/>
              <w:left w:val="single" w:sz="4" w:space="0" w:color="auto"/>
              <w:right w:val="single" w:sz="4" w:space="0" w:color="auto"/>
            </w:tcBorders>
            <w:vAlign w:val="center"/>
          </w:tcPr>
          <w:p w14:paraId="3EF0D1E1" w14:textId="2642DAC2" w:rsidR="004F1D21" w:rsidRPr="00C17572" w:rsidRDefault="004F1D21" w:rsidP="004F1D21">
            <w:pPr>
              <w:spacing w:after="0" w:line="240" w:lineRule="auto"/>
              <w:ind w:left="0" w:firstLine="0"/>
              <w:jc w:val="center"/>
              <w:rPr>
                <w:rFonts w:ascii="Calibri" w:hAnsi="Calibri" w:cs="Calibri"/>
              </w:rPr>
            </w:pPr>
            <w:r w:rsidRPr="0043490C">
              <w:rPr>
                <w:rFonts w:ascii="Calibri" w:hAnsi="Calibri" w:cs="Arial"/>
                <w:szCs w:val="20"/>
              </w:rPr>
              <w:t>Disease Control and Prevention</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7B08BB1" w14:textId="6DCF1E77"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0AEBCECF" w14:textId="3DD09AD7"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36995F2" w14:textId="06D0FB42"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4AA27F9" w14:textId="1A43BB97"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Compare and contrast how a doctor would address a typical health issue versus how a public health professional would address the same issue</w:t>
            </w:r>
          </w:p>
        </w:tc>
      </w:tr>
      <w:tr w:rsidR="004F1D21" w:rsidRPr="00C17572" w14:paraId="7C2789B0" w14:textId="77777777" w:rsidTr="004F1D21">
        <w:trPr>
          <w:trHeight w:val="360"/>
          <w:jc w:val="center"/>
        </w:trPr>
        <w:tc>
          <w:tcPr>
            <w:tcW w:w="1031" w:type="pct"/>
            <w:vMerge/>
            <w:tcBorders>
              <w:left w:val="single" w:sz="4" w:space="0" w:color="auto"/>
              <w:right w:val="single" w:sz="4" w:space="0" w:color="auto"/>
            </w:tcBorders>
            <w:vAlign w:val="center"/>
          </w:tcPr>
          <w:p w14:paraId="233590A6"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8FAFFBA" w14:textId="33805491"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0317117" w14:textId="5D3907CE"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3CC561F" w14:textId="6FED4E76"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0110CA24" w14:textId="7DE802E5"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Identify major public health issues and explain why they are important</w:t>
            </w:r>
          </w:p>
        </w:tc>
      </w:tr>
      <w:tr w:rsidR="004F1D21" w:rsidRPr="00C17572" w14:paraId="4E288E23" w14:textId="77777777" w:rsidTr="004F1D21">
        <w:trPr>
          <w:trHeight w:val="360"/>
          <w:jc w:val="center"/>
        </w:trPr>
        <w:tc>
          <w:tcPr>
            <w:tcW w:w="1031" w:type="pct"/>
            <w:vMerge/>
            <w:tcBorders>
              <w:left w:val="single" w:sz="4" w:space="0" w:color="auto"/>
              <w:bottom w:val="single" w:sz="4" w:space="0" w:color="auto"/>
              <w:right w:val="single" w:sz="4" w:space="0" w:color="auto"/>
            </w:tcBorders>
            <w:vAlign w:val="center"/>
          </w:tcPr>
          <w:p w14:paraId="13DA1123"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FD035D2" w14:textId="48C3F91C"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1AD856A" w14:textId="213892FF"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8E42253" w14:textId="126C02BA"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305BCCB" w14:textId="54B154FD"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Identify and compare duties, responsibilities, educational requirements, and employment trends for professionals in the public health field</w:t>
            </w:r>
          </w:p>
        </w:tc>
      </w:tr>
      <w:tr w:rsidR="004F1D21" w:rsidRPr="00C17572" w14:paraId="4D08D957" w14:textId="77777777" w:rsidTr="004F1D21">
        <w:trPr>
          <w:trHeight w:val="360"/>
          <w:jc w:val="center"/>
        </w:trPr>
        <w:tc>
          <w:tcPr>
            <w:tcW w:w="1031" w:type="pct"/>
            <w:vMerge w:val="restart"/>
            <w:tcBorders>
              <w:top w:val="single" w:sz="4" w:space="0" w:color="auto"/>
              <w:left w:val="single" w:sz="4" w:space="0" w:color="auto"/>
              <w:right w:val="single" w:sz="4" w:space="0" w:color="auto"/>
            </w:tcBorders>
            <w:vAlign w:val="center"/>
          </w:tcPr>
          <w:p w14:paraId="4D06009A" w14:textId="6EFF5AF6" w:rsidR="004F1D21" w:rsidRPr="00C17572" w:rsidRDefault="004F1D21" w:rsidP="004F1D21">
            <w:pPr>
              <w:spacing w:after="0" w:line="240" w:lineRule="auto"/>
              <w:ind w:left="0" w:firstLine="0"/>
              <w:jc w:val="center"/>
              <w:rPr>
                <w:rFonts w:ascii="Calibri" w:hAnsi="Calibri" w:cs="Calibri"/>
              </w:rPr>
            </w:pPr>
            <w:r w:rsidRPr="0043490C">
              <w:rPr>
                <w:rFonts w:ascii="Calibri" w:hAnsi="Calibri" w:cs="Arial"/>
                <w:szCs w:val="20"/>
              </w:rPr>
              <w:t>Medical Services</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A51F08E" w14:textId="55518AFF"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48664E8" w14:textId="344E4DC0"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7</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2D9F2B9" w14:textId="3B0994EB"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E415FE7" w14:textId="79A2D0DC"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Identify and compare duties, responsibilities, and educational requirements of diverse caregivers who provide primary care</w:t>
            </w:r>
          </w:p>
        </w:tc>
      </w:tr>
      <w:tr w:rsidR="004F1D21" w:rsidRPr="00C17572" w14:paraId="6E14604D" w14:textId="77777777" w:rsidTr="004F1D21">
        <w:trPr>
          <w:trHeight w:val="360"/>
          <w:jc w:val="center"/>
        </w:trPr>
        <w:tc>
          <w:tcPr>
            <w:tcW w:w="1031" w:type="pct"/>
            <w:vMerge/>
            <w:tcBorders>
              <w:left w:val="single" w:sz="4" w:space="0" w:color="auto"/>
              <w:right w:val="single" w:sz="4" w:space="0" w:color="auto"/>
            </w:tcBorders>
            <w:vAlign w:val="center"/>
          </w:tcPr>
          <w:p w14:paraId="6786AFD3"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5142DF6" w14:textId="763391C9"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233F6F4" w14:textId="336CD49D"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7</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E95DE81" w14:textId="712569F7"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6860255" w14:textId="435F2E41"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Categorize into th</w:t>
            </w:r>
            <w:bookmarkStart w:id="0" w:name="_GoBack"/>
            <w:bookmarkEnd w:id="0"/>
            <w:r w:rsidRPr="0043490C">
              <w:rPr>
                <w:rFonts w:ascii="Calibri" w:hAnsi="Calibri" w:cs="Arial"/>
                <w:szCs w:val="20"/>
              </w:rPr>
              <w:t>e five pathways the health careers of professionals who work in a doctor's office</w:t>
            </w:r>
          </w:p>
        </w:tc>
      </w:tr>
      <w:tr w:rsidR="004F1D21" w:rsidRPr="00C17572" w14:paraId="0B1A3915" w14:textId="77777777" w:rsidTr="004F1D21">
        <w:trPr>
          <w:trHeight w:val="360"/>
          <w:jc w:val="center"/>
        </w:trPr>
        <w:tc>
          <w:tcPr>
            <w:tcW w:w="1031" w:type="pct"/>
            <w:vMerge/>
            <w:tcBorders>
              <w:left w:val="single" w:sz="4" w:space="0" w:color="auto"/>
              <w:right w:val="single" w:sz="4" w:space="0" w:color="auto"/>
            </w:tcBorders>
            <w:vAlign w:val="center"/>
          </w:tcPr>
          <w:p w14:paraId="1EBF599E"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DDDCEC0" w14:textId="357E4177"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151791D" w14:textId="47A24181"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8</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DA00D74" w14:textId="36B7D272"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6</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030CC4C" w14:textId="45113E6C"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Identify and compare the duties, responsibilities, and educational requirements of diverse professions within the diagnostic pathway</w:t>
            </w:r>
          </w:p>
        </w:tc>
      </w:tr>
      <w:tr w:rsidR="004F1D21" w:rsidRPr="00C17572" w14:paraId="13CDF1C1" w14:textId="77777777" w:rsidTr="004F1D21">
        <w:trPr>
          <w:trHeight w:val="360"/>
          <w:jc w:val="center"/>
        </w:trPr>
        <w:tc>
          <w:tcPr>
            <w:tcW w:w="1031" w:type="pct"/>
            <w:vMerge/>
            <w:tcBorders>
              <w:left w:val="single" w:sz="4" w:space="0" w:color="auto"/>
              <w:right w:val="single" w:sz="4" w:space="0" w:color="auto"/>
            </w:tcBorders>
            <w:vAlign w:val="center"/>
          </w:tcPr>
          <w:p w14:paraId="080C9A52"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688FE66" w14:textId="41949B5D"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0947B41" w14:textId="7D19085D"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9</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B492B2E" w14:textId="4462BFDC"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12</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10A50E3" w14:textId="1B67404D"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Describe the nursing process that registered nurses (RNs) follow when working with patients</w:t>
            </w:r>
          </w:p>
        </w:tc>
      </w:tr>
      <w:tr w:rsidR="004F1D21" w:rsidRPr="00C17572" w14:paraId="6E8606B0" w14:textId="77777777" w:rsidTr="004F1D21">
        <w:trPr>
          <w:trHeight w:val="360"/>
          <w:jc w:val="center"/>
        </w:trPr>
        <w:tc>
          <w:tcPr>
            <w:tcW w:w="1031" w:type="pct"/>
            <w:vMerge/>
            <w:tcBorders>
              <w:left w:val="single" w:sz="4" w:space="0" w:color="auto"/>
              <w:bottom w:val="single" w:sz="4" w:space="0" w:color="auto"/>
              <w:right w:val="single" w:sz="4" w:space="0" w:color="auto"/>
            </w:tcBorders>
            <w:vAlign w:val="center"/>
          </w:tcPr>
          <w:p w14:paraId="343A5CE7"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E0AE0B9" w14:textId="631A9A98"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25BF063" w14:textId="0EA9A425"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10</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C21D995" w14:textId="1D0ADAA3"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15</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9A51E3F" w14:textId="447265B9"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Describe the importance of nurse charting and explain how it is used</w:t>
            </w:r>
          </w:p>
        </w:tc>
      </w:tr>
      <w:tr w:rsidR="004F1D21" w:rsidRPr="00C17572" w14:paraId="282FDE45" w14:textId="77777777" w:rsidTr="004F1D21">
        <w:trPr>
          <w:trHeight w:val="360"/>
          <w:jc w:val="center"/>
        </w:trPr>
        <w:tc>
          <w:tcPr>
            <w:tcW w:w="1031" w:type="pct"/>
            <w:vMerge w:val="restart"/>
            <w:tcBorders>
              <w:top w:val="single" w:sz="4" w:space="0" w:color="auto"/>
              <w:left w:val="single" w:sz="4" w:space="0" w:color="auto"/>
              <w:right w:val="single" w:sz="4" w:space="0" w:color="auto"/>
            </w:tcBorders>
            <w:vAlign w:val="center"/>
          </w:tcPr>
          <w:p w14:paraId="0E4D4517" w14:textId="10E48986"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Psychological Services</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5603C73" w14:textId="2A7C872A"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7FBF15B" w14:textId="065A138E"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11</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766E0EA" w14:textId="5D789774" w:rsidR="004F1D21" w:rsidRPr="00C17572" w:rsidRDefault="0047226C" w:rsidP="004F1D21">
            <w:pPr>
              <w:spacing w:after="0" w:line="240" w:lineRule="auto"/>
              <w:jc w:val="center"/>
              <w:rPr>
                <w:rFonts w:ascii="Calibri" w:hAnsi="Calibri" w:cs="Calibri"/>
              </w:rPr>
            </w:pPr>
            <w:r>
              <w:rPr>
                <w:rFonts w:ascii="Calibri" w:hAnsi="Calibri" w:cs="Arial"/>
                <w:szCs w:val="20"/>
              </w:rPr>
              <w:t>1</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00CF34F9" w14:textId="29022D29"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Explain how mental health professionals differentiate between healthy and symptomatic behaviors using established criteria</w:t>
            </w:r>
          </w:p>
        </w:tc>
      </w:tr>
      <w:tr w:rsidR="004F1D21" w:rsidRPr="00C17572" w14:paraId="2A7405B4" w14:textId="77777777" w:rsidTr="006247C2">
        <w:trPr>
          <w:trHeight w:val="360"/>
          <w:jc w:val="center"/>
        </w:trPr>
        <w:tc>
          <w:tcPr>
            <w:tcW w:w="1031" w:type="pct"/>
            <w:vMerge/>
            <w:tcBorders>
              <w:left w:val="single" w:sz="4" w:space="0" w:color="auto"/>
              <w:right w:val="single" w:sz="4" w:space="0" w:color="auto"/>
            </w:tcBorders>
            <w:vAlign w:val="center"/>
          </w:tcPr>
          <w:p w14:paraId="4F6EBE2E" w14:textId="77777777" w:rsidR="004F1D21" w:rsidRPr="00C17572" w:rsidRDefault="004F1D21" w:rsidP="004F1D21">
            <w:pPr>
              <w:spacing w:after="0" w:line="240" w:lineRule="auto"/>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682CA21" w14:textId="538B56D5"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2914D39" w14:textId="238F1A86"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12</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B4C5980" w14:textId="4D045A32" w:rsidR="004F1D21" w:rsidRPr="00C17572" w:rsidRDefault="00322AF5" w:rsidP="004F1D21">
            <w:pPr>
              <w:spacing w:after="0" w:line="240" w:lineRule="auto"/>
              <w:jc w:val="center"/>
              <w:rPr>
                <w:rFonts w:ascii="Calibri" w:hAnsi="Calibri" w:cs="Calibri"/>
              </w:rPr>
            </w:pPr>
            <w:r>
              <w:rPr>
                <w:rFonts w:ascii="Calibri" w:hAnsi="Calibri" w:cs="Arial"/>
                <w:szCs w:val="20"/>
              </w:rPr>
              <w:t>6</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tcPr>
          <w:p w14:paraId="1B125C84" w14:textId="4CD10FD7" w:rsidR="004F1D21" w:rsidRPr="00C17572" w:rsidRDefault="004F1D21" w:rsidP="004F1D21">
            <w:pPr>
              <w:spacing w:after="0" w:line="240" w:lineRule="auto"/>
              <w:ind w:left="58" w:firstLine="0"/>
              <w:rPr>
                <w:rFonts w:ascii="Calibri" w:hAnsi="Calibri" w:cs="Calibri"/>
                <w:color w:val="000000"/>
              </w:rPr>
            </w:pPr>
            <w:r w:rsidRPr="0043490C">
              <w:rPr>
                <w:rFonts w:asciiTheme="minorHAnsi" w:hAnsiTheme="minorHAnsi"/>
                <w:szCs w:val="20"/>
              </w:rPr>
              <w:t xml:space="preserve">Compare the range of mental health professions including requirements for education, training, salary and personal qualities </w:t>
            </w:r>
          </w:p>
        </w:tc>
      </w:tr>
      <w:tr w:rsidR="004F1D21" w:rsidRPr="00C17572" w14:paraId="3F9A582E" w14:textId="77777777" w:rsidTr="0012244A">
        <w:trPr>
          <w:trHeight w:val="360"/>
          <w:jc w:val="center"/>
        </w:trPr>
        <w:tc>
          <w:tcPr>
            <w:tcW w:w="1031" w:type="pct"/>
            <w:vMerge w:val="restart"/>
            <w:tcBorders>
              <w:top w:val="single" w:sz="4" w:space="0" w:color="auto"/>
              <w:left w:val="single" w:sz="4" w:space="0" w:color="auto"/>
              <w:right w:val="single" w:sz="4" w:space="0" w:color="auto"/>
            </w:tcBorders>
            <w:shd w:val="clear" w:color="auto" w:fill="auto"/>
            <w:tcMar>
              <w:top w:w="19" w:type="dxa"/>
              <w:left w:w="19" w:type="dxa"/>
              <w:bottom w:w="0" w:type="dxa"/>
              <w:right w:w="19" w:type="dxa"/>
            </w:tcMar>
            <w:vAlign w:val="center"/>
          </w:tcPr>
          <w:p w14:paraId="77A2B57F" w14:textId="5796C9A9" w:rsidR="004F1D21" w:rsidRPr="00C17572" w:rsidRDefault="004F1D21" w:rsidP="004F1D21">
            <w:pPr>
              <w:spacing w:after="0" w:line="240" w:lineRule="auto"/>
              <w:ind w:left="0" w:firstLine="0"/>
              <w:jc w:val="center"/>
              <w:rPr>
                <w:rFonts w:ascii="Calibri" w:hAnsi="Calibri" w:cs="Calibri"/>
              </w:rPr>
            </w:pPr>
            <w:r w:rsidRPr="0043490C">
              <w:rPr>
                <w:rFonts w:ascii="Calibri" w:hAnsi="Calibri" w:cs="Arial"/>
                <w:szCs w:val="20"/>
              </w:rPr>
              <w:t>Dental Services and Informatics</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819B376" w14:textId="4EC3330F"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5</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D06861D" w14:textId="318A980C"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0E53F4FC" w14:textId="2CF7D6C8"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2</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5EA10FB" w14:textId="3AF78901"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Compare and contrast the roles, responsibilities, educational requirements, and employment trends of the various dental careers</w:t>
            </w:r>
          </w:p>
        </w:tc>
      </w:tr>
      <w:tr w:rsidR="004F1D21" w:rsidRPr="00C17572" w14:paraId="5CE799A7" w14:textId="77777777" w:rsidTr="0012244A">
        <w:trPr>
          <w:trHeight w:val="360"/>
          <w:jc w:val="center"/>
        </w:trPr>
        <w:tc>
          <w:tcPr>
            <w:tcW w:w="1031" w:type="pct"/>
            <w:vMerge/>
            <w:tcBorders>
              <w:left w:val="single" w:sz="4" w:space="0" w:color="auto"/>
              <w:right w:val="single" w:sz="4" w:space="0" w:color="auto"/>
            </w:tcBorders>
            <w:shd w:val="clear" w:color="auto" w:fill="auto"/>
            <w:tcMar>
              <w:top w:w="19" w:type="dxa"/>
              <w:left w:w="19" w:type="dxa"/>
              <w:bottom w:w="0" w:type="dxa"/>
              <w:right w:w="19" w:type="dxa"/>
            </w:tcMar>
            <w:vAlign w:val="center"/>
          </w:tcPr>
          <w:p w14:paraId="65A604BE" w14:textId="77777777" w:rsidR="004F1D21" w:rsidRPr="00C17572" w:rsidRDefault="004F1D21" w:rsidP="004F1D21">
            <w:pPr>
              <w:spacing w:after="0" w:line="240" w:lineRule="auto"/>
              <w:ind w:left="0" w:firstLine="0"/>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D10D46D" w14:textId="454FB6BE"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5</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9B2268C" w14:textId="1E226686"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13</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27DB79B" w14:textId="28C3F1CE"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6</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BF97AC4" w14:textId="00203E7C"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Explain the relationship between oral hygiene and disease</w:t>
            </w:r>
          </w:p>
        </w:tc>
      </w:tr>
      <w:tr w:rsidR="004F1D21" w:rsidRPr="00C17572" w14:paraId="0F6F6154" w14:textId="77777777" w:rsidTr="0012244A">
        <w:trPr>
          <w:trHeight w:val="360"/>
          <w:jc w:val="center"/>
        </w:trPr>
        <w:tc>
          <w:tcPr>
            <w:tcW w:w="1031" w:type="pct"/>
            <w:vMerge/>
            <w:tcBorders>
              <w:left w:val="single" w:sz="4" w:space="0" w:color="auto"/>
              <w:right w:val="single" w:sz="4" w:space="0" w:color="auto"/>
            </w:tcBorders>
            <w:shd w:val="clear" w:color="auto" w:fill="auto"/>
            <w:tcMar>
              <w:top w:w="19" w:type="dxa"/>
              <w:left w:w="19" w:type="dxa"/>
              <w:bottom w:w="0" w:type="dxa"/>
              <w:right w:w="19" w:type="dxa"/>
            </w:tcMar>
            <w:vAlign w:val="center"/>
          </w:tcPr>
          <w:p w14:paraId="1A30F600" w14:textId="77777777" w:rsidR="004F1D21" w:rsidRPr="00C17572" w:rsidRDefault="004F1D21" w:rsidP="004F1D21">
            <w:pPr>
              <w:spacing w:after="0" w:line="240" w:lineRule="auto"/>
              <w:ind w:left="0" w:firstLine="0"/>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635A2661" w14:textId="7009DBEF"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5</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147F42EA" w14:textId="45474534"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136BF28" w14:textId="5A36BAF9"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9</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5C504B8E" w14:textId="00AFCF8F"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Explain the content and diverse uses of health information and describe the systems and guidelines used to disseminate this information</w:t>
            </w:r>
          </w:p>
        </w:tc>
      </w:tr>
      <w:tr w:rsidR="004F1D21" w:rsidRPr="00C17572" w14:paraId="31D7AEAE" w14:textId="77777777" w:rsidTr="0012244A">
        <w:trPr>
          <w:trHeight w:val="360"/>
          <w:jc w:val="center"/>
        </w:trPr>
        <w:tc>
          <w:tcPr>
            <w:tcW w:w="1031" w:type="pct"/>
            <w:vMerge/>
            <w:tcBorders>
              <w:left w:val="single" w:sz="4" w:space="0" w:color="auto"/>
              <w:bottom w:val="single" w:sz="4" w:space="0" w:color="auto"/>
              <w:right w:val="single" w:sz="4" w:space="0" w:color="auto"/>
            </w:tcBorders>
            <w:shd w:val="clear" w:color="auto" w:fill="auto"/>
            <w:tcMar>
              <w:top w:w="19" w:type="dxa"/>
              <w:left w:w="19" w:type="dxa"/>
              <w:bottom w:w="0" w:type="dxa"/>
              <w:right w:w="19" w:type="dxa"/>
            </w:tcMar>
            <w:vAlign w:val="center"/>
          </w:tcPr>
          <w:p w14:paraId="7878AE10" w14:textId="77777777" w:rsidR="004F1D21" w:rsidRPr="00C17572" w:rsidRDefault="004F1D21" w:rsidP="004F1D21">
            <w:pPr>
              <w:spacing w:after="0" w:line="240" w:lineRule="auto"/>
              <w:ind w:left="0" w:firstLine="0"/>
              <w:jc w:val="center"/>
              <w:rPr>
                <w:rFonts w:ascii="Calibri" w:hAnsi="Calibri" w:cs="Calibri"/>
              </w:rPr>
            </w:pP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48BA8B4E" w14:textId="73BA400B"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5</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377F13F7" w14:textId="4B37CE72"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14</w:t>
            </w:r>
          </w:p>
        </w:tc>
        <w:tc>
          <w:tcPr>
            <w:tcW w:w="206"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212DC266" w14:textId="36F7D8BC" w:rsidR="004F1D21" w:rsidRPr="00C17572" w:rsidRDefault="004F1D21" w:rsidP="004F1D21">
            <w:pPr>
              <w:spacing w:after="0" w:line="240" w:lineRule="auto"/>
              <w:jc w:val="center"/>
              <w:rPr>
                <w:rFonts w:ascii="Calibri" w:hAnsi="Calibri" w:cs="Calibri"/>
              </w:rPr>
            </w:pPr>
            <w:r w:rsidRPr="0043490C">
              <w:rPr>
                <w:rFonts w:ascii="Calibri" w:hAnsi="Calibri" w:cs="Arial"/>
                <w:szCs w:val="20"/>
              </w:rPr>
              <w:t>13</w:t>
            </w:r>
          </w:p>
        </w:tc>
        <w:tc>
          <w:tcPr>
            <w:tcW w:w="3351" w:type="pct"/>
            <w:tcBorders>
              <w:top w:val="single" w:sz="4" w:space="0" w:color="auto"/>
              <w:left w:val="nil"/>
              <w:bottom w:val="single" w:sz="4" w:space="0" w:color="auto"/>
              <w:right w:val="single" w:sz="4" w:space="0" w:color="auto"/>
            </w:tcBorders>
            <w:shd w:val="clear" w:color="auto" w:fill="auto"/>
            <w:tcMar>
              <w:top w:w="19" w:type="dxa"/>
              <w:left w:w="19" w:type="dxa"/>
              <w:bottom w:w="0" w:type="dxa"/>
              <w:right w:w="19" w:type="dxa"/>
            </w:tcMar>
            <w:vAlign w:val="bottom"/>
          </w:tcPr>
          <w:p w14:paraId="73878A75" w14:textId="5D427EA9" w:rsidR="004F1D21" w:rsidRPr="00C17572" w:rsidRDefault="004F1D21" w:rsidP="004F1D21">
            <w:pPr>
              <w:spacing w:after="0" w:line="240" w:lineRule="auto"/>
              <w:ind w:left="58" w:firstLine="0"/>
              <w:rPr>
                <w:rFonts w:ascii="Calibri" w:hAnsi="Calibri" w:cs="Calibri"/>
                <w:color w:val="000000"/>
              </w:rPr>
            </w:pPr>
            <w:r w:rsidRPr="0043490C">
              <w:rPr>
                <w:rFonts w:ascii="Calibri" w:hAnsi="Calibri" w:cs="Arial"/>
                <w:szCs w:val="20"/>
              </w:rPr>
              <w:t>Explain the objectives of HIPAA and its major provisions</w:t>
            </w:r>
          </w:p>
        </w:tc>
      </w:tr>
    </w:tbl>
    <w:p w14:paraId="1F35C53D" w14:textId="77777777" w:rsidR="00C17572" w:rsidRPr="00C17572" w:rsidRDefault="00C17572" w:rsidP="004F1D21">
      <w:pPr>
        <w:keepNext/>
        <w:spacing w:after="0" w:line="240" w:lineRule="auto"/>
        <w:outlineLvl w:val="1"/>
        <w:rPr>
          <w:rFonts w:ascii="Calibri" w:hAnsi="Calibri" w:cs="Arial"/>
        </w:rPr>
      </w:pPr>
    </w:p>
    <w:sectPr w:rsidR="00C17572" w:rsidRPr="00C17572" w:rsidSect="00C17572">
      <w:footerReference w:type="default" r:id="rId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DF8C8" w14:textId="77777777" w:rsidR="00C73C7F" w:rsidRDefault="00C73C7F" w:rsidP="00C17572">
      <w:pPr>
        <w:spacing w:after="0" w:line="240" w:lineRule="auto"/>
      </w:pPr>
      <w:r>
        <w:separator/>
      </w:r>
    </w:p>
  </w:endnote>
  <w:endnote w:type="continuationSeparator" w:id="0">
    <w:p w14:paraId="4D9F35E0" w14:textId="77777777" w:rsidR="00C73C7F" w:rsidRDefault="00C73C7F" w:rsidP="00C17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37C4D" w14:textId="51144732" w:rsidR="00F02042" w:rsidRPr="001175C4" w:rsidRDefault="00F02042" w:rsidP="00F02042">
    <w:pPr>
      <w:pStyle w:val="Footer"/>
      <w:rPr>
        <w:szCs w:val="16"/>
      </w:rPr>
    </w:pPr>
    <w:r w:rsidRPr="001175C4">
      <w:rPr>
        <w:szCs w:val="16"/>
      </w:rPr>
      <w:t xml:space="preserve">Copyright © </w:t>
    </w:r>
    <w:r>
      <w:rPr>
        <w:szCs w:val="16"/>
      </w:rPr>
      <w:t>2015</w:t>
    </w:r>
    <w:r w:rsidRPr="001175C4">
      <w:rPr>
        <w:szCs w:val="16"/>
      </w:rPr>
      <w:t xml:space="preserve"> </w:t>
    </w:r>
    <w:r w:rsidR="00D22228">
      <w:rPr>
        <w:szCs w:val="16"/>
      </w:rPr>
      <w:t>NAF</w:t>
    </w:r>
    <w:r w:rsidRPr="001175C4">
      <w:rPr>
        <w:szCs w:val="16"/>
      </w:rPr>
      <w:t>. All rights reserved.</w:t>
    </w:r>
  </w:p>
  <w:p w14:paraId="7C54847D" w14:textId="77777777" w:rsidR="00EF0B31" w:rsidRDefault="008E6159" w:rsidP="00BB1836">
    <w:pPr>
      <w:pStyle w:val="Footer"/>
      <w:tabs>
        <w:tab w:val="left" w:pos="9640"/>
        <w:tab w:val="right" w:pos="12960"/>
      </w:tabs>
      <w:rPr>
        <w:rFonts w:ascii="Calibri" w:hAnsi="Calibri"/>
        <w:sz w:val="20"/>
      </w:rPr>
    </w:pPr>
    <w:r>
      <w:rPr>
        <w:rFonts w:ascii="Calibri" w:hAnsi="Calibr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55C46" w14:textId="77777777" w:rsidR="00C73C7F" w:rsidRDefault="00C73C7F" w:rsidP="00C17572">
      <w:pPr>
        <w:spacing w:after="0" w:line="240" w:lineRule="auto"/>
      </w:pPr>
      <w:r>
        <w:separator/>
      </w:r>
    </w:p>
  </w:footnote>
  <w:footnote w:type="continuationSeparator" w:id="0">
    <w:p w14:paraId="6B6F79EF" w14:textId="77777777" w:rsidR="00C73C7F" w:rsidRDefault="00C73C7F" w:rsidP="00C175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3"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num>
  <w:num w:numId="2">
    <w:abstractNumId w:val="13"/>
  </w:num>
  <w:num w:numId="3">
    <w:abstractNumId w:val="11"/>
  </w:num>
  <w:num w:numId="4">
    <w:abstractNumId w:val="1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1"/>
    <w:lvlOverride w:ilvl="0">
      <w:startOverride w:val="1"/>
    </w:lvlOverride>
  </w:num>
  <w:num w:numId="16">
    <w:abstractNumId w:val="11"/>
    <w:lvlOverride w:ilvl="0">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17572"/>
    <w:rsid w:val="000239AC"/>
    <w:rsid w:val="000459C8"/>
    <w:rsid w:val="000D6A3A"/>
    <w:rsid w:val="000F1BD6"/>
    <w:rsid w:val="001A710B"/>
    <w:rsid w:val="001B4BF1"/>
    <w:rsid w:val="001F1A07"/>
    <w:rsid w:val="00212A8B"/>
    <w:rsid w:val="00233948"/>
    <w:rsid w:val="00277164"/>
    <w:rsid w:val="00281D5F"/>
    <w:rsid w:val="002F3E2D"/>
    <w:rsid w:val="003069DC"/>
    <w:rsid w:val="00322AF5"/>
    <w:rsid w:val="003516AD"/>
    <w:rsid w:val="003D5653"/>
    <w:rsid w:val="003E179A"/>
    <w:rsid w:val="003E7668"/>
    <w:rsid w:val="0047226C"/>
    <w:rsid w:val="00477A69"/>
    <w:rsid w:val="004815A6"/>
    <w:rsid w:val="00495E2D"/>
    <w:rsid w:val="004B1935"/>
    <w:rsid w:val="004F1D21"/>
    <w:rsid w:val="0065179D"/>
    <w:rsid w:val="0066513E"/>
    <w:rsid w:val="006678DE"/>
    <w:rsid w:val="00667B2C"/>
    <w:rsid w:val="00714229"/>
    <w:rsid w:val="00741A38"/>
    <w:rsid w:val="0084732A"/>
    <w:rsid w:val="00857185"/>
    <w:rsid w:val="008D645F"/>
    <w:rsid w:val="008D7F90"/>
    <w:rsid w:val="008E6159"/>
    <w:rsid w:val="009A0305"/>
    <w:rsid w:val="009B7ABA"/>
    <w:rsid w:val="00A01BEF"/>
    <w:rsid w:val="00A20745"/>
    <w:rsid w:val="00AF1308"/>
    <w:rsid w:val="00BD4D82"/>
    <w:rsid w:val="00BE48DF"/>
    <w:rsid w:val="00C10BA8"/>
    <w:rsid w:val="00C17572"/>
    <w:rsid w:val="00C27196"/>
    <w:rsid w:val="00C3763C"/>
    <w:rsid w:val="00C51A1A"/>
    <w:rsid w:val="00C73C7F"/>
    <w:rsid w:val="00CA2096"/>
    <w:rsid w:val="00D22228"/>
    <w:rsid w:val="00D34B22"/>
    <w:rsid w:val="00DE3C45"/>
    <w:rsid w:val="00DF2505"/>
    <w:rsid w:val="00EA4C54"/>
    <w:rsid w:val="00F02042"/>
    <w:rsid w:val="00F23E6F"/>
    <w:rsid w:val="00FE7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3B3373"/>
  <w15:docId w15:val="{DFC2B013-A720-457A-9E4A-2B419F310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069DC"/>
    <w:pPr>
      <w:spacing w:after="120" w:line="240" w:lineRule="atLeast"/>
      <w:ind w:left="576" w:hanging="576"/>
    </w:pPr>
    <w:rPr>
      <w:rFonts w:ascii="Arial" w:eastAsia="Times New Roman" w:hAnsi="Arial" w:cs="Times New Roman"/>
      <w:sz w:val="20"/>
      <w:szCs w:val="24"/>
    </w:rPr>
  </w:style>
  <w:style w:type="paragraph" w:styleId="Heading1">
    <w:name w:val="heading 1"/>
    <w:basedOn w:val="Normal"/>
    <w:next w:val="Normal"/>
    <w:link w:val="Heading1Char"/>
    <w:rsid w:val="003069DC"/>
    <w:pPr>
      <w:keepNext/>
      <w:spacing w:before="240" w:after="60"/>
      <w:outlineLvl w:val="0"/>
    </w:pPr>
    <w:rPr>
      <w:rFonts w:cs="Arial"/>
      <w:b/>
      <w:bCs/>
      <w:kern w:val="32"/>
      <w:sz w:val="32"/>
      <w:szCs w:val="32"/>
    </w:rPr>
  </w:style>
  <w:style w:type="paragraph" w:styleId="Heading3">
    <w:name w:val="heading 3"/>
    <w:basedOn w:val="Normal"/>
    <w:next w:val="Normal"/>
    <w:link w:val="Heading3Char"/>
    <w:rsid w:val="003069D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069DC"/>
    <w:pPr>
      <w:tabs>
        <w:tab w:val="center" w:pos="4320"/>
        <w:tab w:val="right" w:pos="8640"/>
      </w:tabs>
      <w:ind w:left="0" w:firstLine="0"/>
    </w:pPr>
    <w:rPr>
      <w:sz w:val="16"/>
    </w:rPr>
  </w:style>
  <w:style w:type="character" w:customStyle="1" w:styleId="FooterChar">
    <w:name w:val="Footer Char"/>
    <w:basedOn w:val="DefaultParagraphFont"/>
    <w:link w:val="Footer"/>
    <w:rsid w:val="00C17572"/>
    <w:rPr>
      <w:rFonts w:ascii="Arial" w:eastAsia="Times New Roman" w:hAnsi="Arial" w:cs="Times New Roman"/>
      <w:sz w:val="16"/>
      <w:szCs w:val="24"/>
    </w:rPr>
  </w:style>
  <w:style w:type="character" w:styleId="PageNumber">
    <w:name w:val="page number"/>
    <w:basedOn w:val="DefaultParagraphFont"/>
    <w:semiHidden/>
    <w:rsid w:val="00C17572"/>
  </w:style>
  <w:style w:type="paragraph" w:styleId="Header">
    <w:name w:val="header"/>
    <w:basedOn w:val="Normal"/>
    <w:link w:val="HeaderChar"/>
    <w:rsid w:val="003069DC"/>
    <w:pPr>
      <w:tabs>
        <w:tab w:val="center" w:pos="4320"/>
        <w:tab w:val="right" w:pos="8640"/>
      </w:tabs>
      <w:ind w:left="0" w:firstLine="0"/>
    </w:pPr>
  </w:style>
  <w:style w:type="character" w:customStyle="1" w:styleId="HeaderChar">
    <w:name w:val="Header Char"/>
    <w:basedOn w:val="DefaultParagraphFont"/>
    <w:link w:val="Header"/>
    <w:rsid w:val="00C17572"/>
    <w:rPr>
      <w:rFonts w:ascii="Arial" w:eastAsia="Times New Roman" w:hAnsi="Arial" w:cs="Times New Roman"/>
      <w:sz w:val="20"/>
      <w:szCs w:val="24"/>
    </w:rPr>
  </w:style>
  <w:style w:type="character" w:customStyle="1" w:styleId="Heading1Char">
    <w:name w:val="Heading 1 Char"/>
    <w:basedOn w:val="DefaultParagraphFont"/>
    <w:link w:val="Heading1"/>
    <w:rsid w:val="003069DC"/>
    <w:rPr>
      <w:rFonts w:ascii="Arial" w:eastAsia="Times New Roman" w:hAnsi="Arial" w:cs="Arial"/>
      <w:b/>
      <w:bCs/>
      <w:kern w:val="32"/>
      <w:sz w:val="32"/>
      <w:szCs w:val="32"/>
    </w:rPr>
  </w:style>
  <w:style w:type="character" w:customStyle="1" w:styleId="Heading3Char">
    <w:name w:val="Heading 3 Char"/>
    <w:basedOn w:val="DefaultParagraphFont"/>
    <w:link w:val="Heading3"/>
    <w:rsid w:val="003069DC"/>
    <w:rPr>
      <w:rFonts w:ascii="Arial" w:eastAsia="Times New Roman" w:hAnsi="Arial" w:cs="Arial"/>
      <w:b/>
      <w:bCs/>
      <w:sz w:val="26"/>
      <w:szCs w:val="26"/>
    </w:rPr>
  </w:style>
  <w:style w:type="paragraph" w:customStyle="1" w:styleId="TableHeadings">
    <w:name w:val="Table Headings"/>
    <w:basedOn w:val="Normal"/>
    <w:autoRedefine/>
    <w:qFormat/>
    <w:rsid w:val="003069DC"/>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3069DC"/>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rsid w:val="003069DC"/>
    <w:rPr>
      <w:rFonts w:ascii="Arial" w:eastAsia="Times New Roman" w:hAnsi="Arial" w:cs="Arial"/>
      <w:color w:val="000000"/>
      <w:sz w:val="20"/>
      <w:szCs w:val="24"/>
    </w:rPr>
  </w:style>
  <w:style w:type="paragraph" w:customStyle="1" w:styleId="BL">
    <w:name w:val="BL"/>
    <w:basedOn w:val="Normal"/>
    <w:autoRedefine/>
    <w:qFormat/>
    <w:rsid w:val="003069DC"/>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3069DC"/>
    <w:pPr>
      <w:numPr>
        <w:numId w:val="1"/>
      </w:numPr>
      <w:tabs>
        <w:tab w:val="clear" w:pos="1080"/>
        <w:tab w:val="left" w:pos="360"/>
      </w:tabs>
      <w:spacing w:before="240"/>
      <w:ind w:left="648"/>
    </w:pPr>
  </w:style>
  <w:style w:type="paragraph" w:customStyle="1" w:styleId="ResourceNo">
    <w:name w:val="ResourceNo"/>
    <w:basedOn w:val="Normal"/>
    <w:next w:val="ResourceTitle"/>
    <w:link w:val="ResourceNoChar"/>
    <w:autoRedefine/>
    <w:qFormat/>
    <w:rsid w:val="003069DC"/>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3069DC"/>
    <w:rPr>
      <w:rFonts w:ascii="Arial" w:eastAsia="Times New Roman" w:hAnsi="Arial" w:cs="AvenirLT-Heavy"/>
      <w:b/>
      <w:color w:val="27448B"/>
      <w:sz w:val="20"/>
      <w:szCs w:val="44"/>
    </w:rPr>
  </w:style>
  <w:style w:type="paragraph" w:customStyle="1" w:styleId="LessonNo">
    <w:name w:val="LessonNo"/>
    <w:basedOn w:val="Normal"/>
    <w:rsid w:val="003069DC"/>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3069DC"/>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3069DC"/>
    <w:pPr>
      <w:tabs>
        <w:tab w:val="clear" w:pos="1080"/>
      </w:tabs>
    </w:pPr>
    <w:rPr>
      <w:rFonts w:cs="Tahoma"/>
    </w:rPr>
  </w:style>
  <w:style w:type="paragraph" w:customStyle="1" w:styleId="Instructions">
    <w:name w:val="Instructions"/>
    <w:basedOn w:val="BodyText"/>
    <w:autoRedefine/>
    <w:rsid w:val="003069DC"/>
    <w:pPr>
      <w:tabs>
        <w:tab w:val="left" w:pos="1620"/>
        <w:tab w:val="left" w:pos="4320"/>
        <w:tab w:val="left" w:pos="4680"/>
      </w:tabs>
      <w:spacing w:after="240"/>
    </w:pPr>
    <w:rPr>
      <w:i/>
      <w:color w:val="27448B"/>
      <w:szCs w:val="20"/>
    </w:rPr>
  </w:style>
  <w:style w:type="paragraph" w:customStyle="1" w:styleId="Resources">
    <w:name w:val="Resources"/>
    <w:basedOn w:val="Normal"/>
    <w:rsid w:val="003069DC"/>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3069DC"/>
    <w:rPr>
      <w:rFonts w:cs="Times New Roman"/>
      <w:sz w:val="16"/>
      <w:szCs w:val="16"/>
    </w:rPr>
  </w:style>
  <w:style w:type="paragraph" w:customStyle="1" w:styleId="CrieriaTablelist">
    <w:name w:val="Crieria Table list"/>
    <w:basedOn w:val="BodyText"/>
    <w:autoRedefine/>
    <w:rsid w:val="003069DC"/>
    <w:rPr>
      <w:rFonts w:cs="Times New Roman"/>
    </w:rPr>
  </w:style>
  <w:style w:type="paragraph" w:customStyle="1" w:styleId="ResourceTitle">
    <w:name w:val="Resource Title"/>
    <w:basedOn w:val="Normal"/>
    <w:next w:val="BodyText"/>
    <w:autoRedefine/>
    <w:qFormat/>
    <w:rsid w:val="003069DC"/>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3069DC"/>
    <w:rPr>
      <w:szCs w:val="20"/>
    </w:rPr>
  </w:style>
  <w:style w:type="character" w:customStyle="1" w:styleId="CommentTextChar">
    <w:name w:val="Comment Text Char"/>
    <w:basedOn w:val="DefaultParagraphFont"/>
    <w:link w:val="CommentText"/>
    <w:semiHidden/>
    <w:rsid w:val="003069DC"/>
    <w:rPr>
      <w:rFonts w:ascii="Arial" w:eastAsia="Times New Roman" w:hAnsi="Arial" w:cs="Times New Roman"/>
      <w:sz w:val="20"/>
      <w:szCs w:val="20"/>
    </w:rPr>
  </w:style>
  <w:style w:type="paragraph" w:customStyle="1" w:styleId="H1">
    <w:name w:val="H1"/>
    <w:basedOn w:val="Normal"/>
    <w:autoRedefine/>
    <w:qFormat/>
    <w:rsid w:val="003069DC"/>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link w:val="CommentSubjectChar"/>
    <w:semiHidden/>
    <w:rsid w:val="003069DC"/>
    <w:rPr>
      <w:b/>
      <w:bCs/>
    </w:rPr>
  </w:style>
  <w:style w:type="character" w:customStyle="1" w:styleId="CommentSubjectChar">
    <w:name w:val="Comment Subject Char"/>
    <w:basedOn w:val="CommentTextChar"/>
    <w:link w:val="CommentSubject"/>
    <w:semiHidden/>
    <w:rsid w:val="003069DC"/>
    <w:rPr>
      <w:rFonts w:ascii="Arial" w:eastAsia="Times New Roman" w:hAnsi="Arial" w:cs="Times New Roman"/>
      <w:b/>
      <w:bCs/>
      <w:sz w:val="20"/>
      <w:szCs w:val="20"/>
    </w:rPr>
  </w:style>
  <w:style w:type="paragraph" w:styleId="BalloonText">
    <w:name w:val="Balloon Text"/>
    <w:basedOn w:val="Normal"/>
    <w:link w:val="BalloonTextChar"/>
    <w:semiHidden/>
    <w:rsid w:val="003069DC"/>
    <w:rPr>
      <w:rFonts w:ascii="Tahoma" w:hAnsi="Tahoma" w:cs="Tahoma"/>
      <w:sz w:val="16"/>
      <w:szCs w:val="16"/>
    </w:rPr>
  </w:style>
  <w:style w:type="character" w:customStyle="1" w:styleId="BalloonTextChar">
    <w:name w:val="Balloon Text Char"/>
    <w:basedOn w:val="DefaultParagraphFont"/>
    <w:link w:val="BalloonText"/>
    <w:semiHidden/>
    <w:rsid w:val="003069DC"/>
    <w:rPr>
      <w:rFonts w:ascii="Tahoma" w:eastAsia="Times New Roman" w:hAnsi="Tahoma" w:cs="Tahoma"/>
      <w:sz w:val="16"/>
      <w:szCs w:val="16"/>
    </w:rPr>
  </w:style>
  <w:style w:type="character" w:styleId="Hyperlink">
    <w:name w:val="Hyperlink"/>
    <w:basedOn w:val="DefaultParagraphFont"/>
    <w:rsid w:val="003069DC"/>
    <w:rPr>
      <w:rFonts w:cs="Times New Roman"/>
      <w:color w:val="0000FF"/>
      <w:u w:val="single"/>
    </w:rPr>
  </w:style>
  <w:style w:type="paragraph" w:customStyle="1" w:styleId="CourseName">
    <w:name w:val="Course Name"/>
    <w:basedOn w:val="Normal"/>
    <w:autoRedefine/>
    <w:rsid w:val="003069DC"/>
    <w:pPr>
      <w:spacing w:line="240" w:lineRule="auto"/>
      <w:jc w:val="center"/>
    </w:pPr>
    <w:rPr>
      <w:rFonts w:cs="Arial"/>
      <w:color w:val="003399"/>
      <w:sz w:val="36"/>
      <w:szCs w:val="36"/>
    </w:rPr>
  </w:style>
  <w:style w:type="paragraph" w:customStyle="1" w:styleId="RubricTableheadings">
    <w:name w:val="Rubric Table headings"/>
    <w:basedOn w:val="TableText"/>
    <w:rsid w:val="003069DC"/>
    <w:rPr>
      <w:b/>
      <w:bCs/>
      <w:color w:val="FFFFFF"/>
    </w:rPr>
  </w:style>
  <w:style w:type="paragraph" w:customStyle="1" w:styleId="Checkboxplacement">
    <w:name w:val="Checkbox placement"/>
    <w:basedOn w:val="BodyText"/>
    <w:autoRedefine/>
    <w:rsid w:val="003069DC"/>
    <w:rPr>
      <w:sz w:val="36"/>
    </w:rPr>
  </w:style>
  <w:style w:type="character" w:customStyle="1" w:styleId="Answerkey">
    <w:name w:val="Answer key"/>
    <w:basedOn w:val="DefaultParagraphFont"/>
    <w:qFormat/>
    <w:rsid w:val="003069DC"/>
    <w:rPr>
      <w:rFonts w:ascii="Arial" w:hAnsi="Arial"/>
      <w:i/>
      <w:color w:val="0000FF"/>
      <w:sz w:val="20"/>
      <w:szCs w:val="20"/>
    </w:rPr>
  </w:style>
  <w:style w:type="paragraph" w:customStyle="1" w:styleId="Headers">
    <w:name w:val="Headers"/>
    <w:basedOn w:val="Normal"/>
    <w:autoRedefine/>
    <w:rsid w:val="003069DC"/>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3069DC"/>
    <w:pPr>
      <w:numPr>
        <w:numId w:val="0"/>
      </w:numPr>
      <w:spacing w:before="120"/>
      <w:ind w:left="634"/>
    </w:pPr>
  </w:style>
  <w:style w:type="paragraph" w:customStyle="1" w:styleId="H2">
    <w:name w:val="H2"/>
    <w:basedOn w:val="Normal"/>
    <w:next w:val="Normal"/>
    <w:autoRedefine/>
    <w:qFormat/>
    <w:rsid w:val="003069DC"/>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3069DC"/>
    <w:pPr>
      <w:spacing w:before="120"/>
    </w:pPr>
    <w:rPr>
      <w:b w:val="0"/>
      <w:sz w:val="24"/>
    </w:rPr>
  </w:style>
  <w:style w:type="paragraph" w:customStyle="1" w:styleId="code">
    <w:name w:val="code"/>
    <w:basedOn w:val="BodyText"/>
    <w:autoRedefine/>
    <w:rsid w:val="003069DC"/>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3069DC"/>
    <w:pPr>
      <w:spacing w:after="12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3069DC"/>
    <w:pPr>
      <w:ind w:left="720"/>
    </w:pPr>
  </w:style>
  <w:style w:type="paragraph" w:customStyle="1" w:styleId="codeindent2">
    <w:name w:val="code indent 2"/>
    <w:basedOn w:val="code"/>
    <w:rsid w:val="003069DC"/>
    <w:pPr>
      <w:ind w:left="1440"/>
    </w:pPr>
  </w:style>
  <w:style w:type="character" w:customStyle="1" w:styleId="codechar">
    <w:name w:val="code char"/>
    <w:basedOn w:val="DefaultParagraphFont"/>
    <w:rsid w:val="003069DC"/>
    <w:rPr>
      <w:rFonts w:ascii="Courier" w:hAnsi="Courier"/>
      <w:sz w:val="20"/>
    </w:rPr>
  </w:style>
  <w:style w:type="paragraph" w:customStyle="1" w:styleId="TableHeadingsBlack">
    <w:name w:val="Table Headings Black"/>
    <w:basedOn w:val="TableHeadings"/>
    <w:autoRedefine/>
    <w:rsid w:val="003069DC"/>
    <w:rPr>
      <w:color w:val="000000"/>
    </w:rPr>
  </w:style>
  <w:style w:type="paragraph" w:customStyle="1" w:styleId="ActivityHead">
    <w:name w:val="Activity Head"/>
    <w:basedOn w:val="Normal"/>
    <w:autoRedefine/>
    <w:rsid w:val="003069DC"/>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3069DC"/>
    <w:pPr>
      <w:spacing w:after="0" w:line="240" w:lineRule="auto"/>
    </w:pPr>
    <w:rPr>
      <w:rFonts w:ascii="Times New Roman" w:eastAsia="Times New Roman" w:hAnsi="Times New Roman" w:cs="Times New Roman"/>
      <w:color w:val="000000"/>
      <w:sz w:val="20"/>
      <w:szCs w:val="2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3069DC"/>
  </w:style>
  <w:style w:type="paragraph" w:customStyle="1" w:styleId="BL-sub">
    <w:name w:val="BL-sub"/>
    <w:basedOn w:val="BL"/>
    <w:qFormat/>
    <w:rsid w:val="003069DC"/>
    <w:pPr>
      <w:numPr>
        <w:numId w:val="4"/>
      </w:numPr>
      <w:ind w:left="1008"/>
    </w:pPr>
  </w:style>
  <w:style w:type="paragraph" w:customStyle="1" w:styleId="Presentationtext">
    <w:name w:val="Presentation text"/>
    <w:basedOn w:val="BodyText"/>
    <w:rsid w:val="003069DC"/>
    <w:rPr>
      <w:sz w:val="18"/>
    </w:rPr>
  </w:style>
  <w:style w:type="paragraph" w:customStyle="1" w:styleId="TableBL">
    <w:name w:val="Table BL"/>
    <w:basedOn w:val="BL"/>
    <w:autoRedefine/>
    <w:qFormat/>
    <w:rsid w:val="003069DC"/>
    <w:pPr>
      <w:tabs>
        <w:tab w:val="left" w:pos="360"/>
      </w:tabs>
      <w:spacing w:before="0" w:after="80"/>
      <w:ind w:left="360"/>
    </w:pPr>
  </w:style>
  <w:style w:type="paragraph" w:customStyle="1" w:styleId="TableIndent">
    <w:name w:val="Table Indent"/>
    <w:basedOn w:val="Indent"/>
    <w:autoRedefine/>
    <w:qFormat/>
    <w:rsid w:val="003069DC"/>
    <w:pPr>
      <w:ind w:left="360"/>
    </w:pPr>
    <w:rPr>
      <w:rFonts w:cs="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ather\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9</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8</cp:revision>
  <dcterms:created xsi:type="dcterms:W3CDTF">2015-07-15T05:14:00Z</dcterms:created>
  <dcterms:modified xsi:type="dcterms:W3CDTF">2016-05-16T02:30:00Z</dcterms:modified>
</cp:coreProperties>
</file>