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E0166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FE0166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4E5B8B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E5B8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0166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 xml:space="preserve">glaseret </w:t>
      </w:r>
      <w:r w:rsidR="00FE0166">
        <w:rPr>
          <w:rFonts w:cs="Arial"/>
          <w:color w:val="1D1D1B"/>
          <w:szCs w:val="20"/>
        </w:rPr>
        <w:t>sølv</w:t>
      </w:r>
      <w:r w:rsidR="00D933A2">
        <w:rPr>
          <w:rFonts w:cs="Arial"/>
          <w:color w:val="1D1D1B"/>
          <w:szCs w:val="20"/>
        </w:rPr>
        <w:t>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FE0166">
        <w:rPr>
          <w:rFonts w:cs="Arial"/>
          <w:color w:val="1D1D1B"/>
          <w:spacing w:val="-7"/>
          <w:szCs w:val="20"/>
        </w:rPr>
        <w:t>5699191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r>
        <w:rPr>
          <w:rFonts w:cs="Arial"/>
          <w:color w:val="1D1D1B"/>
          <w:szCs w:val="20"/>
        </w:rPr>
        <w:t>Tegelen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D933A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D933A2" w:rsidRPr="00D933A2">
        <w:rPr>
          <w:rFonts w:cs="Arial"/>
          <w:color w:val="1D1D1B"/>
          <w:szCs w:val="20"/>
        </w:rPr>
        <w:t>S</w:t>
      </w:r>
      <w:r w:rsidR="00FE0166">
        <w:rPr>
          <w:rFonts w:cs="Arial"/>
          <w:color w:val="1D1D1B"/>
          <w:szCs w:val="20"/>
        </w:rPr>
        <w:t>85</w:t>
      </w:r>
      <w:r w:rsidR="00D933A2" w:rsidRPr="00D933A2">
        <w:rPr>
          <w:rFonts w:cs="Arial"/>
          <w:color w:val="1D1D1B"/>
          <w:szCs w:val="20"/>
        </w:rPr>
        <w:t>00-N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FE0166">
        <w:rPr>
          <w:rFonts w:cs="Arial"/>
          <w:color w:val="1D1D1B"/>
          <w:szCs w:val="20"/>
        </w:rPr>
        <w:t>146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  <w:bookmarkStart w:id="9" w:name="_GoBack"/>
      <w:bookmarkEnd w:id="9"/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r w:rsidRPr="0008548C">
        <w:t xml:space="preserve">Spærafstand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r w:rsidRPr="0008548C">
        <w:t>Spærafstand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Spærafstand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>Spalter eller studse ved tagfod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tagfod,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E5B8B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>Afstanden mellem tagrende og stern/facade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Under den nederste lægte skal der også være min. 25 mm ventilationsspalte mellem lægten og undertaget. Lægten kan evt. smigskæres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4E5B8B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>tig afvandning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kan trækkes ind i konstruktionen, dog ikke længere end der efterlades en ventilationsspalte mellem fodblik og tagsten på min. 15 mm. (Iflg. T36 kræves ventilationsspalte ved tagfod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skal være placeret over undertagets butylklæbning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E5B8B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Placering af ventileret fuglegitter over butylbånd resulterer i, at butylbåndet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E5B8B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4E5B8B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>Samtlige tagsten i den øverste række tagsten forbores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4E5B8B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>Ventileret rygningsbånd (Metalroll, Figaroll Plus eller Dry</w:t>
            </w:r>
            <w:r w:rsidR="00EB206D">
              <w:t>roll)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>de papsøm.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>skal dette påklæbes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>rygningsbåndets butylstrimmel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4E5B8B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4E5B8B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E5B8B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ovenforliggende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E5B8B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r w:rsidR="00B3333B" w:rsidRPr="001C4B4A">
              <w:rPr>
                <w:rStyle w:val="Hyperlink"/>
              </w:rPr>
              <w:t>Opstregningmål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4E5B8B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4E5B8B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Aftrækshætter skal fortrinsvis placeres nær rygningen. Dermed understøttes skorstenseffekten, og aftrækshætterne udsættes ikke for rutchende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4E5B8B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FE0166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8B" w:rsidRDefault="004E5B8B" w:rsidP="00753BED">
      <w:pPr>
        <w:spacing w:after="0" w:line="240" w:lineRule="auto"/>
      </w:pPr>
      <w:r>
        <w:separator/>
      </w:r>
    </w:p>
  </w:endnote>
  <w:endnote w:type="continuationSeparator" w:id="0">
    <w:p w:rsidR="004E5B8B" w:rsidRDefault="004E5B8B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E016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E016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8B" w:rsidRDefault="004E5B8B" w:rsidP="00753BED">
      <w:pPr>
        <w:spacing w:after="0" w:line="240" w:lineRule="auto"/>
      </w:pPr>
      <w:r>
        <w:separator/>
      </w:r>
    </w:p>
  </w:footnote>
  <w:footnote w:type="continuationSeparator" w:id="0">
    <w:p w:rsidR="004E5B8B" w:rsidRDefault="004E5B8B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E5B8B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727CF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B66AC"/>
    <w:rsid w:val="00FD05DA"/>
    <w:rsid w:val="00FD4D33"/>
    <w:rsid w:val="00FE0166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D7B1-8ACA-4428-9F2A-AFABD6ED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2017-09-26T06:37:00Z</cp:lastPrinted>
  <dcterms:created xsi:type="dcterms:W3CDTF">2017-09-26T06:39:00Z</dcterms:created>
  <dcterms:modified xsi:type="dcterms:W3CDTF">2017-09-26T06:39:00Z</dcterms:modified>
</cp:coreProperties>
</file>