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837B9F" w:rsidP="007B18B8">
      <w:pPr>
        <w:spacing w:after="180"/>
        <w:rPr>
          <w:b/>
          <w:sz w:val="44"/>
          <w:szCs w:val="44"/>
        </w:rPr>
      </w:pPr>
      <w:r>
        <w:rPr>
          <w:b/>
          <w:sz w:val="44"/>
          <w:szCs w:val="44"/>
        </w:rPr>
        <w:t>Iceberg</w:t>
      </w:r>
    </w:p>
    <w:p w:rsidR="007B18B8" w:rsidRDefault="007B18B8" w:rsidP="007B18B8">
      <w:pPr>
        <w:spacing w:after="180"/>
      </w:pPr>
    </w:p>
    <w:p w:rsidR="00837B9F" w:rsidRPr="00837B9F" w:rsidRDefault="00837B9F" w:rsidP="00837B9F">
      <w:pPr>
        <w:spacing w:line="276" w:lineRule="auto"/>
        <w:rPr>
          <w:lang w:val="en-US"/>
        </w:rPr>
      </w:pPr>
      <w:r w:rsidRPr="00837B9F">
        <w:rPr>
          <w:lang w:val="en-US"/>
        </w:rPr>
        <w:t>Most of an iceberg is below the surface.</w:t>
      </w:r>
    </w:p>
    <w:p w:rsidR="00837B9F" w:rsidRDefault="00837B9F" w:rsidP="00837B9F">
      <w:pPr>
        <w:spacing w:line="276" w:lineRule="auto"/>
        <w:ind w:right="118"/>
        <w:rPr>
          <w:lang w:val="en-US"/>
        </w:rPr>
      </w:pPr>
      <w:r w:rsidRPr="00837B9F">
        <w:rPr>
          <w:lang w:val="en-US"/>
        </w:rPr>
        <w:t>Only one tenth of an iceberg can be seen above the surface.</w:t>
      </w:r>
    </w:p>
    <w:p w:rsidR="00837B9F" w:rsidRDefault="00837B9F" w:rsidP="00837B9F">
      <w:pPr>
        <w:spacing w:line="276" w:lineRule="auto"/>
        <w:ind w:right="118"/>
        <w:rPr>
          <w:lang w:val="en-US"/>
        </w:rPr>
      </w:pPr>
    </w:p>
    <w:p w:rsidR="00837B9F" w:rsidRPr="00837B9F" w:rsidRDefault="00837B9F" w:rsidP="00837B9F">
      <w:pPr>
        <w:spacing w:line="276" w:lineRule="auto"/>
        <w:ind w:right="118"/>
        <w:rPr>
          <w:lang w:val="en-US"/>
        </w:rPr>
      </w:pPr>
    </w:p>
    <w:p w:rsidR="00837B9F" w:rsidRDefault="00837B9F" w:rsidP="00837B9F">
      <w:pPr>
        <w:spacing w:after="240"/>
        <w:ind w:right="1394"/>
        <w:jc w:val="center"/>
        <w:rPr>
          <w:szCs w:val="18"/>
          <w:highlight w:val="yellow"/>
          <w:lang w:val="en-US"/>
        </w:rPr>
      </w:pPr>
      <w:r>
        <w:rPr>
          <w:noProof/>
          <w:szCs w:val="18"/>
          <w:highlight w:val="yellow"/>
          <w:lang w:eastAsia="en-GB"/>
        </w:rPr>
        <w:drawing>
          <wp:inline distT="0" distB="0" distL="0" distR="0" wp14:anchorId="0CCFE45A">
            <wp:extent cx="4480239" cy="2524836"/>
            <wp:effectExtent l="0" t="0" r="0" b="8890"/>
            <wp:docPr id="1042" name="Pictur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6525" cy="2534014"/>
                    </a:xfrm>
                    <a:prstGeom prst="rect">
                      <a:avLst/>
                    </a:prstGeom>
                    <a:noFill/>
                  </pic:spPr>
                </pic:pic>
              </a:graphicData>
            </a:graphic>
          </wp:inline>
        </w:drawing>
      </w:r>
    </w:p>
    <w:p w:rsidR="00837B9F" w:rsidRDefault="00837B9F" w:rsidP="00837B9F">
      <w:pPr>
        <w:spacing w:after="120"/>
        <w:rPr>
          <w:sz w:val="28"/>
          <w:szCs w:val="18"/>
          <w:lang w:val="en-US"/>
        </w:rPr>
      </w:pPr>
    </w:p>
    <w:p w:rsidR="00837B9F" w:rsidRPr="00837B9F" w:rsidRDefault="00837B9F" w:rsidP="00837B9F">
      <w:pPr>
        <w:spacing w:after="120"/>
        <w:rPr>
          <w:sz w:val="28"/>
          <w:szCs w:val="18"/>
        </w:rPr>
      </w:pPr>
      <w:r w:rsidRPr="00837B9F">
        <w:rPr>
          <w:sz w:val="28"/>
          <w:szCs w:val="18"/>
          <w:lang w:val="en-US"/>
        </w:rPr>
        <w:t>What parts of this iceberg are floating?</w:t>
      </w:r>
    </w:p>
    <w:p w:rsidR="007B18B8" w:rsidRPr="00837B9F" w:rsidRDefault="007B18B8" w:rsidP="00837B9F">
      <w:pPr>
        <w:spacing w:after="120"/>
        <w:rPr>
          <w:i/>
        </w:rPr>
      </w:pPr>
      <w:r w:rsidRPr="00837B9F">
        <w:rPr>
          <w:i/>
        </w:rPr>
        <w:t>Put a tick (</w:t>
      </w:r>
      <w:r w:rsidRPr="00837B9F">
        <w:rPr>
          <w:i/>
        </w:rPr>
        <w:sym w:font="Wingdings" w:char="F0FC"/>
      </w:r>
      <w:r w:rsidRPr="00837B9F">
        <w:rPr>
          <w:i/>
        </w:rPr>
        <w:t>) in the box next to the best answer.</w:t>
      </w:r>
      <w:r w:rsidRPr="00837B9F">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837B9F" w:rsidRDefault="00837B9F" w:rsidP="00677EDD">
            <w:pPr>
              <w:tabs>
                <w:tab w:val="right" w:leader="dot" w:pos="8680"/>
              </w:tabs>
            </w:pPr>
            <w:r w:rsidRPr="00837B9F">
              <w:t xml:space="preserve">Only part </w:t>
            </w:r>
            <w:r w:rsidRPr="00837B9F">
              <w:rPr>
                <w:b/>
                <w:bCs/>
              </w:rPr>
              <w:t>X</w:t>
            </w:r>
            <w:r w:rsidRPr="00837B9F">
              <w:t xml:space="preserve"> is floating.</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837B9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837B9F" w:rsidRDefault="00837B9F" w:rsidP="00677EDD">
            <w:pPr>
              <w:tabs>
                <w:tab w:val="right" w:leader="dot" w:pos="8680"/>
              </w:tabs>
            </w:pPr>
            <w:r w:rsidRPr="00837B9F">
              <w:t xml:space="preserve">Only part </w:t>
            </w:r>
            <w:r w:rsidRPr="00837B9F">
              <w:rPr>
                <w:b/>
                <w:bCs/>
                <w:color w:val="C00000"/>
              </w:rPr>
              <w:t>Y</w:t>
            </w:r>
            <w:r w:rsidRPr="00837B9F">
              <w:t xml:space="preserve"> is floating.</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837B9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837B9F" w:rsidRDefault="00837B9F" w:rsidP="00677EDD">
            <w:pPr>
              <w:tabs>
                <w:tab w:val="right" w:leader="dot" w:pos="8680"/>
              </w:tabs>
            </w:pPr>
            <w:r w:rsidRPr="00837B9F">
              <w:t xml:space="preserve">Both part </w:t>
            </w:r>
            <w:r w:rsidRPr="00837B9F">
              <w:rPr>
                <w:b/>
                <w:bCs/>
              </w:rPr>
              <w:t>X</w:t>
            </w:r>
            <w:r w:rsidRPr="00837B9F">
              <w:t xml:space="preserve"> and part </w:t>
            </w:r>
            <w:r w:rsidRPr="00837B9F">
              <w:rPr>
                <w:b/>
                <w:bCs/>
                <w:color w:val="C00000"/>
              </w:rPr>
              <w:t>Y</w:t>
            </w:r>
            <w:r w:rsidRPr="00837B9F">
              <w:t xml:space="preserve"> are floating.</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837B9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837B9F" w:rsidRDefault="00837B9F" w:rsidP="00677EDD">
            <w:pPr>
              <w:tabs>
                <w:tab w:val="right" w:leader="dot" w:pos="8680"/>
              </w:tabs>
            </w:pPr>
            <w:r w:rsidRPr="00837B9F">
              <w:t>No part of the iceberg is floating.</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837B9F">
          <w:headerReference w:type="default" r:id="rId8"/>
          <w:footerReference w:type="default" r:id="rId9"/>
          <w:pgSz w:w="11906" w:h="16838" w:code="9"/>
          <w:pgMar w:top="1440" w:right="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Big idea</w:t>
      </w:r>
      <w:r w:rsidR="007651B9">
        <w:rPr>
          <w:i/>
          <w:sz w:val="18"/>
          <w:szCs w:val="18"/>
        </w:rPr>
        <w:t>:</w:t>
      </w:r>
      <w:r w:rsidR="0007651D">
        <w:rPr>
          <w:i/>
          <w:sz w:val="18"/>
          <w:szCs w:val="18"/>
        </w:rPr>
        <w:t xml:space="preserve"> </w:t>
      </w:r>
      <w:r>
        <w:rPr>
          <w:i/>
          <w:sz w:val="18"/>
          <w:szCs w:val="18"/>
        </w:rPr>
        <w:t>P</w:t>
      </w:r>
      <w:r w:rsidR="007735D7">
        <w:rPr>
          <w:i/>
          <w:sz w:val="18"/>
          <w:szCs w:val="18"/>
        </w:rPr>
        <w:t>MA</w:t>
      </w:r>
      <w:r w:rsidR="0007651D">
        <w:rPr>
          <w:i/>
          <w:sz w:val="18"/>
          <w:szCs w:val="18"/>
        </w:rPr>
        <w:t xml:space="preserve"> </w:t>
      </w:r>
      <w:r w:rsidR="007735D7">
        <w:rPr>
          <w:i/>
          <w:sz w:val="18"/>
          <w:szCs w:val="18"/>
        </w:rPr>
        <w:t>Matter</w:t>
      </w:r>
      <w:r w:rsidR="0007651D">
        <w:rPr>
          <w:i/>
          <w:sz w:val="18"/>
          <w:szCs w:val="18"/>
        </w:rPr>
        <w:t xml:space="preserve"> &gt; Topic </w:t>
      </w:r>
      <w:r>
        <w:rPr>
          <w:i/>
          <w:sz w:val="18"/>
          <w:szCs w:val="18"/>
        </w:rPr>
        <w:t>P</w:t>
      </w:r>
      <w:r w:rsidR="007735D7">
        <w:rPr>
          <w:i/>
          <w:sz w:val="18"/>
          <w:szCs w:val="18"/>
        </w:rPr>
        <w:t>MA2</w:t>
      </w:r>
      <w:r w:rsidR="0007651D">
        <w:rPr>
          <w:i/>
          <w:sz w:val="18"/>
          <w:szCs w:val="18"/>
        </w:rPr>
        <w:t xml:space="preserve">: </w:t>
      </w:r>
      <w:r w:rsidR="007735D7">
        <w:rPr>
          <w:i/>
          <w:sz w:val="18"/>
          <w:szCs w:val="18"/>
        </w:rPr>
        <w:t>Floating and sinking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735D7">
        <w:rPr>
          <w:i/>
          <w:sz w:val="18"/>
          <w:szCs w:val="18"/>
        </w:rPr>
        <w:t>PMA2.1</w:t>
      </w:r>
      <w:r w:rsidR="006F3279" w:rsidRPr="00CA4B46">
        <w:rPr>
          <w:i/>
          <w:sz w:val="18"/>
          <w:szCs w:val="18"/>
        </w:rPr>
        <w:t xml:space="preserve">: </w:t>
      </w:r>
      <w:r w:rsidR="007735D7">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735D7" w:rsidP="006F3279">
            <w:pPr>
              <w:spacing w:after="60"/>
              <w:ind w:left="1304"/>
              <w:rPr>
                <w:b/>
                <w:sz w:val="40"/>
                <w:szCs w:val="40"/>
              </w:rPr>
            </w:pPr>
            <w:r>
              <w:rPr>
                <w:b/>
                <w:sz w:val="40"/>
                <w:szCs w:val="40"/>
              </w:rPr>
              <w:t>Iceberg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735D7" w:rsidP="0007651D">
            <w:pPr>
              <w:spacing w:before="60" w:after="60"/>
            </w:pPr>
            <w:r w:rsidRPr="007735D7">
              <w:t>An object that is surrounded by a fluid (liquid and/or gas) floats if its overall density is less than the density of the fluid.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735D7" w:rsidP="0007651D">
            <w:pPr>
              <w:spacing w:before="60" w:after="60"/>
              <w:rPr>
                <w:b/>
              </w:rPr>
            </w:pPr>
            <w:r w:rsidRPr="007735D7">
              <w:t>Identify objects that are floating.</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735D7" w:rsidP="000505CA">
            <w:pPr>
              <w:spacing w:before="60" w:after="60"/>
            </w:pPr>
            <w:r>
              <w:t>Floating, sinking</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80124" w:rsidRDefault="00480124" w:rsidP="00480124">
      <w:pPr>
        <w:spacing w:after="180"/>
      </w:pPr>
      <w:r>
        <w:t xml:space="preserve">It is not always obvious to students whether or not an object is floating in a liquid. A survey of 7-14 year olds by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that is reported by 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and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found that most students were only confident that a floating object was floating when a large proportion of the object was visible above the surface of a liquid. When only a small proportion of a floating object was visible above the surface, some students described it as both floating </w:t>
      </w:r>
      <w:r w:rsidRPr="006C68D0">
        <w:rPr>
          <w:i/>
        </w:rPr>
        <w:t>and</w:t>
      </w:r>
      <w:r>
        <w:t xml:space="preserve"> sinking. Others suggested the object was starting to sink and that it would slowly go down. Many students did not recognise that objects could float at all if they were completely submerged. Objects such as fish or submarines </w:t>
      </w:r>
      <w:r w:rsidRPr="00E97113">
        <w:rPr>
          <w:i/>
        </w:rPr>
        <w:t>can</w:t>
      </w:r>
      <w:r>
        <w:t xml:space="preserve"> float underwater.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80124" w:rsidRDefault="00480124">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FB5730" w:rsidP="00FB5730">
      <w:pPr>
        <w:spacing w:after="180"/>
        <w:ind w:left="426" w:hanging="426"/>
      </w:pPr>
      <w:r>
        <w:t>C</w:t>
      </w:r>
      <w:r w:rsidR="006C7B65">
        <w:t>:</w:t>
      </w:r>
      <w:r>
        <w:tab/>
      </w:r>
      <w:r w:rsidR="006C7B65">
        <w:t>b</w:t>
      </w:r>
      <w:r>
        <w:t>oth part X and part Y are floating.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672F1" w:rsidRDefault="00A672F1" w:rsidP="00A01222">
      <w:pPr>
        <w:spacing w:after="180"/>
      </w:pPr>
      <w:r w:rsidRPr="00A672F1">
        <w:t xml:space="preserve">In everyday language </w:t>
      </w:r>
      <w:r>
        <w:t xml:space="preserve">it is common to say that part of the iceberg has sunk, because it has gone underwater. </w:t>
      </w:r>
    </w:p>
    <w:p w:rsidR="00A01222" w:rsidRDefault="00A672F1" w:rsidP="00A01222">
      <w:pPr>
        <w:spacing w:after="180"/>
      </w:pPr>
      <w:r>
        <w:t>Here students need to distinguish between object that is floating because it is suspended in a fluid (liquid or gas); and one that is sinking because it is falling through a fluid.</w:t>
      </w:r>
      <w:r w:rsidR="00496A6B">
        <w:t xml:space="preserve"> As the iceberg is one solid object, it cannot be both </w:t>
      </w:r>
      <w:r w:rsidR="00182544">
        <w:t>suspended</w:t>
      </w:r>
      <w:r w:rsidR="00496A6B">
        <w:t xml:space="preserve"> and </w:t>
      </w:r>
      <w:r w:rsidR="00182544">
        <w:t>falling</w:t>
      </w:r>
      <w:r w:rsidR="00496A6B">
        <w:t xml:space="preserve"> at the same time.</w:t>
      </w:r>
      <w:r w:rsidR="00C9452C">
        <w:t xml:space="preserve"> </w:t>
      </w:r>
    </w:p>
    <w:p w:rsidR="00C9452C" w:rsidRPr="00A672F1" w:rsidRDefault="00C9452C" w:rsidP="00A01222">
      <w:pPr>
        <w:spacing w:after="180"/>
      </w:pPr>
      <w:r>
        <w:t>In other situations, an object that is floating might be rising up through a fluid.</w:t>
      </w:r>
    </w:p>
    <w:p w:rsidR="00114B1C" w:rsidRDefault="00A01222" w:rsidP="007735D7">
      <w:pPr>
        <w:spacing w:after="180"/>
      </w:pPr>
      <w:r w:rsidRPr="004F039C">
        <w:t xml:space="preserve">If students have </w:t>
      </w:r>
      <w:r w:rsidR="004B1C32">
        <w:t>misunderstanding</w:t>
      </w:r>
      <w:r w:rsidRPr="004F039C">
        <w:t xml:space="preserve">s about </w:t>
      </w:r>
      <w:r w:rsidR="00B36216">
        <w:t>which parts of the iceberg are floating</w:t>
      </w:r>
      <w:r w:rsidRPr="004F039C">
        <w:t xml:space="preserve">, </w:t>
      </w:r>
      <w:r w:rsidR="00496A6B">
        <w:t xml:space="preserve">it </w:t>
      </w:r>
      <w:r w:rsidR="00182544">
        <w:t>is likely that they are using the language of floating and sinking in a non-scientific way</w:t>
      </w:r>
      <w:r>
        <w:t>.</w:t>
      </w:r>
      <w:r w:rsidR="00182544">
        <w:t xml:space="preserve"> It is likely that they need to hear a clear explanation of what we mean by floating and sinking, followed by the opportunity to practise using the terms in order to consolidate their understanding. </w:t>
      </w:r>
    </w:p>
    <w:p w:rsidR="00182544" w:rsidRDefault="00114B1C" w:rsidP="007735D7">
      <w:pPr>
        <w:spacing w:after="180"/>
      </w:pPr>
      <w:r>
        <w:t>A Cartesian diver can be used to demonstrate floating or sinking. Careful questioning can illicit scientific understanding of what we mean by floating and sinking.</w:t>
      </w:r>
    </w:p>
    <w:p w:rsidR="00496A6B" w:rsidRDefault="00182544" w:rsidP="007735D7">
      <w:pPr>
        <w:spacing w:after="180"/>
        <w:rPr>
          <w:i/>
        </w:rPr>
      </w:pPr>
      <w:r w:rsidRPr="00114B1C">
        <w:rPr>
          <w:i/>
        </w:rPr>
        <w:t>A Cartesian diver is a ‘gismo’ that floats or sinks inside a water filled plastic bottle, depending on whether the bottle is squeezed or not. A</w:t>
      </w:r>
      <w:r w:rsidR="00114B1C">
        <w:rPr>
          <w:i/>
        </w:rPr>
        <w:t>n</w:t>
      </w:r>
      <w:r w:rsidRPr="00114B1C">
        <w:rPr>
          <w:i/>
        </w:rPr>
        <w:t xml:space="preserve"> example of how to make one</w:t>
      </w:r>
      <w:r w:rsidR="00114B1C">
        <w:rPr>
          <w:i/>
        </w:rPr>
        <w:t xml:space="preserve"> </w:t>
      </w:r>
      <w:bookmarkStart w:id="0" w:name="_GoBack"/>
      <w:bookmarkEnd w:id="0"/>
      <w:r w:rsidRPr="00114B1C">
        <w:rPr>
          <w:i/>
        </w:rPr>
        <w:t xml:space="preserve">can be found on the IoPSpark website at: </w:t>
      </w:r>
      <w:hyperlink r:id="rId10" w:history="1">
        <w:r w:rsidR="00496A6B" w:rsidRPr="00114B1C">
          <w:rPr>
            <w:rStyle w:val="Hyperlink"/>
            <w:i/>
            <w:color w:val="auto"/>
            <w:u w:val="none"/>
          </w:rPr>
          <w:t>https://spark.iop.org/cartesian-ketchup-sachet-diver</w:t>
        </w:r>
      </w:hyperlink>
      <w:r w:rsidR="00114B1C" w:rsidRPr="00114B1C">
        <w:rPr>
          <w:i/>
        </w:rPr>
        <w:t>.</w:t>
      </w:r>
    </w:p>
    <w:p w:rsidR="00114B1C" w:rsidRPr="00114B1C" w:rsidRDefault="00114B1C" w:rsidP="00114B1C">
      <w:pPr>
        <w:spacing w:after="180"/>
      </w:pPr>
      <w:r w:rsidRPr="00114B1C">
        <w:t>The following BEST ‘response activity’ could be used in follow-up to this diagnostic question:</w:t>
      </w:r>
    </w:p>
    <w:p w:rsidR="00114B1C" w:rsidRPr="00114B1C" w:rsidRDefault="00114B1C" w:rsidP="00114B1C">
      <w:pPr>
        <w:pStyle w:val="ListParagraph"/>
        <w:numPr>
          <w:ilvl w:val="0"/>
          <w:numId w:val="1"/>
        </w:numPr>
        <w:spacing w:after="180"/>
      </w:pPr>
      <w:r w:rsidRPr="00114B1C">
        <w:t>Response activity: Submarines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w:t>
      </w:r>
      <w:r w:rsidR="0015356E" w:rsidRPr="00837B9F">
        <w:t xml:space="preserve">YSEG), </w:t>
      </w:r>
      <w:r w:rsidR="00837B9F" w:rsidRPr="00837B9F">
        <w:t>from an idea in Allen</w:t>
      </w:r>
      <w:r w:rsidR="00837B9F">
        <w:t xml:space="preserve"> </w:t>
      </w:r>
      <w:r w:rsidR="00837B9F">
        <w:fldChar w:fldCharType="begin"/>
      </w:r>
      <w:r w:rsidR="00837B9F">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837B9F">
        <w:fldChar w:fldCharType="separate"/>
      </w:r>
      <w:r w:rsidR="00837B9F">
        <w:rPr>
          <w:noProof/>
        </w:rPr>
        <w:t>(2014)</w:t>
      </w:r>
      <w:r w:rsidR="00837B9F">
        <w:fldChar w:fldCharType="end"/>
      </w:r>
      <w:r w:rsidR="00837B9F">
        <w:t>.</w:t>
      </w:r>
    </w:p>
    <w:p w:rsidR="00CC78A5" w:rsidRDefault="00837B9F" w:rsidP="00E172C6">
      <w:pPr>
        <w:spacing w:after="180"/>
      </w:pPr>
      <w:r>
        <w:t>Images</w:t>
      </w:r>
      <w:r w:rsidR="00D278E8" w:rsidRPr="0045323E">
        <w:t xml:space="preserve">: </w:t>
      </w:r>
      <w:r>
        <w:t xml:space="preserve">Iceberg: </w:t>
      </w:r>
      <w:hyperlink r:id="rId11" w:history="1">
        <w:r w:rsidRPr="00837B9F">
          <w:rPr>
            <w:rStyle w:val="Hyperlink"/>
            <w:color w:val="auto"/>
            <w:u w:val="none"/>
          </w:rPr>
          <w:t>https://pixabay.com/illustrations/iceberg-above-water-white-cold-3273216/</w:t>
        </w:r>
      </w:hyperlink>
      <w:r>
        <w:t xml:space="preserve">; iceberg photograph on PowerPoint: </w:t>
      </w:r>
      <w:hyperlink r:id="rId12" w:history="1">
        <w:r w:rsidRPr="00837B9F">
          <w:rPr>
            <w:rStyle w:val="Hyperlink"/>
            <w:color w:val="auto"/>
            <w:u w:val="none"/>
          </w:rPr>
          <w:t>https://pixabay.com/photos/iceberg-water-sea-mirroring-nature-471549/</w:t>
        </w:r>
      </w:hyperlink>
    </w:p>
    <w:p w:rsidR="00837B9F" w:rsidRDefault="003117F6" w:rsidP="00E24309">
      <w:pPr>
        <w:spacing w:after="180"/>
        <w:rPr>
          <w:b/>
          <w:color w:val="5F497A" w:themeColor="accent4" w:themeShade="BF"/>
          <w:sz w:val="24"/>
        </w:rPr>
      </w:pPr>
      <w:r w:rsidRPr="002C79AE">
        <w:rPr>
          <w:b/>
          <w:color w:val="5F497A" w:themeColor="accent4" w:themeShade="BF"/>
          <w:sz w:val="24"/>
        </w:rPr>
        <w:t>References</w:t>
      </w:r>
    </w:p>
    <w:p w:rsidR="00480124" w:rsidRPr="00480124" w:rsidRDefault="00837B9F" w:rsidP="00114B1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480124" w:rsidRPr="00480124">
        <w:t xml:space="preserve">Allen, M. (2014). </w:t>
      </w:r>
      <w:r w:rsidR="00480124" w:rsidRPr="00480124">
        <w:rPr>
          <w:i/>
        </w:rPr>
        <w:t xml:space="preserve">Misconceptions in Primary Science, 2nd </w:t>
      </w:r>
      <w:r w:rsidR="00480124" w:rsidRPr="00480124">
        <w:t>edn</w:t>
      </w:r>
      <w:r w:rsidR="00480124" w:rsidRPr="00480124">
        <w:rPr>
          <w:i/>
        </w:rPr>
        <w:t xml:space="preserve"> </w:t>
      </w:r>
      <w:r w:rsidR="00480124" w:rsidRPr="00480124">
        <w:t>Berkshire, UK: Open University Press.</w:t>
      </w:r>
    </w:p>
    <w:p w:rsidR="00480124" w:rsidRPr="00480124" w:rsidRDefault="00480124" w:rsidP="00114B1C">
      <w:pPr>
        <w:pStyle w:val="EndNoteBibliography"/>
        <w:spacing w:after="120"/>
        <w:ind w:left="426" w:hanging="426"/>
      </w:pPr>
      <w:r w:rsidRPr="00480124">
        <w:t xml:space="preserve">Biddulph, F. and Osborne, R. (1984). Pupils' ideas about floating and sinking. </w:t>
      </w:r>
      <w:r w:rsidRPr="00480124">
        <w:rPr>
          <w:i/>
        </w:rPr>
        <w:t>Australian Science Education Research Association Conference.</w:t>
      </w:r>
      <w:r w:rsidRPr="00480124">
        <w:t xml:space="preserve"> Melbourne.</w:t>
      </w:r>
    </w:p>
    <w:p w:rsidR="00480124" w:rsidRPr="00480124" w:rsidRDefault="00480124" w:rsidP="00114B1C">
      <w:pPr>
        <w:pStyle w:val="EndNoteBibliography"/>
        <w:spacing w:after="120"/>
        <w:ind w:left="426" w:hanging="426"/>
      </w:pPr>
      <w:r w:rsidRPr="00480124">
        <w:t xml:space="preserve">Driver, R., et al. (1994). </w:t>
      </w:r>
      <w:r w:rsidRPr="00480124">
        <w:rPr>
          <w:i/>
        </w:rPr>
        <w:t xml:space="preserve">Making Sense of Secondary Science: Research into Children's Ideas, </w:t>
      </w:r>
      <w:r w:rsidRPr="00480124">
        <w:t>London, UK: Routledge.</w:t>
      </w:r>
    </w:p>
    <w:p w:rsidR="00B46FF9" w:rsidRDefault="00837B9F" w:rsidP="00114B1C">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B9F" w:rsidRDefault="00837B9F" w:rsidP="000B473B">
      <w:r>
        <w:separator/>
      </w:r>
    </w:p>
  </w:endnote>
  <w:endnote w:type="continuationSeparator" w:id="0">
    <w:p w:rsidR="00837B9F" w:rsidRDefault="00837B9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FA15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658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B9F" w:rsidRDefault="00837B9F" w:rsidP="000B473B">
      <w:r>
        <w:separator/>
      </w:r>
    </w:p>
  </w:footnote>
  <w:footnote w:type="continuationSeparator" w:id="0">
    <w:p w:rsidR="00837B9F" w:rsidRDefault="00837B9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0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5ECB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DAA1F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37B9F"/>
    <w:rsid w:val="00015578"/>
    <w:rsid w:val="00024731"/>
    <w:rsid w:val="00026DEC"/>
    <w:rsid w:val="000505CA"/>
    <w:rsid w:val="0007651D"/>
    <w:rsid w:val="0009089A"/>
    <w:rsid w:val="000947E2"/>
    <w:rsid w:val="00095E04"/>
    <w:rsid w:val="000A0D12"/>
    <w:rsid w:val="000B473B"/>
    <w:rsid w:val="000D0E89"/>
    <w:rsid w:val="000E2689"/>
    <w:rsid w:val="00114B1C"/>
    <w:rsid w:val="00142613"/>
    <w:rsid w:val="00144DA7"/>
    <w:rsid w:val="0015356E"/>
    <w:rsid w:val="00161D3F"/>
    <w:rsid w:val="00182544"/>
    <w:rsid w:val="001915D4"/>
    <w:rsid w:val="001A1FED"/>
    <w:rsid w:val="001A37F1"/>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80124"/>
    <w:rsid w:val="00496A6B"/>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C7B65"/>
    <w:rsid w:val="006D166B"/>
    <w:rsid w:val="006F3279"/>
    <w:rsid w:val="00704AEE"/>
    <w:rsid w:val="00722F9A"/>
    <w:rsid w:val="00754539"/>
    <w:rsid w:val="007651B9"/>
    <w:rsid w:val="007735D7"/>
    <w:rsid w:val="0077646D"/>
    <w:rsid w:val="00781BC6"/>
    <w:rsid w:val="007A3C86"/>
    <w:rsid w:val="007A683E"/>
    <w:rsid w:val="007A748B"/>
    <w:rsid w:val="007B18B8"/>
    <w:rsid w:val="007C26E1"/>
    <w:rsid w:val="007D1D65"/>
    <w:rsid w:val="007D536F"/>
    <w:rsid w:val="007E0A9E"/>
    <w:rsid w:val="007E5309"/>
    <w:rsid w:val="00800DE1"/>
    <w:rsid w:val="00813F47"/>
    <w:rsid w:val="00837B9F"/>
    <w:rsid w:val="008450D6"/>
    <w:rsid w:val="00856FCA"/>
    <w:rsid w:val="00873B8C"/>
    <w:rsid w:val="00880E3B"/>
    <w:rsid w:val="008A405F"/>
    <w:rsid w:val="008C7F34"/>
    <w:rsid w:val="008E580C"/>
    <w:rsid w:val="0090047A"/>
    <w:rsid w:val="00925026"/>
    <w:rsid w:val="00931264"/>
    <w:rsid w:val="00942A4B"/>
    <w:rsid w:val="00961D59"/>
    <w:rsid w:val="00986583"/>
    <w:rsid w:val="009B2D55"/>
    <w:rsid w:val="009C0343"/>
    <w:rsid w:val="009E0D11"/>
    <w:rsid w:val="009F2253"/>
    <w:rsid w:val="00A01222"/>
    <w:rsid w:val="00A24A16"/>
    <w:rsid w:val="00A37D14"/>
    <w:rsid w:val="00A6111E"/>
    <w:rsid w:val="00A6168B"/>
    <w:rsid w:val="00A62028"/>
    <w:rsid w:val="00A672F1"/>
    <w:rsid w:val="00AA5B77"/>
    <w:rsid w:val="00AA6236"/>
    <w:rsid w:val="00AB6AE7"/>
    <w:rsid w:val="00AD21F5"/>
    <w:rsid w:val="00B06225"/>
    <w:rsid w:val="00B23C7A"/>
    <w:rsid w:val="00B305F5"/>
    <w:rsid w:val="00B36216"/>
    <w:rsid w:val="00B46FF9"/>
    <w:rsid w:val="00B47E1D"/>
    <w:rsid w:val="00B75483"/>
    <w:rsid w:val="00BA7952"/>
    <w:rsid w:val="00BB44B4"/>
    <w:rsid w:val="00BF0BBF"/>
    <w:rsid w:val="00BF6C8A"/>
    <w:rsid w:val="00C05571"/>
    <w:rsid w:val="00C246CE"/>
    <w:rsid w:val="00C54711"/>
    <w:rsid w:val="00C57FA2"/>
    <w:rsid w:val="00C9452C"/>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57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7528C84-A2B9-419D-8885-44BA8D57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37B9F"/>
    <w:rPr>
      <w:color w:val="0000FF" w:themeColor="hyperlink"/>
      <w:u w:val="single"/>
    </w:rPr>
  </w:style>
  <w:style w:type="paragraph" w:customStyle="1" w:styleId="EndNoteBibliographyTitle">
    <w:name w:val="EndNote Bibliography Title"/>
    <w:basedOn w:val="Normal"/>
    <w:link w:val="EndNoteBibliographyTitleChar"/>
    <w:rsid w:val="00837B9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37B9F"/>
    <w:rPr>
      <w:rFonts w:ascii="Calibri" w:hAnsi="Calibri" w:cs="Calibri"/>
      <w:noProof/>
      <w:lang w:val="en-US"/>
    </w:rPr>
  </w:style>
  <w:style w:type="paragraph" w:customStyle="1" w:styleId="EndNoteBibliography">
    <w:name w:val="EndNote Bibliography"/>
    <w:basedOn w:val="Normal"/>
    <w:link w:val="EndNoteBibliographyChar"/>
    <w:rsid w:val="00837B9F"/>
    <w:rPr>
      <w:rFonts w:ascii="Calibri" w:hAnsi="Calibri" w:cs="Calibri"/>
      <w:noProof/>
      <w:lang w:val="en-US"/>
    </w:rPr>
  </w:style>
  <w:style w:type="character" w:customStyle="1" w:styleId="EndNoteBibliographyChar">
    <w:name w:val="EndNote Bibliography Char"/>
    <w:basedOn w:val="DefaultParagraphFont"/>
    <w:link w:val="EndNoteBibliography"/>
    <w:rsid w:val="00837B9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2047356">
      <w:bodyDiv w:val="1"/>
      <w:marLeft w:val="0"/>
      <w:marRight w:val="0"/>
      <w:marTop w:val="0"/>
      <w:marBottom w:val="0"/>
      <w:divBdr>
        <w:top w:val="none" w:sz="0" w:space="0" w:color="auto"/>
        <w:left w:val="none" w:sz="0" w:space="0" w:color="auto"/>
        <w:bottom w:val="none" w:sz="0" w:space="0" w:color="auto"/>
        <w:right w:val="none" w:sz="0" w:space="0" w:color="auto"/>
      </w:divBdr>
    </w:div>
    <w:div w:id="448014623">
      <w:bodyDiv w:val="1"/>
      <w:marLeft w:val="0"/>
      <w:marRight w:val="0"/>
      <w:marTop w:val="0"/>
      <w:marBottom w:val="0"/>
      <w:divBdr>
        <w:top w:val="none" w:sz="0" w:space="0" w:color="auto"/>
        <w:left w:val="none" w:sz="0" w:space="0" w:color="auto"/>
        <w:bottom w:val="none" w:sz="0" w:space="0" w:color="auto"/>
        <w:right w:val="none" w:sz="0" w:space="0" w:color="auto"/>
      </w:divBdr>
    </w:div>
    <w:div w:id="558590972">
      <w:bodyDiv w:val="1"/>
      <w:marLeft w:val="0"/>
      <w:marRight w:val="0"/>
      <w:marTop w:val="0"/>
      <w:marBottom w:val="0"/>
      <w:divBdr>
        <w:top w:val="none" w:sz="0" w:space="0" w:color="auto"/>
        <w:left w:val="none" w:sz="0" w:space="0" w:color="auto"/>
        <w:bottom w:val="none" w:sz="0" w:space="0" w:color="auto"/>
        <w:right w:val="none" w:sz="0" w:space="0" w:color="auto"/>
      </w:divBdr>
    </w:div>
    <w:div w:id="896863716">
      <w:bodyDiv w:val="1"/>
      <w:marLeft w:val="0"/>
      <w:marRight w:val="0"/>
      <w:marTop w:val="0"/>
      <w:marBottom w:val="0"/>
      <w:divBdr>
        <w:top w:val="none" w:sz="0" w:space="0" w:color="auto"/>
        <w:left w:val="none" w:sz="0" w:space="0" w:color="auto"/>
        <w:bottom w:val="none" w:sz="0" w:space="0" w:color="auto"/>
        <w:right w:val="none" w:sz="0" w:space="0" w:color="auto"/>
      </w:divBdr>
    </w:div>
    <w:div w:id="1152212970">
      <w:bodyDiv w:val="1"/>
      <w:marLeft w:val="0"/>
      <w:marRight w:val="0"/>
      <w:marTop w:val="0"/>
      <w:marBottom w:val="0"/>
      <w:divBdr>
        <w:top w:val="none" w:sz="0" w:space="0" w:color="auto"/>
        <w:left w:val="none" w:sz="0" w:space="0" w:color="auto"/>
        <w:bottom w:val="none" w:sz="0" w:space="0" w:color="auto"/>
        <w:right w:val="none" w:sz="0" w:space="0" w:color="auto"/>
      </w:divBdr>
    </w:div>
    <w:div w:id="1430276702">
      <w:bodyDiv w:val="1"/>
      <w:marLeft w:val="0"/>
      <w:marRight w:val="0"/>
      <w:marTop w:val="0"/>
      <w:marBottom w:val="0"/>
      <w:divBdr>
        <w:top w:val="none" w:sz="0" w:space="0" w:color="auto"/>
        <w:left w:val="none" w:sz="0" w:space="0" w:color="auto"/>
        <w:bottom w:val="none" w:sz="0" w:space="0" w:color="auto"/>
        <w:right w:val="none" w:sz="0" w:space="0" w:color="auto"/>
      </w:divBdr>
    </w:div>
    <w:div w:id="1572306585">
      <w:bodyDiv w:val="1"/>
      <w:marLeft w:val="0"/>
      <w:marRight w:val="0"/>
      <w:marTop w:val="0"/>
      <w:marBottom w:val="0"/>
      <w:divBdr>
        <w:top w:val="none" w:sz="0" w:space="0" w:color="auto"/>
        <w:left w:val="none" w:sz="0" w:space="0" w:color="auto"/>
        <w:bottom w:val="none" w:sz="0" w:space="0" w:color="auto"/>
        <w:right w:val="none" w:sz="0" w:space="0" w:color="auto"/>
      </w:divBdr>
    </w:div>
    <w:div w:id="193111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photos/iceberg-water-sea-mirroring-nature-4715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illustrations/iceberg-above-water-white-cold-327321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park.iop.org/cartesian-ketchup-sachet-dive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51</TotalTime>
  <Pages>3</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2019-10-23T13:18:00Z</dcterms:created>
  <dcterms:modified xsi:type="dcterms:W3CDTF">2019-10-31T14:09:00Z</dcterms:modified>
</cp:coreProperties>
</file>