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F634" w14:textId="77777777" w:rsidR="007D073D" w:rsidRDefault="007D073D">
      <w:bookmarkStart w:id="0" w:name="_MailOriginal"/>
    </w:p>
    <w:p w14:paraId="71437CCC" w14:textId="77777777" w:rsidR="007D073D" w:rsidRDefault="007D073D"/>
    <w:p w14:paraId="1BC506BB" w14:textId="4AE5E9B4" w:rsidR="00D112CF" w:rsidRPr="007D073D" w:rsidRDefault="007D073D" w:rsidP="007D073D">
      <w:pPr>
        <w:jc w:val="center"/>
        <w:rPr>
          <w:rFonts w:ascii="Arial" w:hAnsi="Arial" w:cs="Arial"/>
          <w:b/>
          <w:bCs/>
          <w:color w:val="2F5496"/>
          <w:sz w:val="24"/>
          <w:szCs w:val="24"/>
        </w:rPr>
      </w:pPr>
      <w:r w:rsidRPr="007D073D">
        <w:rPr>
          <w:b/>
          <w:bCs/>
        </w:rPr>
        <w:t>IBF Q&amp;A</w:t>
      </w:r>
    </w:p>
    <w:p w14:paraId="52A9229A" w14:textId="77777777" w:rsidR="007D073D" w:rsidRDefault="007D073D">
      <w:pPr>
        <w:rPr>
          <w:rFonts w:ascii="Arial" w:hAnsi="Arial" w:cs="Arial"/>
          <w:b/>
          <w:bCs/>
          <w:color w:val="2F5496"/>
          <w:sz w:val="24"/>
          <w:szCs w:val="24"/>
        </w:rPr>
      </w:pPr>
    </w:p>
    <w:p w14:paraId="3DA440BA"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What is the timetable for this round of the IBF?</w:t>
      </w:r>
    </w:p>
    <w:p w14:paraId="6153EBC5" w14:textId="77777777" w:rsidR="007D073D" w:rsidRPr="007D073D" w:rsidRDefault="007D073D" w:rsidP="007D073D">
      <w:pPr>
        <w:ind w:left="720"/>
        <w:jc w:val="both"/>
        <w:rPr>
          <w:rFonts w:ascii="Aptos" w:eastAsiaTheme="minorEastAsia" w:hAnsi="Aptos"/>
        </w:rPr>
      </w:pPr>
      <w:r w:rsidRPr="007D073D">
        <w:rPr>
          <w:rFonts w:ascii="Aptos" w:eastAsiaTheme="minorEastAsia" w:hAnsi="Aptos"/>
        </w:rPr>
        <w:t>The deadline for applications is midnight on Monday 7 July 2025. Applications will be scored by external assessors for technical and independent oversight and internally to assess the strategic and economic case. Following this, an expert review panel, consisting of individuals with a range of relevant experience in the space sector, large scale funding calls and operating internationally, will discuss the scores and advise on the projects to take forward. We anticipate the assessment to take place in July-August, with successful applicants notified in mid-late August.</w:t>
      </w:r>
    </w:p>
    <w:p w14:paraId="6B88DA5A" w14:textId="77777777" w:rsidR="007D073D" w:rsidRPr="007D073D" w:rsidRDefault="007D073D" w:rsidP="007D073D">
      <w:pPr>
        <w:ind w:left="720"/>
        <w:jc w:val="both"/>
        <w:rPr>
          <w:rFonts w:ascii="Aptos" w:eastAsiaTheme="minorEastAsia" w:hAnsi="Aptos"/>
        </w:rPr>
      </w:pPr>
    </w:p>
    <w:p w14:paraId="7C2D9D36" w14:textId="77777777" w:rsidR="007D073D" w:rsidRPr="007D073D" w:rsidRDefault="007D073D" w:rsidP="007D073D">
      <w:pPr>
        <w:pStyle w:val="ListParagraph"/>
        <w:jc w:val="both"/>
        <w:rPr>
          <w:rFonts w:ascii="Aptos" w:eastAsiaTheme="minorEastAsia" w:hAnsi="Aptos"/>
          <w:b/>
          <w:bCs/>
        </w:rPr>
      </w:pPr>
    </w:p>
    <w:p w14:paraId="7CF51DD2"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bookmarkStart w:id="1" w:name="_Toc113959933"/>
      <w:r w:rsidRPr="007D073D">
        <w:rPr>
          <w:rFonts w:ascii="Aptos" w:eastAsiaTheme="minorEastAsia" w:hAnsi="Aptos"/>
          <w:b/>
          <w:bCs/>
        </w:rPr>
        <w:t>Can I resubmit a proposal that was rejected in a previous call?</w:t>
      </w:r>
    </w:p>
    <w:p w14:paraId="6285EF35"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Yes, you may re-submit your proposal which will then go through the independent evaluation process when being considered for funding.  We recommend that any previous feedback is taken into consideration. For the avoidance of doubt, this includes projects that previously received IBF phase 1 funding but were unsuccessful in the phase 2 downselection competition. </w:t>
      </w:r>
    </w:p>
    <w:p w14:paraId="4736B013" w14:textId="77777777" w:rsidR="007D073D" w:rsidRPr="007D073D" w:rsidRDefault="007D073D" w:rsidP="007D073D">
      <w:pPr>
        <w:ind w:left="-218"/>
        <w:jc w:val="both"/>
        <w:rPr>
          <w:rFonts w:ascii="Aptos" w:eastAsiaTheme="minorEastAsia" w:hAnsi="Aptos"/>
        </w:rPr>
      </w:pPr>
    </w:p>
    <w:p w14:paraId="180DB15B"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Do the match funding funds have to be immediately available when applying for funding?</w:t>
      </w:r>
    </w:p>
    <w:p w14:paraId="6059AB7A"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Yes, the PV (private venture) funding must have been agreed and secured at the time of applying for the grant so that the project can commence as soon as the grant agreement has been completed. Matched funding should also be trackable across the duration of the grant. </w:t>
      </w:r>
    </w:p>
    <w:p w14:paraId="6B1442BB" w14:textId="77777777" w:rsidR="007D073D" w:rsidRPr="007D073D" w:rsidRDefault="007D073D" w:rsidP="007D073D">
      <w:pPr>
        <w:jc w:val="both"/>
        <w:rPr>
          <w:rFonts w:ascii="Aptos" w:eastAsiaTheme="minorEastAsia" w:hAnsi="Aptos"/>
        </w:rPr>
      </w:pPr>
    </w:p>
    <w:p w14:paraId="0350F0DB"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Can a non-UK based organisation lead an application and therefore receive funding?</w:t>
      </w:r>
    </w:p>
    <w:p w14:paraId="5334AAD8"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The UK must lead any consortia put forward to ensure compliance with funding regulations, but funding can be distributed to international partners and subcontractors. Funding for international partners is capped at 30% of the overall grant value and funding for subcontractors is capped at 50% of the overall grant value.</w:t>
      </w:r>
    </w:p>
    <w:p w14:paraId="268AFD89" w14:textId="77777777" w:rsidR="007D073D" w:rsidRPr="007D073D" w:rsidRDefault="007D073D" w:rsidP="007D073D">
      <w:pPr>
        <w:pStyle w:val="ListParagraph"/>
        <w:jc w:val="both"/>
        <w:rPr>
          <w:rFonts w:ascii="Aptos" w:eastAsiaTheme="minorEastAsia" w:hAnsi="Aptos"/>
        </w:rPr>
      </w:pPr>
    </w:p>
    <w:p w14:paraId="3D2D2BD0"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Can</w:t>
      </w:r>
      <w:r w:rsidRPr="007D073D" w:rsidDel="7EDCFB86">
        <w:rPr>
          <w:rFonts w:ascii="Aptos" w:eastAsiaTheme="minorEastAsia" w:hAnsi="Aptos"/>
          <w:b/>
          <w:bCs/>
        </w:rPr>
        <w:t xml:space="preserve"> </w:t>
      </w:r>
      <w:r w:rsidRPr="007D073D">
        <w:rPr>
          <w:rFonts w:ascii="Aptos" w:eastAsiaTheme="minorEastAsia" w:hAnsi="Aptos"/>
          <w:b/>
          <w:bCs/>
        </w:rPr>
        <w:t>UKSA provide advice about any type of collaboration or partnership that the Agency is promoting?</w:t>
      </w:r>
    </w:p>
    <w:p w14:paraId="08F6A980"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There is no restriction on the types of organisations that can partner. The only requirement is that one or more of the partners must be based internationally, and that proposals involving partners from Russia and Belarus are ineligible.</w:t>
      </w:r>
    </w:p>
    <w:p w14:paraId="79D14C4B" w14:textId="77777777" w:rsidR="007D073D" w:rsidRPr="007D073D" w:rsidRDefault="007D073D" w:rsidP="007D073D">
      <w:pPr>
        <w:ind w:left="720"/>
        <w:jc w:val="both"/>
        <w:rPr>
          <w:rFonts w:ascii="Aptos" w:eastAsiaTheme="minorEastAsia" w:hAnsi="Aptos"/>
        </w:rPr>
      </w:pPr>
    </w:p>
    <w:p w14:paraId="6D68CD4F"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 xml:space="preserve">What format will the grant agreement take for any funded proposals, and can I adapt this to suit my proposal? </w:t>
      </w:r>
    </w:p>
    <w:p w14:paraId="68993779"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We have provided a copy of our standard grant funding agreement. This is the document that will be used as the formal mechanism for any successful bidders to receive grant funding. Applicants are required to accept the main terms of this grant funding agreement when submitting your application. </w:t>
      </w:r>
    </w:p>
    <w:p w14:paraId="58F20CD3" w14:textId="77777777" w:rsidR="007D073D" w:rsidRPr="007D073D" w:rsidRDefault="007D073D" w:rsidP="007D073D">
      <w:pPr>
        <w:ind w:left="-218"/>
        <w:jc w:val="both"/>
        <w:rPr>
          <w:rFonts w:ascii="Aptos" w:eastAsiaTheme="minorEastAsia" w:hAnsi="Aptos"/>
        </w:rPr>
      </w:pPr>
    </w:p>
    <w:p w14:paraId="58E2DBC2"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Applicants requesting changes to the agreement are required to submit a marked-up copy of the published grant funding agreement setting out the proposed variations, along with a justification for any amendment to the standard grant funding agreement terms. Please be aware that</w:t>
      </w:r>
      <w:r w:rsidRPr="007D073D" w:rsidDel="00CF6A82">
        <w:rPr>
          <w:rFonts w:ascii="Aptos" w:eastAsiaTheme="minorEastAsia" w:hAnsi="Aptos"/>
        </w:rPr>
        <w:t xml:space="preserve"> </w:t>
      </w:r>
      <w:r w:rsidRPr="007D073D">
        <w:rPr>
          <w:rFonts w:ascii="Aptos" w:eastAsiaTheme="minorEastAsia" w:hAnsi="Aptos"/>
        </w:rPr>
        <w:t xml:space="preserve">UKSA will only consider variations which are requested where the </w:t>
      </w:r>
      <w:r w:rsidRPr="007D073D">
        <w:rPr>
          <w:rFonts w:ascii="Aptos" w:eastAsiaTheme="minorEastAsia" w:hAnsi="Aptos"/>
        </w:rPr>
        <w:lastRenderedPageBreak/>
        <w:t>Applicant would be in breach of legal requirements or statutory regulations by complying with the clause, or series of clauses.</w:t>
      </w:r>
    </w:p>
    <w:p w14:paraId="12158AE7" w14:textId="77777777" w:rsidR="007D073D" w:rsidRPr="007D073D" w:rsidRDefault="007D073D" w:rsidP="007D073D">
      <w:pPr>
        <w:ind w:left="-218"/>
        <w:jc w:val="both"/>
        <w:rPr>
          <w:rFonts w:ascii="Aptos" w:eastAsiaTheme="minorEastAsia" w:hAnsi="Aptos"/>
        </w:rPr>
      </w:pPr>
    </w:p>
    <w:p w14:paraId="5F7E8932"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Should we explicitly state the overhead rate attached to salary costs, or would you prefer it to be amalgamated into a combined salary/overhead cost for each staff position?</w:t>
      </w:r>
    </w:p>
    <w:p w14:paraId="146235BB"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The finance template includes notes on what information is required.  </w:t>
      </w:r>
    </w:p>
    <w:p w14:paraId="16B4165C" w14:textId="77777777" w:rsidR="007D073D" w:rsidRPr="007D073D" w:rsidRDefault="007D073D" w:rsidP="007D073D">
      <w:pPr>
        <w:pStyle w:val="ListParagraph"/>
        <w:jc w:val="both"/>
        <w:rPr>
          <w:rFonts w:ascii="Aptos" w:eastAsiaTheme="minorEastAsia" w:hAnsi="Aptos"/>
        </w:rPr>
      </w:pPr>
    </w:p>
    <w:p w14:paraId="15CA8F95"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Do labour costs relate only to staff on a PAYE payroll or would staff employed on short/long-term fixed contracts be eligible?</w:t>
      </w:r>
    </w:p>
    <w:p w14:paraId="16F2F789"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Costs should be applied for any staff that will be part of the project team/work regardless of employment status within the organisation. However, any costs for project work done by sub-contractors must be declared as a separate cost to the project. Sub-contractors cannot be partners to the project and justification in the proposal would need to be clearly stated as to the requirement for use of sub-contractors.</w:t>
      </w:r>
    </w:p>
    <w:p w14:paraId="020F0349" w14:textId="77777777" w:rsidR="007D073D" w:rsidRPr="007D073D" w:rsidRDefault="007D073D" w:rsidP="007D073D">
      <w:pPr>
        <w:ind w:left="-360"/>
        <w:jc w:val="both"/>
        <w:rPr>
          <w:rFonts w:ascii="Aptos" w:eastAsiaTheme="minorEastAsia" w:hAnsi="Aptos"/>
        </w:rPr>
      </w:pPr>
    </w:p>
    <w:p w14:paraId="14FDCA0F"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 xml:space="preserve">Are referees required to be within the UK? </w:t>
      </w:r>
    </w:p>
    <w:p w14:paraId="673D6050"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Referees do not have to be UK specific but must be from recognised international organisations and/or from other known space institutions.</w:t>
      </w:r>
    </w:p>
    <w:p w14:paraId="38A4DD1E" w14:textId="77777777" w:rsidR="007D073D" w:rsidRPr="007D073D" w:rsidRDefault="007D073D" w:rsidP="007D073D">
      <w:pPr>
        <w:ind w:left="-218"/>
        <w:jc w:val="both"/>
        <w:rPr>
          <w:rFonts w:ascii="Aptos" w:eastAsiaTheme="minorEastAsia" w:hAnsi="Aptos"/>
        </w:rPr>
      </w:pPr>
    </w:p>
    <w:p w14:paraId="27C38BA3"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Does the organisational background information apply only to the lead organisation?</w:t>
      </w:r>
    </w:p>
    <w:p w14:paraId="13D0A77C"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No. All proposals must include organisational background information for all those involved, therefore including those put forward in collaboration.</w:t>
      </w:r>
    </w:p>
    <w:p w14:paraId="46B60D86" w14:textId="77777777" w:rsidR="007D073D" w:rsidRPr="007D073D" w:rsidRDefault="007D073D" w:rsidP="007D073D">
      <w:pPr>
        <w:pStyle w:val="ListParagraph"/>
        <w:jc w:val="both"/>
        <w:rPr>
          <w:rFonts w:ascii="Aptos" w:eastAsiaTheme="minorEastAsia" w:hAnsi="Aptos"/>
        </w:rPr>
      </w:pPr>
    </w:p>
    <w:p w14:paraId="5131A07A"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Is there a minimum or maximum number of partners that can be in a project consortium?</w:t>
      </w:r>
    </w:p>
    <w:p w14:paraId="77E63724"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color w:val="231D45"/>
        </w:rPr>
        <w:t xml:space="preserve">No – we have set no requirements around the maximum number of partners, as long as they comply with the following guidelines: </w:t>
      </w:r>
    </w:p>
    <w:p w14:paraId="55DE6394" w14:textId="77777777" w:rsidR="007D073D" w:rsidRPr="007D073D" w:rsidRDefault="007D073D" w:rsidP="007D073D">
      <w:pPr>
        <w:pStyle w:val="ListParagraph"/>
        <w:numPr>
          <w:ilvl w:val="0"/>
          <w:numId w:val="3"/>
        </w:numPr>
        <w:suppressAutoHyphens w:val="0"/>
        <w:autoSpaceDN/>
        <w:spacing w:line="256" w:lineRule="auto"/>
        <w:contextualSpacing/>
        <w:jc w:val="both"/>
        <w:textAlignment w:val="auto"/>
        <w:rPr>
          <w:rFonts w:ascii="Aptos" w:eastAsiaTheme="minorEastAsia" w:hAnsi="Aptos"/>
          <w:color w:val="231D45"/>
        </w:rPr>
      </w:pPr>
      <w:r w:rsidRPr="007D073D">
        <w:rPr>
          <w:rFonts w:ascii="Aptos" w:eastAsiaTheme="minorEastAsia" w:hAnsi="Aptos"/>
          <w:color w:val="231D45"/>
        </w:rPr>
        <w:t xml:space="preserve">A minimum of 20% of the grant funding must be claimed by the lead organisation </w:t>
      </w:r>
    </w:p>
    <w:p w14:paraId="4F9EF636" w14:textId="77777777" w:rsidR="007D073D" w:rsidRPr="007D073D" w:rsidRDefault="007D073D" w:rsidP="007D073D">
      <w:pPr>
        <w:pStyle w:val="ListParagraph"/>
        <w:numPr>
          <w:ilvl w:val="0"/>
          <w:numId w:val="3"/>
        </w:numPr>
        <w:suppressAutoHyphens w:val="0"/>
        <w:autoSpaceDN/>
        <w:spacing w:line="256" w:lineRule="auto"/>
        <w:contextualSpacing/>
        <w:jc w:val="both"/>
        <w:textAlignment w:val="auto"/>
        <w:rPr>
          <w:rFonts w:ascii="Aptos" w:eastAsiaTheme="minorEastAsia" w:hAnsi="Aptos"/>
        </w:rPr>
      </w:pPr>
      <w:r w:rsidRPr="007D073D">
        <w:rPr>
          <w:rFonts w:ascii="Aptos" w:eastAsiaTheme="minorEastAsia" w:hAnsi="Aptos"/>
          <w:color w:val="231D45"/>
        </w:rPr>
        <w:t>International partner costs should be capped at 30% of the total project cost</w:t>
      </w:r>
    </w:p>
    <w:p w14:paraId="20586078" w14:textId="77777777" w:rsidR="007D073D" w:rsidRPr="007D073D" w:rsidRDefault="007D073D" w:rsidP="007D073D">
      <w:pPr>
        <w:ind w:left="-218"/>
        <w:jc w:val="both"/>
        <w:rPr>
          <w:rFonts w:ascii="Aptos" w:eastAsiaTheme="minorEastAsia" w:hAnsi="Aptos"/>
        </w:rPr>
      </w:pPr>
    </w:p>
    <w:p w14:paraId="79798FD1"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Do I have to partner with an international space agency to be eligible for funding?</w:t>
      </w:r>
    </w:p>
    <w:p w14:paraId="478F35EB"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IBF funding requires that the UK lead for the project include international partners as part of their consortium. The call does not specify whether international partners should be supported financially by an International Space Agency or a foreign government body.</w:t>
      </w:r>
    </w:p>
    <w:p w14:paraId="5C144EE9" w14:textId="77777777" w:rsidR="007D073D" w:rsidRPr="007D073D" w:rsidRDefault="007D073D" w:rsidP="007D073D">
      <w:pPr>
        <w:ind w:left="-218"/>
        <w:jc w:val="both"/>
        <w:rPr>
          <w:rFonts w:ascii="Aptos" w:eastAsiaTheme="minorEastAsia" w:hAnsi="Aptos"/>
        </w:rPr>
      </w:pPr>
    </w:p>
    <w:p w14:paraId="122438FC"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Is there a difference between a partner and a sub-contractor?</w:t>
      </w:r>
    </w:p>
    <w:p w14:paraId="12AAC416"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Yes. If you are collaborating with another organisation or company, then they are your project partner and will be included in your proposal as subject to PV (private venture) contribution.</w:t>
      </w:r>
    </w:p>
    <w:p w14:paraId="3C313DBC" w14:textId="77777777" w:rsidR="007D073D" w:rsidRPr="007D073D" w:rsidRDefault="007D073D" w:rsidP="007D073D">
      <w:pPr>
        <w:jc w:val="both"/>
        <w:rPr>
          <w:rFonts w:ascii="Aptos" w:eastAsiaTheme="minorEastAsia" w:hAnsi="Aptos"/>
        </w:rPr>
      </w:pPr>
    </w:p>
    <w:p w14:paraId="481A228C"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If you wish to sub-contract some work, then that company cannot be considered as a project partner as payment to them will be made from the award and they will therefore be included in the costs of the project.</w:t>
      </w:r>
    </w:p>
    <w:p w14:paraId="2DAC391D" w14:textId="77777777" w:rsidR="007D073D" w:rsidRPr="007D073D" w:rsidRDefault="007D073D" w:rsidP="007D073D">
      <w:pPr>
        <w:ind w:left="-218"/>
        <w:jc w:val="both"/>
        <w:rPr>
          <w:rFonts w:ascii="Aptos" w:eastAsiaTheme="minorEastAsia" w:hAnsi="Aptos"/>
        </w:rPr>
      </w:pPr>
    </w:p>
    <w:p w14:paraId="4317E8B9"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Would sub-contractors have any IP publication rights?</w:t>
      </w:r>
    </w:p>
    <w:p w14:paraId="0747DD39"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If you sub-contract work this may not affect the IP publication rights of your company, but this is for the lead organisation to confirm.  </w:t>
      </w:r>
    </w:p>
    <w:p w14:paraId="6AFE8947" w14:textId="77777777" w:rsidR="007D073D" w:rsidRPr="007D073D" w:rsidRDefault="007D073D" w:rsidP="007D073D">
      <w:pPr>
        <w:pStyle w:val="ListParagraph"/>
        <w:jc w:val="both"/>
        <w:rPr>
          <w:rFonts w:ascii="Aptos" w:eastAsiaTheme="minorEastAsia" w:hAnsi="Aptos"/>
        </w:rPr>
      </w:pPr>
    </w:p>
    <w:p w14:paraId="41E56420"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 xml:space="preserve"> Can we apply with only subcontractors as our proposed international partner?</w:t>
      </w:r>
    </w:p>
    <w:p w14:paraId="183EF8DE" w14:textId="77777777" w:rsidR="007D073D" w:rsidRPr="007D073D" w:rsidRDefault="007D073D" w:rsidP="007D073D">
      <w:pPr>
        <w:pStyle w:val="ListParagraph"/>
        <w:jc w:val="both"/>
        <w:rPr>
          <w:rFonts w:ascii="Aptos" w:eastAsiaTheme="minorEastAsia" w:hAnsi="Aptos"/>
          <w:color w:val="231D45"/>
        </w:rPr>
      </w:pPr>
      <w:r w:rsidRPr="007D073D">
        <w:rPr>
          <w:rFonts w:ascii="Aptos" w:eastAsiaTheme="minorEastAsia" w:hAnsi="Aptos"/>
        </w:rPr>
        <w:lastRenderedPageBreak/>
        <w:t>Yes. For the purposes of the application, an international organisation can be classed as your international partner if they are a sub-contractor.</w:t>
      </w:r>
    </w:p>
    <w:p w14:paraId="42DE1CF0" w14:textId="77777777" w:rsidR="007D073D" w:rsidRPr="007D073D" w:rsidRDefault="007D073D" w:rsidP="007D073D">
      <w:pPr>
        <w:ind w:left="-218"/>
        <w:jc w:val="both"/>
        <w:rPr>
          <w:rFonts w:ascii="Aptos" w:eastAsiaTheme="minorEastAsia" w:hAnsi="Aptos"/>
        </w:rPr>
      </w:pPr>
    </w:p>
    <w:p w14:paraId="5E08F72E"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Does the maximum grant award offered include the PV (private venture) contribution?</w:t>
      </w:r>
    </w:p>
    <w:p w14:paraId="18FF914E"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The maximum grant is the award value UKSA will give to a successful proposal.  However, to industrial organisations (e.g., SME/LE) and FEC to not-for-profit organisations/academia. Therefore, your equivalent PV contribution must match that criterion.</w:t>
      </w:r>
    </w:p>
    <w:p w14:paraId="1F761EE7" w14:textId="77777777" w:rsidR="007D073D" w:rsidRPr="007D073D" w:rsidRDefault="007D073D" w:rsidP="007D073D">
      <w:pPr>
        <w:ind w:left="-218"/>
        <w:jc w:val="both"/>
        <w:rPr>
          <w:rFonts w:ascii="Aptos" w:eastAsiaTheme="minorEastAsia" w:hAnsi="Aptos"/>
          <w:b/>
          <w:bCs/>
        </w:rPr>
      </w:pPr>
    </w:p>
    <w:p w14:paraId="118C34ED" w14:textId="77777777" w:rsidR="007D073D" w:rsidRPr="007D073D" w:rsidRDefault="007D073D" w:rsidP="007D073D">
      <w:pPr>
        <w:pStyle w:val="ListParagraph"/>
        <w:numPr>
          <w:ilvl w:val="0"/>
          <w:numId w:val="4"/>
        </w:numPr>
        <w:suppressAutoHyphens w:val="0"/>
        <w:autoSpaceDN/>
        <w:contextualSpacing/>
        <w:jc w:val="both"/>
        <w:textAlignment w:val="auto"/>
        <w:rPr>
          <w:rFonts w:ascii="Aptos" w:eastAsiaTheme="minorEastAsia" w:hAnsi="Aptos"/>
          <w:b/>
          <w:bCs/>
        </w:rPr>
      </w:pPr>
      <w:r w:rsidRPr="007D073D">
        <w:rPr>
          <w:rFonts w:ascii="Aptos" w:eastAsiaTheme="minorEastAsia" w:hAnsi="Aptos"/>
          <w:b/>
          <w:bCs/>
        </w:rPr>
        <w:t>Is an independent audit required of the total cost of the project?</w:t>
      </w:r>
    </w:p>
    <w:p w14:paraId="4AD713A1"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Confirmation is required that the Grant Recipient has expended the sums in respect of the period in which milestone payments have been claimed. For this purpose, a report must be completed and sent to the Grant Funder within 3 months of the end of the grant or annually, whichever is shorter. As per the terms of the Grant Funding Agreement, it is not possible to claim the cost of this report. </w:t>
      </w:r>
    </w:p>
    <w:p w14:paraId="3818F5C9" w14:textId="77777777" w:rsidR="007D073D" w:rsidRPr="007D073D" w:rsidRDefault="007D073D" w:rsidP="007D073D">
      <w:pPr>
        <w:jc w:val="both"/>
        <w:rPr>
          <w:rFonts w:ascii="Aptos" w:eastAsiaTheme="minorEastAsia" w:hAnsi="Aptos"/>
        </w:rPr>
      </w:pPr>
    </w:p>
    <w:p w14:paraId="3099E1E2"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Can we apply to multiple UKSA funding calls with the same application?</w:t>
      </w:r>
    </w:p>
    <w:p w14:paraId="1A7B67FB"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Applicants can choose to do this but should note that each funding call has its own distinct objectives and scoring criteria will vary, so proposals that include the same content across multiple funding calls are unlikely to score highly. As outlined in the assessment criteria, the strongest proposals applying to IBF will demonstrate strong relevance to the objectives of international partners, which is distinct to this funding call.</w:t>
      </w:r>
    </w:p>
    <w:p w14:paraId="0B50C999" w14:textId="77777777" w:rsidR="007D073D" w:rsidRPr="007D073D" w:rsidRDefault="007D073D" w:rsidP="007D073D">
      <w:pPr>
        <w:pStyle w:val="ListParagraph"/>
        <w:jc w:val="both"/>
        <w:rPr>
          <w:rFonts w:ascii="Aptos" w:eastAsiaTheme="minorEastAsia" w:hAnsi="Aptos"/>
        </w:rPr>
      </w:pPr>
    </w:p>
    <w:p w14:paraId="3552BC03"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Can we apply multiple times to the IBF as a participant or lead in different IBF consortia?</w:t>
      </w:r>
    </w:p>
    <w:p w14:paraId="4203993B"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Applications should be restricted to two per organisation (lead) and unrestricted as partners. </w:t>
      </w:r>
    </w:p>
    <w:p w14:paraId="1F1A339E" w14:textId="77777777" w:rsidR="007D073D" w:rsidRPr="007D073D" w:rsidRDefault="007D073D" w:rsidP="007D073D">
      <w:pPr>
        <w:pStyle w:val="ListParagraph"/>
        <w:jc w:val="both"/>
        <w:rPr>
          <w:rFonts w:ascii="Aptos" w:eastAsiaTheme="minorEastAsia" w:hAnsi="Aptos"/>
          <w:b/>
          <w:bCs/>
        </w:rPr>
      </w:pPr>
    </w:p>
    <w:p w14:paraId="4B3AFD4E"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 xml:space="preserve">What are the match funding requirements for this call? </w:t>
      </w:r>
    </w:p>
    <w:p w14:paraId="31146910"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This call is subject to the Subsidy Control Act 2022, and match funding requirements vary according to the size and type of lead organisation, as well as any activity being undertaken.  Match funding requirements are set out in section 9 of the call guidance. For any clarifications,  please email ggms_ibf@cabinetoffice.gov.uk.</w:t>
      </w:r>
    </w:p>
    <w:p w14:paraId="770F487A" w14:textId="77777777" w:rsidR="007D073D" w:rsidRPr="007D073D" w:rsidRDefault="007D073D" w:rsidP="007D073D">
      <w:pPr>
        <w:pStyle w:val="ListParagraph"/>
        <w:jc w:val="both"/>
        <w:rPr>
          <w:rFonts w:ascii="Aptos" w:eastAsiaTheme="minorEastAsia" w:hAnsi="Aptos"/>
          <w:b/>
          <w:bCs/>
        </w:rPr>
      </w:pPr>
    </w:p>
    <w:p w14:paraId="205C5CF8"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Do we need to assess match funding requirements for our international partners?</w:t>
      </w:r>
    </w:p>
    <w:p w14:paraId="12675842" w14:textId="77777777" w:rsidR="007D073D" w:rsidRPr="007D073D" w:rsidRDefault="007D073D" w:rsidP="007D073D">
      <w:pPr>
        <w:pStyle w:val="ListParagraph"/>
        <w:jc w:val="both"/>
        <w:rPr>
          <w:rFonts w:ascii="Aptos" w:eastAsiaTheme="minorEastAsia" w:hAnsi="Aptos"/>
        </w:rPr>
      </w:pPr>
      <w:r w:rsidRPr="007D073D">
        <w:rPr>
          <w:rFonts w:ascii="Aptos" w:eastAsiaTheme="minorEastAsia" w:hAnsi="Aptos"/>
        </w:rPr>
        <w:t xml:space="preserve">Yes. As set out in the call guidance, match funding must be accurately provided by each member of the consortium, including international partners.  Applications where the updated subsidy control guidance is not complied with will not be considered for funding. </w:t>
      </w:r>
    </w:p>
    <w:p w14:paraId="21B19E5D" w14:textId="77777777" w:rsidR="007D073D" w:rsidRPr="007D073D" w:rsidRDefault="007D073D" w:rsidP="007D073D">
      <w:pPr>
        <w:pStyle w:val="ListParagraph"/>
        <w:jc w:val="both"/>
        <w:rPr>
          <w:rFonts w:ascii="Aptos" w:eastAsiaTheme="minorEastAsia" w:hAnsi="Aptos"/>
        </w:rPr>
      </w:pPr>
    </w:p>
    <w:p w14:paraId="36152D14"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 xml:space="preserve">Can we use different match funding thresholds? </w:t>
      </w:r>
    </w:p>
    <w:p w14:paraId="656F2331" w14:textId="77777777" w:rsidR="007D073D" w:rsidRPr="007D073D" w:rsidRDefault="007D073D" w:rsidP="007D073D">
      <w:pPr>
        <w:ind w:left="720"/>
        <w:jc w:val="both"/>
        <w:rPr>
          <w:rFonts w:ascii="Aptos" w:eastAsiaTheme="minorEastAsia" w:hAnsi="Aptos"/>
        </w:rPr>
      </w:pPr>
      <w:r w:rsidRPr="007D073D">
        <w:rPr>
          <w:rFonts w:ascii="Aptos" w:eastAsiaTheme="minorEastAsia" w:hAnsi="Aptos"/>
        </w:rPr>
        <w:t>No. These thresholds are set out in the Subsidy Control Act 2022 and UKSA has no authority to deviate from them.</w:t>
      </w:r>
    </w:p>
    <w:p w14:paraId="73A60137" w14:textId="77777777" w:rsidR="007D073D" w:rsidRPr="007D073D" w:rsidRDefault="007D073D" w:rsidP="007D073D">
      <w:pPr>
        <w:pStyle w:val="ListParagraph"/>
        <w:jc w:val="both"/>
        <w:rPr>
          <w:rFonts w:ascii="Aptos" w:eastAsiaTheme="minorEastAsia" w:hAnsi="Aptos"/>
        </w:rPr>
      </w:pPr>
    </w:p>
    <w:p w14:paraId="428982D5" w14:textId="77777777" w:rsidR="007D073D" w:rsidRPr="007D073D" w:rsidRDefault="007D073D" w:rsidP="007D073D">
      <w:pPr>
        <w:pStyle w:val="ListParagraph"/>
        <w:numPr>
          <w:ilvl w:val="0"/>
          <w:numId w:val="4"/>
        </w:numPr>
        <w:suppressAutoHyphens w:val="0"/>
        <w:autoSpaceDN/>
        <w:spacing w:line="256" w:lineRule="auto"/>
        <w:contextualSpacing/>
        <w:jc w:val="both"/>
        <w:textAlignment w:val="auto"/>
        <w:rPr>
          <w:rFonts w:ascii="Aptos" w:eastAsiaTheme="minorEastAsia" w:hAnsi="Aptos"/>
          <w:b/>
          <w:bCs/>
        </w:rPr>
      </w:pPr>
      <w:r w:rsidRPr="007D073D">
        <w:rPr>
          <w:rFonts w:ascii="Aptos" w:eastAsiaTheme="minorEastAsia" w:hAnsi="Aptos"/>
          <w:b/>
          <w:bCs/>
        </w:rPr>
        <w:t>Should we provide Letters of Support?</w:t>
      </w:r>
    </w:p>
    <w:p w14:paraId="306CF5EE" w14:textId="77777777" w:rsidR="007D073D" w:rsidRDefault="007D073D" w:rsidP="007D073D">
      <w:pPr>
        <w:pStyle w:val="ListParagraph"/>
        <w:jc w:val="both"/>
        <w:rPr>
          <w:rFonts w:ascii="Aptos" w:eastAsiaTheme="minorEastAsia" w:hAnsi="Aptos"/>
        </w:rPr>
      </w:pPr>
      <w:bookmarkStart w:id="2" w:name="_ANNEX_3:_Proposals"/>
      <w:bookmarkEnd w:id="1"/>
      <w:bookmarkEnd w:id="2"/>
      <w:r w:rsidRPr="007D073D">
        <w:rPr>
          <w:rFonts w:ascii="Aptos" w:eastAsiaTheme="minorEastAsia" w:hAnsi="Aptos"/>
        </w:rPr>
        <w:t>If they are available, applications can also include letters of support.</w:t>
      </w:r>
      <w:r w:rsidRPr="7D6023A9">
        <w:rPr>
          <w:rFonts w:ascii="Aptos" w:eastAsiaTheme="minorEastAsia" w:hAnsi="Aptos"/>
        </w:rPr>
        <w:t xml:space="preserve"> </w:t>
      </w:r>
    </w:p>
    <w:p w14:paraId="25DE0088" w14:textId="77777777" w:rsidR="00D112CF" w:rsidRDefault="00D112CF">
      <w:pPr>
        <w:jc w:val="both"/>
        <w:rPr>
          <w:rFonts w:ascii="Arial" w:hAnsi="Arial" w:cs="Arial"/>
          <w:sz w:val="24"/>
          <w:szCs w:val="24"/>
        </w:rPr>
      </w:pPr>
    </w:p>
    <w:p w14:paraId="50C71DCC" w14:textId="77777777" w:rsidR="00D112CF" w:rsidRDefault="00D112CF">
      <w:pPr>
        <w:rPr>
          <w:rFonts w:ascii="Arial" w:hAnsi="Arial" w:cs="Arial"/>
          <w:sz w:val="24"/>
          <w:szCs w:val="24"/>
        </w:rPr>
      </w:pPr>
    </w:p>
    <w:bookmarkEnd w:id="0"/>
    <w:p w14:paraId="01CF0463" w14:textId="77777777" w:rsidR="00D112CF" w:rsidRDefault="00D112CF">
      <w:pPr>
        <w:rPr>
          <w:rFonts w:ascii="Arial" w:hAnsi="Arial" w:cs="Arial"/>
          <w:sz w:val="24"/>
          <w:szCs w:val="24"/>
        </w:rPr>
      </w:pPr>
    </w:p>
    <w:sectPr w:rsidR="00D112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320B" w14:textId="77777777" w:rsidR="007D073D" w:rsidRDefault="007D073D">
      <w:r>
        <w:separator/>
      </w:r>
    </w:p>
  </w:endnote>
  <w:endnote w:type="continuationSeparator" w:id="0">
    <w:p w14:paraId="32BDFFE1" w14:textId="77777777" w:rsidR="007D073D" w:rsidRDefault="007D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E97F" w14:textId="77777777" w:rsidR="007D073D" w:rsidRDefault="007D0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BB9" w14:textId="77777777" w:rsidR="007D073D" w:rsidRDefault="007D0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9C3C" w14:textId="77777777" w:rsidR="007D073D" w:rsidRDefault="007D0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7C25" w14:textId="77777777" w:rsidR="007D073D" w:rsidRDefault="007D073D">
      <w:r>
        <w:rPr>
          <w:color w:val="000000"/>
        </w:rPr>
        <w:separator/>
      </w:r>
    </w:p>
  </w:footnote>
  <w:footnote w:type="continuationSeparator" w:id="0">
    <w:p w14:paraId="1797D466" w14:textId="77777777" w:rsidR="007D073D" w:rsidRDefault="007D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459" w14:textId="77777777" w:rsidR="007D073D" w:rsidRDefault="007D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6A2A" w14:textId="77777777" w:rsidR="007D073D" w:rsidRDefault="007D073D">
    <w:pPr>
      <w:pStyle w:val="Header"/>
    </w:pPr>
    <w:r>
      <w:rPr>
        <w:rFonts w:ascii="Arial" w:hAnsi="Arial" w:cs="Arial"/>
        <w:noProof/>
        <w:color w:val="44546A"/>
        <w:sz w:val="24"/>
        <w:szCs w:val="24"/>
        <w:lang w:eastAsia="en-GB"/>
      </w:rPr>
      <w:drawing>
        <wp:anchor distT="0" distB="0" distL="114300" distR="114300" simplePos="0" relativeHeight="251659264" behindDoc="0" locked="0" layoutInCell="1" allowOverlap="1" wp14:anchorId="069B62AC" wp14:editId="1225098C">
          <wp:simplePos x="0" y="0"/>
          <wp:positionH relativeFrom="leftMargin">
            <wp:align>right</wp:align>
          </wp:positionH>
          <wp:positionV relativeFrom="paragraph">
            <wp:posOffset>-57150</wp:posOffset>
          </wp:positionV>
          <wp:extent cx="485775" cy="514350"/>
          <wp:effectExtent l="0" t="0" r="9525" b="0"/>
          <wp:wrapSquare wrapText="bothSides"/>
          <wp:docPr id="610491286" name="Picture 2" descr="cid:image001.png@01D3D0EB.975023E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514350"/>
                  </a:xfrm>
                  <a:prstGeom prst="rect">
                    <a:avLst/>
                  </a:prstGeom>
                  <a:noFill/>
                  <a:ln>
                    <a:noFill/>
                    <a:prstDash/>
                  </a:ln>
                </pic:spPr>
              </pic:pic>
            </a:graphicData>
          </a:graphic>
        </wp:anchor>
      </w:drawing>
    </w:r>
    <w:r>
      <w:t>UK Space Agency</w:t>
    </w:r>
  </w:p>
  <w:p w14:paraId="43EB96C3" w14:textId="77777777" w:rsidR="007D073D" w:rsidRDefault="007D073D">
    <w:pPr>
      <w:pStyle w:val="Header"/>
    </w:pPr>
    <w:r>
      <w:t>International Bilateral Fund - Application Document Set</w:t>
    </w:r>
  </w:p>
  <w:p w14:paraId="400397F2" w14:textId="56DFFA4B" w:rsidR="007D073D" w:rsidRDefault="007D073D">
    <w:pPr>
      <w:pStyle w:val="Header"/>
    </w:pPr>
    <w:r>
      <w:t>IBF Q&amp;A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0874" w14:textId="77777777" w:rsidR="007D073D" w:rsidRDefault="007D0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8AB"/>
    <w:multiLevelType w:val="multilevel"/>
    <w:tmpl w:val="5A446B7A"/>
    <w:lvl w:ilvl="0">
      <w:numFmt w:val="bullet"/>
      <w:lvlText w:val="-"/>
      <w:lvlJc w:val="left"/>
      <w:pPr>
        <w:ind w:left="720" w:hanging="360"/>
      </w:pPr>
      <w:rPr>
        <w:rFonts w:ascii="Calibri" w:eastAsia="Calibri" w:hAnsi="Calibri" w:cs="Calibri"/>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76C1458"/>
    <w:multiLevelType w:val="hybridMultilevel"/>
    <w:tmpl w:val="48541CB8"/>
    <w:lvl w:ilvl="0" w:tplc="FEEE7306">
      <w:start w:val="1"/>
      <w:numFmt w:val="decimal"/>
      <w:lvlText w:val="%1."/>
      <w:lvlJc w:val="left"/>
      <w:pPr>
        <w:ind w:left="720" w:hanging="360"/>
      </w:pPr>
    </w:lvl>
    <w:lvl w:ilvl="1" w:tplc="0DD03E60" w:tentative="1">
      <w:start w:val="1"/>
      <w:numFmt w:val="lowerLetter"/>
      <w:lvlText w:val="%2."/>
      <w:lvlJc w:val="left"/>
      <w:pPr>
        <w:ind w:left="1440" w:hanging="360"/>
      </w:pPr>
    </w:lvl>
    <w:lvl w:ilvl="2" w:tplc="44A4C01C" w:tentative="1">
      <w:start w:val="1"/>
      <w:numFmt w:val="lowerRoman"/>
      <w:lvlText w:val="%3."/>
      <w:lvlJc w:val="right"/>
      <w:pPr>
        <w:ind w:left="2160" w:hanging="180"/>
      </w:pPr>
    </w:lvl>
    <w:lvl w:ilvl="3" w:tplc="69185E90" w:tentative="1">
      <w:start w:val="1"/>
      <w:numFmt w:val="decimal"/>
      <w:lvlText w:val="%4."/>
      <w:lvlJc w:val="left"/>
      <w:pPr>
        <w:ind w:left="2880" w:hanging="360"/>
      </w:pPr>
    </w:lvl>
    <w:lvl w:ilvl="4" w:tplc="46FC8F42" w:tentative="1">
      <w:start w:val="1"/>
      <w:numFmt w:val="lowerLetter"/>
      <w:lvlText w:val="%5."/>
      <w:lvlJc w:val="left"/>
      <w:pPr>
        <w:ind w:left="3600" w:hanging="360"/>
      </w:pPr>
    </w:lvl>
    <w:lvl w:ilvl="5" w:tplc="6A7EC726" w:tentative="1">
      <w:start w:val="1"/>
      <w:numFmt w:val="lowerRoman"/>
      <w:lvlText w:val="%6."/>
      <w:lvlJc w:val="right"/>
      <w:pPr>
        <w:ind w:left="4320" w:hanging="180"/>
      </w:pPr>
    </w:lvl>
    <w:lvl w:ilvl="6" w:tplc="7586F986" w:tentative="1">
      <w:start w:val="1"/>
      <w:numFmt w:val="decimal"/>
      <w:lvlText w:val="%7."/>
      <w:lvlJc w:val="left"/>
      <w:pPr>
        <w:ind w:left="5040" w:hanging="360"/>
      </w:pPr>
    </w:lvl>
    <w:lvl w:ilvl="7" w:tplc="47B20BF4" w:tentative="1">
      <w:start w:val="1"/>
      <w:numFmt w:val="lowerLetter"/>
      <w:lvlText w:val="%8."/>
      <w:lvlJc w:val="left"/>
      <w:pPr>
        <w:ind w:left="5760" w:hanging="360"/>
      </w:pPr>
    </w:lvl>
    <w:lvl w:ilvl="8" w:tplc="073E350A" w:tentative="1">
      <w:start w:val="1"/>
      <w:numFmt w:val="lowerRoman"/>
      <w:lvlText w:val="%9."/>
      <w:lvlJc w:val="right"/>
      <w:pPr>
        <w:ind w:left="6480" w:hanging="180"/>
      </w:pPr>
    </w:lvl>
  </w:abstractNum>
  <w:abstractNum w:abstractNumId="2" w15:restartNumberingAfterBreak="0">
    <w:nsid w:val="4EDC048B"/>
    <w:multiLevelType w:val="multilevel"/>
    <w:tmpl w:val="EC08A7F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C62D23E"/>
    <w:multiLevelType w:val="hybridMultilevel"/>
    <w:tmpl w:val="D21E76F6"/>
    <w:lvl w:ilvl="0" w:tplc="5A782CB8">
      <w:start w:val="1"/>
      <w:numFmt w:val="bullet"/>
      <w:lvlText w:val=""/>
      <w:lvlJc w:val="left"/>
      <w:pPr>
        <w:ind w:left="1080" w:hanging="360"/>
      </w:pPr>
      <w:rPr>
        <w:rFonts w:ascii="Symbol" w:hAnsi="Symbol" w:hint="default"/>
      </w:rPr>
    </w:lvl>
    <w:lvl w:ilvl="1" w:tplc="E3AA6D52">
      <w:start w:val="1"/>
      <w:numFmt w:val="bullet"/>
      <w:lvlText w:val="o"/>
      <w:lvlJc w:val="left"/>
      <w:pPr>
        <w:ind w:left="1800" w:hanging="360"/>
      </w:pPr>
      <w:rPr>
        <w:rFonts w:ascii="Courier New" w:hAnsi="Courier New" w:hint="default"/>
      </w:rPr>
    </w:lvl>
    <w:lvl w:ilvl="2" w:tplc="85603A3C">
      <w:start w:val="1"/>
      <w:numFmt w:val="bullet"/>
      <w:lvlText w:val=""/>
      <w:lvlJc w:val="left"/>
      <w:pPr>
        <w:ind w:left="2520" w:hanging="360"/>
      </w:pPr>
      <w:rPr>
        <w:rFonts w:ascii="Wingdings" w:hAnsi="Wingdings" w:hint="default"/>
      </w:rPr>
    </w:lvl>
    <w:lvl w:ilvl="3" w:tplc="9D146E72">
      <w:start w:val="1"/>
      <w:numFmt w:val="bullet"/>
      <w:lvlText w:val=""/>
      <w:lvlJc w:val="left"/>
      <w:pPr>
        <w:ind w:left="3240" w:hanging="360"/>
      </w:pPr>
      <w:rPr>
        <w:rFonts w:ascii="Symbol" w:hAnsi="Symbol" w:hint="default"/>
      </w:rPr>
    </w:lvl>
    <w:lvl w:ilvl="4" w:tplc="ACE0A704">
      <w:start w:val="1"/>
      <w:numFmt w:val="bullet"/>
      <w:lvlText w:val="o"/>
      <w:lvlJc w:val="left"/>
      <w:pPr>
        <w:ind w:left="3960" w:hanging="360"/>
      </w:pPr>
      <w:rPr>
        <w:rFonts w:ascii="Courier New" w:hAnsi="Courier New" w:hint="default"/>
      </w:rPr>
    </w:lvl>
    <w:lvl w:ilvl="5" w:tplc="B3C885DC">
      <w:start w:val="1"/>
      <w:numFmt w:val="bullet"/>
      <w:lvlText w:val=""/>
      <w:lvlJc w:val="left"/>
      <w:pPr>
        <w:ind w:left="4680" w:hanging="360"/>
      </w:pPr>
      <w:rPr>
        <w:rFonts w:ascii="Wingdings" w:hAnsi="Wingdings" w:hint="default"/>
      </w:rPr>
    </w:lvl>
    <w:lvl w:ilvl="6" w:tplc="B0844D86">
      <w:start w:val="1"/>
      <w:numFmt w:val="bullet"/>
      <w:lvlText w:val=""/>
      <w:lvlJc w:val="left"/>
      <w:pPr>
        <w:ind w:left="5400" w:hanging="360"/>
      </w:pPr>
      <w:rPr>
        <w:rFonts w:ascii="Symbol" w:hAnsi="Symbol" w:hint="default"/>
      </w:rPr>
    </w:lvl>
    <w:lvl w:ilvl="7" w:tplc="7FFEA0A6">
      <w:start w:val="1"/>
      <w:numFmt w:val="bullet"/>
      <w:lvlText w:val="o"/>
      <w:lvlJc w:val="left"/>
      <w:pPr>
        <w:ind w:left="6120" w:hanging="360"/>
      </w:pPr>
      <w:rPr>
        <w:rFonts w:ascii="Courier New" w:hAnsi="Courier New" w:hint="default"/>
      </w:rPr>
    </w:lvl>
    <w:lvl w:ilvl="8" w:tplc="9FC6DAC8">
      <w:start w:val="1"/>
      <w:numFmt w:val="bullet"/>
      <w:lvlText w:val=""/>
      <w:lvlJc w:val="left"/>
      <w:pPr>
        <w:ind w:left="6840" w:hanging="360"/>
      </w:pPr>
      <w:rPr>
        <w:rFonts w:ascii="Wingdings" w:hAnsi="Wingdings" w:hint="default"/>
      </w:rPr>
    </w:lvl>
  </w:abstractNum>
  <w:num w:numId="1" w16cid:durableId="1460109291">
    <w:abstractNumId w:val="2"/>
  </w:num>
  <w:num w:numId="2" w16cid:durableId="1565529894">
    <w:abstractNumId w:val="0"/>
  </w:num>
  <w:num w:numId="3" w16cid:durableId="1673680452">
    <w:abstractNumId w:val="3"/>
  </w:num>
  <w:num w:numId="4" w16cid:durableId="1093890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112CF"/>
    <w:rsid w:val="00272E46"/>
    <w:rsid w:val="006F3480"/>
    <w:rsid w:val="007D073D"/>
    <w:rsid w:val="00D11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5838"/>
  <w15:docId w15:val="{15F0271D-A308-4C23-BA4A-9E071D63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uiPriority w:val="34"/>
    <w:qFormat/>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rPr>
  </w:style>
  <w:style w:type="paragraph" w:styleId="Revision">
    <w:name w:val="Revision"/>
    <w:pPr>
      <w:spacing w:after="0"/>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1250</Words>
  <Characters>7126</Characters>
  <Application>Microsoft Office Word</Application>
  <DocSecurity>0</DocSecurity>
  <Lines>59</Lines>
  <Paragraphs>16</Paragraphs>
  <ScaleCrop>false</ScaleCrop>
  <Company>Cirrus</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Gadsby, Athene (UKSA)</dc:creator>
  <dc:description/>
  <cp:lastModifiedBy>Walker, Cally (UKSA)</cp:lastModifiedBy>
  <cp:revision>3</cp:revision>
  <dcterms:created xsi:type="dcterms:W3CDTF">2025-05-19T15:29:00Z</dcterms:created>
  <dcterms:modified xsi:type="dcterms:W3CDTF">2025-05-19T15:30:00Z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2020-05-18T16:15:51Z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3154073f-1449-41e6-8acb-000041d78673</vt:lpwstr>
  </property>
  <property fmtid="{D5CDD505-2E9C-101B-9397-08002B2CF9AE}" pid="8" name="MSIP_Label_ba62f585-b40f-4ab9-bafe-39150f03d124_ContentBits">
    <vt:lpwstr>0</vt:lpwstr>
  </property>
  <property fmtid="{D5CDD505-2E9C-101B-9397-08002B2CF9AE}" pid="9" name="ContentTypeId">
    <vt:lpwstr>0x0101003CE2A52E4A070A4D8F113907F1A54B02</vt:lpwstr>
  </property>
  <property fmtid="{D5CDD505-2E9C-101B-9397-08002B2CF9AE}" pid="10" name="Business Unit">
    <vt:lpwstr>1;#UK Space Agency|e94dee48-3a05-4a12-8e11-f3f2fb95bcf1</vt:lpwstr>
  </property>
  <property fmtid="{D5CDD505-2E9C-101B-9397-08002B2CF9AE}" pid="11" name="_dlc_DocIdItemGuid">
    <vt:lpwstr>3a2409f9-6dcb-4938-a6d9-61f1adf3ad59</vt:lpwstr>
  </property>
  <property fmtid="{D5CDD505-2E9C-101B-9397-08002B2CF9AE}" pid="12" name="MediaServiceImageTags">
    <vt:lpwstr/>
  </property>
</Properties>
</file>