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Debt Modernisation Fund 25/26 – Bidder Clarification Questions Log – 19/05/2025</w:t>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tbl>
      <w:tblPr>
        <w:tblStyle w:val="Table1"/>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7"/>
        <w:gridCol w:w="3927"/>
        <w:gridCol w:w="8644"/>
        <w:tblGridChange w:id="0">
          <w:tblGrid>
            <w:gridCol w:w="1377"/>
            <w:gridCol w:w="3927"/>
            <w:gridCol w:w="8644"/>
          </w:tblGrid>
        </w:tblGridChange>
      </w:tblGrid>
      <w:tr>
        <w:trPr>
          <w:cantSplit w:val="0"/>
          <w:tblHeader w:val="0"/>
        </w:trPr>
        <w:tc>
          <w:tcPr>
            <w:shd w:fill="00b0f0" w:val="clear"/>
          </w:tcPr>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CQ Reference Number</w:t>
            </w:r>
          </w:p>
        </w:tc>
        <w:tc>
          <w:tcPr>
            <w:shd w:fill="c5e0b3" w:val="clear"/>
            <w:vAlign w:val="center"/>
          </w:tcPr>
          <w:p w:rsidR="00000000" w:rsidDel="00000000" w:rsidP="00000000" w:rsidRDefault="00000000" w:rsidRPr="00000000" w14:paraId="00000004">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shd w:fill="c5e0b3" w:val="clear"/>
            <w:vAlign w:val="center"/>
          </w:tcPr>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Answer</w:t>
            </w:r>
            <w:r w:rsidDel="00000000" w:rsidR="00000000" w:rsidRPr="00000000">
              <w:rPr>
                <w:rtl w:val="0"/>
              </w:rPr>
            </w:r>
          </w:p>
        </w:tc>
      </w:tr>
      <w:tr>
        <w:trPr>
          <w:cantSplit w:val="0"/>
          <w:trHeight w:val="1696" w:hRule="atLeast"/>
          <w:tblHeader w:val="0"/>
        </w:trPr>
        <w:tc>
          <w:tcPr/>
          <w:p w:rsidR="00000000" w:rsidDel="00000000" w:rsidP="00000000" w:rsidRDefault="00000000" w:rsidRPr="00000000" w14:paraId="0000000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CQ01</w:t>
            </w:r>
          </w:p>
        </w:tc>
        <w:tc>
          <w:tcPr>
            <w:vAlign w:val="center"/>
          </w:tcPr>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Are organisations in Wales, Scotland or Northern Ireland eligible?</w:t>
            </w:r>
          </w:p>
        </w:tc>
        <w:tc>
          <w:tcPr>
            <w:vAlign w:val="center"/>
          </w:tcPr>
          <w:p w:rsidR="00000000" w:rsidDel="00000000" w:rsidP="00000000" w:rsidRDefault="00000000" w:rsidRPr="00000000" w14:paraId="00000008">
            <w:pPr>
              <w:rPr>
                <w:rFonts w:ascii="Arial" w:cs="Arial" w:eastAsia="Arial" w:hAnsi="Arial"/>
                <w:i w:val="1"/>
                <w:sz w:val="24"/>
                <w:szCs w:val="24"/>
              </w:rPr>
            </w:pPr>
            <w:bookmarkStart w:colFirst="0" w:colLast="0" w:name="_heading=h.6hseqduz1b29" w:id="0"/>
            <w:bookmarkEnd w:id="0"/>
            <w:r w:rsidDel="00000000" w:rsidR="00000000" w:rsidRPr="00000000">
              <w:rPr>
                <w:rFonts w:ascii="Arial" w:cs="Arial" w:eastAsia="Arial" w:hAnsi="Arial"/>
                <w:i w:val="1"/>
                <w:sz w:val="24"/>
                <w:szCs w:val="24"/>
                <w:rtl w:val="0"/>
              </w:rPr>
              <w:t xml:space="preserve">No, services must be located in England and provide free to client debt advice in that region.</w:t>
            </w:r>
          </w:p>
        </w:tc>
      </w:tr>
      <w:tr>
        <w:trPr>
          <w:cantSplit w:val="0"/>
          <w:trHeight w:val="1696" w:hRule="atLeast"/>
          <w:tblHeader w:val="0"/>
        </w:trPr>
        <w:tc>
          <w:tcPr/>
          <w:p w:rsidR="00000000" w:rsidDel="00000000" w:rsidP="00000000" w:rsidRDefault="00000000" w:rsidRPr="00000000" w14:paraId="0000000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CQ02</w:t>
            </w:r>
          </w:p>
        </w:tc>
        <w:tc>
          <w:tcPr>
            <w:vAlign w:val="center"/>
          </w:tcPr>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Our organisation's annual turnover is more than £10m, but much of this is put towards our wider support services. Therefore less than £10m is spent on delivery of debt advice.</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Does our turnover include all activities including income generation and business enablement functions or will it pertain solely to debt advice delivery.</w:t>
            </w:r>
          </w:p>
        </w:tc>
        <w:tc>
          <w:tcPr>
            <w:vAlign w:val="center"/>
          </w:tcPr>
          <w:p w:rsidR="00000000" w:rsidDel="00000000" w:rsidP="00000000" w:rsidRDefault="00000000" w:rsidRPr="00000000" w14:paraId="0000000D">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the purposes of the Debt Advice Modernisation Fund, the threshold of less than £10 million annual turnover refers to the total turnover of your organisation, not just the portion allocated to debt advice delivery. This includes all activities, including income generation and business enablement functions.</w:t>
            </w:r>
          </w:p>
          <w:p w:rsidR="00000000" w:rsidDel="00000000" w:rsidP="00000000" w:rsidRDefault="00000000" w:rsidRPr="00000000" w14:paraId="0000000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Therefore, if your organisation’s total annual turnover exceeds £10 million, regardless of how much is spent specifically on debt advice, you would not be eligible under this criterion.</w:t>
            </w:r>
          </w:p>
          <w:p w:rsidR="00000000" w:rsidDel="00000000" w:rsidP="00000000" w:rsidRDefault="00000000" w:rsidRPr="00000000" w14:paraId="0000000F">
            <w:pPr>
              <w:rPr>
                <w:rFonts w:ascii="Arial" w:cs="Arial" w:eastAsia="Arial" w:hAnsi="Arial"/>
                <w:i w:val="1"/>
                <w:sz w:val="24"/>
                <w:szCs w:val="24"/>
              </w:rPr>
            </w:pPr>
            <w:r w:rsidDel="00000000" w:rsidR="00000000" w:rsidRPr="00000000">
              <w:rPr>
                <w:rtl w:val="0"/>
              </w:rPr>
            </w:r>
          </w:p>
        </w:tc>
      </w:tr>
      <w:tr>
        <w:trPr>
          <w:cantSplit w:val="0"/>
          <w:trHeight w:val="1696" w:hRule="atLeast"/>
          <w:tblHeader w:val="0"/>
        </w:trPr>
        <w:tc>
          <w:tcPr/>
          <w:p w:rsidR="00000000" w:rsidDel="00000000" w:rsidP="00000000" w:rsidRDefault="00000000" w:rsidRPr="00000000" w14:paraId="0000001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CQ03</w:t>
            </w:r>
          </w:p>
        </w:tc>
        <w:tc>
          <w:tcPr>
            <w:vAlign w:val="center"/>
          </w:tcPr>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Do applicants have to be currently delivering MaPS funded debt advice?</w:t>
            </w:r>
          </w:p>
        </w:tc>
        <w:tc>
          <w:tcPr>
            <w:vAlign w:val="center"/>
          </w:tcPr>
          <w:p w:rsidR="00000000" w:rsidDel="00000000" w:rsidP="00000000" w:rsidRDefault="00000000" w:rsidRPr="00000000" w14:paraId="0000001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 you don’t have to currently be delivering MaPs funding, you have to just meet the eligibility criteria as set out.</w:t>
            </w:r>
          </w:p>
        </w:tc>
      </w:tr>
      <w:tr>
        <w:trPr>
          <w:cantSplit w:val="0"/>
          <w:trHeight w:val="1696" w:hRule="atLeast"/>
          <w:tblHeader w:val="0"/>
        </w:trPr>
        <w:tc>
          <w:tcPr/>
          <w:p w:rsidR="00000000" w:rsidDel="00000000" w:rsidP="00000000" w:rsidRDefault="00000000" w:rsidRPr="00000000" w14:paraId="0000001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CQ04</w:t>
            </w:r>
          </w:p>
        </w:tc>
        <w:tc>
          <w:tcPr>
            <w:vAlign w:val="center"/>
          </w:tcPr>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Will non-consortium proposals be scored down?</w:t>
            </w:r>
          </w:p>
        </w:tc>
        <w:tc>
          <w:tcPr>
            <w:vAlign w:val="center"/>
          </w:tcPr>
          <w:p w:rsidR="00000000" w:rsidDel="00000000" w:rsidP="00000000" w:rsidRDefault="00000000" w:rsidRPr="00000000" w14:paraId="00000015">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 all applications will be individually assessed as against the evaluation criteria.</w:t>
            </w:r>
          </w:p>
        </w:tc>
      </w:tr>
      <w:tr>
        <w:trPr>
          <w:cantSplit w:val="0"/>
          <w:trHeight w:val="1696" w:hRule="atLeast"/>
          <w:tblHeader w:val="0"/>
        </w:trPr>
        <w:tc>
          <w:tcPr/>
          <w:p w:rsidR="00000000" w:rsidDel="00000000" w:rsidP="00000000" w:rsidRDefault="00000000" w:rsidRPr="00000000" w14:paraId="0000001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CQ05</w:t>
            </w:r>
          </w:p>
        </w:tc>
        <w:tc>
          <w:tcPr>
            <w:vAlign w:val="center"/>
          </w:tcPr>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Where inclusion requires providing offline support, would this be eligible?</w:t>
            </w:r>
          </w:p>
        </w:tc>
        <w:tc>
          <w:tcPr>
            <w:vAlign w:val="center"/>
          </w:tcPr>
          <w:p w:rsidR="00000000" w:rsidDel="00000000" w:rsidP="00000000" w:rsidRDefault="00000000" w:rsidRPr="00000000" w14:paraId="0000001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It is for you to determine your project and proposal. The support you want to offer and how you determine that aligns to the overall objectives of the scheme is up to the applicant's interpretation.</w:t>
            </w:r>
          </w:p>
          <w:p w:rsidR="00000000" w:rsidDel="00000000" w:rsidP="00000000" w:rsidRDefault="00000000" w:rsidRPr="00000000" w14:paraId="00000019">
            <w:pPr>
              <w:rPr>
                <w:rFonts w:ascii="Arial" w:cs="Arial" w:eastAsia="Arial" w:hAnsi="Arial"/>
                <w:i w:val="1"/>
                <w:sz w:val="24"/>
                <w:szCs w:val="24"/>
              </w:rPr>
            </w:pPr>
            <w:r w:rsidDel="00000000" w:rsidR="00000000" w:rsidRPr="00000000">
              <w:rPr>
                <w:rtl w:val="0"/>
              </w:rPr>
            </w:r>
          </w:p>
        </w:tc>
      </w:tr>
      <w:tr>
        <w:trPr>
          <w:cantSplit w:val="0"/>
          <w:trHeight w:val="1696" w:hRule="atLeast"/>
          <w:tblHeader w:val="0"/>
        </w:trPr>
        <w:tc>
          <w:tcPr/>
          <w:p w:rsidR="00000000" w:rsidDel="00000000" w:rsidP="00000000" w:rsidRDefault="00000000" w:rsidRPr="00000000" w14:paraId="0000001A">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CQ06</w:t>
            </w:r>
          </w:p>
        </w:tc>
        <w:tc>
          <w:tcPr>
            <w:vAlign w:val="center"/>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Are the reporting requirements the same as the Debt Modernisation fund 24/25?</w:t>
            </w:r>
          </w:p>
        </w:tc>
        <w:tc>
          <w:tcPr>
            <w:vAlign w:val="center"/>
          </w:tcPr>
          <w:p w:rsidR="00000000" w:rsidDel="00000000" w:rsidP="00000000" w:rsidRDefault="00000000" w:rsidRPr="00000000" w14:paraId="0000001C">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reporting requirements are aligned to the delivery of this scheme, so it will be dependent to a degree on your proposal. You will be expected to submit a monthly narrative report against what you are delivering in that month as well as the budget management tool for that funding period if you are submitting a claim.</w:t>
            </w:r>
          </w:p>
          <w:p w:rsidR="00000000" w:rsidDel="00000000" w:rsidP="00000000" w:rsidRDefault="00000000" w:rsidRPr="00000000" w14:paraId="0000001D">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We want to ensure the reporting requirements are proportionate to what it is you're delivering and the funding received. If you have no activity one month. We wouldn't expect you to be submitting any reports that month.</w:t>
            </w:r>
          </w:p>
        </w:tc>
      </w:tr>
      <w:tr>
        <w:trPr>
          <w:cantSplit w:val="0"/>
          <w:trHeight w:val="1696" w:hRule="atLeast"/>
          <w:tblHeader w:val="0"/>
        </w:trPr>
        <w:tc>
          <w:tcPr/>
          <w:p w:rsidR="00000000" w:rsidDel="00000000" w:rsidP="00000000" w:rsidRDefault="00000000" w:rsidRPr="00000000" w14:paraId="0000001F">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CQ07</w:t>
            </w:r>
          </w:p>
        </w:tc>
        <w:tc>
          <w:tcPr>
            <w:vAlign w:val="center"/>
          </w:tcPr>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Are payments in advance or in arrears?</w:t>
            </w:r>
          </w:p>
        </w:tc>
        <w:tc>
          <w:tcPr>
            <w:vAlign w:val="center"/>
          </w:tcPr>
          <w:p w:rsidR="00000000" w:rsidDel="00000000" w:rsidP="00000000" w:rsidRDefault="00000000" w:rsidRPr="00000000" w14:paraId="0000002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Payments are in arrears, and will be based on milestones.</w:t>
            </w:r>
          </w:p>
        </w:tc>
      </w:tr>
      <w:tr>
        <w:trPr>
          <w:cantSplit w:val="0"/>
          <w:trHeight w:val="1696" w:hRule="atLeast"/>
          <w:tblHeader w:val="0"/>
        </w:trPr>
        <w:tc>
          <w:tcPr/>
          <w:p w:rsidR="00000000" w:rsidDel="00000000" w:rsidP="00000000" w:rsidRDefault="00000000" w:rsidRPr="00000000" w14:paraId="0000002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CQ08</w:t>
            </w:r>
          </w:p>
        </w:tc>
        <w:tc>
          <w:tcPr>
            <w:vAlign w:val="center"/>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I have been funded from the 24/25 scheme, will my application be discredited?</w:t>
            </w:r>
          </w:p>
        </w:tc>
        <w:tc>
          <w:tcPr>
            <w:vAlign w:val="center"/>
          </w:tcPr>
          <w:p w:rsidR="00000000" w:rsidDel="00000000" w:rsidP="00000000" w:rsidRDefault="00000000" w:rsidRPr="00000000" w14:paraId="00000024">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 all applications will be individually assessed as against the evaluation criteria.</w:t>
            </w:r>
          </w:p>
        </w:tc>
      </w:tr>
      <w:tr>
        <w:trPr>
          <w:cantSplit w:val="0"/>
          <w:trHeight w:val="1696" w:hRule="atLeast"/>
          <w:tblHeader w:val="0"/>
        </w:trPr>
        <w:tc>
          <w:tcPr/>
          <w:p w:rsidR="00000000" w:rsidDel="00000000" w:rsidP="00000000" w:rsidRDefault="00000000" w:rsidRPr="00000000" w14:paraId="0000002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CQ09</w:t>
            </w:r>
          </w:p>
        </w:tc>
        <w:tc>
          <w:tcPr>
            <w:vAlign w:val="center"/>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Can you apply as a lead organisation but also be named as part of a consortium?</w:t>
            </w:r>
          </w:p>
        </w:tc>
        <w:tc>
          <w:tcPr>
            <w:vAlign w:val="center"/>
          </w:tcPr>
          <w:p w:rsidR="00000000" w:rsidDel="00000000" w:rsidP="00000000" w:rsidRDefault="00000000" w:rsidRPr="00000000" w14:paraId="0000002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Yes, your organisation may be involved in two separate applications; however, your roles in each must be fundamentally different, with no crossover in activities, staffing, or costs. The Debt Advice Modernisation Fund cannot be used to support duplicate funding under any circumstances.</w:t>
            </w:r>
          </w:p>
          <w:p w:rsidR="00000000" w:rsidDel="00000000" w:rsidP="00000000" w:rsidRDefault="00000000" w:rsidRPr="00000000" w14:paraId="0000002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Each application must clearly demonstrate how the roles, objectives, and use of funding are distinct and separately managed to ensure there is no duplication.</w:t>
            </w:r>
          </w:p>
          <w:p w:rsidR="00000000" w:rsidDel="00000000" w:rsidP="00000000" w:rsidRDefault="00000000" w:rsidRPr="00000000" w14:paraId="00000029">
            <w:pPr>
              <w:rPr>
                <w:rFonts w:ascii="Arial" w:cs="Arial" w:eastAsia="Arial" w:hAnsi="Arial"/>
                <w:i w:val="1"/>
                <w:sz w:val="24"/>
                <w:szCs w:val="24"/>
              </w:rPr>
            </w:pPr>
            <w:r w:rsidDel="00000000" w:rsidR="00000000" w:rsidRPr="00000000">
              <w:rPr>
                <w:rtl w:val="0"/>
              </w:rPr>
            </w:r>
          </w:p>
        </w:tc>
      </w:tr>
      <w:tr>
        <w:trPr>
          <w:cantSplit w:val="0"/>
          <w:trHeight w:val="1696" w:hRule="atLeast"/>
          <w:tblHeader w:val="0"/>
        </w:trPr>
        <w:tc>
          <w:tcPr/>
          <w:p w:rsidR="00000000" w:rsidDel="00000000" w:rsidP="00000000" w:rsidRDefault="00000000" w:rsidRPr="00000000" w14:paraId="0000002A">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CQ10</w:t>
            </w:r>
          </w:p>
        </w:tc>
        <w:tc>
          <w:tcPr>
            <w:vAlign w:val="center"/>
          </w:tcPr>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We secured funding in 24/25, can we build on this further with 25/26?</w:t>
            </w:r>
          </w:p>
        </w:tc>
        <w:tc>
          <w:tcPr>
            <w:vAlign w:val="center"/>
          </w:tcPr>
          <w:p w:rsidR="00000000" w:rsidDel="00000000" w:rsidP="00000000" w:rsidRDefault="00000000" w:rsidRPr="00000000" w14:paraId="0000002C">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It will depend on how you are proposing to build on a pre-existing activity or something that you've done. Provided this is not a duplication of funding.</w:t>
            </w:r>
          </w:p>
        </w:tc>
      </w:tr>
      <w:tr>
        <w:trPr>
          <w:cantSplit w:val="0"/>
          <w:trHeight w:val="1696" w:hRule="atLeast"/>
          <w:tblHeader w:val="0"/>
        </w:trPr>
        <w:tc>
          <w:tcPr/>
          <w:p w:rsidR="00000000" w:rsidDel="00000000" w:rsidP="00000000" w:rsidRDefault="00000000" w:rsidRPr="00000000" w14:paraId="0000002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CQ11</w:t>
            </w:r>
          </w:p>
        </w:tc>
        <w:tc>
          <w:tcPr>
            <w:vAlign w:val="cente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What expenditure can the budget cover?</w:t>
            </w:r>
          </w:p>
        </w:tc>
        <w:tc>
          <w:tcPr>
            <w:vAlign w:val="center"/>
          </w:tcPr>
          <w:p w:rsidR="00000000" w:rsidDel="00000000" w:rsidP="00000000" w:rsidRDefault="00000000" w:rsidRPr="00000000" w14:paraId="0000002F">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All project spend, broken into staff costs and non staff costs. The expenditure will have to match what you have submitted in the Budget Management Tool and aligns with what you have set out in your proposal.</w:t>
            </w:r>
          </w:p>
        </w:tc>
      </w:tr>
      <w:tr>
        <w:trPr>
          <w:cantSplit w:val="0"/>
          <w:trHeight w:val="1696" w:hRule="atLeast"/>
          <w:tblHeader w:val="0"/>
        </w:trPr>
        <w:tc>
          <w:tcPr/>
          <w:p w:rsidR="00000000" w:rsidDel="00000000" w:rsidP="00000000" w:rsidRDefault="00000000" w:rsidRPr="00000000" w14:paraId="0000003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CQ12</w:t>
            </w:r>
          </w:p>
        </w:tc>
        <w:tc>
          <w:tcPr>
            <w:vAlign w:val="center"/>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calculate turnover for the purposes of this opportunity?</w:t>
            </w:r>
          </w:p>
        </w:tc>
        <w:tc>
          <w:tcPr>
            <w:vAlign w:val="center"/>
          </w:tcPr>
          <w:p w:rsidR="00000000" w:rsidDel="00000000" w:rsidP="00000000" w:rsidRDefault="00000000" w:rsidRPr="00000000" w14:paraId="0000003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Turnover will be verified via the Charities Commission, your turnover will need to be within the specified range for your funding lot, any organisation with 'Income' exceeding that of their funding lot will not be eligible.</w:t>
            </w:r>
          </w:p>
        </w:tc>
      </w:tr>
    </w:tbl>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link w:val="Heading3Char"/>
    <w:uiPriority w:val="9"/>
    <w:semiHidden w:val="1"/>
    <w:unhideWhenUsed w:val="1"/>
    <w:qFormat w:val="1"/>
    <w:rsid w:val="00493973"/>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semiHidden w:val="1"/>
    <w:unhideWhenUsed w:val="1"/>
    <w:rsid w:val="00A270CD"/>
    <w:rPr>
      <w:color w:val="0563c1"/>
      <w:u w:val="single"/>
    </w:rPr>
  </w:style>
  <w:style w:type="table" w:styleId="TableGrid">
    <w:name w:val="Table Grid"/>
    <w:basedOn w:val="TableNormal"/>
    <w:uiPriority w:val="39"/>
    <w:rsid w:val="00A270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i-provider" w:customStyle="1">
    <w:name w:val="ui-provider"/>
    <w:basedOn w:val="DefaultParagraphFont"/>
    <w:rsid w:val="004E48BF"/>
  </w:style>
  <w:style w:type="paragraph" w:styleId="ListParagraph">
    <w:name w:val="List Paragraph"/>
    <w:basedOn w:val="Normal"/>
    <w:uiPriority w:val="34"/>
    <w:qFormat w:val="1"/>
    <w:rsid w:val="003F6030"/>
    <w:pPr>
      <w:ind w:left="720"/>
      <w:contextualSpacing w:val="1"/>
    </w:pPr>
  </w:style>
  <w:style w:type="character" w:styleId="Heading3Char" w:customStyle="1">
    <w:name w:val="Heading 3 Char"/>
    <w:basedOn w:val="DefaultParagraphFont"/>
    <w:link w:val="Heading3"/>
    <w:uiPriority w:val="9"/>
    <w:rsid w:val="00493973"/>
    <w:rPr>
      <w:rFonts w:asciiTheme="majorHAnsi" w:cstheme="majorBidi" w:eastAsiaTheme="majorEastAsia" w:hAnsiTheme="majorHAnsi"/>
      <w:color w:val="1f3763" w:themeColor="accent1" w:themeShade="00007F"/>
      <w:sz w:val="24"/>
      <w:szCs w:val="24"/>
    </w:rPr>
  </w:style>
  <w:style w:type="character" w:styleId="FollowedHyperlink">
    <w:name w:val="FollowedHyperlink"/>
    <w:basedOn w:val="DefaultParagraphFont"/>
    <w:uiPriority w:val="99"/>
    <w:semiHidden w:val="1"/>
    <w:unhideWhenUsed w:val="1"/>
    <w:rsid w:val="00EF2ACC"/>
    <w:rPr>
      <w:color w:val="954f72" w:themeColor="followedHyperlink"/>
      <w:u w:val="single"/>
    </w:rPr>
  </w:style>
  <w:style w:type="character" w:styleId="CommentReference">
    <w:name w:val="annotation reference"/>
    <w:basedOn w:val="DefaultParagraphFont"/>
    <w:uiPriority w:val="99"/>
    <w:semiHidden w:val="1"/>
    <w:unhideWhenUsed w:val="1"/>
    <w:rsid w:val="00C37003"/>
    <w:rPr>
      <w:sz w:val="16"/>
      <w:szCs w:val="16"/>
    </w:rPr>
  </w:style>
  <w:style w:type="paragraph" w:styleId="CommentText">
    <w:name w:val="annotation text"/>
    <w:basedOn w:val="Normal"/>
    <w:link w:val="CommentTextChar"/>
    <w:uiPriority w:val="99"/>
    <w:semiHidden w:val="1"/>
    <w:unhideWhenUsed w:val="1"/>
    <w:rsid w:val="00C37003"/>
    <w:pPr>
      <w:spacing w:line="240" w:lineRule="auto"/>
    </w:pPr>
    <w:rPr>
      <w:sz w:val="20"/>
      <w:szCs w:val="20"/>
    </w:rPr>
  </w:style>
  <w:style w:type="character" w:styleId="CommentTextChar" w:customStyle="1">
    <w:name w:val="Comment Text Char"/>
    <w:basedOn w:val="DefaultParagraphFont"/>
    <w:link w:val="CommentText"/>
    <w:uiPriority w:val="99"/>
    <w:semiHidden w:val="1"/>
    <w:rsid w:val="00C37003"/>
    <w:rPr>
      <w:sz w:val="20"/>
      <w:szCs w:val="20"/>
    </w:rPr>
  </w:style>
  <w:style w:type="paragraph" w:styleId="CommentSubject">
    <w:name w:val="annotation subject"/>
    <w:basedOn w:val="CommentText"/>
    <w:next w:val="CommentText"/>
    <w:link w:val="CommentSubjectChar"/>
    <w:uiPriority w:val="99"/>
    <w:semiHidden w:val="1"/>
    <w:unhideWhenUsed w:val="1"/>
    <w:rsid w:val="00C37003"/>
    <w:rPr>
      <w:b w:val="1"/>
      <w:bCs w:val="1"/>
    </w:rPr>
  </w:style>
  <w:style w:type="character" w:styleId="CommentSubjectChar" w:customStyle="1">
    <w:name w:val="Comment Subject Char"/>
    <w:basedOn w:val="CommentTextChar"/>
    <w:link w:val="CommentSubject"/>
    <w:uiPriority w:val="99"/>
    <w:semiHidden w:val="1"/>
    <w:rsid w:val="00C37003"/>
    <w:rPr>
      <w:b w:val="1"/>
      <w:bCs w:val="1"/>
      <w:sz w:val="20"/>
      <w:szCs w:val="20"/>
    </w:rPr>
  </w:style>
  <w:style w:type="character" w:styleId="Mention">
    <w:name w:val="Mention"/>
    <w:basedOn w:val="DefaultParagraphFont"/>
    <w:uiPriority w:val="99"/>
    <w:unhideWhenUsed w:val="1"/>
    <w:rsid w:val="00917666"/>
    <w:rPr>
      <w:color w:val="2b579a"/>
      <w:shd w:color="auto" w:fill="e6e6e6"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val="1"/>
    <w:unhideWhenUsed w:val="1"/>
    <w:rsid w:val="00E54A9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54A90"/>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6zQceas1okd9fs+CZ0maDfvtzg==">CgMxLjAyDmguNmhzZXFkdXoxYjI5OAByITFGZ2paRGZ5ZTVfSzdsVWFxQzJZYThUOE5uektQOUJXcA==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2025-05-16T13:45:00Z</dcterms:created>
  <dc:creator>Ian Robinson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0x010100A5BF1C78D9F64B679A5EBDE1C6598EBC01009357251ADF16824F91660FD17181AB4D</vt:lpwstr>
  </property>
  <property fmtid="{D5CDD505-2E9C-101B-9397-08002B2CF9AE}" pid="3" name="MediaServiceImageTags">
    <vt:lpwstr/>
  </property>
  <property fmtid="{D5CDD505-2E9C-101B-9397-08002B2CF9AE}" pid="4" name="HOBusinessUnit">
    <vt:lpwstr>3;#Commercial Directorate (CD)|89dfa253-14be-42a8-a0d5-bfdf4c6aba64</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4;#Process – Standard|cf511cbb-bd16-4156-ac78-90d0c4fce91f</vt:lpwstr>
  </property>
  <property fmtid="{D5CDD505-2E9C-101B-9397-08002B2CF9AE}" pid="8" name="MSIP_Label_c1f1d417-8d24-4145-98e6-20a1a753a0a2_Enabled">
    <vt:lpwstr>true</vt:lpwstr>
  </property>
  <property fmtid="{D5CDD505-2E9C-101B-9397-08002B2CF9AE}" pid="9" name="MSIP_Label_c1f1d417-8d24-4145-98e6-20a1a753a0a2_SetDate">
    <vt:lpwstr>2025-05-16T13:45:19Z</vt:lpwstr>
  </property>
  <property fmtid="{D5CDD505-2E9C-101B-9397-08002B2CF9AE}" pid="10" name="MSIP_Label_c1f1d417-8d24-4145-98e6-20a1a753a0a2_Method">
    <vt:lpwstr>Standard</vt:lpwstr>
  </property>
  <property fmtid="{D5CDD505-2E9C-101B-9397-08002B2CF9AE}" pid="11" name="MSIP_Label_c1f1d417-8d24-4145-98e6-20a1a753a0a2_Name">
    <vt:lpwstr>Internal</vt:lpwstr>
  </property>
  <property fmtid="{D5CDD505-2E9C-101B-9397-08002B2CF9AE}" pid="12" name="MSIP_Label_c1f1d417-8d24-4145-98e6-20a1a753a0a2_SiteId">
    <vt:lpwstr>bbe41032-8fce-4d42-bab5-44e21510886d</vt:lpwstr>
  </property>
  <property fmtid="{D5CDD505-2E9C-101B-9397-08002B2CF9AE}" pid="13" name="MSIP_Label_c1f1d417-8d24-4145-98e6-20a1a753a0a2_ActionId">
    <vt:lpwstr>1080e7f1-2332-4974-beb3-1e9a507fa80d</vt:lpwstr>
  </property>
  <property fmtid="{D5CDD505-2E9C-101B-9397-08002B2CF9AE}" pid="14" name="MSIP_Label_c1f1d417-8d24-4145-98e6-20a1a753a0a2_ContentBits">
    <vt:lpwstr>0</vt:lpwstr>
  </property>
  <property fmtid="{D5CDD505-2E9C-101B-9397-08002B2CF9AE}" pid="15" name="MSIP_Label_c1f1d417-8d24-4145-98e6-20a1a753a0a2_Tag">
    <vt:lpwstr>10, 3, 0, 1</vt:lpwstr>
  </property>
</Properties>
</file>