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460" w:before="0" w:line="266.6664" w:lineRule="auto"/>
        <w:rPr>
          <w:b w:val="1"/>
          <w:bCs w:val="1"/>
          <w:color w:val="0b0c0c"/>
          <w:sz w:val="46"/>
          <w:szCs w:val="46"/>
        </w:rPr>
      </w:pPr>
      <w:bookmarkStart w:colFirst="0" w:colLast="0" w:name="_571kariyauv4" w:id="0"/>
      <w:bookmarkEnd w:id="0"/>
      <w:r w:rsidDel="00000000" w:rsidR="00000000" w:rsidRPr="00000000">
        <w:rPr>
          <w:b w:val="1"/>
          <w:bCs w:val="1"/>
          <w:color w:val="0b0c0c"/>
          <w:sz w:val="46"/>
          <w:szCs w:val="46"/>
          <w:rtl w:val="0"/>
        </w:rPr>
        <w:t xml:space="preserve">Expression Of Interest - Gambling harms prevention levy funding for the Voluntary Sector</w:t>
      </w:r>
    </w:p>
    <w:p w:rsidR="00000000" w:rsidDel="00000000" w:rsidP="00000000" w:rsidRDefault="00000000" w:rsidRPr="00000000" w14:paraId="00000002">
      <w:pPr>
        <w:shd w:fill="ffffff" w:val="clear"/>
        <w:spacing w:after="300" w:line="315.7896" w:lineRule="auto"/>
        <w:rPr>
          <w:color w:val="0b0c0c"/>
          <w:sz w:val="29"/>
          <w:szCs w:val="29"/>
        </w:rPr>
      </w:pPr>
      <w:r w:rsidDel="00000000" w:rsidR="00000000" w:rsidRPr="00000000">
        <w:rPr>
          <w:color w:val="0b0c0c"/>
          <w:sz w:val="29"/>
          <w:szCs w:val="29"/>
          <w:rtl w:val="0"/>
        </w:rPr>
        <w:t xml:space="preserve">This is an expression of interest. The VCSE Gambling Harms Prevention &amp; Resilience Fund represents a significant step forward in establishing an independent, public health led approach to preventing gambling related harms. All voluntary, community and social enterprise organisations working to help prevent the harms caused by gambling can apply for this grant.</w:t>
      </w:r>
    </w:p>
    <w:p w:rsidR="00000000" w:rsidDel="00000000" w:rsidP="00000000" w:rsidRDefault="00000000" w:rsidRPr="00000000" w14:paraId="00000003">
      <w:pPr>
        <w:numPr>
          <w:ilvl w:val="0"/>
          <w:numId w:val="3"/>
        </w:numPr>
        <w:shd w:fill="ffffff" w:val="clear"/>
        <w:spacing w:after="0" w:afterAutospacing="0" w:line="315.7896" w:lineRule="auto"/>
        <w:ind w:left="720" w:hanging="360"/>
      </w:pPr>
      <w:r w:rsidDel="00000000" w:rsidR="00000000" w:rsidRPr="00000000">
        <w:rPr>
          <w:b w:val="1"/>
          <w:bCs w:val="1"/>
          <w:color w:val="0b0c0c"/>
          <w:sz w:val="29"/>
          <w:szCs w:val="29"/>
          <w:rtl w:val="0"/>
        </w:rPr>
        <w:t xml:space="preserve">Opening date:</w:t>
      </w:r>
      <w:r w:rsidDel="00000000" w:rsidR="00000000" w:rsidRPr="00000000">
        <w:rPr>
          <w:color w:val="0b0c0c"/>
          <w:sz w:val="29"/>
          <w:szCs w:val="29"/>
          <w:rtl w:val="0"/>
        </w:rPr>
        <w:t xml:space="preserve"> 24 November 2025, 12:00pm (Midday)</w:t>
      </w:r>
    </w:p>
    <w:p w:rsidR="00000000" w:rsidDel="00000000" w:rsidP="00000000" w:rsidRDefault="00000000" w:rsidRPr="00000000" w14:paraId="00000004">
      <w:pPr>
        <w:numPr>
          <w:ilvl w:val="0"/>
          <w:numId w:val="3"/>
        </w:numPr>
        <w:shd w:fill="ffffff" w:val="clear"/>
        <w:spacing w:after="380" w:line="315.7896" w:lineRule="auto"/>
        <w:ind w:left="720" w:hanging="360"/>
      </w:pPr>
      <w:r w:rsidDel="00000000" w:rsidR="00000000" w:rsidRPr="00000000">
        <w:rPr>
          <w:b w:val="1"/>
          <w:bCs w:val="1"/>
          <w:color w:val="0b0c0c"/>
          <w:sz w:val="29"/>
          <w:szCs w:val="29"/>
          <w:rtl w:val="0"/>
        </w:rPr>
        <w:t xml:space="preserve">Closing date:</w:t>
      </w:r>
      <w:r w:rsidDel="00000000" w:rsidR="00000000" w:rsidRPr="00000000">
        <w:rPr>
          <w:color w:val="0b0c0c"/>
          <w:sz w:val="29"/>
          <w:szCs w:val="29"/>
          <w:rtl w:val="0"/>
        </w:rPr>
        <w:t xml:space="preserve"> 9 January 2026, 12:00pm (Midday)</w:t>
      </w:r>
    </w:p>
    <w:p w:rsidR="00000000" w:rsidDel="00000000" w:rsidP="00000000" w:rsidRDefault="00000000" w:rsidRPr="00000000" w14:paraId="00000005">
      <w:pPr>
        <w:pStyle w:val="Heading2"/>
        <w:keepNext w:val="0"/>
        <w:keepLines w:val="0"/>
        <w:shd w:fill="ffffff" w:val="clear"/>
        <w:spacing w:after="80" w:lineRule="auto"/>
        <w:rPr>
          <w:b w:val="1"/>
          <w:bCs w:val="1"/>
          <w:color w:val="0b0c0c"/>
          <w:sz w:val="34"/>
          <w:szCs w:val="34"/>
        </w:rPr>
      </w:pPr>
      <w:bookmarkStart w:colFirst="0" w:colLast="0" w:name="_fs1xk7ovnl7s" w:id="1"/>
      <w:bookmarkEnd w:id="1"/>
      <w:r w:rsidDel="00000000" w:rsidR="00000000" w:rsidRPr="00000000">
        <w:rPr>
          <w:b w:val="1"/>
          <w:bCs w:val="1"/>
          <w:color w:val="0b0c0c"/>
          <w:sz w:val="34"/>
          <w:szCs w:val="34"/>
          <w:rtl w:val="0"/>
        </w:rPr>
        <w:t xml:space="preserve">Summary</w:t>
      </w:r>
    </w:p>
    <w:p w:rsidR="00000000" w:rsidDel="00000000" w:rsidP="00000000" w:rsidRDefault="00000000" w:rsidRPr="00000000" w14:paraId="00000006">
      <w:pPr>
        <w:shd w:fill="ffffff" w:val="clear"/>
        <w:spacing w:after="280" w:before="280" w:lineRule="auto"/>
        <w:rPr>
          <w:b w:val="1"/>
          <w:bCs w:val="1"/>
          <w:color w:val="0b0c0c"/>
          <w:sz w:val="29"/>
          <w:szCs w:val="29"/>
        </w:rPr>
      </w:pPr>
      <w:r w:rsidDel="00000000" w:rsidR="00000000" w:rsidRPr="00000000">
        <w:rPr>
          <w:b w:val="1"/>
          <w:bCs w:val="1"/>
          <w:color w:val="0b0c0c"/>
          <w:sz w:val="29"/>
          <w:szCs w:val="29"/>
          <w:rtl w:val="0"/>
        </w:rPr>
        <w:t xml:space="preserve">This is an expression of interest.</w:t>
      </w:r>
    </w:p>
    <w:p w:rsidR="00000000" w:rsidDel="00000000" w:rsidP="00000000" w:rsidRDefault="00000000" w:rsidRPr="00000000" w14:paraId="00000007">
      <w:pPr>
        <w:shd w:fill="ffffff" w:val="clear"/>
        <w:spacing w:after="280" w:before="280" w:lineRule="auto"/>
        <w:rPr>
          <w:color w:val="0b0c0c"/>
          <w:sz w:val="29"/>
          <w:szCs w:val="29"/>
        </w:rPr>
      </w:pPr>
      <w:r w:rsidDel="00000000" w:rsidR="00000000" w:rsidRPr="00000000">
        <w:rPr>
          <w:color w:val="0b0c0c"/>
          <w:sz w:val="29"/>
          <w:szCs w:val="29"/>
          <w:rtl w:val="0"/>
        </w:rPr>
        <w:t xml:space="preserve">In February 2025, it was announced that under the new statutory levy on gambling operators, which took effect from 6 April 2025, the Office for Health Improvement and Disparities (OHID) would become the future prevention commissioner for gambling-related harms in England, working alongside appropriate bodies in Scotland and Wales.  The levy, which is expected to raise over £100 million, will be allocated across the 3 workstreams of research (20%), prevention (30%) and treatment (50%).</w:t>
      </w:r>
    </w:p>
    <w:p w:rsidR="00000000" w:rsidDel="00000000" w:rsidP="00000000" w:rsidRDefault="00000000" w:rsidRPr="00000000" w14:paraId="00000008">
      <w:pPr>
        <w:shd w:fill="ffffff" w:val="clear"/>
        <w:spacing w:after="280" w:before="280" w:lineRule="auto"/>
        <w:rPr>
          <w:color w:val="0b0c0c"/>
          <w:sz w:val="29"/>
          <w:szCs w:val="29"/>
        </w:rPr>
      </w:pPr>
      <w:r w:rsidDel="00000000" w:rsidR="00000000" w:rsidRPr="00000000">
        <w:rPr>
          <w:color w:val="0b0c0c"/>
          <w:sz w:val="29"/>
          <w:szCs w:val="29"/>
          <w:rtl w:val="0"/>
        </w:rPr>
        <w:t xml:space="preserve">The Gambling harms prevention grant will be available to all voluntary community and social enterprise organisations working to help prevent gambling related harms.  Organisations, funded by OHID, will  be fundamental to the delivery of an independent and public health led approach to preventing gambling related harms for the first time.  This is part of a wider prevention, treatment and research programme attached to the new levy on gambling operators and focuses on prevention work only (a separate grant is available for treatment or recovery).</w:t>
      </w:r>
    </w:p>
    <w:p w:rsidR="00000000" w:rsidDel="00000000" w:rsidP="00000000" w:rsidRDefault="00000000" w:rsidRPr="00000000" w14:paraId="00000009">
      <w:pPr>
        <w:shd w:fill="ffffff" w:val="clear"/>
        <w:spacing w:after="280" w:before="280" w:lineRule="auto"/>
        <w:rPr>
          <w:color w:val="0b0c0c"/>
          <w:sz w:val="29"/>
          <w:szCs w:val="29"/>
        </w:rPr>
      </w:pPr>
      <w:r w:rsidDel="00000000" w:rsidR="00000000" w:rsidRPr="00000000">
        <w:rPr>
          <w:color w:val="0b0c0c"/>
          <w:sz w:val="29"/>
          <w:szCs w:val="29"/>
          <w:rtl w:val="0"/>
        </w:rPr>
        <w:t xml:space="preserve">Recognising the expertise and knowledge across the sector, the grant can be used by organisations to carry out interventions they know will reach and support people most at risk of gambling related harm, or to try new, innovative interventions.  We are looking for organisations to play a key role in building the evidence base over time of ‘what works’ to prevent and tackle gambling–harm, that is independent of industry research bias or funding. A robust theory of change which sets out the rationale behind activities and how they seek to drive positive change will be required and through this and through better monitoring and evaluating of programmes we will build an evidence base of what works.</w:t>
      </w:r>
    </w:p>
    <w:p w:rsidR="00000000" w:rsidDel="00000000" w:rsidP="00000000" w:rsidRDefault="00000000" w:rsidRPr="00000000" w14:paraId="0000000A">
      <w:pPr>
        <w:shd w:fill="ffffff" w:val="clear"/>
        <w:spacing w:after="280" w:before="280" w:lineRule="auto"/>
        <w:rPr>
          <w:color w:val="0b0c0c"/>
          <w:sz w:val="29"/>
          <w:szCs w:val="29"/>
        </w:rPr>
      </w:pPr>
      <w:r w:rsidDel="00000000" w:rsidR="00000000" w:rsidRPr="00000000">
        <w:rPr>
          <w:color w:val="0b0c0c"/>
          <w:sz w:val="29"/>
          <w:szCs w:val="29"/>
          <w:rtl w:val="0"/>
        </w:rPr>
        <w:t xml:space="preserve">We expect organisations to be able to apply for three funding strands:</w:t>
      </w:r>
    </w:p>
    <w:p w:rsidR="00000000" w:rsidDel="00000000" w:rsidP="00000000" w:rsidRDefault="00000000" w:rsidRPr="00000000" w14:paraId="0000000B">
      <w:pPr>
        <w:numPr>
          <w:ilvl w:val="0"/>
          <w:numId w:val="2"/>
        </w:numPr>
        <w:spacing w:after="0" w:afterAutospacing="0" w:before="280" w:lineRule="auto"/>
        <w:ind w:left="720" w:hanging="360"/>
      </w:pPr>
      <w:r w:rsidDel="00000000" w:rsidR="00000000" w:rsidRPr="00000000">
        <w:rPr>
          <w:color w:val="0b0c0c"/>
          <w:sz w:val="29"/>
          <w:szCs w:val="29"/>
          <w:rtl w:val="0"/>
        </w:rPr>
        <w:t xml:space="preserve">Core Prevention Delivery Fund: This will focus on the provision of direct prevention activities to prevent or reduce gambling harms.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color w:val="0b0c0c"/>
          <w:sz w:val="29"/>
          <w:szCs w:val="29"/>
          <w:rtl w:val="0"/>
        </w:rPr>
        <w:t xml:space="preserve">Innovation &amp; Evidence Fund: Funding for new, adapted, or emerging prevention approaches.</w:t>
      </w:r>
    </w:p>
    <w:p w:rsidR="00000000" w:rsidDel="00000000" w:rsidP="00000000" w:rsidRDefault="00000000" w:rsidRPr="00000000" w14:paraId="0000000D">
      <w:pPr>
        <w:numPr>
          <w:ilvl w:val="0"/>
          <w:numId w:val="2"/>
        </w:numPr>
        <w:spacing w:after="280" w:before="0" w:beforeAutospacing="0" w:lineRule="auto"/>
        <w:ind w:left="720" w:hanging="360"/>
      </w:pPr>
      <w:r w:rsidDel="00000000" w:rsidR="00000000" w:rsidRPr="00000000">
        <w:rPr>
          <w:color w:val="0b0c0c"/>
          <w:sz w:val="29"/>
          <w:szCs w:val="29"/>
          <w:rtl w:val="0"/>
        </w:rPr>
        <w:t xml:space="preserve">VCSE Resilience &amp; Systems Capacity Fund: Funding support packages to strengthen the VCSE sector’s ability to deliver sustainable prevention activities that reach intended cohorts.</w:t>
      </w:r>
    </w:p>
    <w:p w:rsidR="00000000" w:rsidDel="00000000" w:rsidP="00000000" w:rsidRDefault="00000000" w:rsidRPr="00000000" w14:paraId="0000000E">
      <w:pPr>
        <w:shd w:fill="ffffff" w:val="clear"/>
        <w:spacing w:after="280" w:before="280" w:lineRule="auto"/>
        <w:rPr>
          <w:color w:val="0b0c0c"/>
          <w:sz w:val="29"/>
          <w:szCs w:val="29"/>
        </w:rPr>
      </w:pPr>
      <w:r w:rsidDel="00000000" w:rsidR="00000000" w:rsidRPr="00000000">
        <w:rPr>
          <w:b w:val="1"/>
          <w:bCs w:val="1"/>
          <w:color w:val="0b0c0c"/>
          <w:sz w:val="29"/>
          <w:szCs w:val="29"/>
          <w:rtl w:val="0"/>
        </w:rPr>
        <w:t xml:space="preserve">RIGHT TO CANCEL OR VARY THIS Expression of Interest</w:t>
      </w:r>
      <w:r w:rsidDel="00000000" w:rsidR="00000000" w:rsidRPr="00000000">
        <w:rPr>
          <w:color w:val="0b0c0c"/>
          <w:sz w:val="29"/>
          <w:szCs w:val="29"/>
          <w:rtl w:val="0"/>
        </w:rPr>
        <w:t xml:space="preserve"> </w:t>
      </w:r>
    </w:p>
    <w:p w:rsidR="00000000" w:rsidDel="00000000" w:rsidP="00000000" w:rsidRDefault="00000000" w:rsidRPr="00000000" w14:paraId="0000000F">
      <w:pPr>
        <w:shd w:fill="ffffff" w:val="clear"/>
        <w:spacing w:after="280" w:before="280" w:lineRule="auto"/>
        <w:rPr>
          <w:color w:val="0b0c0c"/>
          <w:sz w:val="29"/>
          <w:szCs w:val="29"/>
        </w:rPr>
      </w:pPr>
      <w:r w:rsidDel="00000000" w:rsidR="00000000" w:rsidRPr="00000000">
        <w:rPr>
          <w:color w:val="0b0c0c"/>
          <w:sz w:val="29"/>
          <w:szCs w:val="29"/>
          <w:rtl w:val="0"/>
        </w:rPr>
        <w:t xml:space="preserve">OHID does not guarantee to award any contract and reserves the right to cancel, amend, clarify, add to or withdraw all or part of this Expression of Interest at any time.</w:t>
      </w:r>
    </w:p>
    <w:p w:rsidR="00000000" w:rsidDel="00000000" w:rsidP="00000000" w:rsidRDefault="00000000" w:rsidRPr="00000000" w14:paraId="00000010">
      <w:pPr>
        <w:pStyle w:val="Heading2"/>
        <w:keepNext w:val="0"/>
        <w:keepLines w:val="0"/>
        <w:shd w:fill="ffffff" w:val="clear"/>
        <w:spacing w:after="80" w:lineRule="auto"/>
        <w:rPr>
          <w:b w:val="1"/>
          <w:bCs w:val="1"/>
          <w:color w:val="0b0c0c"/>
          <w:sz w:val="34"/>
          <w:szCs w:val="34"/>
        </w:rPr>
      </w:pPr>
      <w:bookmarkStart w:colFirst="0" w:colLast="0" w:name="_j16bslk6vyuz" w:id="2"/>
      <w:bookmarkEnd w:id="2"/>
      <w:r w:rsidDel="00000000" w:rsidR="00000000" w:rsidRPr="00000000">
        <w:rPr>
          <w:b w:val="1"/>
          <w:bCs w:val="1"/>
          <w:color w:val="0b0c0c"/>
          <w:sz w:val="34"/>
          <w:szCs w:val="34"/>
          <w:rtl w:val="0"/>
        </w:rPr>
        <w:t xml:space="preserve">Eligibility</w:t>
      </w:r>
    </w:p>
    <w:p w:rsidR="00000000" w:rsidDel="00000000" w:rsidP="00000000" w:rsidRDefault="00000000" w:rsidRPr="00000000" w14:paraId="00000011">
      <w:pPr>
        <w:shd w:fill="ffffff" w:val="clear"/>
        <w:spacing w:after="280" w:before="280" w:lineRule="auto"/>
        <w:rPr>
          <w:b w:val="1"/>
          <w:bCs w:val="1"/>
          <w:color w:val="0b0c0c"/>
          <w:sz w:val="29"/>
          <w:szCs w:val="29"/>
        </w:rPr>
      </w:pPr>
      <w:r w:rsidDel="00000000" w:rsidR="00000000" w:rsidRPr="00000000">
        <w:rPr>
          <w:b w:val="1"/>
          <w:bCs w:val="1"/>
          <w:color w:val="0b0c0c"/>
          <w:sz w:val="29"/>
          <w:szCs w:val="29"/>
          <w:rtl w:val="0"/>
        </w:rPr>
        <w:t xml:space="preserve">This is an expression of interest.</w:t>
      </w:r>
    </w:p>
    <w:p w:rsidR="00000000" w:rsidDel="00000000" w:rsidP="00000000" w:rsidRDefault="00000000" w:rsidRPr="00000000" w14:paraId="00000012">
      <w:pPr>
        <w:shd w:fill="ffffff" w:val="clear"/>
        <w:spacing w:after="280" w:before="280" w:lineRule="auto"/>
        <w:rPr>
          <w:color w:val="0b0c0c"/>
          <w:sz w:val="29"/>
          <w:szCs w:val="29"/>
        </w:rPr>
      </w:pPr>
      <w:r w:rsidDel="00000000" w:rsidR="00000000" w:rsidRPr="00000000">
        <w:rPr>
          <w:color w:val="0b0c0c"/>
          <w:sz w:val="29"/>
          <w:szCs w:val="29"/>
          <w:rtl w:val="0"/>
        </w:rPr>
        <w:t xml:space="preserve">Organisations will need to demonstrate the following:</w:t>
      </w:r>
    </w:p>
    <w:p w:rsidR="00000000" w:rsidDel="00000000" w:rsidP="00000000" w:rsidRDefault="00000000" w:rsidRPr="00000000" w14:paraId="00000013">
      <w:pPr>
        <w:numPr>
          <w:ilvl w:val="0"/>
          <w:numId w:val="1"/>
        </w:numPr>
        <w:spacing w:after="0" w:afterAutospacing="0" w:before="280" w:lineRule="auto"/>
        <w:ind w:left="720" w:hanging="360"/>
      </w:pPr>
      <w:r w:rsidDel="00000000" w:rsidR="00000000" w:rsidRPr="00000000">
        <w:rPr>
          <w:color w:val="0b0c0c"/>
          <w:sz w:val="29"/>
          <w:szCs w:val="29"/>
          <w:rtl w:val="0"/>
        </w:rPr>
        <w:t xml:space="preserve">That they fall into the defined category of a third sector organisation.</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color w:val="0b0c0c"/>
          <w:sz w:val="29"/>
          <w:szCs w:val="29"/>
          <w:rtl w:val="0"/>
        </w:rPr>
        <w:t xml:space="preserve">That they are intending to carry out a prevention activity under the following categories;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color w:val="0b0c0c"/>
          <w:sz w:val="29"/>
          <w:szCs w:val="29"/>
          <w:rtl w:val="0"/>
        </w:rPr>
        <w:t xml:space="preserve">That they can provide a theory of change to demonstrate how these services to help us build, evidence – based prevention services at scale in future.</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color w:val="0b0c0c"/>
          <w:sz w:val="29"/>
          <w:szCs w:val="29"/>
          <w:rtl w:val="0"/>
        </w:rPr>
        <w:t xml:space="preserve">Applicants will need to demonstrate their commitment to achieving an industry free funding status for the 4 years leading up until 2030 and will be required to sign a Declaration of Interest agreement which we will provide.</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color w:val="0b0c0c"/>
          <w:sz w:val="29"/>
          <w:szCs w:val="29"/>
          <w:rtl w:val="0"/>
        </w:rPr>
        <w:t xml:space="preserve">That they will share best practice and build partnerships across the sector.</w:t>
      </w:r>
    </w:p>
    <w:p w:rsidR="00000000" w:rsidDel="00000000" w:rsidP="00000000" w:rsidRDefault="00000000" w:rsidRPr="00000000" w14:paraId="00000018">
      <w:pPr>
        <w:numPr>
          <w:ilvl w:val="0"/>
          <w:numId w:val="1"/>
        </w:numPr>
        <w:spacing w:after="280" w:before="0" w:beforeAutospacing="0" w:lineRule="auto"/>
        <w:ind w:left="720" w:hanging="360"/>
      </w:pPr>
      <w:r w:rsidDel="00000000" w:rsidR="00000000" w:rsidRPr="00000000">
        <w:rPr>
          <w:color w:val="0b0c0c"/>
          <w:sz w:val="29"/>
          <w:szCs w:val="29"/>
          <w:rtl w:val="0"/>
        </w:rPr>
        <w:t xml:space="preserve">How they will build ‘lived experience’ into their plans.</w:t>
      </w:r>
    </w:p>
    <w:p w:rsidR="00000000" w:rsidDel="00000000" w:rsidP="00000000" w:rsidRDefault="00000000" w:rsidRPr="00000000" w14:paraId="00000019">
      <w:pPr>
        <w:shd w:fill="ffffff" w:val="clear"/>
        <w:spacing w:after="280" w:before="280" w:lineRule="auto"/>
        <w:rPr>
          <w:color w:val="0b0c0c"/>
          <w:sz w:val="29"/>
          <w:szCs w:val="29"/>
        </w:rPr>
      </w:pPr>
      <w:r w:rsidDel="00000000" w:rsidR="00000000" w:rsidRPr="00000000">
        <w:rPr>
          <w:color w:val="0b0c0c"/>
          <w:sz w:val="29"/>
          <w:szCs w:val="29"/>
          <w:rtl w:val="0"/>
        </w:rPr>
        <w:t xml:space="preserve">Prevention intervention categories</w:t>
      </w:r>
    </w:p>
    <w:p w:rsidR="00000000" w:rsidDel="00000000" w:rsidP="00000000" w:rsidRDefault="00000000" w:rsidRPr="00000000" w14:paraId="0000001A">
      <w:pPr>
        <w:numPr>
          <w:ilvl w:val="0"/>
          <w:numId w:val="4"/>
        </w:numPr>
        <w:spacing w:after="0" w:afterAutospacing="0" w:before="280" w:lineRule="auto"/>
        <w:ind w:left="720" w:hanging="360"/>
      </w:pPr>
      <w:r w:rsidDel="00000000" w:rsidR="00000000" w:rsidRPr="00000000">
        <w:rPr>
          <w:color w:val="0b0c0c"/>
          <w:sz w:val="29"/>
          <w:szCs w:val="29"/>
          <w:rtl w:val="0"/>
        </w:rPr>
        <w:t xml:space="preserve">Social action</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Awareness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Education</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Campaign</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Training</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Support</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Affected others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color w:val="0b0c0c"/>
          <w:sz w:val="29"/>
          <w:szCs w:val="29"/>
          <w:rtl w:val="0"/>
        </w:rPr>
        <w:t xml:space="preserve">Gambling blocking tools</w:t>
      </w:r>
    </w:p>
    <w:p w:rsidR="00000000" w:rsidDel="00000000" w:rsidP="00000000" w:rsidRDefault="00000000" w:rsidRPr="00000000" w14:paraId="00000022">
      <w:pPr>
        <w:numPr>
          <w:ilvl w:val="0"/>
          <w:numId w:val="4"/>
        </w:numPr>
        <w:spacing w:after="280" w:before="0" w:beforeAutospacing="0" w:lineRule="auto"/>
        <w:ind w:left="720" w:hanging="360"/>
      </w:pPr>
      <w:r w:rsidDel="00000000" w:rsidR="00000000" w:rsidRPr="00000000">
        <w:rPr>
          <w:color w:val="0b0c0c"/>
          <w:sz w:val="29"/>
          <w:szCs w:val="29"/>
          <w:rtl w:val="0"/>
        </w:rPr>
        <w:t xml:space="preserve">Other</w:t>
      </w:r>
    </w:p>
    <w:p w:rsidR="00000000" w:rsidDel="00000000" w:rsidP="00000000" w:rsidRDefault="00000000" w:rsidRPr="00000000" w14:paraId="00000023">
      <w:pPr>
        <w:pStyle w:val="Heading2"/>
        <w:keepNext w:val="0"/>
        <w:keepLines w:val="0"/>
        <w:shd w:fill="ffffff" w:val="clear"/>
        <w:spacing w:after="80" w:lineRule="auto"/>
        <w:rPr>
          <w:b w:val="1"/>
          <w:bCs w:val="1"/>
          <w:color w:val="0b0c0c"/>
          <w:sz w:val="34"/>
          <w:szCs w:val="34"/>
        </w:rPr>
      </w:pPr>
      <w:bookmarkStart w:colFirst="0" w:colLast="0" w:name="_jxjgtu7p0rys" w:id="3"/>
      <w:bookmarkEnd w:id="3"/>
      <w:r w:rsidDel="00000000" w:rsidR="00000000" w:rsidRPr="00000000">
        <w:rPr>
          <w:b w:val="1"/>
          <w:bCs w:val="1"/>
          <w:color w:val="0b0c0c"/>
          <w:sz w:val="34"/>
          <w:szCs w:val="34"/>
          <w:rtl w:val="0"/>
        </w:rPr>
        <w:t xml:space="preserve">Objectives</w:t>
      </w:r>
    </w:p>
    <w:p w:rsidR="00000000" w:rsidDel="00000000" w:rsidP="00000000" w:rsidRDefault="00000000" w:rsidRPr="00000000" w14:paraId="00000024">
      <w:pPr>
        <w:shd w:fill="ffffff" w:val="clear"/>
        <w:spacing w:after="280" w:before="280" w:lineRule="auto"/>
        <w:rPr>
          <w:b w:val="1"/>
          <w:bCs w:val="1"/>
          <w:color w:val="0b0c0c"/>
          <w:sz w:val="29"/>
          <w:szCs w:val="29"/>
        </w:rPr>
      </w:pPr>
      <w:r w:rsidDel="00000000" w:rsidR="00000000" w:rsidRPr="00000000">
        <w:rPr>
          <w:b w:val="1"/>
          <w:bCs w:val="1"/>
          <w:color w:val="0b0c0c"/>
          <w:sz w:val="29"/>
          <w:szCs w:val="29"/>
          <w:rtl w:val="0"/>
        </w:rPr>
        <w:t xml:space="preserve">This is an expression of interest.</w:t>
      </w:r>
    </w:p>
    <w:p w:rsidR="00000000" w:rsidDel="00000000" w:rsidP="00000000" w:rsidRDefault="00000000" w:rsidRPr="00000000" w14:paraId="00000025">
      <w:pPr>
        <w:shd w:fill="ffffff" w:val="clear"/>
        <w:spacing w:after="280" w:before="280" w:lineRule="auto"/>
        <w:rPr>
          <w:color w:val="0b0c0c"/>
          <w:sz w:val="29"/>
          <w:szCs w:val="29"/>
        </w:rPr>
      </w:pPr>
      <w:r w:rsidDel="00000000" w:rsidR="00000000" w:rsidRPr="00000000">
        <w:rPr>
          <w:color w:val="0b0c0c"/>
          <w:sz w:val="29"/>
          <w:szCs w:val="29"/>
          <w:rtl w:val="0"/>
        </w:rPr>
        <w:t xml:space="preserve">The key objectives of the Gambling harms prevention VCSE innovation grant are to:</w:t>
      </w:r>
    </w:p>
    <w:p w:rsidR="00000000" w:rsidDel="00000000" w:rsidP="00000000" w:rsidRDefault="00000000" w:rsidRPr="00000000" w14:paraId="00000026">
      <w:pPr>
        <w:numPr>
          <w:ilvl w:val="0"/>
          <w:numId w:val="6"/>
        </w:numPr>
        <w:spacing w:after="0" w:afterAutospacing="0" w:before="280" w:lineRule="auto"/>
        <w:ind w:left="720" w:hanging="360"/>
      </w:pPr>
      <w:r w:rsidDel="00000000" w:rsidR="00000000" w:rsidRPr="00000000">
        <w:rPr>
          <w:color w:val="0b0c0c"/>
          <w:sz w:val="29"/>
          <w:szCs w:val="29"/>
          <w:rtl w:val="0"/>
        </w:rPr>
        <w:t xml:space="preserve">Maintain and support sector to deliver on prevention outcomes</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color w:val="0b0c0c"/>
          <w:sz w:val="29"/>
          <w:szCs w:val="29"/>
          <w:rtl w:val="0"/>
        </w:rPr>
        <w:t xml:space="preserve">Build sector capacity and sustainability free of industry influence</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color w:val="0b0c0c"/>
          <w:sz w:val="29"/>
          <w:szCs w:val="29"/>
          <w:rtl w:val="0"/>
        </w:rPr>
        <w:t xml:space="preserve">Develop evidence &amp; innovation</w:t>
      </w:r>
    </w:p>
    <w:p w:rsidR="00000000" w:rsidDel="00000000" w:rsidP="00000000" w:rsidRDefault="00000000" w:rsidRPr="00000000" w14:paraId="00000029">
      <w:pPr>
        <w:numPr>
          <w:ilvl w:val="0"/>
          <w:numId w:val="6"/>
        </w:numPr>
        <w:spacing w:after="280" w:before="0" w:beforeAutospacing="0" w:lineRule="auto"/>
        <w:ind w:left="720" w:hanging="360"/>
      </w:pPr>
      <w:r w:rsidDel="00000000" w:rsidR="00000000" w:rsidRPr="00000000">
        <w:rPr>
          <w:color w:val="0b0c0c"/>
          <w:sz w:val="29"/>
          <w:szCs w:val="29"/>
          <w:rtl w:val="0"/>
        </w:rPr>
        <w:t xml:space="preserve">Demonstrate strategic responsiveness</w:t>
      </w:r>
    </w:p>
    <w:p w:rsidR="00000000" w:rsidDel="00000000" w:rsidP="00000000" w:rsidRDefault="00000000" w:rsidRPr="00000000" w14:paraId="0000002A">
      <w:pPr>
        <w:pStyle w:val="Heading2"/>
        <w:keepNext w:val="0"/>
        <w:keepLines w:val="0"/>
        <w:shd w:fill="ffffff" w:val="clear"/>
        <w:spacing w:after="80" w:lineRule="auto"/>
        <w:rPr>
          <w:b w:val="1"/>
          <w:bCs w:val="1"/>
          <w:color w:val="0b0c0c"/>
          <w:sz w:val="34"/>
          <w:szCs w:val="34"/>
        </w:rPr>
      </w:pPr>
      <w:bookmarkStart w:colFirst="0" w:colLast="0" w:name="_vgb675dh409w" w:id="4"/>
      <w:bookmarkEnd w:id="4"/>
      <w:r w:rsidDel="00000000" w:rsidR="00000000" w:rsidRPr="00000000">
        <w:rPr>
          <w:b w:val="1"/>
          <w:bCs w:val="1"/>
          <w:color w:val="0b0c0c"/>
          <w:sz w:val="34"/>
          <w:szCs w:val="34"/>
          <w:rtl w:val="0"/>
        </w:rPr>
        <w:t xml:space="preserve">Dates</w:t>
      </w:r>
    </w:p>
    <w:p w:rsidR="00000000" w:rsidDel="00000000" w:rsidP="00000000" w:rsidRDefault="00000000" w:rsidRPr="00000000" w14:paraId="0000002B">
      <w:pPr>
        <w:shd w:fill="ffffff" w:val="clear"/>
        <w:spacing w:after="280" w:before="280" w:lineRule="auto"/>
        <w:rPr>
          <w:b w:val="1"/>
          <w:bCs w:val="1"/>
          <w:i w:val="1"/>
          <w:iCs w:val="1"/>
          <w:color w:val="0b0c0c"/>
          <w:sz w:val="29"/>
          <w:szCs w:val="29"/>
        </w:rPr>
      </w:pPr>
      <w:r w:rsidDel="00000000" w:rsidR="00000000" w:rsidRPr="00000000">
        <w:rPr>
          <w:b w:val="1"/>
          <w:bCs w:val="1"/>
          <w:i w:val="1"/>
          <w:iCs w:val="1"/>
          <w:color w:val="0b0c0c"/>
          <w:sz w:val="29"/>
          <w:szCs w:val="29"/>
          <w:rtl w:val="0"/>
        </w:rPr>
        <w:t xml:space="preserve">This is an expression of interest.</w:t>
      </w:r>
    </w:p>
    <w:p w:rsidR="00000000" w:rsidDel="00000000" w:rsidP="00000000" w:rsidRDefault="00000000" w:rsidRPr="00000000" w14:paraId="0000002C">
      <w:pPr>
        <w:shd w:fill="ffffff" w:val="clear"/>
        <w:spacing w:after="280" w:before="280" w:lineRule="auto"/>
        <w:rPr>
          <w:i w:val="1"/>
          <w:iCs w:val="1"/>
          <w:color w:val="0b0c0c"/>
          <w:sz w:val="29"/>
          <w:szCs w:val="29"/>
        </w:rPr>
      </w:pPr>
      <w:r w:rsidDel="00000000" w:rsidR="00000000" w:rsidRPr="00000000">
        <w:rPr>
          <w:i w:val="1"/>
          <w:iCs w:val="1"/>
          <w:color w:val="0b0c0c"/>
          <w:sz w:val="29"/>
          <w:szCs w:val="29"/>
          <w:rtl w:val="0"/>
        </w:rPr>
        <w:t xml:space="preserve">Please note - dates are indicative</w:t>
      </w:r>
    </w:p>
    <w:p w:rsidR="00000000" w:rsidDel="00000000" w:rsidP="00000000" w:rsidRDefault="00000000" w:rsidRPr="00000000" w14:paraId="0000002D">
      <w:pPr>
        <w:numPr>
          <w:ilvl w:val="0"/>
          <w:numId w:val="5"/>
        </w:numPr>
        <w:spacing w:after="0" w:afterAutospacing="0" w:before="280" w:lineRule="auto"/>
        <w:ind w:left="720" w:hanging="360"/>
      </w:pPr>
      <w:r w:rsidDel="00000000" w:rsidR="00000000" w:rsidRPr="00000000">
        <w:rPr>
          <w:i w:val="1"/>
          <w:iCs w:val="1"/>
          <w:color w:val="0b0c0c"/>
          <w:sz w:val="29"/>
          <w:szCs w:val="29"/>
          <w:rtl w:val="0"/>
        </w:rPr>
        <w:t xml:space="preserve">Competition window opens – 12 January</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i w:val="1"/>
          <w:iCs w:val="1"/>
          <w:color w:val="0b0c0c"/>
          <w:sz w:val="29"/>
          <w:szCs w:val="29"/>
          <w:rtl w:val="0"/>
        </w:rPr>
        <w:t xml:space="preserve">Notification of Grant Awards to successful grant applicants – 16-18 March</w:t>
      </w:r>
    </w:p>
    <w:p w:rsidR="00000000" w:rsidDel="00000000" w:rsidP="00000000" w:rsidRDefault="00000000" w:rsidRPr="00000000" w14:paraId="0000002F">
      <w:pPr>
        <w:numPr>
          <w:ilvl w:val="0"/>
          <w:numId w:val="5"/>
        </w:numPr>
        <w:spacing w:after="0" w:afterAutospacing="0" w:before="0" w:beforeAutospacing="0" w:lineRule="auto"/>
        <w:ind w:left="720" w:hanging="360"/>
      </w:pPr>
      <w:r w:rsidDel="00000000" w:rsidR="00000000" w:rsidRPr="00000000">
        <w:rPr>
          <w:i w:val="1"/>
          <w:iCs w:val="1"/>
          <w:color w:val="0b0c0c"/>
          <w:sz w:val="29"/>
          <w:szCs w:val="29"/>
          <w:rtl w:val="0"/>
        </w:rPr>
        <w:t xml:space="preserve">Payments made – from April 26</w:t>
      </w:r>
    </w:p>
    <w:p w:rsidR="00000000" w:rsidDel="00000000" w:rsidP="00000000" w:rsidRDefault="00000000" w:rsidRPr="00000000" w14:paraId="00000030">
      <w:pPr>
        <w:numPr>
          <w:ilvl w:val="0"/>
          <w:numId w:val="5"/>
        </w:numPr>
        <w:spacing w:after="280" w:before="0" w:beforeAutospacing="0" w:lineRule="auto"/>
        <w:ind w:left="720" w:hanging="360"/>
      </w:pPr>
      <w:r w:rsidDel="00000000" w:rsidR="00000000" w:rsidRPr="00000000">
        <w:rPr>
          <w:i w:val="1"/>
          <w:iCs w:val="1"/>
          <w:color w:val="0b0c0c"/>
          <w:sz w:val="29"/>
          <w:szCs w:val="29"/>
          <w:rtl w:val="0"/>
        </w:rPr>
        <w:t xml:space="preserve">Date by which funding must be spent – 31st March 2028</w:t>
      </w:r>
    </w:p>
    <w:p w:rsidR="00000000" w:rsidDel="00000000" w:rsidP="00000000" w:rsidRDefault="00000000" w:rsidRPr="00000000" w14:paraId="00000031">
      <w:pPr>
        <w:pStyle w:val="Heading2"/>
        <w:keepNext w:val="0"/>
        <w:keepLines w:val="0"/>
        <w:shd w:fill="ffffff" w:val="clear"/>
        <w:spacing w:after="80" w:lineRule="auto"/>
        <w:rPr>
          <w:b w:val="1"/>
          <w:bCs w:val="1"/>
          <w:color w:val="0b0c0c"/>
          <w:sz w:val="34"/>
          <w:szCs w:val="34"/>
        </w:rPr>
      </w:pPr>
      <w:bookmarkStart w:colFirst="0" w:colLast="0" w:name="_426rn6lku876" w:id="5"/>
      <w:bookmarkEnd w:id="5"/>
      <w:r w:rsidDel="00000000" w:rsidR="00000000" w:rsidRPr="00000000">
        <w:rPr>
          <w:b w:val="1"/>
          <w:bCs w:val="1"/>
          <w:color w:val="0b0c0c"/>
          <w:sz w:val="34"/>
          <w:szCs w:val="34"/>
          <w:rtl w:val="0"/>
        </w:rPr>
        <w:t xml:space="preserve">How to apply</w:t>
      </w:r>
    </w:p>
    <w:p w:rsidR="00000000" w:rsidDel="00000000" w:rsidP="00000000" w:rsidRDefault="00000000" w:rsidRPr="00000000" w14:paraId="00000032">
      <w:pPr>
        <w:shd w:fill="ffffff" w:val="clear"/>
        <w:spacing w:after="280" w:before="280" w:lineRule="auto"/>
        <w:rPr>
          <w:b w:val="1"/>
          <w:bCs w:val="1"/>
          <w:color w:val="0b0c0c"/>
          <w:sz w:val="29"/>
          <w:szCs w:val="29"/>
        </w:rPr>
      </w:pPr>
      <w:r w:rsidDel="00000000" w:rsidR="00000000" w:rsidRPr="00000000">
        <w:rPr>
          <w:b w:val="1"/>
          <w:bCs w:val="1"/>
          <w:color w:val="0b0c0c"/>
          <w:sz w:val="29"/>
          <w:szCs w:val="29"/>
          <w:rtl w:val="0"/>
        </w:rPr>
        <w:t xml:space="preserve">This is an expression of interest.</w:t>
      </w:r>
    </w:p>
    <w:p w:rsidR="00000000" w:rsidDel="00000000" w:rsidP="00000000" w:rsidRDefault="00000000" w:rsidRPr="00000000" w14:paraId="00000033">
      <w:pPr>
        <w:shd w:fill="ffffff" w:val="clear"/>
        <w:spacing w:after="280" w:before="280" w:lineRule="auto"/>
        <w:rPr>
          <w:color w:val="0b0c0c"/>
          <w:sz w:val="29"/>
          <w:szCs w:val="29"/>
        </w:rPr>
      </w:pPr>
      <w:r w:rsidDel="00000000" w:rsidR="00000000" w:rsidRPr="00000000">
        <w:rPr>
          <w:color w:val="0b0c0c"/>
          <w:sz w:val="29"/>
          <w:szCs w:val="29"/>
          <w:rtl w:val="0"/>
        </w:rPr>
        <w:t xml:space="preserve">To submit your expression of interest application to this fund, please click on the 'apply now' button. You will need to register for an account.</w:t>
      </w:r>
    </w:p>
    <w:p w:rsidR="00000000" w:rsidDel="00000000" w:rsidP="00000000" w:rsidRDefault="00000000" w:rsidRPr="00000000" w14:paraId="00000034">
      <w:pPr>
        <w:shd w:fill="ffffff" w:val="clear"/>
        <w:spacing w:after="280" w:before="280" w:lineRule="auto"/>
        <w:rPr>
          <w:color w:val="0b0c0c"/>
          <w:sz w:val="29"/>
          <w:szCs w:val="29"/>
        </w:rPr>
      </w:pPr>
      <w:r w:rsidDel="00000000" w:rsidR="00000000" w:rsidRPr="00000000">
        <w:rPr>
          <w:color w:val="0b0c0c"/>
          <w:sz w:val="29"/>
          <w:szCs w:val="29"/>
          <w:rtl w:val="0"/>
        </w:rPr>
        <w:t xml:space="preserve">You can register for an account at:</w:t>
      </w:r>
    </w:p>
    <w:p w:rsidR="00000000" w:rsidDel="00000000" w:rsidP="00000000" w:rsidRDefault="00000000" w:rsidRPr="00000000" w14:paraId="00000035">
      <w:pPr>
        <w:shd w:fill="ffffff" w:val="clear"/>
        <w:spacing w:after="280" w:before="280" w:lineRule="auto"/>
        <w:rPr>
          <w:color w:val="1155cc"/>
          <w:sz w:val="29"/>
          <w:szCs w:val="29"/>
          <w:u w:val="single"/>
        </w:rPr>
      </w:pPr>
      <w:hyperlink r:id="rId6">
        <w:r w:rsidDel="00000000" w:rsidR="00000000" w:rsidRPr="00000000">
          <w:rPr>
            <w:color w:val="1155cc"/>
            <w:sz w:val="29"/>
            <w:szCs w:val="29"/>
            <w:u w:val="single"/>
            <w:rtl w:val="0"/>
          </w:rPr>
          <w:t xml:space="preserve">https://find-government-grants.service.gov.uk/apply/applicant</w:t>
        </w:r>
      </w:hyperlink>
      <w:r w:rsidDel="00000000" w:rsidR="00000000" w:rsidRPr="00000000">
        <w:rPr>
          <w:rtl w:val="0"/>
        </w:rPr>
      </w:r>
    </w:p>
    <w:p w:rsidR="00000000" w:rsidDel="00000000" w:rsidP="00000000" w:rsidRDefault="00000000" w:rsidRPr="00000000" w14:paraId="00000036">
      <w:pPr>
        <w:shd w:fill="ffffff" w:val="clear"/>
        <w:spacing w:after="280" w:before="280" w:lineRule="auto"/>
        <w:rPr>
          <w:color w:val="0b0c0c"/>
          <w:sz w:val="29"/>
          <w:szCs w:val="29"/>
        </w:rPr>
      </w:pPr>
      <w:r w:rsidDel="00000000" w:rsidR="00000000" w:rsidRPr="00000000">
        <w:rPr>
          <w:color w:val="0b0c0c"/>
          <w:sz w:val="29"/>
          <w:szCs w:val="29"/>
          <w:rtl w:val="0"/>
        </w:rPr>
        <w:t xml:space="preserve">We have attached a Word copy of the application form for the expression of interest to this fund in the supporting documents, for drafting purposes. Please note, all applications must be submitted via the portal.</w:t>
      </w:r>
    </w:p>
    <w:p w:rsidR="00000000" w:rsidDel="00000000" w:rsidP="00000000" w:rsidRDefault="00000000" w:rsidRPr="00000000" w14:paraId="00000037">
      <w:pPr>
        <w:shd w:fill="ffffff" w:val="clear"/>
        <w:spacing w:after="280" w:before="280" w:lineRule="auto"/>
        <w:rPr>
          <w:color w:val="0b0c0c"/>
          <w:sz w:val="29"/>
          <w:szCs w:val="29"/>
        </w:rPr>
      </w:pPr>
      <w:r w:rsidDel="00000000" w:rsidR="00000000" w:rsidRPr="00000000">
        <w:rPr>
          <w:color w:val="0b0c0c"/>
          <w:sz w:val="29"/>
          <w:szCs w:val="29"/>
          <w:rtl w:val="0"/>
        </w:rPr>
        <w:t xml:space="preserve">Email for queries: ggms.ohidgamharmprev@cabinetoffice.gov.uk</w:t>
      </w:r>
    </w:p>
    <w:p w:rsidR="00000000" w:rsidDel="00000000" w:rsidP="00000000" w:rsidRDefault="00000000" w:rsidRPr="00000000" w14:paraId="00000038">
      <w:pPr>
        <w:pStyle w:val="Heading2"/>
        <w:keepNext w:val="0"/>
        <w:keepLines w:val="0"/>
        <w:shd w:fill="ffffff" w:val="clear"/>
        <w:spacing w:after="80" w:lineRule="auto"/>
        <w:rPr>
          <w:b w:val="1"/>
          <w:bCs w:val="1"/>
          <w:color w:val="0b0c0c"/>
          <w:sz w:val="34"/>
          <w:szCs w:val="34"/>
        </w:rPr>
      </w:pPr>
      <w:bookmarkStart w:colFirst="0" w:colLast="0" w:name="_dlsyw9z2dxi7" w:id="6"/>
      <w:bookmarkEnd w:id="6"/>
      <w:r w:rsidDel="00000000" w:rsidR="00000000" w:rsidRPr="00000000">
        <w:rPr>
          <w:b w:val="1"/>
          <w:bCs w:val="1"/>
          <w:color w:val="0b0c0c"/>
          <w:sz w:val="34"/>
          <w:szCs w:val="34"/>
          <w:rtl w:val="0"/>
        </w:rPr>
        <w:t xml:space="preserve">Supporting information</w:t>
      </w:r>
    </w:p>
    <w:p w:rsidR="00000000" w:rsidDel="00000000" w:rsidP="00000000" w:rsidRDefault="00000000" w:rsidRPr="00000000" w14:paraId="00000039">
      <w:pPr>
        <w:shd w:fill="ffffff" w:val="clear"/>
        <w:spacing w:after="280" w:before="280" w:lineRule="auto"/>
        <w:rPr>
          <w:b w:val="1"/>
          <w:bCs w:val="1"/>
          <w:color w:val="0b0c0c"/>
          <w:sz w:val="29"/>
          <w:szCs w:val="29"/>
        </w:rPr>
      </w:pPr>
      <w:r w:rsidDel="00000000" w:rsidR="00000000" w:rsidRPr="00000000">
        <w:rPr>
          <w:b w:val="1"/>
          <w:bCs w:val="1"/>
          <w:color w:val="0b0c0c"/>
          <w:sz w:val="29"/>
          <w:szCs w:val="29"/>
          <w:rtl w:val="0"/>
        </w:rPr>
        <w:t xml:space="preserve">This is an expression of interest.</w:t>
      </w:r>
    </w:p>
    <w:p w:rsidR="00000000" w:rsidDel="00000000" w:rsidP="00000000" w:rsidRDefault="00000000" w:rsidRPr="00000000" w14:paraId="0000003A">
      <w:pPr>
        <w:shd w:fill="ffffff" w:val="clear"/>
        <w:spacing w:after="280" w:before="280" w:lineRule="auto"/>
        <w:rPr>
          <w:color w:val="0b0c0c"/>
          <w:sz w:val="29"/>
          <w:szCs w:val="29"/>
        </w:rPr>
      </w:pPr>
      <w:r w:rsidDel="00000000" w:rsidR="00000000" w:rsidRPr="00000000">
        <w:rPr>
          <w:color w:val="0b0c0c"/>
          <w:sz w:val="29"/>
          <w:szCs w:val="29"/>
          <w:rtl w:val="0"/>
        </w:rPr>
        <w:t xml:space="preserve">Background on the statutory levy on gambling operators can be found here:</w:t>
      </w:r>
    </w:p>
    <w:p w:rsidR="00000000" w:rsidDel="00000000" w:rsidP="00000000" w:rsidRDefault="00000000" w:rsidRPr="00000000" w14:paraId="0000003B">
      <w:pPr>
        <w:shd w:fill="ffffff" w:val="clear"/>
        <w:spacing w:after="280" w:before="280" w:lineRule="auto"/>
        <w:rPr>
          <w:color w:val="1155cc"/>
          <w:sz w:val="29"/>
          <w:szCs w:val="29"/>
          <w:u w:val="single"/>
        </w:rPr>
      </w:pPr>
      <w:hyperlink r:id="rId7">
        <w:r w:rsidDel="00000000" w:rsidR="00000000" w:rsidRPr="00000000">
          <w:rPr>
            <w:color w:val="1155cc"/>
            <w:sz w:val="29"/>
            <w:szCs w:val="29"/>
            <w:u w:val="single"/>
            <w:rtl w:val="0"/>
          </w:rPr>
          <w:t xml:space="preserve">Government response to the consultation on the structure, distribution and governance of the statutory levy on gambling operators - GOV.UK</w:t>
        </w:r>
      </w:hyperlink>
      <w:r w:rsidDel="00000000" w:rsidR="00000000" w:rsidRPr="00000000">
        <w:rPr>
          <w:rtl w:val="0"/>
        </w:rPr>
      </w:r>
    </w:p>
    <w:p w:rsidR="00000000" w:rsidDel="00000000" w:rsidP="00000000" w:rsidRDefault="00000000" w:rsidRPr="00000000" w14:paraId="0000003C">
      <w:pPr>
        <w:pStyle w:val="Heading2"/>
        <w:keepNext w:val="0"/>
        <w:keepLines w:val="0"/>
        <w:shd w:fill="ffffff" w:val="clear"/>
        <w:spacing w:after="460" w:before="0" w:line="300" w:lineRule="auto"/>
        <w:ind w:left="-220" w:right="-220" w:firstLine="0"/>
        <w:rPr>
          <w:b w:val="1"/>
          <w:bCs w:val="1"/>
          <w:color w:val="0b0c0c"/>
          <w:sz w:val="41"/>
          <w:szCs w:val="41"/>
        </w:rPr>
      </w:pPr>
      <w:bookmarkStart w:colFirst="0" w:colLast="0" w:name="_22gdp8mijrae" w:id="7"/>
      <w:bookmarkEnd w:id="7"/>
      <w:r w:rsidDel="00000000" w:rsidR="00000000" w:rsidRPr="00000000">
        <w:rPr>
          <w:b w:val="1"/>
          <w:bCs w:val="1"/>
          <w:color w:val="0b0c0c"/>
          <w:sz w:val="41"/>
          <w:szCs w:val="41"/>
          <w:rtl w:val="0"/>
        </w:rPr>
        <w:t xml:space="preserve">Gambling Harms Prevention Scheme (VCSEs) - Expression of Interest - Application Form</w:t>
      </w:r>
    </w:p>
    <w:p w:rsidR="00000000" w:rsidDel="00000000" w:rsidP="00000000" w:rsidRDefault="00000000" w:rsidRPr="00000000" w14:paraId="0000003D">
      <w:pPr>
        <w:shd w:fill="ffffff" w:val="clear"/>
        <w:spacing w:after="740" w:before="280" w:lineRule="auto"/>
        <w:ind w:left="-220" w:right="-220" w:firstLine="0"/>
        <w:rPr>
          <w:color w:val="0b0c0c"/>
          <w:sz w:val="29"/>
          <w:szCs w:val="29"/>
        </w:rPr>
      </w:pPr>
      <w:r w:rsidDel="00000000" w:rsidR="00000000" w:rsidRPr="00000000">
        <w:rPr>
          <w:color w:val="0b0c0c"/>
          <w:sz w:val="29"/>
          <w:szCs w:val="29"/>
          <w:rtl w:val="0"/>
        </w:rPr>
        <w:t xml:space="preserve">File type: vnd.oasis.opendocument.text</w:t>
      </w:r>
    </w:p>
    <w:p w:rsidR="00000000" w:rsidDel="00000000" w:rsidP="00000000" w:rsidRDefault="00000000" w:rsidRPr="00000000" w14:paraId="0000003E">
      <w:pPr>
        <w:shd w:fill="ffffff" w:val="clear"/>
        <w:spacing w:after="740" w:before="280" w:lineRule="auto"/>
        <w:ind w:left="-220" w:right="-220" w:firstLine="0"/>
        <w:rPr>
          <w:color w:val="0b0c0c"/>
          <w:sz w:val="29"/>
          <w:szCs w:val="29"/>
        </w:rPr>
      </w:pPr>
      <w:hyperlink r:id="rId8">
        <w:r w:rsidDel="00000000" w:rsidR="00000000" w:rsidRPr="00000000">
          <w:rPr>
            <w:color w:val="1d70b8"/>
            <w:sz w:val="29"/>
            <w:szCs w:val="29"/>
            <w:u w:val="single"/>
            <w:rtl w:val="0"/>
          </w:rPr>
          <w:t xml:space="preserve">Gambling Harms Prevention Scheme (VCSEs) - Expression of_Interest - Application Form.odt</w:t>
        </w:r>
      </w:hyperlink>
      <w:r w:rsidDel="00000000" w:rsidR="00000000" w:rsidRPr="00000000">
        <w:rPr>
          <w:color w:val="0b0c0c"/>
          <w:sz w:val="29"/>
          <w:szCs w:val="29"/>
          <w:rtl w:val="0"/>
        </w:rPr>
        <w:t xml:space="preserve"> (25 Kb)</w:t>
      </w:r>
    </w:p>
    <w:p w:rsidR="00000000" w:rsidDel="00000000" w:rsidP="00000000" w:rsidRDefault="00000000" w:rsidRPr="00000000" w14:paraId="0000003F">
      <w:pPr>
        <w:pStyle w:val="Heading2"/>
        <w:keepNext w:val="0"/>
        <w:keepLines w:val="0"/>
        <w:shd w:fill="ffffff" w:val="clear"/>
        <w:spacing w:after="460" w:before="0" w:line="300" w:lineRule="auto"/>
        <w:ind w:left="-220" w:right="-220" w:firstLine="0"/>
        <w:rPr>
          <w:b w:val="1"/>
          <w:bCs w:val="1"/>
          <w:color w:val="0b0c0c"/>
          <w:sz w:val="41"/>
          <w:szCs w:val="41"/>
        </w:rPr>
      </w:pPr>
      <w:bookmarkStart w:colFirst="0" w:colLast="0" w:name="_mrjpokt6xap4" w:id="8"/>
      <w:bookmarkEnd w:id="8"/>
      <w:r w:rsidDel="00000000" w:rsidR="00000000" w:rsidRPr="00000000">
        <w:rPr>
          <w:b w:val="1"/>
          <w:bCs w:val="1"/>
          <w:color w:val="0b0c0c"/>
          <w:sz w:val="41"/>
          <w:szCs w:val="41"/>
          <w:rtl w:val="0"/>
        </w:rPr>
        <w:t xml:space="preserve">Information Session: VCSE Gambling Harms Prevention &amp; Resilience Fund - Webinar Slides</w:t>
      </w:r>
    </w:p>
    <w:p w:rsidR="00000000" w:rsidDel="00000000" w:rsidP="00000000" w:rsidRDefault="00000000" w:rsidRPr="00000000" w14:paraId="00000040">
      <w:pPr>
        <w:shd w:fill="ffffff" w:val="clear"/>
        <w:spacing w:after="740" w:before="280" w:lineRule="auto"/>
        <w:ind w:left="-220" w:right="-220" w:firstLine="0"/>
        <w:rPr>
          <w:color w:val="0b0c0c"/>
          <w:sz w:val="29"/>
          <w:szCs w:val="29"/>
        </w:rPr>
      </w:pPr>
      <w:r w:rsidDel="00000000" w:rsidR="00000000" w:rsidRPr="00000000">
        <w:rPr>
          <w:color w:val="0b0c0c"/>
          <w:sz w:val="29"/>
          <w:szCs w:val="29"/>
          <w:rtl w:val="0"/>
        </w:rPr>
        <w:t xml:space="preserve">File type: pdf</w:t>
      </w:r>
    </w:p>
    <w:p w:rsidR="00000000" w:rsidDel="00000000" w:rsidP="00000000" w:rsidRDefault="00000000" w:rsidRPr="00000000" w14:paraId="00000041">
      <w:pPr>
        <w:shd w:fill="ffffff" w:val="clear"/>
        <w:spacing w:after="740" w:before="280" w:lineRule="auto"/>
        <w:ind w:left="-220" w:right="-220" w:firstLine="0"/>
        <w:rPr>
          <w:color w:val="0b0c0c"/>
          <w:sz w:val="29"/>
          <w:szCs w:val="29"/>
        </w:rPr>
      </w:pPr>
      <w:hyperlink r:id="rId9">
        <w:r w:rsidDel="00000000" w:rsidR="00000000" w:rsidRPr="00000000">
          <w:rPr>
            <w:color w:val="1d70b8"/>
            <w:sz w:val="29"/>
            <w:szCs w:val="29"/>
            <w:u w:val="single"/>
            <w:rtl w:val="0"/>
          </w:rPr>
          <w:t xml:space="preserve">Webinar Slides VCSE 261125.pptx.pdf</w:t>
        </w:r>
      </w:hyperlink>
      <w:r w:rsidDel="00000000" w:rsidR="00000000" w:rsidRPr="00000000">
        <w:rPr>
          <w:color w:val="0b0c0c"/>
          <w:sz w:val="29"/>
          <w:szCs w:val="29"/>
          <w:rtl w:val="0"/>
        </w:rPr>
        <w:t xml:space="preserve"> (556 Kb)</w:t>
      </w:r>
    </w:p>
    <w:p w:rsidR="00000000" w:rsidDel="00000000" w:rsidP="00000000" w:rsidRDefault="00000000" w:rsidRPr="00000000" w14:paraId="00000042">
      <w:pPr>
        <w:pStyle w:val="Heading2"/>
        <w:keepNext w:val="0"/>
        <w:keepLines w:val="0"/>
        <w:shd w:fill="ffffff" w:val="clear"/>
        <w:spacing w:after="460" w:before="0" w:line="300" w:lineRule="auto"/>
        <w:ind w:left="-220" w:right="-220" w:firstLine="0"/>
        <w:rPr>
          <w:b w:val="1"/>
          <w:bCs w:val="1"/>
          <w:color w:val="0b0c0c"/>
          <w:sz w:val="41"/>
          <w:szCs w:val="41"/>
        </w:rPr>
      </w:pPr>
      <w:bookmarkStart w:colFirst="0" w:colLast="0" w:name="_hpx2o58rvzfo" w:id="9"/>
      <w:bookmarkEnd w:id="9"/>
      <w:r w:rsidDel="00000000" w:rsidR="00000000" w:rsidRPr="00000000">
        <w:rPr>
          <w:b w:val="1"/>
          <w:bCs w:val="1"/>
          <w:color w:val="0b0c0c"/>
          <w:sz w:val="41"/>
          <w:szCs w:val="41"/>
          <w:rtl w:val="0"/>
        </w:rPr>
        <w:t xml:space="preserve">Consolidated Frequently Asked Questions for VCSE fund.docx</w:t>
      </w:r>
    </w:p>
    <w:p w:rsidR="00000000" w:rsidDel="00000000" w:rsidP="00000000" w:rsidRDefault="00000000" w:rsidRPr="00000000" w14:paraId="00000043">
      <w:pPr>
        <w:shd w:fill="ffffff" w:val="clear"/>
        <w:spacing w:after="740" w:before="280" w:lineRule="auto"/>
        <w:ind w:left="-220" w:right="-220" w:firstLine="0"/>
        <w:rPr>
          <w:color w:val="0b0c0c"/>
          <w:sz w:val="29"/>
          <w:szCs w:val="29"/>
        </w:rPr>
      </w:pPr>
      <w:r w:rsidDel="00000000" w:rsidR="00000000" w:rsidRPr="00000000">
        <w:rPr>
          <w:color w:val="0b0c0c"/>
          <w:sz w:val="29"/>
          <w:szCs w:val="29"/>
          <w:rtl w:val="0"/>
        </w:rPr>
        <w:t xml:space="preserve">File type: pdf</w:t>
      </w:r>
    </w:p>
    <w:p w:rsidR="00000000" w:rsidDel="00000000" w:rsidP="00000000" w:rsidRDefault="00000000" w:rsidRPr="00000000" w14:paraId="00000044">
      <w:pPr>
        <w:shd w:fill="ffffff" w:val="clear"/>
        <w:spacing w:after="740" w:before="280" w:lineRule="auto"/>
        <w:ind w:left="-220" w:right="-220" w:firstLine="0"/>
        <w:rPr>
          <w:color w:val="0b0c0c"/>
          <w:sz w:val="29"/>
          <w:szCs w:val="29"/>
        </w:rPr>
      </w:pPr>
      <w:hyperlink r:id="rId10">
        <w:r w:rsidDel="00000000" w:rsidR="00000000" w:rsidRPr="00000000">
          <w:rPr>
            <w:color w:val="1d70b8"/>
            <w:sz w:val="29"/>
            <w:szCs w:val="29"/>
            <w:u w:val="single"/>
            <w:rtl w:val="0"/>
          </w:rPr>
          <w:t xml:space="preserve">Consolidated Frequently Asked Questions for VCSE fund.docx.pdf</w:t>
        </w:r>
      </w:hyperlink>
      <w:r w:rsidDel="00000000" w:rsidR="00000000" w:rsidRPr="00000000">
        <w:rPr>
          <w:color w:val="0b0c0c"/>
          <w:sz w:val="29"/>
          <w:szCs w:val="29"/>
          <w:rtl w:val="0"/>
        </w:rPr>
        <w:t xml:space="preserve"> (134 Kb)</w:t>
      </w:r>
    </w:p>
    <w:p w:rsidR="00000000" w:rsidDel="00000000" w:rsidP="00000000" w:rsidRDefault="00000000" w:rsidRPr="00000000" w14:paraId="00000045">
      <w:pPr>
        <w:pStyle w:val="Heading2"/>
        <w:keepNext w:val="0"/>
        <w:keepLines w:val="0"/>
        <w:shd w:fill="ffffff" w:val="clear"/>
        <w:spacing w:after="0" w:before="0" w:line="300" w:lineRule="auto"/>
        <w:ind w:left="-220" w:right="-220" w:firstLine="0"/>
        <w:rPr>
          <w:b w:val="1"/>
          <w:bCs w:val="1"/>
          <w:color w:val="0b0c0c"/>
          <w:sz w:val="41"/>
          <w:szCs w:val="41"/>
        </w:rPr>
      </w:pPr>
      <w:bookmarkStart w:colFirst="0" w:colLast="0" w:name="_dcjvn068gs7y" w:id="10"/>
      <w:bookmarkEnd w:id="10"/>
      <w:r w:rsidDel="00000000" w:rsidR="00000000" w:rsidRPr="00000000">
        <w:rPr>
          <w:b w:val="1"/>
          <w:bCs w:val="1"/>
          <w:color w:val="0b0c0c"/>
          <w:sz w:val="41"/>
          <w:szCs w:val="41"/>
          <w:rtl w:val="0"/>
        </w:rPr>
        <w:t xml:space="preserve">2025-11-26 VCSE Gambling Harms Prevention &amp; Resilience Fund</w:t>
      </w:r>
    </w:p>
    <w:p w:rsidR="00000000" w:rsidDel="00000000" w:rsidP="00000000" w:rsidRDefault="00000000" w:rsidRPr="00000000" w14:paraId="00000046">
      <w:pPr>
        <w:shd w:fill="ffffff" w:val="clear"/>
        <w:spacing w:after="280" w:before="280" w:lineRule="auto"/>
        <w:ind w:left="-220" w:right="-220" w:firstLine="0"/>
        <w:rPr>
          <w:color w:val="0b0c0c"/>
          <w:sz w:val="29"/>
          <w:szCs w:val="29"/>
        </w:rPr>
      </w:pPr>
      <w:r w:rsidDel="00000000" w:rsidR="00000000" w:rsidRPr="00000000">
        <w:rPr>
          <w:color w:val="0b0c0c"/>
          <w:sz w:val="29"/>
          <w:szCs w:val="29"/>
          <w:rtl w:val="0"/>
        </w:rPr>
        <w:t xml:space="preserve">File type: video/mp4</w:t>
      </w:r>
    </w:p>
    <w:p w:rsidR="00000000" w:rsidDel="00000000" w:rsidP="00000000" w:rsidRDefault="00000000" w:rsidRPr="00000000" w14:paraId="00000047">
      <w:pPr>
        <w:shd w:fill="ffffff" w:val="clear"/>
        <w:spacing w:after="280" w:before="280" w:lineRule="auto"/>
        <w:ind w:left="-220" w:right="-220" w:firstLine="0"/>
        <w:rPr>
          <w:color w:val="0b0c0c"/>
          <w:sz w:val="29"/>
          <w:szCs w:val="29"/>
        </w:rPr>
      </w:pPr>
      <w:hyperlink r:id="rId11">
        <w:r w:rsidDel="00000000" w:rsidR="00000000" w:rsidRPr="00000000">
          <w:rPr>
            <w:color w:val="1d70b8"/>
            <w:sz w:val="29"/>
            <w:szCs w:val="29"/>
            <w:u w:val="single"/>
            <w:rtl w:val="0"/>
          </w:rPr>
          <w:t xml:space="preserve">2025-11-26 VCSE Gambling Harms Prevention &amp; Resilience Fund.mp4</w:t>
        </w:r>
      </w:hyperlink>
      <w:r w:rsidDel="00000000" w:rsidR="00000000" w:rsidRPr="00000000">
        <w:rPr>
          <w:color w:val="0b0c0c"/>
          <w:sz w:val="29"/>
          <w:szCs w:val="29"/>
          <w:rtl w:val="0"/>
        </w:rPr>
        <w:t xml:space="preserve"> (167879 Kb)</w:t>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b0c0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ideos.ctfassets.net/qezfe50w6p6b/6mBopAy5QMx7CnLItwCEK5/54825a8b69fc21dd54e00fdfb3e2ed5a/2025-11-26_VCSE_Gambling_Harms_Prevention___Resilience_Fund.mp4" TargetMode="External"/><Relationship Id="rId10" Type="http://schemas.openxmlformats.org/officeDocument/2006/relationships/hyperlink" Target="https://assets.ctfassets.net/qezfe50w6p6b/gFkPFnYHcvAaEqCxVSFZg/52a260e22ac359dd896f8f1dda9e924b/Consolidated_Frequently_Asked_Questions_for_VCSE_fund.docx.pdf" TargetMode="External"/><Relationship Id="rId9" Type="http://schemas.openxmlformats.org/officeDocument/2006/relationships/hyperlink" Target="https://assets.ctfassets.net/qezfe50w6p6b/6s2pOUD2NMOiI5WEbVw7tm/6451bd27d4f50baaf677c7626550eb58/Webinar_Slides_VCSE_261125.pptx.pdf" TargetMode="External"/><Relationship Id="rId5" Type="http://schemas.openxmlformats.org/officeDocument/2006/relationships/styles" Target="styles.xml"/><Relationship Id="rId6" Type="http://schemas.openxmlformats.org/officeDocument/2006/relationships/hyperlink" Target="https://find-government-grants.service.gov.uk/apply/applicant" TargetMode="External"/><Relationship Id="rId7" Type="http://schemas.openxmlformats.org/officeDocument/2006/relationships/hyperlink" Target="https://www.gov.uk/government/consultations/consultation-on-the-statutory-levy-on-gambling-operators/outcome/government-response-to-the-consultation-on-the-structure-distribution-and-governance-of-the-statutory-levy-on-gambling-operators" TargetMode="External"/><Relationship Id="rId8" Type="http://schemas.openxmlformats.org/officeDocument/2006/relationships/hyperlink" Target="https://assets.ctfassets.net/qezfe50w6p6b/1TGoE5ncnEwR4e2fvzkyNn/10132f61bb65d5f521f6da266ae39889/Gambling_Harms_Prevention_Scheme__VCSEs__-_Expression_of_Interest_-_Application_Form.o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