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Depot Charging Scheme FAQ</w:t>
      </w:r>
    </w:p>
    <w:p w:rsidR="00000000" w:rsidDel="00000000" w:rsidP="00000000" w:rsidRDefault="00000000" w:rsidRPr="00000000" w14:paraId="00000003">
      <w:pPr>
        <w:rPr>
          <w:b w:val="1"/>
          <w:bCs w:val="1"/>
          <w:u w:val="single"/>
        </w:rPr>
      </w:pPr>
      <w:r w:rsidDel="00000000" w:rsidR="00000000" w:rsidRPr="00000000">
        <w:rPr>
          <w:rtl w:val="0"/>
        </w:rPr>
      </w:r>
    </w:p>
    <w:p w:rsidR="00000000" w:rsidDel="00000000" w:rsidP="00000000" w:rsidRDefault="00000000" w:rsidRPr="00000000" w14:paraId="00000004">
      <w:pPr>
        <w:rPr>
          <w:b w:val="1"/>
          <w:bCs w:val="1"/>
          <w:sz w:val="24"/>
          <w:szCs w:val="24"/>
          <w:u w:val="single"/>
        </w:rPr>
      </w:pPr>
      <w:r w:rsidDel="00000000" w:rsidR="00000000" w:rsidRPr="00000000">
        <w:rPr>
          <w:b w:val="1"/>
          <w:bCs w:val="1"/>
          <w:sz w:val="24"/>
          <w:szCs w:val="24"/>
          <w:u w:val="single"/>
          <w:rtl w:val="0"/>
        </w:rPr>
        <w:t xml:space="preserve">Contents </w:t>
      </w:r>
    </w:p>
    <w:p w:rsidR="00000000" w:rsidDel="00000000" w:rsidP="00000000" w:rsidRDefault="00000000" w:rsidRPr="00000000" w14:paraId="00000005">
      <w:pPr>
        <w:rPr>
          <w:b w:val="1"/>
          <w:bCs w:val="1"/>
          <w:sz w:val="24"/>
          <w:szCs w:val="24"/>
          <w:u w:val="single"/>
        </w:rPr>
      </w:pPr>
      <w:r w:rsidDel="00000000" w:rsidR="00000000" w:rsidRPr="00000000">
        <w:rPr>
          <w:rtl w:val="0"/>
        </w:rPr>
      </w:r>
    </w:p>
    <w:p w:rsidR="00000000" w:rsidDel="00000000" w:rsidP="00000000" w:rsidRDefault="00000000" w:rsidRPr="00000000" w14:paraId="00000006">
      <w:pPr>
        <w:rPr>
          <w:b w:val="1"/>
          <w:bCs w:val="1"/>
          <w:sz w:val="24"/>
          <w:szCs w:val="24"/>
          <w:u w:val="single"/>
        </w:rPr>
      </w:pPr>
      <w:r w:rsidDel="00000000" w:rsidR="00000000" w:rsidRPr="00000000">
        <w:rPr>
          <w:rtl w:val="0"/>
        </w:rPr>
      </w:r>
    </w:p>
    <w:sdt>
      <w:sdtPr>
        <w:id w:val="1447971634"/>
        <w:docPartObj>
          <w:docPartGallery w:val="Table of Contents"/>
          <w:docPartUnique w:val="1"/>
        </w:docPartObj>
      </w:sdtPr>
      <w:sdtContent>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mfkj539evbi5">
            <w:r w:rsidDel="00000000" w:rsidR="00000000" w:rsidRPr="00000000">
              <w:rPr>
                <w:rtl w:val="0"/>
              </w:rPr>
              <w:t xml:space="preserve">Eligibility</w:t>
            </w:r>
          </w:hyperlink>
          <w:hyperlink w:anchor="_heading=h.mfkj539evbi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9ekzl5zdkzld">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Vehicles</w:t>
              <w:tab/>
              <w:t xml:space="preserve">2</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mu6s38r3dun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Infrastructure and connections</w:t>
              <w:tab/>
              <w:t xml:space="preserve">3</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qjbdq43jwjei">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Grant administration</w:t>
              <w:tab/>
              <w:t xml:space="preserve">4</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33d7h83ksad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Additional FAQ</w:t>
              <w:tab/>
              <w:t xml:space="preserve">5</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5"/>
            </w:tabs>
            <w:spacing w:after="100" w:before="0" w:line="276" w:lineRule="auto"/>
            <w:ind w:left="0" w:right="0" w:firstLine="0"/>
            <w:jc w:val="left"/>
            <w:rPr>
              <w:rFonts w:ascii="Arial" w:cs="Arial" w:eastAsia="Arial" w:hAnsi="Arial"/>
              <w:b w:val="0"/>
              <w:bCs w:val="0"/>
              <w:i w:val="0"/>
              <w:iCs w:val="0"/>
              <w:smallCaps w:val="0"/>
              <w:strike w:val="0"/>
              <w:color w:val="467886"/>
              <w:sz w:val="24"/>
              <w:szCs w:val="24"/>
              <w:u w:val="singl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D">
      <w:pPr>
        <w:rPr>
          <w:b w:val="1"/>
          <w:bCs w:val="1"/>
          <w:u w:val="single"/>
        </w:rPr>
      </w:pPr>
      <w:r w:rsidDel="00000000" w:rsidR="00000000" w:rsidRPr="00000000">
        <w:rPr>
          <w:rtl w:val="0"/>
        </w:rPr>
      </w:r>
    </w:p>
    <w:p w:rsidR="00000000" w:rsidDel="00000000" w:rsidP="00000000" w:rsidRDefault="00000000" w:rsidRPr="00000000" w14:paraId="0000000E">
      <w:pPr>
        <w:rPr>
          <w:b w:val="1"/>
          <w:bCs w:val="1"/>
          <w:u w:val="single"/>
        </w:rPr>
      </w:pPr>
      <w:r w:rsidDel="00000000" w:rsidR="00000000" w:rsidRPr="00000000">
        <w:rPr>
          <w:rtl w:val="0"/>
        </w:rPr>
      </w:r>
    </w:p>
    <w:p w:rsidR="00000000" w:rsidDel="00000000" w:rsidP="00000000" w:rsidRDefault="00000000" w:rsidRPr="00000000" w14:paraId="0000000F">
      <w:pPr>
        <w:rPr>
          <w:b w:val="1"/>
          <w:bCs w:val="1"/>
          <w:u w:val="single"/>
        </w:rPr>
      </w:pPr>
      <w:r w:rsidDel="00000000" w:rsidR="00000000" w:rsidRPr="00000000">
        <w:rPr>
          <w:rtl w:val="0"/>
        </w:rPr>
      </w:r>
    </w:p>
    <w:p w:rsidR="00000000" w:rsidDel="00000000" w:rsidP="00000000" w:rsidRDefault="00000000" w:rsidRPr="00000000" w14:paraId="00000010">
      <w:pPr>
        <w:rPr>
          <w:b w:val="1"/>
          <w:bCs w:val="1"/>
          <w:u w:val="single"/>
        </w:rPr>
      </w:pPr>
      <w:r w:rsidDel="00000000" w:rsidR="00000000" w:rsidRPr="00000000">
        <w:rPr>
          <w:rtl w:val="0"/>
        </w:rPr>
      </w:r>
    </w:p>
    <w:p w:rsidR="00000000" w:rsidDel="00000000" w:rsidP="00000000" w:rsidRDefault="00000000" w:rsidRPr="00000000" w14:paraId="00000011">
      <w:pPr>
        <w:rPr>
          <w:b w:val="1"/>
          <w:bCs w:val="1"/>
          <w:u w:val="single"/>
        </w:rPr>
      </w:pPr>
      <w:r w:rsidDel="00000000" w:rsidR="00000000" w:rsidRPr="00000000">
        <w:rPr>
          <w:rtl w:val="0"/>
        </w:rPr>
      </w:r>
    </w:p>
    <w:p w:rsidR="00000000" w:rsidDel="00000000" w:rsidP="00000000" w:rsidRDefault="00000000" w:rsidRPr="00000000" w14:paraId="00000012">
      <w:pPr>
        <w:rPr>
          <w:b w:val="1"/>
          <w:bCs w:val="1"/>
          <w:u w:val="single"/>
        </w:rPr>
      </w:pPr>
      <w:r w:rsidDel="00000000" w:rsidR="00000000" w:rsidRPr="00000000">
        <w:rPr>
          <w:rtl w:val="0"/>
        </w:rPr>
      </w:r>
    </w:p>
    <w:p w:rsidR="00000000" w:rsidDel="00000000" w:rsidP="00000000" w:rsidRDefault="00000000" w:rsidRPr="00000000" w14:paraId="00000013">
      <w:pPr>
        <w:rPr>
          <w:b w:val="1"/>
          <w:bCs w:val="1"/>
          <w:u w:val="single"/>
        </w:rPr>
      </w:pPr>
      <w:r w:rsidDel="00000000" w:rsidR="00000000" w:rsidRPr="00000000">
        <w:rPr>
          <w:rtl w:val="0"/>
        </w:rPr>
      </w:r>
    </w:p>
    <w:p w:rsidR="00000000" w:rsidDel="00000000" w:rsidP="00000000" w:rsidRDefault="00000000" w:rsidRPr="00000000" w14:paraId="00000014">
      <w:pPr>
        <w:rPr>
          <w:b w:val="1"/>
          <w:bCs w:val="1"/>
          <w:u w:val="single"/>
        </w:rPr>
      </w:pPr>
      <w:r w:rsidDel="00000000" w:rsidR="00000000" w:rsidRPr="00000000">
        <w:rPr>
          <w:rtl w:val="0"/>
        </w:rPr>
      </w:r>
    </w:p>
    <w:p w:rsidR="00000000" w:rsidDel="00000000" w:rsidP="00000000" w:rsidRDefault="00000000" w:rsidRPr="00000000" w14:paraId="00000015">
      <w:pPr>
        <w:rPr>
          <w:b w:val="1"/>
          <w:bCs w:val="1"/>
          <w:u w:val="single"/>
        </w:rPr>
      </w:pPr>
      <w:r w:rsidDel="00000000" w:rsidR="00000000" w:rsidRPr="00000000">
        <w:rPr>
          <w:rtl w:val="0"/>
        </w:rPr>
      </w:r>
    </w:p>
    <w:p w:rsidR="00000000" w:rsidDel="00000000" w:rsidP="00000000" w:rsidRDefault="00000000" w:rsidRPr="00000000" w14:paraId="00000016">
      <w:pPr>
        <w:rPr>
          <w:b w:val="1"/>
          <w:bCs w:val="1"/>
          <w:u w:val="single"/>
        </w:rPr>
      </w:pPr>
      <w:r w:rsidDel="00000000" w:rsidR="00000000" w:rsidRPr="00000000">
        <w:rPr>
          <w:rtl w:val="0"/>
        </w:rPr>
      </w:r>
    </w:p>
    <w:p w:rsidR="00000000" w:rsidDel="00000000" w:rsidP="00000000" w:rsidRDefault="00000000" w:rsidRPr="00000000" w14:paraId="00000017">
      <w:pPr>
        <w:rPr>
          <w:b w:val="1"/>
          <w:bCs w:val="1"/>
          <w:u w:val="single"/>
        </w:rPr>
      </w:pPr>
      <w:r w:rsidDel="00000000" w:rsidR="00000000" w:rsidRPr="00000000">
        <w:rPr>
          <w:rtl w:val="0"/>
        </w:rPr>
      </w:r>
    </w:p>
    <w:p w:rsidR="00000000" w:rsidDel="00000000" w:rsidP="00000000" w:rsidRDefault="00000000" w:rsidRPr="00000000" w14:paraId="00000018">
      <w:pPr>
        <w:rPr>
          <w:b w:val="1"/>
          <w:bCs w:val="1"/>
          <w:u w:val="single"/>
        </w:rPr>
      </w:pPr>
      <w:r w:rsidDel="00000000" w:rsidR="00000000" w:rsidRPr="00000000">
        <w:rPr>
          <w:rtl w:val="0"/>
        </w:rPr>
      </w:r>
    </w:p>
    <w:p w:rsidR="00000000" w:rsidDel="00000000" w:rsidP="00000000" w:rsidRDefault="00000000" w:rsidRPr="00000000" w14:paraId="00000019">
      <w:pPr>
        <w:rPr>
          <w:b w:val="1"/>
          <w:bCs w:val="1"/>
          <w:u w:val="single"/>
        </w:rPr>
      </w:pPr>
      <w:r w:rsidDel="00000000" w:rsidR="00000000" w:rsidRPr="00000000">
        <w:rPr>
          <w:rtl w:val="0"/>
        </w:rPr>
      </w:r>
    </w:p>
    <w:p w:rsidR="00000000" w:rsidDel="00000000" w:rsidP="00000000" w:rsidRDefault="00000000" w:rsidRPr="00000000" w14:paraId="0000001A">
      <w:pPr>
        <w:rPr>
          <w:b w:val="1"/>
          <w:bCs w:val="1"/>
          <w:u w:val="single"/>
        </w:rPr>
      </w:pPr>
      <w:r w:rsidDel="00000000" w:rsidR="00000000" w:rsidRPr="00000000">
        <w:rPr>
          <w:rtl w:val="0"/>
        </w:rPr>
      </w:r>
    </w:p>
    <w:p w:rsidR="00000000" w:rsidDel="00000000" w:rsidP="00000000" w:rsidRDefault="00000000" w:rsidRPr="00000000" w14:paraId="0000001B">
      <w:pPr>
        <w:rPr>
          <w:b w:val="1"/>
          <w:bCs w:val="1"/>
          <w:u w:val="single"/>
        </w:rPr>
      </w:pPr>
      <w:r w:rsidDel="00000000" w:rsidR="00000000" w:rsidRPr="00000000">
        <w:rPr>
          <w:rtl w:val="0"/>
        </w:rPr>
      </w:r>
    </w:p>
    <w:p w:rsidR="00000000" w:rsidDel="00000000" w:rsidP="00000000" w:rsidRDefault="00000000" w:rsidRPr="00000000" w14:paraId="0000001C">
      <w:pPr>
        <w:rPr>
          <w:b w:val="1"/>
          <w:bCs w:val="1"/>
          <w:u w:val="single"/>
        </w:rPr>
      </w:pPr>
      <w:r w:rsidDel="00000000" w:rsidR="00000000" w:rsidRPr="00000000">
        <w:rPr>
          <w:rtl w:val="0"/>
        </w:rPr>
      </w:r>
    </w:p>
    <w:p w:rsidR="00000000" w:rsidDel="00000000" w:rsidP="00000000" w:rsidRDefault="00000000" w:rsidRPr="00000000" w14:paraId="0000001D">
      <w:pPr>
        <w:rPr>
          <w:b w:val="1"/>
          <w:bCs w:val="1"/>
          <w:u w:val="single"/>
        </w:rPr>
      </w:pPr>
      <w:r w:rsidDel="00000000" w:rsidR="00000000" w:rsidRPr="00000000">
        <w:rPr>
          <w:rtl w:val="0"/>
        </w:rPr>
      </w:r>
    </w:p>
    <w:p w:rsidR="00000000" w:rsidDel="00000000" w:rsidP="00000000" w:rsidRDefault="00000000" w:rsidRPr="00000000" w14:paraId="0000001E">
      <w:pPr>
        <w:rPr>
          <w:b w:val="1"/>
          <w:bCs w:val="1"/>
          <w:u w:val="single"/>
        </w:rPr>
      </w:pPr>
      <w:r w:rsidDel="00000000" w:rsidR="00000000" w:rsidRPr="00000000">
        <w:rPr>
          <w:rtl w:val="0"/>
        </w:rPr>
      </w:r>
    </w:p>
    <w:p w:rsidR="00000000" w:rsidDel="00000000" w:rsidP="00000000" w:rsidRDefault="00000000" w:rsidRPr="00000000" w14:paraId="0000001F">
      <w:pPr>
        <w:rPr>
          <w:b w:val="1"/>
          <w:bCs w:val="1"/>
          <w:u w:val="single"/>
        </w:rPr>
      </w:pPr>
      <w:r w:rsidDel="00000000" w:rsidR="00000000" w:rsidRPr="00000000">
        <w:rPr>
          <w:rtl w:val="0"/>
        </w:rPr>
      </w:r>
    </w:p>
    <w:p w:rsidR="00000000" w:rsidDel="00000000" w:rsidP="00000000" w:rsidRDefault="00000000" w:rsidRPr="00000000" w14:paraId="00000020">
      <w:pPr>
        <w:rPr>
          <w:b w:val="1"/>
          <w:bCs w:val="1"/>
          <w:u w:val="single"/>
        </w:rPr>
      </w:pPr>
      <w:r w:rsidDel="00000000" w:rsidR="00000000" w:rsidRPr="00000000">
        <w:rPr>
          <w:rtl w:val="0"/>
        </w:rPr>
      </w:r>
    </w:p>
    <w:p w:rsidR="00000000" w:rsidDel="00000000" w:rsidP="00000000" w:rsidRDefault="00000000" w:rsidRPr="00000000" w14:paraId="00000021">
      <w:pPr>
        <w:rPr>
          <w:b w:val="1"/>
          <w:bCs w:val="1"/>
          <w:u w:val="single"/>
        </w:rPr>
      </w:pPr>
      <w:r w:rsidDel="00000000" w:rsidR="00000000" w:rsidRPr="00000000">
        <w:rPr>
          <w:rtl w:val="0"/>
        </w:rPr>
      </w:r>
    </w:p>
    <w:p w:rsidR="00000000" w:rsidDel="00000000" w:rsidP="00000000" w:rsidRDefault="00000000" w:rsidRPr="00000000" w14:paraId="00000022">
      <w:pPr>
        <w:rPr>
          <w:b w:val="1"/>
          <w:bCs w:val="1"/>
          <w:u w:val="single"/>
        </w:rPr>
      </w:pPr>
      <w:r w:rsidDel="00000000" w:rsidR="00000000" w:rsidRPr="00000000">
        <w:rPr>
          <w:rtl w:val="0"/>
        </w:rPr>
      </w:r>
    </w:p>
    <w:p w:rsidR="00000000" w:rsidDel="00000000" w:rsidP="00000000" w:rsidRDefault="00000000" w:rsidRPr="00000000" w14:paraId="00000023">
      <w:pPr>
        <w:rPr>
          <w:b w:val="1"/>
          <w:bCs w:val="1"/>
          <w:u w:val="single"/>
        </w:rPr>
      </w:pPr>
      <w:r w:rsidDel="00000000" w:rsidR="00000000" w:rsidRPr="00000000">
        <w:rPr>
          <w:rtl w:val="0"/>
        </w:rPr>
      </w:r>
    </w:p>
    <w:p w:rsidR="00000000" w:rsidDel="00000000" w:rsidP="00000000" w:rsidRDefault="00000000" w:rsidRPr="00000000" w14:paraId="00000024">
      <w:pPr>
        <w:rPr>
          <w:b w:val="1"/>
          <w:bCs w:val="1"/>
          <w:u w:val="single"/>
        </w:rPr>
      </w:pPr>
      <w:r w:rsidDel="00000000" w:rsidR="00000000" w:rsidRPr="00000000">
        <w:rPr>
          <w:rtl w:val="0"/>
        </w:rPr>
      </w:r>
    </w:p>
    <w:p w:rsidR="00000000" w:rsidDel="00000000" w:rsidP="00000000" w:rsidRDefault="00000000" w:rsidRPr="00000000" w14:paraId="00000025">
      <w:pPr>
        <w:rPr>
          <w:b w:val="1"/>
          <w:bCs w:val="1"/>
          <w:u w:val="single"/>
        </w:rPr>
      </w:pPr>
      <w:r w:rsidDel="00000000" w:rsidR="00000000" w:rsidRPr="00000000">
        <w:rPr>
          <w:rtl w:val="0"/>
        </w:rPr>
      </w:r>
    </w:p>
    <w:p w:rsidR="00000000" w:rsidDel="00000000" w:rsidP="00000000" w:rsidRDefault="00000000" w:rsidRPr="00000000" w14:paraId="00000026">
      <w:pPr>
        <w:rPr>
          <w:b w:val="1"/>
          <w:bCs w:val="1"/>
          <w:u w:val="single"/>
        </w:rPr>
      </w:pPr>
      <w:r w:rsidDel="00000000" w:rsidR="00000000" w:rsidRPr="00000000">
        <w:rPr>
          <w:rtl w:val="0"/>
        </w:rPr>
      </w:r>
    </w:p>
    <w:p w:rsidR="00000000" w:rsidDel="00000000" w:rsidP="00000000" w:rsidRDefault="00000000" w:rsidRPr="00000000" w14:paraId="00000027">
      <w:pPr>
        <w:rPr>
          <w:b w:val="1"/>
          <w:bCs w:val="1"/>
          <w:u w:val="single"/>
        </w:rPr>
      </w:pPr>
      <w:r w:rsidDel="00000000" w:rsidR="00000000" w:rsidRPr="00000000">
        <w:rPr>
          <w:rtl w:val="0"/>
        </w:rPr>
      </w:r>
    </w:p>
    <w:p w:rsidR="00000000" w:rsidDel="00000000" w:rsidP="00000000" w:rsidRDefault="00000000" w:rsidRPr="00000000" w14:paraId="00000028">
      <w:pPr>
        <w:rPr>
          <w:b w:val="1"/>
          <w:bCs w:val="1"/>
          <w:u w:val="single"/>
        </w:rPr>
      </w:pPr>
      <w:r w:rsidDel="00000000" w:rsidR="00000000" w:rsidRPr="00000000">
        <w:rPr>
          <w:rtl w:val="0"/>
        </w:rPr>
      </w:r>
    </w:p>
    <w:p w:rsidR="00000000" w:rsidDel="00000000" w:rsidP="00000000" w:rsidRDefault="00000000" w:rsidRPr="00000000" w14:paraId="00000029">
      <w:pPr>
        <w:rPr>
          <w:b w:val="1"/>
          <w:bCs w:val="1"/>
          <w:u w:val="single"/>
        </w:rPr>
      </w:pPr>
      <w:r w:rsidDel="00000000" w:rsidR="00000000" w:rsidRPr="00000000">
        <w:rPr>
          <w:rtl w:val="0"/>
        </w:rPr>
      </w:r>
    </w:p>
    <w:p w:rsidR="00000000" w:rsidDel="00000000" w:rsidP="00000000" w:rsidRDefault="00000000" w:rsidRPr="00000000" w14:paraId="0000002A">
      <w:pPr>
        <w:rPr>
          <w:b w:val="1"/>
          <w:bCs w:val="1"/>
          <w:u w:val="single"/>
        </w:rPr>
      </w:pPr>
      <w:r w:rsidDel="00000000" w:rsidR="00000000" w:rsidRPr="00000000">
        <w:rPr>
          <w:rtl w:val="0"/>
        </w:rPr>
      </w:r>
    </w:p>
    <w:p w:rsidR="00000000" w:rsidDel="00000000" w:rsidP="00000000" w:rsidRDefault="00000000" w:rsidRPr="00000000" w14:paraId="0000002B">
      <w:pPr>
        <w:rPr>
          <w:b w:val="1"/>
          <w:bCs w:val="1"/>
          <w:u w:val="single"/>
        </w:rPr>
      </w:pPr>
      <w:r w:rsidDel="00000000" w:rsidR="00000000" w:rsidRPr="00000000">
        <w:rPr>
          <w:rtl w:val="0"/>
        </w:rPr>
      </w:r>
    </w:p>
    <w:p w:rsidR="00000000" w:rsidDel="00000000" w:rsidP="00000000" w:rsidRDefault="00000000" w:rsidRPr="00000000" w14:paraId="0000002C">
      <w:pPr>
        <w:rPr>
          <w:b w:val="1"/>
          <w:bCs w:val="1"/>
          <w:u w:val="single"/>
        </w:rPr>
      </w:pPr>
      <w:r w:rsidDel="00000000" w:rsidR="00000000" w:rsidRPr="00000000">
        <w:rPr>
          <w:rtl w:val="0"/>
        </w:rPr>
      </w:r>
    </w:p>
    <w:p w:rsidR="00000000" w:rsidDel="00000000" w:rsidP="00000000" w:rsidRDefault="00000000" w:rsidRPr="00000000" w14:paraId="0000002D">
      <w:pPr>
        <w:rPr>
          <w:b w:val="1"/>
          <w:bCs w:val="1"/>
          <w:u w:val="single"/>
        </w:rPr>
      </w:pPr>
      <w:r w:rsidDel="00000000" w:rsidR="00000000" w:rsidRPr="00000000">
        <w:rPr>
          <w:rtl w:val="0"/>
        </w:rPr>
      </w:r>
    </w:p>
    <w:p w:rsidR="00000000" w:rsidDel="00000000" w:rsidP="00000000" w:rsidRDefault="00000000" w:rsidRPr="00000000" w14:paraId="0000002E">
      <w:pPr>
        <w:pStyle w:val="Heading1"/>
        <w:rPr>
          <w:b w:val="1"/>
          <w:bCs w:val="1"/>
        </w:rPr>
      </w:pPr>
      <w:bookmarkStart w:colFirst="0" w:colLast="0" w:name="_heading=h.mfkj539evbi5" w:id="0"/>
      <w:bookmarkEnd w:id="0"/>
      <w:r w:rsidDel="00000000" w:rsidR="00000000" w:rsidRPr="00000000">
        <w:rPr>
          <w:rtl w:val="0"/>
        </w:rPr>
        <w:t xml:space="preserve">Eligibility </w:t>
      </w:r>
      <w:r w:rsidDel="00000000" w:rsidR="00000000" w:rsidRPr="00000000">
        <w:rPr>
          <w:rtl w:val="0"/>
        </w:rPr>
      </w:r>
    </w:p>
    <w:p w:rsidR="00000000" w:rsidDel="00000000" w:rsidP="00000000" w:rsidRDefault="00000000" w:rsidRPr="00000000" w14:paraId="0000002F">
      <w:pPr>
        <w:rPr>
          <w:b w:val="1"/>
          <w:bCs w:val="1"/>
          <w:u w:val="single"/>
        </w:rPr>
      </w:pPr>
      <w:r w:rsidDel="00000000" w:rsidR="00000000" w:rsidRPr="00000000">
        <w:rPr>
          <w:rtl w:val="0"/>
        </w:rPr>
      </w:r>
    </w:p>
    <w:p w:rsidR="00000000" w:rsidDel="00000000" w:rsidP="00000000" w:rsidRDefault="00000000" w:rsidRPr="00000000" w14:paraId="00000030">
      <w:pPr>
        <w:ind w:left="1440" w:firstLine="0"/>
        <w:rPr/>
      </w:pPr>
      <w:r w:rsidDel="00000000" w:rsidR="00000000" w:rsidRPr="00000000">
        <w:rPr>
          <w:rtl w:val="0"/>
        </w:rPr>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bCs w:val="1"/>
          <w:color w:val="000000"/>
          <w:rtl w:val="0"/>
        </w:rPr>
        <w:t xml:space="preserve">I operate in Scotland/Wales/Northern Ireland. Am I eligible for this grant?</w:t>
      </w:r>
      <w:r w:rsidDel="00000000" w:rsidR="00000000" w:rsidRPr="00000000">
        <w:rPr>
          <w:rtl w:val="0"/>
        </w:rPr>
        <w:br w:type="textWrapping"/>
      </w:r>
      <w:r w:rsidDel="00000000" w:rsidR="00000000" w:rsidRPr="00000000">
        <w:rPr>
          <w:color w:val="000000"/>
          <w:rtl w:val="0"/>
        </w:rPr>
        <w:t xml:space="preserve">Yes, fleet operators in England, Scotland, Wales and Northern Ireland are eligible to apply for the fund. Operators in the Crown Dependencies (Isle of Man, Guernsey, and Jersey) are not eligible.</w:t>
      </w:r>
    </w:p>
    <w:p w:rsidR="00000000" w:rsidDel="00000000" w:rsidP="00000000" w:rsidRDefault="00000000" w:rsidRPr="00000000" w14:paraId="00000032">
      <w:pPr>
        <w:ind w:left="720" w:firstLine="0"/>
        <w:rPr/>
      </w:pPr>
      <w:r w:rsidDel="00000000" w:rsidR="00000000" w:rsidRPr="00000000">
        <w:rPr>
          <w:rtl w:val="0"/>
        </w:rPr>
      </w:r>
    </w:p>
    <w:p w:rsidR="00000000" w:rsidDel="00000000" w:rsidP="00000000" w:rsidRDefault="00000000" w:rsidRPr="00000000" w14:paraId="00000033">
      <w:pPr>
        <w:numPr>
          <w:ilvl w:val="0"/>
          <w:numId w:val="2"/>
        </w:numPr>
        <w:ind w:left="720" w:hanging="360"/>
        <w:rPr/>
      </w:pPr>
      <w:r w:rsidDel="00000000" w:rsidR="00000000" w:rsidRPr="00000000">
        <w:rPr>
          <w:b w:val="1"/>
          <w:bCs w:val="1"/>
          <w:rtl w:val="0"/>
        </w:rPr>
        <w:t xml:space="preserve">What qualifies as a depot?</w:t>
      </w:r>
      <w:r w:rsidDel="00000000" w:rsidR="00000000" w:rsidRPr="00000000">
        <w:rPr>
          <w:rtl w:val="0"/>
        </w:rPr>
      </w:r>
    </w:p>
    <w:p w:rsidR="00000000" w:rsidDel="00000000" w:rsidP="00000000" w:rsidRDefault="00000000" w:rsidRPr="00000000" w14:paraId="00000034">
      <w:pPr>
        <w:ind w:left="714" w:firstLine="0"/>
        <w:rPr/>
      </w:pPr>
      <w:r w:rsidDel="00000000" w:rsidR="00000000" w:rsidRPr="00000000">
        <w:rPr>
          <w:rtl w:val="0"/>
        </w:rPr>
        <w:t xml:space="preserve"> For the purposes of this scheme, a depot is defined as a commercial site where HGVs, vans and/or coaches are housed and maintained, and from which they are dispatched for service. For the purposes of this grant, funding will only be given towards installation of EV chargers at depots.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2"/>
        </w:numPr>
        <w:ind w:left="720" w:hanging="360"/>
        <w:rPr/>
      </w:pPr>
      <w:r w:rsidDel="00000000" w:rsidR="00000000" w:rsidRPr="00000000">
        <w:rPr>
          <w:b w:val="1"/>
          <w:bCs w:val="1"/>
          <w:rtl w:val="0"/>
        </w:rPr>
        <w:t xml:space="preserve">I have multiple depots, can I apply for more than one site?</w:t>
      </w:r>
      <w:r w:rsidDel="00000000" w:rsidR="00000000" w:rsidRPr="00000000">
        <w:rPr>
          <w:rtl w:val="0"/>
        </w:rPr>
        <w:br w:type="textWrapping"/>
        <w:t xml:space="preserve">Yes, as long as the application meets the eligibility criteria in full, and you are able to provide the required documentation for each depot site.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ind w:left="720" w:hanging="360"/>
        <w:rPr>
          <w:b w:val="1"/>
          <w:bCs w:val="1"/>
          <w:color w:val="000000"/>
        </w:rPr>
      </w:pPr>
      <w:r w:rsidDel="00000000" w:rsidR="00000000" w:rsidRPr="00000000">
        <w:rPr>
          <w:b w:val="1"/>
          <w:bCs w:val="1"/>
          <w:color w:val="000000"/>
          <w:rtl w:val="0"/>
        </w:rPr>
        <w:t xml:space="preserve">Can a rental or vehicle leasing company apply for funding?</w:t>
        <w:br w:type="textWrapping"/>
      </w:r>
      <w:r w:rsidDel="00000000" w:rsidR="00000000" w:rsidRPr="00000000">
        <w:rPr>
          <w:color w:val="000000"/>
          <w:rtl w:val="0"/>
        </w:rPr>
        <w:t xml:space="preserve">Yes, a rental or leasing company that meets all application criteria would be eligible for funding.</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ind w:left="720" w:hanging="360"/>
        <w:rPr>
          <w:b w:val="1"/>
          <w:bCs w:val="1"/>
          <w:color w:val="000000"/>
        </w:rPr>
      </w:pPr>
      <w:r w:rsidDel="00000000" w:rsidR="00000000" w:rsidRPr="00000000">
        <w:rPr>
          <w:b w:val="1"/>
          <w:bCs w:val="1"/>
          <w:color w:val="000000"/>
          <w:rtl w:val="0"/>
        </w:rPr>
        <w:t xml:space="preserve">Can a vehicle dealership apply for funding? </w:t>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No, applications for charging infrastructure at vehicle dealerships </w:t>
      </w:r>
      <w:r w:rsidDel="00000000" w:rsidR="00000000" w:rsidRPr="00000000">
        <w:rPr>
          <w:rtl w:val="0"/>
        </w:rPr>
        <w:t xml:space="preserve">are</w:t>
      </w:r>
      <w:r w:rsidDel="00000000" w:rsidR="00000000" w:rsidRPr="00000000">
        <w:rPr>
          <w:color w:val="000000"/>
          <w:rtl w:val="0"/>
        </w:rPr>
        <w:t xml:space="preserve"> not eligible for funding. The scheme will not fund any activity that does not directly support commercial fleet operations such as vehicle stock and demonstration, servicing or repair. However, charging infrastructure for fleet operations such as parts distribution is eligible for funding. Please make sure your bid for funding is reflective of your eligible fleet size.</w:t>
      </w:r>
    </w:p>
    <w:p w:rsidR="00000000" w:rsidDel="00000000" w:rsidP="00000000" w:rsidRDefault="00000000" w:rsidRPr="00000000" w14:paraId="0000003C">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b w:val="1"/>
          <w:bCs w:val="1"/>
          <w:color w:val="000000"/>
          <w:rtl w:val="0"/>
        </w:rPr>
        <w:t xml:space="preserve">Does this scheme cover emergency response vehicles, e.g. are NHS Trusts eligible for this funding?</w:t>
        <w:br w:type="textWrapping"/>
      </w:r>
      <w:r w:rsidDel="00000000" w:rsidR="00000000" w:rsidRPr="00000000">
        <w:rPr>
          <w:color w:val="000000"/>
          <w:rtl w:val="0"/>
        </w:rPr>
        <w:t xml:space="preserve">Emergency services are in scope of funding provided they meet all of the application criteria. This includes all NHS trusts. Please ensure you declare any previous fleet and infrastructure funding when prompted in your application.</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3F">
      <w:pPr>
        <w:numPr>
          <w:ilvl w:val="0"/>
          <w:numId w:val="2"/>
        </w:numPr>
        <w:ind w:left="720" w:hanging="360"/>
        <w:rPr>
          <w:b w:val="1"/>
          <w:bCs w:val="1"/>
        </w:rPr>
      </w:pPr>
      <w:r w:rsidDel="00000000" w:rsidR="00000000" w:rsidRPr="00000000">
        <w:rPr>
          <w:b w:val="1"/>
          <w:bCs w:val="1"/>
          <w:rtl w:val="0"/>
        </w:rPr>
        <w:t xml:space="preserve">Is energy generation in scope of the funded activities?</w:t>
        <w:br w:type="textWrapping"/>
      </w:r>
      <w:r w:rsidDel="00000000" w:rsidR="00000000" w:rsidRPr="00000000">
        <w:rPr>
          <w:rtl w:val="0"/>
        </w:rPr>
        <w:t xml:space="preserve">Solar photovoltaics installed solely for the purpose of supporting chargepoints are in scope of eligible expenditure, however other forms of generation are not in scope. Applicants are welcome to proceed with installing energy generation infrastructure alongside charging infrastructure, but only eligible expenditure will be subject to funding.</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b w:val="1"/>
          <w:bCs w:val="1"/>
          <w:color w:val="000000"/>
          <w:rtl w:val="0"/>
        </w:rPr>
        <w:t xml:space="preserve">Does this scheme extend to Central Government Departments, and Arm’s length bodies (ALBs)?</w:t>
        <w:br w:type="textWrapping"/>
      </w:r>
      <w:r w:rsidDel="00000000" w:rsidR="00000000" w:rsidRPr="00000000">
        <w:rPr>
          <w:color w:val="000000"/>
          <w:rtl w:val="0"/>
        </w:rPr>
        <w:t xml:space="preserve">Central Government Departments, and Arm’s length bodies are in scope of funding provided they meet all of the application criteria.</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Do I need to meet all eligibility requirements, can an exemption be made?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br w:type="textWrapping"/>
        <w:t xml:space="preserve">No, exemptions will not be made. However, all grants are kept under review to ensure best value for money and that they remain fit for purpose. </w:t>
      </w:r>
      <w:r w:rsidDel="00000000" w:rsidR="00000000" w:rsidRPr="00000000">
        <w:rPr>
          <w:rtl w:val="0"/>
        </w:rPr>
      </w:r>
    </w:p>
    <w:p w:rsidR="00000000" w:rsidDel="00000000" w:rsidP="00000000" w:rsidRDefault="00000000" w:rsidRPr="00000000" w14:paraId="00000043">
      <w:pPr>
        <w:pStyle w:val="Heading1"/>
        <w:rPr/>
      </w:pPr>
      <w:bookmarkStart w:colFirst="0" w:colLast="0" w:name="_heading=h.9ekzl5zdkzld" w:id="1"/>
      <w:bookmarkEnd w:id="1"/>
      <w:r w:rsidDel="00000000" w:rsidR="00000000" w:rsidRPr="00000000">
        <w:rPr>
          <w:rtl w:val="0"/>
        </w:rPr>
        <w:t xml:space="preserve">Vehicles </w:t>
      </w:r>
    </w:p>
    <w:p w:rsidR="00000000" w:rsidDel="00000000" w:rsidP="00000000" w:rsidRDefault="00000000" w:rsidRPr="00000000" w14:paraId="00000044">
      <w:pPr>
        <w:numPr>
          <w:ilvl w:val="0"/>
          <w:numId w:val="2"/>
        </w:numPr>
        <w:ind w:left="720" w:hanging="360"/>
        <w:rPr/>
      </w:pPr>
      <w:r w:rsidDel="00000000" w:rsidR="00000000" w:rsidRPr="00000000">
        <w:rPr>
          <w:b w:val="1"/>
          <w:bCs w:val="1"/>
          <w:rtl w:val="0"/>
        </w:rPr>
        <w:t xml:space="preserve">Are hybrid vehicles eligible for this grant?</w:t>
      </w:r>
      <w:r w:rsidDel="00000000" w:rsidR="00000000" w:rsidRPr="00000000">
        <w:rPr>
          <w:rtl w:val="0"/>
        </w:rPr>
        <w:br w:type="textWrapping"/>
        <w:t xml:space="preserve">Hybrid vehicles are not fully zero emission and would therefore not be considered as eligible vehicles in this scheme.</w:t>
      </w:r>
    </w:p>
    <w:p w:rsidR="00000000" w:rsidDel="00000000" w:rsidP="00000000" w:rsidRDefault="00000000" w:rsidRPr="00000000" w14:paraId="00000045">
      <w:pPr>
        <w:ind w:left="720" w:firstLine="0"/>
        <w:rPr>
          <w:b w:val="1"/>
          <w:bCs w:val="1"/>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Are hydrogen combustion or hydrogen fuel cell vehicles eligible for this grant?</w:t>
      </w:r>
    </w:p>
    <w:p w:rsidR="00000000" w:rsidDel="00000000" w:rsidP="00000000" w:rsidRDefault="00000000" w:rsidRPr="00000000" w14:paraId="00000047">
      <w:pPr>
        <w:ind w:left="720" w:firstLine="0"/>
        <w:rPr/>
      </w:pPr>
      <w:r w:rsidDel="00000000" w:rsidR="00000000" w:rsidRPr="00000000">
        <w:rPr>
          <w:rtl w:val="0"/>
        </w:rPr>
        <w:t xml:space="preserve">No, charging/refuelling infrastructure for hydrogen combustion or fuel cell vehicles is not eligible for funding.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Is there support available to purchase the electric vehicles required?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br w:type="textWrapping"/>
        <w:t xml:space="preserve">Yes, the Zero Emission Truck and Van Grants are providing funding for zero emission trucks and vans. Please find the latest information on the grants </w:t>
      </w:r>
      <w:hyperlink r:id="rId7">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here</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There is currently no funding available for zero emission coaches.  </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numPr>
          <w:ilvl w:val="0"/>
          <w:numId w:val="2"/>
        </w:numPr>
        <w:ind w:left="720" w:hanging="360"/>
        <w:rPr/>
      </w:pPr>
      <w:r w:rsidDel="00000000" w:rsidR="00000000" w:rsidRPr="00000000">
        <w:rPr>
          <w:b w:val="1"/>
          <w:bCs w:val="1"/>
          <w:rtl w:val="0"/>
        </w:rPr>
        <w:t xml:space="preserve">Is there a list of eligible vehicles or EV chargers for this grant?</w:t>
      </w:r>
      <w:r w:rsidDel="00000000" w:rsidR="00000000" w:rsidRPr="00000000">
        <w:rPr>
          <w:rtl w:val="0"/>
        </w:rPr>
        <w:br w:type="textWrapping"/>
        <w:t xml:space="preserve">There is no exhaustive list of eligible vehicles or EV chargers for this grant. Applicants are welcome to source any van, HGV or coach provided it is fully battery-electric. For EV chargers, applicants must demonstrate how the power of the chargers will match fleet and duty cycle requirements to ensure value for money.</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numPr>
          <w:ilvl w:val="0"/>
          <w:numId w:val="2"/>
        </w:numPr>
        <w:ind w:left="720" w:hanging="360"/>
        <w:rPr/>
      </w:pPr>
      <w:r w:rsidDel="00000000" w:rsidR="00000000" w:rsidRPr="00000000">
        <w:rPr>
          <w:b w:val="1"/>
          <w:bCs w:val="1"/>
          <w:rtl w:val="0"/>
        </w:rPr>
        <w:t xml:space="preserve">I am a bus operator. Am I eligible under the coach segment of the grant?</w:t>
      </w:r>
      <w:r w:rsidDel="00000000" w:rsidR="00000000" w:rsidRPr="00000000">
        <w:rPr>
          <w:rtl w:val="0"/>
        </w:rPr>
        <w:br w:type="textWrapping"/>
        <w:t xml:space="preserve">No, buses are not eligible for this grant as it is targeted for commercial vehicles in early stages of electrification. Coaches are broadly defined as public transport vehicles used for regional and international travel where there is no space for standing in the gangway. If you are not sure if this applies to your vehicle, the exact definition for the purposes of this grant is Class III vehicles, belonging to vehicle categories M2 and M3, as defined in Article 4 of Regulation (EU) 2018/858.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bCs w:val="1"/>
          <w:u w:val="single"/>
        </w:rPr>
      </w:pPr>
      <w:bookmarkStart w:colFirst="0" w:colLast="0" w:name="_heading=h.mu6s38r3dun1" w:id="2"/>
      <w:bookmarkEnd w:id="2"/>
      <w:r w:rsidDel="00000000" w:rsidR="00000000" w:rsidRPr="00000000">
        <w:rPr>
          <w:rFonts w:ascii="Play" w:cs="Play" w:eastAsia="Play" w:hAnsi="Play"/>
          <w:color w:val="0f4761"/>
          <w:sz w:val="40"/>
          <w:szCs w:val="40"/>
          <w:rtl w:val="0"/>
        </w:rPr>
        <w:t xml:space="preserve">Infrastructure and connections </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spacing w:after="240" w:lineRule="auto"/>
        <w:ind w:left="720" w:hanging="360"/>
        <w:rPr/>
      </w:pPr>
      <w:r w:rsidDel="00000000" w:rsidR="00000000" w:rsidRPr="00000000">
        <w:rPr>
          <w:b w:val="1"/>
          <w:bCs w:val="1"/>
          <w:color w:val="000000"/>
          <w:rtl w:val="0"/>
        </w:rPr>
        <w:t xml:space="preserve">What support is there for depots that require Battery Energy Storage Systems (BESS)/ Solar Support in their charging infrastructure?</w:t>
        <w:br w:type="textWrapping"/>
      </w:r>
      <w:r w:rsidDel="00000000" w:rsidR="00000000" w:rsidRPr="00000000">
        <w:rPr>
          <w:color w:val="000000"/>
          <w:rtl w:val="0"/>
        </w:rPr>
        <w:t xml:space="preserve">These solutions are considered eligible for the purpose of this scheme. However, your application must outline how these installations are integrated with your proposed EV charging infrastructure. We will require applicants to demonstrate physical and operational integration of BESS/solar support with your infrastructure and provide a signed declaration of the intended primary use of the BESS / Solar support in your application. Applicants who pursue this option would be required to provide additional reporting data on the infrastructure use, as per the Grant Funding Agreement.</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Can I use this grant to pay for grid capacity and connection costs?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br w:type="textWrapping"/>
        <w:t xml:space="preserve">No, these costs are not eligible for funding. Applicants are required to provide evidence that they have sufficient electricity capacity in the following ways: a copy of the grid/distribution connection agreement; a letter or email from their Distribution Network Operator (DNO) confirming capacity is available; or provide a quote from their Distribution Network Operator with a connection offer and evidence of acceptance within 2026/27 financial year.</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b w:val="1"/>
          <w:bCs w:val="1"/>
          <w:color w:val="000000"/>
          <w:rtl w:val="0"/>
        </w:rPr>
        <w:t xml:space="preserve">Is there funding elsewhere to support the cost of grid connections or capacity upgrades?</w:t>
        <w:br w:type="textWrapping"/>
      </w:r>
      <w:r w:rsidDel="00000000" w:rsidR="00000000" w:rsidRPr="00000000">
        <w:rPr>
          <w:color w:val="000000"/>
          <w:rtl w:val="0"/>
        </w:rPr>
        <w:t xml:space="preserve">The Government, Ofgem and the National Energy System Operator are taking a range of short and long-term actions to ensure electricity meets future demand, as identified in the Clean Power 2030 Action Plan. </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This includes a programme of connections reform measures aimed at reducing delays, such as moving to an approach based on readiness and strategic alignment. New planning processes are also being put in place to identify future electricity generation and demand requirements for the long term (at least 2050). </w:t>
      </w:r>
    </w:p>
    <w:p w:rsidR="00000000" w:rsidDel="00000000" w:rsidP="00000000" w:rsidRDefault="00000000" w:rsidRPr="00000000" w14:paraId="00000056">
      <w:pPr>
        <w:rPr>
          <w:color w:val="ff0000"/>
        </w:rPr>
      </w:pPr>
      <w:r w:rsidDel="00000000" w:rsidR="00000000" w:rsidRPr="00000000">
        <w:rPr>
          <w:rtl w:val="0"/>
        </w:rPr>
      </w:r>
    </w:p>
    <w:p w:rsidR="00000000" w:rsidDel="00000000" w:rsidP="00000000" w:rsidRDefault="00000000" w:rsidRPr="00000000" w14:paraId="00000057">
      <w:pPr>
        <w:ind w:left="720" w:firstLine="0"/>
        <w:rPr>
          <w:b w:val="1"/>
          <w:bCs w:val="1"/>
        </w:rPr>
      </w:pPr>
      <w:r w:rsidDel="00000000" w:rsidR="00000000" w:rsidRPr="00000000">
        <w:rPr>
          <w:rtl w:val="0"/>
        </w:rPr>
        <w:t xml:space="preserve">Where you are currently grid constrained and cannot proceed with an upgrade within this grant’s timings, we would advise considering installing battery-integrated chargers which may help alleviate some of the constraints currently experienced.</w:t>
        <w:br w:type="textWrapping"/>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Can the charging infrastructure funded through this grant be used for vehicles such as staff cars?</w:t>
        <w:br w:type="textWrapp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primary users of the infrastructure must be HGVs, vans and coaches. Occasional charging of staff vehicles is an acceptable secondary use. Please review the Grant Funding Agreement to ensure you will be able to provide the primary and secondary usage data of the EV chargers.</w:t>
      </w:r>
      <w:r w:rsidDel="00000000" w:rsidR="00000000" w:rsidRPr="00000000">
        <w:rPr>
          <w:rtl w:val="0"/>
        </w:rPr>
      </w:r>
    </w:p>
    <w:p w:rsidR="00000000" w:rsidDel="00000000" w:rsidP="00000000" w:rsidRDefault="00000000" w:rsidRPr="00000000" w14:paraId="00000059">
      <w:pPr>
        <w:ind w:left="360" w:firstLine="0"/>
        <w:rPr>
          <w:b w:val="1"/>
          <w:bCs w:val="1"/>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Will there be an approved list of installation contractors and equipment types like other OZEV schemes?</w:t>
        <w:br w:type="textWrapp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we recognize that there are different approaches to site design and installation depending on sizes of fleets and their use cases. Therefore, applicants should choose the contractors that work best for their needs. </w:t>
      </w:r>
      <w:r w:rsidDel="00000000" w:rsidR="00000000" w:rsidRPr="00000000">
        <w:rPr>
          <w:rtl w:val="0"/>
        </w:rPr>
      </w:r>
    </w:p>
    <w:p w:rsidR="00000000" w:rsidDel="00000000" w:rsidP="00000000" w:rsidRDefault="00000000" w:rsidRPr="00000000" w14:paraId="0000005B">
      <w:pPr>
        <w:ind w:left="720" w:firstLine="0"/>
        <w:rPr>
          <w:b w:val="1"/>
          <w:bCs w:val="1"/>
        </w:rPr>
      </w:pPr>
      <w:r w:rsidDel="00000000" w:rsidR="00000000" w:rsidRPr="00000000">
        <w:rPr>
          <w:rtl w:val="0"/>
        </w:rPr>
      </w:r>
    </w:p>
    <w:p w:rsidR="00000000" w:rsidDel="00000000" w:rsidP="00000000" w:rsidRDefault="00000000" w:rsidRPr="00000000" w14:paraId="0000005C">
      <w:pPr>
        <w:ind w:left="720" w:firstLine="0"/>
        <w:rPr/>
      </w:pPr>
      <w:r w:rsidDel="00000000" w:rsidR="00000000" w:rsidRPr="00000000">
        <w:rPr>
          <w:rtl w:val="0"/>
        </w:rPr>
        <w:t xml:space="preserve">Applicants will be asked to set out EV charger manufacturers and contractors as part of the application process. We ask that applicants provide evidence of value for money as well that due diligence was conducted on contractors’ by providing relevant accreditations, for example. </w:t>
      </w:r>
    </w:p>
    <w:p w:rsidR="00000000" w:rsidDel="00000000" w:rsidP="00000000" w:rsidRDefault="00000000" w:rsidRPr="00000000" w14:paraId="0000005D">
      <w:pPr>
        <w:ind w:left="720" w:firstLine="0"/>
        <w:rPr/>
      </w:pPr>
      <w:r w:rsidDel="00000000" w:rsidR="00000000" w:rsidRPr="00000000">
        <w:rPr>
          <w:rtl w:val="0"/>
        </w:rPr>
      </w:r>
    </w:p>
    <w:p w:rsidR="00000000" w:rsidDel="00000000" w:rsidP="00000000" w:rsidRDefault="00000000" w:rsidRPr="00000000" w14:paraId="0000005E">
      <w:pPr>
        <w:numPr>
          <w:ilvl w:val="0"/>
          <w:numId w:val="2"/>
        </w:numPr>
        <w:ind w:left="720" w:hanging="360"/>
        <w:rPr>
          <w:b w:val="1"/>
          <w:bCs w:val="1"/>
        </w:rPr>
      </w:pPr>
      <w:r w:rsidDel="00000000" w:rsidR="00000000" w:rsidRPr="00000000">
        <w:rPr>
          <w:b w:val="1"/>
          <w:bCs w:val="1"/>
          <w:rtl w:val="0"/>
        </w:rPr>
        <w:t xml:space="preserve">Can we futureproof our infrastructure in any capacity or must the application be relevant to current needs?</w:t>
        <w:br w:type="textWrapping"/>
      </w:r>
      <w:r w:rsidDel="00000000" w:rsidR="00000000" w:rsidRPr="00000000">
        <w:rPr>
          <w:rtl w:val="0"/>
        </w:rPr>
        <w:t xml:space="preserve">We support a future proofing that is appropriate for the site and operating model. </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numPr>
          <w:ilvl w:val="0"/>
          <w:numId w:val="2"/>
        </w:numPr>
        <w:ind w:left="720" w:hanging="360"/>
        <w:rPr>
          <w:b w:val="1"/>
          <w:bCs w:val="1"/>
        </w:rPr>
      </w:pPr>
      <w:r w:rsidDel="00000000" w:rsidR="00000000" w:rsidRPr="00000000">
        <w:rPr>
          <w:b w:val="1"/>
          <w:bCs w:val="1"/>
          <w:rtl w:val="0"/>
        </w:rPr>
        <w:t xml:space="preserve">Can EV chargers and infrastructure be installed for shared use cases and across vehicle types i.e. Vans, HGVs etc?</w:t>
        <w:br w:type="textWrapping"/>
      </w:r>
      <w:r w:rsidDel="00000000" w:rsidR="00000000" w:rsidRPr="00000000">
        <w:rPr>
          <w:rtl w:val="0"/>
        </w:rPr>
        <w:t xml:space="preserve">Yes, chargers can be shared across vehicle types, as long as HGVs, vans and/or coaches are the main users. Applicants intending to share chargers between vehicle types should consider EV charger power and the size of the parking/charging bay to accommodate the largest of vehicles.</w:t>
        <w:br w:type="textWrapping"/>
      </w:r>
      <w:r w:rsidDel="00000000" w:rsidR="00000000" w:rsidRPr="00000000">
        <w:rPr>
          <w:rtl w:val="0"/>
        </w:rPr>
      </w:r>
    </w:p>
    <w:p w:rsidR="00000000" w:rsidDel="00000000" w:rsidP="00000000" w:rsidRDefault="00000000" w:rsidRPr="00000000" w14:paraId="00000061">
      <w:pPr>
        <w:numPr>
          <w:ilvl w:val="0"/>
          <w:numId w:val="2"/>
        </w:numPr>
        <w:ind w:left="720" w:hanging="360"/>
        <w:rPr>
          <w:b w:val="1"/>
          <w:bCs w:val="1"/>
        </w:rPr>
      </w:pPr>
      <w:r w:rsidDel="00000000" w:rsidR="00000000" w:rsidRPr="00000000">
        <w:rPr>
          <w:b w:val="1"/>
          <w:bCs w:val="1"/>
          <w:rtl w:val="0"/>
        </w:rPr>
        <w:t xml:space="preserve">Does the charging infrastructure have to be at the location where the BEV is based or can it be at a strategic location which allows charging on-route to another location to extend range?</w:t>
        <w:br w:type="textWrapping"/>
      </w:r>
      <w:r w:rsidDel="00000000" w:rsidR="00000000" w:rsidRPr="00000000">
        <w:rPr>
          <w:rtl w:val="0"/>
        </w:rPr>
        <w:t xml:space="preserve">The charging infrastructure should be installed at a depot. As fleets circulate from site to site, we are open to bids for infrastructure at depots where BEVs are not yet operational, as long as the EV chargers future usage is evidenced (e.g. through driving routes). However, public charging sites designed to provide on-route charging are not in scope.</w:t>
      </w:r>
      <w:r w:rsidDel="00000000" w:rsidR="00000000" w:rsidRPr="00000000">
        <w:rPr>
          <w:rtl w:val="0"/>
        </w:rPr>
      </w:r>
    </w:p>
    <w:p w:rsidR="00000000" w:rsidDel="00000000" w:rsidP="00000000" w:rsidRDefault="00000000" w:rsidRPr="00000000" w14:paraId="00000062">
      <w:pPr>
        <w:pStyle w:val="Heading1"/>
        <w:rPr>
          <w:b w:val="1"/>
          <w:bCs w:val="1"/>
          <w:u w:val="single"/>
        </w:rPr>
      </w:pPr>
      <w:bookmarkStart w:colFirst="0" w:colLast="0" w:name="_heading=h.qjbdq43jwjei" w:id="3"/>
      <w:bookmarkEnd w:id="3"/>
      <w:r w:rsidDel="00000000" w:rsidR="00000000" w:rsidRPr="00000000">
        <w:rPr>
          <w:rtl w:val="0"/>
        </w:rPr>
        <w:t xml:space="preserve">Grant administration</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numPr>
          <w:ilvl w:val="0"/>
          <w:numId w:val="2"/>
        </w:numPr>
        <w:ind w:left="720" w:hanging="360"/>
        <w:rPr>
          <w:b w:val="1"/>
          <w:bCs w:val="1"/>
        </w:rPr>
      </w:pPr>
      <w:r w:rsidDel="00000000" w:rsidR="00000000" w:rsidRPr="00000000">
        <w:rPr>
          <w:b w:val="1"/>
          <w:bCs w:val="1"/>
          <w:rtl w:val="0"/>
        </w:rPr>
        <w:t xml:space="preserve">How much funding is available through this grant?</w:t>
        <w:br w:type="textWrapping"/>
      </w:r>
      <w:r w:rsidDel="00000000" w:rsidR="00000000" w:rsidRPr="00000000">
        <w:rPr>
          <w:rtl w:val="0"/>
        </w:rPr>
        <w:t xml:space="preserve">The Department will fund up to 70% of a project’s eligible costs. If the total cost of funded activities exceeds £1.3m, the Department will fund the maximum amount of £1m, regardless of percentage. If the total costs of funded activities is below £1.3m, the Department will fund 70% of costs.</w:t>
      </w:r>
      <w:r w:rsidDel="00000000" w:rsidR="00000000" w:rsidRPr="00000000">
        <w:rPr>
          <w:rtl w:val="0"/>
        </w:rPr>
      </w:r>
    </w:p>
    <w:p w:rsidR="00000000" w:rsidDel="00000000" w:rsidP="00000000" w:rsidRDefault="00000000" w:rsidRPr="00000000" w14:paraId="00000065">
      <w:pPr>
        <w:rPr>
          <w:b w:val="1"/>
          <w:bCs w:val="1"/>
        </w:rPr>
      </w:pPr>
      <w:r w:rsidDel="00000000" w:rsidR="00000000" w:rsidRPr="00000000">
        <w:rPr>
          <w:rtl w:val="0"/>
        </w:rPr>
      </w:r>
    </w:p>
    <w:p w:rsidR="00000000" w:rsidDel="00000000" w:rsidP="00000000" w:rsidRDefault="00000000" w:rsidRPr="00000000" w14:paraId="00000066">
      <w:pPr>
        <w:numPr>
          <w:ilvl w:val="0"/>
          <w:numId w:val="2"/>
        </w:numPr>
        <w:ind w:left="720" w:hanging="360"/>
        <w:rPr/>
      </w:pPr>
      <w:r w:rsidDel="00000000" w:rsidR="00000000" w:rsidRPr="00000000">
        <w:rPr>
          <w:b w:val="1"/>
          <w:bCs w:val="1"/>
          <w:rtl w:val="0"/>
        </w:rPr>
        <w:t xml:space="preserve">Will this grant be awarded on a first come first serve basis?</w:t>
        <w:br w:type="textWrapping"/>
      </w:r>
      <w:r w:rsidDel="00000000" w:rsidR="00000000" w:rsidRPr="00000000">
        <w:rPr>
          <w:rtl w:val="0"/>
        </w:rPr>
        <w:t xml:space="preserve">Applications will be assessed on a first come first serve basis, following a criteria-based approach. If we receive a high number of applications exceeding the total amount of funding available for this grant, we will have to move to a competition-based approach.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numPr>
          <w:ilvl w:val="0"/>
          <w:numId w:val="2"/>
        </w:numPr>
        <w:ind w:left="720" w:hanging="360"/>
        <w:rPr/>
      </w:pPr>
      <w:r w:rsidDel="00000000" w:rsidR="00000000" w:rsidRPr="00000000">
        <w:rPr>
          <w:b w:val="1"/>
          <w:bCs w:val="1"/>
          <w:rtl w:val="0"/>
        </w:rPr>
        <w:t xml:space="preserve">When is the latest that I can submit an application?</w:t>
      </w:r>
      <w:r w:rsidDel="00000000" w:rsidR="00000000" w:rsidRPr="00000000">
        <w:rPr>
          <w:rtl w:val="0"/>
        </w:rPr>
        <w:br w:type="textWrapping"/>
        <w:t xml:space="preserve">The grant will close either when funding has been exhausted or by 30 June 2026 (whichever is sooner). Applications are reviewed on a criteria-based approach and funding is allocated on a first come first serve basis. We would encourage prompt submission of your application to allow adequate time for project delivery.</w:t>
      </w:r>
    </w:p>
    <w:p w:rsidR="00000000" w:rsidDel="00000000" w:rsidP="00000000" w:rsidRDefault="00000000" w:rsidRPr="00000000" w14:paraId="00000069">
      <w:pPr>
        <w:ind w:left="720" w:firstLine="0"/>
        <w:rPr/>
      </w:pPr>
      <w:r w:rsidDel="00000000" w:rsidR="00000000" w:rsidRPr="00000000">
        <w:rPr>
          <w:rtl w:val="0"/>
        </w:rPr>
      </w:r>
    </w:p>
    <w:p w:rsidR="00000000" w:rsidDel="00000000" w:rsidP="00000000" w:rsidRDefault="00000000" w:rsidRPr="00000000" w14:paraId="0000006A">
      <w:pPr>
        <w:numPr>
          <w:ilvl w:val="0"/>
          <w:numId w:val="2"/>
        </w:numPr>
        <w:ind w:left="720" w:hanging="360"/>
        <w:rPr>
          <w:b w:val="1"/>
          <w:bCs w:val="1"/>
        </w:rPr>
      </w:pPr>
      <w:r w:rsidDel="00000000" w:rsidR="00000000" w:rsidRPr="00000000">
        <w:rPr>
          <w:b w:val="1"/>
          <w:bCs w:val="1"/>
          <w:rtl w:val="0"/>
        </w:rPr>
        <w:t xml:space="preserve">When is the latest that I can provide an invoice for payment?</w:t>
        <w:br w:type="textWrapping"/>
      </w:r>
      <w:r w:rsidDel="00000000" w:rsidR="00000000" w:rsidRPr="00000000">
        <w:rPr>
          <w:rtl w:val="0"/>
        </w:rPr>
        <w:t xml:space="preserve">All projects must be completed by 31 of March 2027, with all associated claim evidence to be submitted no later than 31 March 2027.</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numPr>
          <w:ilvl w:val="0"/>
          <w:numId w:val="2"/>
        </w:numPr>
        <w:ind w:left="720" w:hanging="360"/>
        <w:rPr/>
      </w:pPr>
      <w:r w:rsidDel="00000000" w:rsidR="00000000" w:rsidRPr="00000000">
        <w:rPr>
          <w:b w:val="1"/>
          <w:bCs w:val="1"/>
          <w:rtl w:val="0"/>
        </w:rPr>
        <w:t xml:space="preserve">I have previously received funding under the [DCS pilot, ZEHID, Workplace Charging Scheme / EV Infrastructure Grant for Staff and Fleets / Local Authorities EV Infrastructure Fund / ScotZEB fund / ZEV and EVCI fund]. Can I apply for this grant scheme?</w:t>
      </w:r>
      <w:r w:rsidDel="00000000" w:rsidR="00000000" w:rsidRPr="00000000">
        <w:rPr>
          <w:rtl w:val="0"/>
        </w:rPr>
        <w:br w:type="textWrapping"/>
        <w:t xml:space="preserve">Having received previous funding from other grant schemes does not make you ineligible for the Depot Charging Scheme. As part of the application process, you will be required to declare any past funding and provide the postcode and serial numbers of any previously funded EV chargers and infrastructure. Provided there is no duplication of funding, we will be able to consider your application to this scheme. </w:t>
      </w:r>
    </w:p>
    <w:p w:rsidR="00000000" w:rsidDel="00000000" w:rsidP="00000000" w:rsidRDefault="00000000" w:rsidRPr="00000000" w14:paraId="0000006D">
      <w:pPr>
        <w:ind w:left="720" w:firstLine="0"/>
        <w:rPr>
          <w:b w:val="1"/>
          <w:bCs w:val="1"/>
        </w:rPr>
      </w:pPr>
      <w:r w:rsidDel="00000000" w:rsidR="00000000" w:rsidRPr="00000000">
        <w:rPr>
          <w:rtl w:val="0"/>
        </w:rPr>
      </w:r>
    </w:p>
    <w:p w:rsidR="00000000" w:rsidDel="00000000" w:rsidP="00000000" w:rsidRDefault="00000000" w:rsidRPr="00000000" w14:paraId="0000006E">
      <w:pPr>
        <w:ind w:left="720" w:firstLine="0"/>
        <w:rPr/>
      </w:pPr>
      <w:r w:rsidDel="00000000" w:rsidR="00000000" w:rsidRPr="00000000">
        <w:rPr>
          <w:rtl w:val="0"/>
        </w:rPr>
        <w:t xml:space="preserve">If you are awarded funding through the depot charging scheme, you will not be allowed to apply for or use any of the above grants to install infrastructure at the same site(s) for two years after completion of the funded project. </w:t>
      </w:r>
    </w:p>
    <w:p w:rsidR="00000000" w:rsidDel="00000000" w:rsidP="00000000" w:rsidRDefault="00000000" w:rsidRPr="00000000" w14:paraId="0000006F">
      <w:pPr>
        <w:ind w:left="720" w:firstLine="0"/>
        <w:rPr/>
      </w:pPr>
      <w:r w:rsidDel="00000000" w:rsidR="00000000" w:rsidRPr="00000000">
        <w:rPr>
          <w:rtl w:val="0"/>
        </w:rPr>
      </w:r>
    </w:p>
    <w:p w:rsidR="00000000" w:rsidDel="00000000" w:rsidP="00000000" w:rsidRDefault="00000000" w:rsidRPr="00000000" w14:paraId="00000070">
      <w:pPr>
        <w:numPr>
          <w:ilvl w:val="0"/>
          <w:numId w:val="2"/>
        </w:numPr>
        <w:spacing w:after="240" w:lineRule="auto"/>
        <w:ind w:left="720" w:hanging="360"/>
        <w:rPr>
          <w:b w:val="1"/>
          <w:bCs w:val="1"/>
        </w:rPr>
      </w:pPr>
      <w:r w:rsidDel="00000000" w:rsidR="00000000" w:rsidRPr="00000000">
        <w:rPr>
          <w:b w:val="1"/>
          <w:bCs w:val="1"/>
          <w:rtl w:val="0"/>
        </w:rPr>
        <w:t xml:space="preserve">Is the funding limited to just one site or can this be used over multiple sites?</w:t>
        <w:br w:type="textWrapping"/>
      </w:r>
      <w:r w:rsidDel="00000000" w:rsidR="00000000" w:rsidRPr="00000000">
        <w:rPr>
          <w:rtl w:val="0"/>
        </w:rPr>
        <w:t xml:space="preserve">There are no limits to how many sites can be funded as long as they are eligible and meet the criteria. The only limit is the funding available as organisations are capped at a maximum of £1m. You could in theory bid for 10 EV chargers to be installed at 10 different sites, provided these fit within the funding limits. </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1"/>
          <w:bCs w:val="1"/>
          <w:i w:val="0"/>
          <w:iCs w:val="0"/>
          <w:smallCaps w:val="0"/>
          <w:strike w:val="0"/>
          <w:color w:val="242424"/>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42424"/>
          <w:sz w:val="22"/>
          <w:szCs w:val="22"/>
          <w:u w:val="none"/>
          <w:shd w:fill="auto" w:val="clear"/>
          <w:vertAlign w:val="baseline"/>
          <w:rtl w:val="0"/>
        </w:rPr>
        <w:t xml:space="preserve">When will the next application window open/close and when do works need to be completed by?</w:t>
      </w:r>
      <w:r w:rsidDel="00000000" w:rsidR="00000000" w:rsidRPr="00000000">
        <w:rPr>
          <w:rtl w:val="0"/>
        </w:rPr>
      </w:r>
    </w:p>
    <w:p w:rsidR="00000000" w:rsidDel="00000000" w:rsidP="00000000" w:rsidRDefault="00000000" w:rsidRPr="00000000" w14:paraId="00000072">
      <w:pPr>
        <w:ind w:left="720" w:firstLine="0"/>
        <w:rPr/>
      </w:pPr>
      <w:r w:rsidDel="00000000" w:rsidR="00000000" w:rsidRPr="00000000">
        <w:rPr>
          <w:rtl w:val="0"/>
        </w:rPr>
        <w:t xml:space="preserve">A second application window will open on 28 October 2026 and close on 31 January 2027, for projects starting in April 2027. Phase 2 projects will be given up to 12 months to complete works, with a deadline of 31 March 2028.</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24242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1"/>
          <w:bCs w:val="1"/>
          <w:i w:val="0"/>
          <w:iCs w:val="0"/>
          <w:smallCaps w:val="0"/>
          <w:strike w:val="0"/>
          <w:color w:val="242424"/>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42424"/>
          <w:sz w:val="22"/>
          <w:szCs w:val="22"/>
          <w:u w:val="none"/>
          <w:shd w:fill="auto" w:val="clear"/>
          <w:vertAlign w:val="baseline"/>
          <w:rtl w:val="0"/>
        </w:rPr>
        <w:t xml:space="preserve">What will the grant rate be for the next application window?</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b w:val="0"/>
          <w:bCs w:val="0"/>
          <w:i w:val="0"/>
          <w:iCs w:val="0"/>
          <w:smallCaps w:val="0"/>
          <w:strike w:val="0"/>
          <w:color w:val="242424"/>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42424"/>
          <w:sz w:val="22"/>
          <w:szCs w:val="22"/>
          <w:u w:val="none"/>
          <w:shd w:fill="auto" w:val="clear"/>
          <w:vertAlign w:val="baseline"/>
          <w:rtl w:val="0"/>
        </w:rPr>
        <w:t xml:space="preserve">Grant funding rates are likely to reduce in future but will be confirmed in due course.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24242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1"/>
          <w:bCs w:val="1"/>
          <w:i w:val="0"/>
          <w:iCs w:val="0"/>
          <w:smallCaps w:val="0"/>
          <w:strike w:val="0"/>
          <w:color w:val="242424"/>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42424"/>
          <w:sz w:val="22"/>
          <w:szCs w:val="22"/>
          <w:u w:val="none"/>
          <w:shd w:fill="auto" w:val="clear"/>
          <w:vertAlign w:val="baseline"/>
          <w:rtl w:val="0"/>
        </w:rPr>
        <w:t xml:space="preserve">Will you</w:t>
      </w:r>
      <w:r w:rsidDel="00000000" w:rsidR="00000000" w:rsidRPr="00000000">
        <w:rPr>
          <w:rFonts w:ascii="Arial" w:cs="Arial" w:eastAsia="Arial" w:hAnsi="Arial"/>
          <w:b w:val="0"/>
          <w:bCs w:val="0"/>
          <w:i w:val="0"/>
          <w:iCs w:val="0"/>
          <w:smallCaps w:val="0"/>
          <w:strike w:val="0"/>
          <w:color w:val="242424"/>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242424"/>
          <w:sz w:val="22"/>
          <w:szCs w:val="22"/>
          <w:u w:val="none"/>
          <w:shd w:fill="auto" w:val="clear"/>
          <w:vertAlign w:val="baseline"/>
          <w:rtl w:val="0"/>
        </w:rPr>
        <w:t xml:space="preserve">be opening any additional windows beyond this year?</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left"/>
        <w:rPr>
          <w:rFonts w:ascii="Arial" w:cs="Arial" w:eastAsia="Arial" w:hAnsi="Arial"/>
          <w:b w:val="0"/>
          <w:bCs w:val="0"/>
          <w:i w:val="0"/>
          <w:iCs w:val="0"/>
          <w:smallCaps w:val="0"/>
          <w:strike w:val="0"/>
          <w:color w:val="242424"/>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42424"/>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Future application windows will be confirmed in due course. </w:t>
      </w:r>
      <w:r w:rsidDel="00000000" w:rsidR="00000000" w:rsidRPr="00000000">
        <w:rPr>
          <w:rtl w:val="0"/>
        </w:rPr>
      </w:r>
    </w:p>
    <w:p w:rsidR="00000000" w:rsidDel="00000000" w:rsidP="00000000" w:rsidRDefault="00000000" w:rsidRPr="00000000" w14:paraId="00000079">
      <w:pPr>
        <w:pStyle w:val="Heading1"/>
        <w:rPr>
          <w:b w:val="1"/>
          <w:bCs w:val="1"/>
          <w:u w:val="single"/>
        </w:rPr>
      </w:pPr>
      <w:bookmarkStart w:colFirst="0" w:colLast="0" w:name="_heading=h.33d7h83ksadt" w:id="4"/>
      <w:bookmarkEnd w:id="4"/>
      <w:r w:rsidDel="00000000" w:rsidR="00000000" w:rsidRPr="00000000">
        <w:rPr>
          <w:rtl w:val="0"/>
        </w:rPr>
        <w:t xml:space="preserve">Additional FAQ</w:t>
      </w:r>
      <w:r w:rsidDel="00000000" w:rsidR="00000000" w:rsidRPr="00000000">
        <w:rPr>
          <w:rtl w:val="0"/>
        </w:rPr>
      </w:r>
    </w:p>
    <w:p w:rsidR="00000000" w:rsidDel="00000000" w:rsidP="00000000" w:rsidRDefault="00000000" w:rsidRPr="00000000" w14:paraId="0000007A">
      <w:pPr>
        <w:ind w:left="720" w:firstLine="0"/>
        <w:jc w:val="center"/>
        <w:rPr/>
      </w:pPr>
      <w:r w:rsidDel="00000000" w:rsidR="00000000" w:rsidRPr="00000000">
        <w:rPr>
          <w:rtl w:val="0"/>
        </w:rPr>
      </w:r>
    </w:p>
    <w:p w:rsidR="00000000" w:rsidDel="00000000" w:rsidP="00000000" w:rsidRDefault="00000000" w:rsidRPr="00000000" w14:paraId="0000007B">
      <w:pPr>
        <w:numPr>
          <w:ilvl w:val="0"/>
          <w:numId w:val="2"/>
        </w:numPr>
        <w:ind w:left="720" w:hanging="360"/>
        <w:jc w:val="both"/>
        <w:rPr/>
      </w:pPr>
      <w:r w:rsidDel="00000000" w:rsidR="00000000" w:rsidRPr="00000000">
        <w:rPr>
          <w:b w:val="1"/>
          <w:bCs w:val="1"/>
          <w:rtl w:val="0"/>
        </w:rPr>
        <w:t xml:space="preserve">What information will I need to provide as part of my application?</w:t>
      </w:r>
      <w:r w:rsidDel="00000000" w:rsidR="00000000" w:rsidRPr="00000000">
        <w:rPr>
          <w:rtl w:val="0"/>
        </w:rPr>
      </w:r>
    </w:p>
    <w:p w:rsidR="00000000" w:rsidDel="00000000" w:rsidP="00000000" w:rsidRDefault="00000000" w:rsidRPr="00000000" w14:paraId="0000007C">
      <w:pPr>
        <w:ind w:left="720" w:firstLine="0"/>
        <w:jc w:val="both"/>
        <w:rPr/>
      </w:pPr>
      <w:r w:rsidDel="00000000" w:rsidR="00000000" w:rsidRPr="00000000">
        <w:rPr>
          <w:rtl w:val="0"/>
        </w:rPr>
        <w:t xml:space="preserve">Applicants will be required to provide:</w:t>
      </w:r>
    </w:p>
    <w:p w:rsidR="00000000" w:rsidDel="00000000" w:rsidP="00000000" w:rsidRDefault="00000000" w:rsidRPr="00000000" w14:paraId="0000007D">
      <w:pPr>
        <w:numPr>
          <w:ilvl w:val="0"/>
          <w:numId w:val="1"/>
        </w:numPr>
        <w:ind w:left="1440" w:hanging="360"/>
        <w:jc w:val="both"/>
        <w:rPr/>
      </w:pPr>
      <w:r w:rsidDel="00000000" w:rsidR="00000000" w:rsidRPr="00000000">
        <w:rPr>
          <w:rtl w:val="0"/>
        </w:rPr>
        <w:t xml:space="preserve">A copy of their operating licence, or for van-only fleets, evidence of their BVRLA membership, FORS accreditation or LUK van excellence accreditation;</w:t>
      </w:r>
    </w:p>
    <w:p w:rsidR="00000000" w:rsidDel="00000000" w:rsidP="00000000" w:rsidRDefault="00000000" w:rsidRPr="00000000" w14:paraId="0000007E">
      <w:pPr>
        <w:numPr>
          <w:ilvl w:val="0"/>
          <w:numId w:val="1"/>
        </w:numPr>
        <w:ind w:left="1440" w:hanging="360"/>
        <w:jc w:val="both"/>
        <w:rPr/>
      </w:pPr>
      <w:r w:rsidDel="00000000" w:rsidR="00000000" w:rsidRPr="00000000">
        <w:rPr>
          <w:rtl w:val="0"/>
        </w:rPr>
        <w:t xml:space="preserve">Evidence of current or future battery electric vehicle ownership, including acquisition dates and Vehicle Identification Numbers;</w:t>
      </w:r>
    </w:p>
    <w:p w:rsidR="00000000" w:rsidDel="00000000" w:rsidP="00000000" w:rsidRDefault="00000000" w:rsidRPr="00000000" w14:paraId="0000007F">
      <w:pPr>
        <w:numPr>
          <w:ilvl w:val="0"/>
          <w:numId w:val="1"/>
        </w:numPr>
        <w:ind w:left="1440" w:hanging="360"/>
        <w:jc w:val="both"/>
        <w:rPr/>
      </w:pPr>
      <w:r w:rsidDel="00000000" w:rsidR="00000000" w:rsidRPr="00000000">
        <w:rPr>
          <w:rtl w:val="0"/>
        </w:rPr>
        <w:t xml:space="preserve">Vehicle lease contracts or order forms (where applicable);</w:t>
      </w:r>
    </w:p>
    <w:p w:rsidR="00000000" w:rsidDel="00000000" w:rsidP="00000000" w:rsidRDefault="00000000" w:rsidRPr="00000000" w14:paraId="00000080">
      <w:pPr>
        <w:numPr>
          <w:ilvl w:val="0"/>
          <w:numId w:val="1"/>
        </w:numPr>
        <w:ind w:left="1440" w:hanging="360"/>
        <w:jc w:val="both"/>
        <w:rPr/>
      </w:pPr>
      <w:r w:rsidDel="00000000" w:rsidR="00000000" w:rsidRPr="00000000">
        <w:rPr>
          <w:rtl w:val="0"/>
        </w:rPr>
        <w:t xml:space="preserve">Evidence to confirm ownership or lease of the depot(s);</w:t>
      </w:r>
    </w:p>
    <w:p w:rsidR="00000000" w:rsidDel="00000000" w:rsidP="00000000" w:rsidRDefault="00000000" w:rsidRPr="00000000" w14:paraId="00000081">
      <w:pPr>
        <w:numPr>
          <w:ilvl w:val="0"/>
          <w:numId w:val="1"/>
        </w:numPr>
        <w:ind w:left="1440" w:hanging="360"/>
        <w:jc w:val="both"/>
        <w:rPr/>
      </w:pPr>
      <w:r w:rsidDel="00000000" w:rsidR="00000000" w:rsidRPr="00000000">
        <w:rPr>
          <w:rtl w:val="0"/>
        </w:rPr>
        <w:t xml:space="preserve">Confirmation of any previous EV infrastructure funding;</w:t>
      </w:r>
    </w:p>
    <w:p w:rsidR="00000000" w:rsidDel="00000000" w:rsidP="00000000" w:rsidRDefault="00000000" w:rsidRPr="00000000" w14:paraId="00000082">
      <w:pPr>
        <w:numPr>
          <w:ilvl w:val="0"/>
          <w:numId w:val="1"/>
        </w:numPr>
        <w:ind w:left="1440" w:hanging="360"/>
        <w:jc w:val="both"/>
        <w:rPr/>
      </w:pPr>
      <w:r w:rsidDel="00000000" w:rsidR="00000000" w:rsidRPr="00000000">
        <w:rPr>
          <w:rtl w:val="0"/>
        </w:rPr>
        <w:t xml:space="preserve">Description of any current EV charger infrastructure;</w:t>
      </w:r>
    </w:p>
    <w:p w:rsidR="00000000" w:rsidDel="00000000" w:rsidP="00000000" w:rsidRDefault="00000000" w:rsidRPr="00000000" w14:paraId="00000083">
      <w:pPr>
        <w:numPr>
          <w:ilvl w:val="0"/>
          <w:numId w:val="1"/>
        </w:numPr>
        <w:ind w:left="1440" w:hanging="360"/>
        <w:jc w:val="both"/>
        <w:rPr/>
      </w:pPr>
      <w:r w:rsidDel="00000000" w:rsidR="00000000" w:rsidRPr="00000000">
        <w:rPr>
          <w:rtl w:val="0"/>
        </w:rPr>
        <w:t xml:space="preserve">Description of the proposed EV charger infrastructure;</w:t>
      </w:r>
    </w:p>
    <w:p w:rsidR="00000000" w:rsidDel="00000000" w:rsidP="00000000" w:rsidRDefault="00000000" w:rsidRPr="00000000" w14:paraId="00000084">
      <w:pPr>
        <w:numPr>
          <w:ilvl w:val="0"/>
          <w:numId w:val="1"/>
        </w:numPr>
        <w:ind w:left="1440" w:hanging="360"/>
        <w:jc w:val="both"/>
        <w:rPr/>
      </w:pPr>
      <w:r w:rsidDel="00000000" w:rsidR="00000000" w:rsidRPr="00000000">
        <w:rPr>
          <w:rtl w:val="0"/>
        </w:rPr>
        <w:t xml:space="preserve">An outline of any third parties that would be contracted to deliver the infrastructure;</w:t>
      </w:r>
    </w:p>
    <w:p w:rsidR="00000000" w:rsidDel="00000000" w:rsidP="00000000" w:rsidRDefault="00000000" w:rsidRPr="00000000" w14:paraId="00000085">
      <w:pPr>
        <w:numPr>
          <w:ilvl w:val="0"/>
          <w:numId w:val="1"/>
        </w:numPr>
        <w:ind w:left="1440" w:hanging="360"/>
        <w:jc w:val="both"/>
        <w:rPr/>
      </w:pPr>
      <w:r w:rsidDel="00000000" w:rsidR="00000000" w:rsidRPr="00000000">
        <w:rPr>
          <w:rtl w:val="0"/>
        </w:rPr>
        <w:t xml:space="preserve">A full budget breakdown for the duration of the project;</w:t>
      </w:r>
    </w:p>
    <w:p w:rsidR="00000000" w:rsidDel="00000000" w:rsidP="00000000" w:rsidRDefault="00000000" w:rsidRPr="00000000" w14:paraId="00000086">
      <w:pPr>
        <w:numPr>
          <w:ilvl w:val="0"/>
          <w:numId w:val="1"/>
        </w:numPr>
        <w:ind w:left="1440" w:hanging="360"/>
        <w:jc w:val="both"/>
        <w:rPr/>
      </w:pPr>
      <w:r w:rsidDel="00000000" w:rsidR="00000000" w:rsidRPr="00000000">
        <w:rPr>
          <w:rtl w:val="0"/>
        </w:rPr>
        <w:t xml:space="preserve">Evidence of Distribution Network Operator arrangements and sufficient capacity at each depot;</w:t>
      </w:r>
    </w:p>
    <w:p w:rsidR="00000000" w:rsidDel="00000000" w:rsidP="00000000" w:rsidRDefault="00000000" w:rsidRPr="00000000" w14:paraId="00000087">
      <w:pPr>
        <w:numPr>
          <w:ilvl w:val="0"/>
          <w:numId w:val="1"/>
        </w:numPr>
        <w:ind w:left="1440" w:hanging="360"/>
        <w:jc w:val="both"/>
        <w:rPr/>
      </w:pPr>
      <w:r w:rsidDel="00000000" w:rsidR="00000000" w:rsidRPr="00000000">
        <w:rPr>
          <w:rtl w:val="0"/>
        </w:rPr>
        <w:t xml:space="preserve">Evidence of financing for the project.</w:t>
        <w:br w:type="textWrapping"/>
      </w:r>
    </w:p>
    <w:p w:rsidR="00000000" w:rsidDel="00000000" w:rsidP="00000000" w:rsidRDefault="00000000" w:rsidRPr="00000000" w14:paraId="00000088">
      <w:pPr>
        <w:ind w:left="720" w:firstLine="0"/>
        <w:jc w:val="both"/>
        <w:rPr/>
      </w:pPr>
      <w:r w:rsidDel="00000000" w:rsidR="00000000" w:rsidRPr="00000000">
        <w:rPr>
          <w:rtl w:val="0"/>
        </w:rPr>
        <w:t xml:space="preserve">Applicants are encouraged to contact the Scheme’s technical partner, Cenex and the Energy Savings Trust, for support and guidance on designing their projects and applying to the scheme. </w:t>
      </w:r>
    </w:p>
    <w:p w:rsidR="00000000" w:rsidDel="00000000" w:rsidP="00000000" w:rsidRDefault="00000000" w:rsidRPr="00000000" w14:paraId="00000089">
      <w:pPr>
        <w:jc w:val="both"/>
        <w:rPr/>
      </w:pPr>
      <w:r w:rsidDel="00000000" w:rsidR="00000000" w:rsidRPr="00000000">
        <w:rPr>
          <w:rtl w:val="0"/>
        </w:rPr>
      </w:r>
    </w:p>
    <w:p w:rsidR="00000000" w:rsidDel="00000000" w:rsidP="00000000" w:rsidRDefault="00000000" w:rsidRPr="00000000" w14:paraId="0000008A">
      <w:pPr>
        <w:numPr>
          <w:ilvl w:val="0"/>
          <w:numId w:val="2"/>
        </w:numPr>
        <w:ind w:left="720" w:hanging="360"/>
        <w:rPr/>
      </w:pPr>
      <w:r w:rsidDel="00000000" w:rsidR="00000000" w:rsidRPr="00000000">
        <w:rPr>
          <w:b w:val="1"/>
          <w:bCs w:val="1"/>
          <w:rtl w:val="0"/>
        </w:rPr>
        <w:t xml:space="preserve">I have questions about the application, what should I do? </w:t>
      </w:r>
      <w:r w:rsidDel="00000000" w:rsidR="00000000" w:rsidRPr="00000000">
        <w:rPr>
          <w:rtl w:val="0"/>
        </w:rPr>
        <w:br w:type="textWrapping"/>
        <w:t xml:space="preserve">Please contact the team on </w:t>
      </w:r>
      <w:hyperlink r:id="rId8">
        <w:r w:rsidDel="00000000" w:rsidR="00000000" w:rsidRPr="00000000">
          <w:rPr>
            <w:color w:val="1155cc"/>
            <w:u w:val="single"/>
            <w:rtl w:val="0"/>
          </w:rPr>
          <w:t xml:space="preserve">ggms_depot_cs@cabinetoffice.gov.uk</w:t>
        </w:r>
      </w:hyperlink>
      <w:r w:rsidDel="00000000" w:rsidR="00000000" w:rsidRPr="00000000">
        <w:rPr>
          <w:rtl w:val="0"/>
        </w:rPr>
        <w:t xml:space="preserve">.</w:t>
      </w:r>
    </w:p>
    <w:p w:rsidR="00000000" w:rsidDel="00000000" w:rsidP="00000000" w:rsidRDefault="00000000" w:rsidRPr="00000000" w14:paraId="0000008B">
      <w:pPr>
        <w:ind w:left="720" w:firstLine="0"/>
        <w:jc w:val="both"/>
        <w:rPr>
          <w:color w:val="ff0000"/>
        </w:rPr>
      </w:pPr>
      <w:r w:rsidDel="00000000" w:rsidR="00000000" w:rsidRPr="00000000">
        <w:rPr>
          <w:rtl w:val="0"/>
        </w:rPr>
      </w:r>
    </w:p>
    <w:p w:rsidR="00000000" w:rsidDel="00000000" w:rsidP="00000000" w:rsidRDefault="00000000" w:rsidRPr="00000000" w14:paraId="0000008C">
      <w:pPr>
        <w:numPr>
          <w:ilvl w:val="0"/>
          <w:numId w:val="2"/>
        </w:numPr>
        <w:ind w:left="720" w:hanging="360"/>
        <w:rPr/>
      </w:pPr>
      <w:r w:rsidDel="00000000" w:rsidR="00000000" w:rsidRPr="00000000">
        <w:rPr>
          <w:b w:val="1"/>
          <w:bCs w:val="1"/>
          <w:rtl w:val="0"/>
        </w:rPr>
        <w:t xml:space="preserve">Will an application have greater chance of success if it contains multiple sites?</w:t>
      </w:r>
      <w:r w:rsidDel="00000000" w:rsidR="00000000" w:rsidRPr="00000000">
        <w:rPr>
          <w:rtl w:val="0"/>
        </w:rPr>
        <w:t xml:space="preserve"> No, applications are assessed independently to the number of sites owned or managed.</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numPr>
          <w:ilvl w:val="0"/>
          <w:numId w:val="2"/>
        </w:numPr>
        <w:ind w:left="720" w:hanging="360"/>
        <w:rPr/>
      </w:pPr>
      <w:r w:rsidDel="00000000" w:rsidR="00000000" w:rsidRPr="00000000">
        <w:rPr>
          <w:b w:val="1"/>
          <w:bCs w:val="1"/>
          <w:rtl w:val="0"/>
        </w:rPr>
        <w:t xml:space="preserve">Will the data shared through the application process be protected?</w:t>
      </w:r>
      <w:r w:rsidDel="00000000" w:rsidR="00000000" w:rsidRPr="00000000">
        <w:rPr>
          <w:rtl w:val="0"/>
        </w:rPr>
        <w:br w:type="textWrapping"/>
        <w:t xml:space="preserve">Yes, the Department for Transport/UK Government fully abides by the UK GDPR and UK Data Protection Act. Please find the latest information on how your application data will be processed </w:t>
      </w:r>
      <w:hyperlink r:id="rId9">
        <w:r w:rsidDel="00000000" w:rsidR="00000000" w:rsidRPr="00000000">
          <w:rPr>
            <w:color w:val="1155cc"/>
            <w:u w:val="single"/>
            <w:rtl w:val="0"/>
          </w:rPr>
          <w:t xml:space="preserve">here</w:t>
        </w:r>
      </w:hyperlink>
      <w:r w:rsidDel="00000000" w:rsidR="00000000" w:rsidRPr="00000000">
        <w:rPr>
          <w:rtl w:val="0"/>
        </w:rPr>
        <w:t xml:space="preserve">.</w:t>
        <w:br w:type="textWrapping"/>
      </w:r>
    </w:p>
    <w:p w:rsidR="00000000" w:rsidDel="00000000" w:rsidP="00000000" w:rsidRDefault="00000000" w:rsidRPr="00000000" w14:paraId="0000008F">
      <w:pPr>
        <w:numPr>
          <w:ilvl w:val="0"/>
          <w:numId w:val="2"/>
        </w:numPr>
        <w:ind w:left="720" w:hanging="360"/>
        <w:rPr>
          <w:b w:val="1"/>
          <w:bCs w:val="1"/>
        </w:rPr>
      </w:pPr>
      <w:r w:rsidDel="00000000" w:rsidR="00000000" w:rsidRPr="00000000">
        <w:rPr>
          <w:b w:val="1"/>
          <w:bCs w:val="1"/>
          <w:rtl w:val="0"/>
        </w:rPr>
        <w:t xml:space="preserve">If the equipment is being financed over a period of years, does this still qualify?</w:t>
        <w:br w:type="textWrapping"/>
      </w:r>
      <w:r w:rsidDel="00000000" w:rsidR="00000000" w:rsidRPr="00000000">
        <w:rPr>
          <w:rtl w:val="0"/>
        </w:rPr>
        <w:t xml:space="preserve">This would depend on the type of financing. Please provide further details as part of the application.  </w:t>
      </w:r>
      <w:r w:rsidDel="00000000" w:rsidR="00000000" w:rsidRPr="00000000">
        <w:rPr>
          <w:rtl w:val="0"/>
        </w:rPr>
      </w:r>
    </w:p>
    <w:p w:rsidR="00000000" w:rsidDel="00000000" w:rsidP="00000000" w:rsidRDefault="00000000" w:rsidRPr="00000000" w14:paraId="00000090">
      <w:pPr>
        <w:rPr>
          <w:b w:val="1"/>
          <w:bCs w:val="1"/>
        </w:rPr>
      </w:pPr>
      <w:r w:rsidDel="00000000" w:rsidR="00000000" w:rsidRPr="00000000">
        <w:rPr>
          <w:rtl w:val="0"/>
        </w:rPr>
      </w:r>
    </w:p>
    <w:p w:rsidR="00000000" w:rsidDel="00000000" w:rsidP="00000000" w:rsidRDefault="00000000" w:rsidRPr="00000000" w14:paraId="00000091">
      <w:pPr>
        <w:numPr>
          <w:ilvl w:val="0"/>
          <w:numId w:val="2"/>
        </w:numPr>
        <w:ind w:left="720" w:hanging="360"/>
        <w:rPr>
          <w:b w:val="1"/>
          <w:bCs w:val="1"/>
        </w:rPr>
      </w:pPr>
      <w:r w:rsidDel="00000000" w:rsidR="00000000" w:rsidRPr="00000000">
        <w:rPr>
          <w:b w:val="1"/>
          <w:bCs w:val="1"/>
          <w:rtl w:val="0"/>
        </w:rPr>
        <w:t xml:space="preserve">Will the EV chargers funded by the scheme be available for third party use?</w:t>
        <w:br w:type="textWrapping"/>
      </w:r>
      <w:r w:rsidDel="00000000" w:rsidR="00000000" w:rsidRPr="00000000">
        <w:rPr>
          <w:rtl w:val="0"/>
        </w:rPr>
        <w:t xml:space="preserve">Sharing infrastructure is permitted as long as it is done on a cost-recovery basis for at least three years from the point of electrification. </w:t>
        <w:br w:type="textWrapping"/>
      </w:r>
      <w:r w:rsidDel="00000000" w:rsidR="00000000" w:rsidRPr="00000000">
        <w:rPr>
          <w:rtl w:val="0"/>
        </w:rPr>
      </w:r>
    </w:p>
    <w:p w:rsidR="00000000" w:rsidDel="00000000" w:rsidP="00000000" w:rsidRDefault="00000000" w:rsidRPr="00000000" w14:paraId="00000092">
      <w:pPr>
        <w:numPr>
          <w:ilvl w:val="0"/>
          <w:numId w:val="2"/>
        </w:numPr>
        <w:ind w:left="720" w:hanging="360"/>
        <w:rPr>
          <w:b w:val="1"/>
          <w:bCs w:val="1"/>
        </w:rPr>
      </w:pPr>
      <w:r w:rsidDel="00000000" w:rsidR="00000000" w:rsidRPr="00000000">
        <w:rPr>
          <w:b w:val="1"/>
          <w:bCs w:val="1"/>
          <w:rtl w:val="0"/>
        </w:rPr>
        <w:t xml:space="preserve">Does the legal ownership of the EV charger sit with the grant applicant or can they enter into a long term arrangement with a chargepoint operator (CPO) or managed service instead? </w:t>
        <w:br w:type="textWrapping"/>
      </w:r>
      <w:r w:rsidDel="00000000" w:rsidR="00000000" w:rsidRPr="00000000">
        <w:rPr>
          <w:rtl w:val="0"/>
        </w:rPr>
        <w:t xml:space="preserve">Legal ownership of the EV charger is expected to sit with the applicant – i.e. fleet operator on site for at least 3 years following the 31 March 2026. Where the applicant is a lessee and has agreed a project with their landlord, we expect future ownership of the chargepoint to be agreed between parties. The grant cannot be used to procure a long-term arrangement with a CPO or managed service.</w:t>
        <w:br w:type="textWrapping"/>
      </w:r>
      <w:r w:rsidDel="00000000" w:rsidR="00000000" w:rsidRPr="00000000">
        <w:rPr>
          <w:rtl w:val="0"/>
        </w:rPr>
      </w:r>
    </w:p>
    <w:p w:rsidR="00000000" w:rsidDel="00000000" w:rsidP="00000000" w:rsidRDefault="00000000" w:rsidRPr="00000000" w14:paraId="00000093">
      <w:pPr>
        <w:numPr>
          <w:ilvl w:val="0"/>
          <w:numId w:val="2"/>
        </w:numPr>
        <w:ind w:left="720" w:hanging="360"/>
        <w:rPr>
          <w:b w:val="1"/>
          <w:bCs w:val="1"/>
        </w:rPr>
      </w:pPr>
      <w:r w:rsidDel="00000000" w:rsidR="00000000" w:rsidRPr="00000000">
        <w:rPr>
          <w:b w:val="1"/>
          <w:bCs w:val="1"/>
          <w:rtl w:val="0"/>
        </w:rPr>
        <w:t xml:space="preserve">Can we proceed at risk before grant approval, and can we claim on any recent infrastructure installation?</w:t>
        <w:br w:type="textWrapping"/>
      </w:r>
      <w:r w:rsidDel="00000000" w:rsidR="00000000" w:rsidRPr="00000000">
        <w:rPr>
          <w:rtl w:val="0"/>
        </w:rPr>
        <w:t xml:space="preserve">Grant funding will only be paid for eligible activities that have occurred </w:t>
      </w:r>
      <w:r w:rsidDel="00000000" w:rsidR="00000000" w:rsidRPr="00000000">
        <w:rPr>
          <w:b w:val="1"/>
          <w:bCs w:val="1"/>
          <w:u w:val="single"/>
          <w:rtl w:val="0"/>
        </w:rPr>
        <w:t xml:space="preserve">after</w:t>
      </w:r>
      <w:r w:rsidDel="00000000" w:rsidR="00000000" w:rsidRPr="00000000">
        <w:rPr>
          <w:b w:val="1"/>
          <w:bCs w:val="1"/>
          <w:rtl w:val="0"/>
        </w:rPr>
        <w:t xml:space="preserve"> </w:t>
      </w:r>
      <w:r w:rsidDel="00000000" w:rsidR="00000000" w:rsidRPr="00000000">
        <w:rPr>
          <w:rtl w:val="0"/>
        </w:rPr>
        <w:t xml:space="preserve">a Grant Funding Agreement has been signed. Previously installed infrastructure is </w:t>
      </w:r>
      <w:r w:rsidDel="00000000" w:rsidR="00000000" w:rsidRPr="00000000">
        <w:rPr>
          <w:b w:val="1"/>
          <w:bCs w:val="1"/>
          <w:rtl w:val="0"/>
        </w:rPr>
        <w:t xml:space="preserve">not </w:t>
      </w:r>
      <w:r w:rsidDel="00000000" w:rsidR="00000000" w:rsidRPr="00000000">
        <w:rPr>
          <w:rtl w:val="0"/>
        </w:rPr>
        <w:t xml:space="preserve">eligible for grant funding.</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numPr>
          <w:ilvl w:val="0"/>
          <w:numId w:val="2"/>
        </w:numPr>
        <w:ind w:left="720" w:hanging="360"/>
        <w:rPr>
          <w:b w:val="1"/>
          <w:bCs w:val="1"/>
        </w:rPr>
      </w:pPr>
      <w:r w:rsidDel="00000000" w:rsidR="00000000" w:rsidRPr="00000000">
        <w:rPr>
          <w:b w:val="1"/>
          <w:bCs w:val="1"/>
          <w:rtl w:val="0"/>
        </w:rPr>
        <w:t xml:space="preserve">What is the earliest date to energise EV chargers? </w:t>
      </w:r>
    </w:p>
    <w:p w:rsidR="00000000" w:rsidDel="00000000" w:rsidP="00000000" w:rsidRDefault="00000000" w:rsidRPr="00000000" w14:paraId="00000096">
      <w:pPr>
        <w:ind w:left="720" w:firstLine="0"/>
        <w:rPr>
          <w:b w:val="1"/>
          <w:bCs w:val="1"/>
        </w:rPr>
      </w:pPr>
      <w:r w:rsidDel="00000000" w:rsidR="00000000" w:rsidRPr="00000000">
        <w:rPr>
          <w:rtl w:val="0"/>
        </w:rPr>
        <w:t xml:space="preserve">EV chargers can be energised from the commencement date (see Grant Funding Agreement) until 31 March 2027.</w:t>
        <w:br w:type="textWrapping"/>
      </w:r>
      <w:r w:rsidDel="00000000" w:rsidR="00000000" w:rsidRPr="00000000">
        <w:rPr>
          <w:rtl w:val="0"/>
        </w:rPr>
      </w:r>
    </w:p>
    <w:p w:rsidR="00000000" w:rsidDel="00000000" w:rsidP="00000000" w:rsidRDefault="00000000" w:rsidRPr="00000000" w14:paraId="00000097">
      <w:pPr>
        <w:numPr>
          <w:ilvl w:val="0"/>
          <w:numId w:val="2"/>
        </w:numPr>
        <w:ind w:left="720" w:hanging="360"/>
        <w:rPr>
          <w:b w:val="1"/>
          <w:bCs w:val="1"/>
        </w:rPr>
      </w:pPr>
      <w:r w:rsidDel="00000000" w:rsidR="00000000" w:rsidRPr="00000000">
        <w:rPr>
          <w:b w:val="1"/>
          <w:bCs w:val="1"/>
          <w:rtl w:val="0"/>
        </w:rPr>
        <w:t xml:space="preserve">If an applicant is part of a group of companies, will Battery Electric Vehicles (BEVs) owned by the wider group count towards the applicant’s pool of owned/leased vehicles?</w:t>
      </w:r>
      <w:r w:rsidDel="00000000" w:rsidR="00000000" w:rsidRPr="00000000">
        <w:rPr>
          <w:rtl w:val="0"/>
        </w:rPr>
        <w:br w:type="textWrapping"/>
        <w:t xml:space="preserve">Vehicles as part of an application should be owned or leased by the applicant. If a subsidiary company applies for funding on the basis that another part of the group has eligible vehicles, they will be considered ineligible unless they commit to ordering or leasing a BEV within the required time. </w:t>
        <w:br w:type="textWrapping"/>
      </w:r>
      <w:r w:rsidDel="00000000" w:rsidR="00000000" w:rsidRPr="00000000">
        <w:rPr>
          <w:rtl w:val="0"/>
        </w:rPr>
      </w:r>
    </w:p>
    <w:p w:rsidR="00000000" w:rsidDel="00000000" w:rsidP="00000000" w:rsidRDefault="00000000" w:rsidRPr="00000000" w14:paraId="00000098">
      <w:pPr>
        <w:numPr>
          <w:ilvl w:val="0"/>
          <w:numId w:val="2"/>
        </w:numPr>
        <w:ind w:left="720" w:hanging="360"/>
        <w:rPr>
          <w:b w:val="1"/>
          <w:bCs w:val="1"/>
        </w:rPr>
      </w:pPr>
      <w:r w:rsidDel="00000000" w:rsidR="00000000" w:rsidRPr="00000000">
        <w:rPr>
          <w:b w:val="1"/>
          <w:bCs w:val="1"/>
          <w:rtl w:val="0"/>
        </w:rPr>
        <w:t xml:space="preserve">Is a retail site (i.e a store) classed as a commercial site? We house and maintain vans from these locations.</w:t>
        <w:br w:type="textWrapping"/>
      </w:r>
      <w:r w:rsidDel="00000000" w:rsidR="00000000" w:rsidRPr="00000000">
        <w:rPr>
          <w:rtl w:val="0"/>
        </w:rPr>
        <w:t xml:space="preserve">This will vary on a case-by-case basis, but if vehicles are housed and maintained from these locations, they are likely to be in scope. Further advice will be provided as part of the application. </w:t>
      </w:r>
      <w:r w:rsidDel="00000000" w:rsidR="00000000" w:rsidRPr="00000000">
        <w:rPr>
          <w:rtl w:val="0"/>
        </w:rPr>
      </w:r>
    </w:p>
    <w:p w:rsidR="00000000" w:rsidDel="00000000" w:rsidP="00000000" w:rsidRDefault="00000000" w:rsidRPr="00000000" w14:paraId="00000099">
      <w:pPr>
        <w:ind w:left="720" w:firstLine="0"/>
        <w:rPr>
          <w:b w:val="1"/>
          <w:bCs w:val="1"/>
        </w:rPr>
      </w:pPr>
      <w:r w:rsidDel="00000000" w:rsidR="00000000" w:rsidRPr="00000000">
        <w:rPr>
          <w:rtl w:val="0"/>
        </w:rPr>
      </w:r>
    </w:p>
    <w:p w:rsidR="00000000" w:rsidDel="00000000" w:rsidP="00000000" w:rsidRDefault="00000000" w:rsidRPr="00000000" w14:paraId="0000009A">
      <w:pPr>
        <w:numPr>
          <w:ilvl w:val="0"/>
          <w:numId w:val="2"/>
        </w:numPr>
        <w:ind w:left="720" w:hanging="360"/>
        <w:rPr>
          <w:b w:val="1"/>
          <w:bCs w:val="1"/>
        </w:rPr>
      </w:pPr>
      <w:r w:rsidDel="00000000" w:rsidR="00000000" w:rsidRPr="00000000">
        <w:rPr>
          <w:b w:val="1"/>
          <w:bCs w:val="1"/>
          <w:rtl w:val="0"/>
        </w:rPr>
        <w:t xml:space="preserve">How do infrastructure installation companies get onto the frameworks for this scheme?</w:t>
        <w:br w:type="textWrapping"/>
      </w:r>
      <w:r w:rsidDel="00000000" w:rsidR="00000000" w:rsidRPr="00000000">
        <w:rPr>
          <w:rtl w:val="0"/>
        </w:rPr>
        <w:t xml:space="preserve">Infrastructure installers are not eligible for funding through this scheme. It is up to applicants to find contractors that suit their needs. While some infrastructure specialists have publicly spoken about their willingness to support applicants in this process, they are not linked with the grant. </w:t>
        <w:br w:type="textWrapping"/>
      </w:r>
      <w:r w:rsidDel="00000000" w:rsidR="00000000" w:rsidRPr="00000000">
        <w:rPr>
          <w:rtl w:val="0"/>
        </w:rPr>
      </w:r>
    </w:p>
    <w:p w:rsidR="00000000" w:rsidDel="00000000" w:rsidP="00000000" w:rsidRDefault="00000000" w:rsidRPr="00000000" w14:paraId="0000009B">
      <w:pPr>
        <w:numPr>
          <w:ilvl w:val="0"/>
          <w:numId w:val="2"/>
        </w:numPr>
        <w:ind w:left="720" w:hanging="360"/>
        <w:rPr>
          <w:b w:val="1"/>
          <w:bCs w:val="1"/>
        </w:rPr>
      </w:pPr>
      <w:r w:rsidDel="00000000" w:rsidR="00000000" w:rsidRPr="00000000">
        <w:rPr>
          <w:b w:val="1"/>
          <w:bCs w:val="1"/>
          <w:rtl w:val="0"/>
        </w:rPr>
        <w:t xml:space="preserve">Could Chargepoint Operators apply for the grant in partnership with Fleet Operators?</w:t>
        <w:br w:type="textWrapping"/>
      </w:r>
      <w:r w:rsidDel="00000000" w:rsidR="00000000" w:rsidRPr="00000000">
        <w:rPr>
          <w:rtl w:val="0"/>
        </w:rPr>
        <w:t xml:space="preserve">We would need to understand the specific circumstances as part of the application. </w:t>
        <w:br w:type="textWrapping"/>
      </w:r>
      <w:r w:rsidDel="00000000" w:rsidR="00000000" w:rsidRPr="00000000">
        <w:rPr>
          <w:rtl w:val="0"/>
        </w:rPr>
      </w:r>
    </w:p>
    <w:p w:rsidR="00000000" w:rsidDel="00000000" w:rsidP="00000000" w:rsidRDefault="00000000" w:rsidRPr="00000000" w14:paraId="0000009C">
      <w:pPr>
        <w:numPr>
          <w:ilvl w:val="0"/>
          <w:numId w:val="2"/>
        </w:numPr>
        <w:ind w:left="720" w:hanging="360"/>
        <w:rPr/>
      </w:pPr>
      <w:r w:rsidDel="00000000" w:rsidR="00000000" w:rsidRPr="00000000">
        <w:rPr>
          <w:b w:val="1"/>
          <w:bCs w:val="1"/>
          <w:rtl w:val="0"/>
        </w:rPr>
        <w:t xml:space="preserve">Where there is a group of companies, can each subsidiary apply for £1m?</w:t>
        <w:br w:type="textWrapping"/>
      </w:r>
      <w:r w:rsidDel="00000000" w:rsidR="00000000" w:rsidRPr="00000000">
        <w:rPr>
          <w:rtl w:val="0"/>
        </w:rPr>
        <w:t xml:space="preserve">The £1m funding cap applies to enterprises, as defined in Sections 7 and 8 of the Subsidy Control Act 2022. Where a group of enterprises engaged in a given economic activity are under common control, they will be classed as one ‘enterprise’ for the purposes of our funding cap. </w:t>
      </w:r>
    </w:p>
    <w:p w:rsidR="00000000" w:rsidDel="00000000" w:rsidP="00000000" w:rsidRDefault="00000000" w:rsidRPr="00000000" w14:paraId="0000009D">
      <w:pPr>
        <w:ind w:left="720" w:firstLine="0"/>
        <w:rPr>
          <w:b w:val="1"/>
          <w:bCs w:val="1"/>
        </w:rPr>
      </w:pPr>
      <w:r w:rsidDel="00000000" w:rsidR="00000000" w:rsidRPr="00000000">
        <w:rPr>
          <w:rtl w:val="0"/>
        </w:rPr>
      </w:r>
    </w:p>
    <w:p w:rsidR="00000000" w:rsidDel="00000000" w:rsidP="00000000" w:rsidRDefault="00000000" w:rsidRPr="00000000" w14:paraId="0000009E">
      <w:pPr>
        <w:ind w:left="720" w:firstLine="0"/>
        <w:rPr/>
      </w:pPr>
      <w:r w:rsidDel="00000000" w:rsidR="00000000" w:rsidRPr="00000000">
        <w:rPr>
          <w:rtl w:val="0"/>
        </w:rPr>
        <w:t xml:space="preserve">Common control or interconnectedness of enterprises applies to body corporates and subsidiaries. Therefore, if companies are part of a group with other brand names providing freight or coach services, the £1m cap will apply across all subsidiaries and brands within the group performing related activities. Applicants should keep track of the subsidy control requirements and declare any other bid that may be coming from a subsidiary or interconnected enterprise as part of the application. </w:t>
      </w:r>
    </w:p>
    <w:p w:rsidR="00000000" w:rsidDel="00000000" w:rsidP="00000000" w:rsidRDefault="00000000" w:rsidRPr="00000000" w14:paraId="0000009F">
      <w:pPr>
        <w:ind w:left="720" w:firstLine="0"/>
        <w:rPr/>
      </w:pPr>
      <w:r w:rsidDel="00000000" w:rsidR="00000000" w:rsidRPr="00000000">
        <w:rPr>
          <w:rtl w:val="0"/>
        </w:rPr>
      </w:r>
    </w:p>
    <w:p w:rsidR="00000000" w:rsidDel="00000000" w:rsidP="00000000" w:rsidRDefault="00000000" w:rsidRPr="00000000" w14:paraId="000000A0">
      <w:pPr>
        <w:ind w:left="720" w:firstLine="0"/>
        <w:rPr/>
      </w:pPr>
      <w:r w:rsidDel="00000000" w:rsidR="00000000" w:rsidRPr="00000000">
        <w:rPr>
          <w:rtl w:val="0"/>
        </w:rPr>
        <w:t xml:space="preserve">Where a group of enterprises are engaged in separate and unrelated economic activities, they are not classed as one enterprise and will be subject to the funding cap separately.</w:t>
        <w:br w:type="textWrapping"/>
      </w:r>
    </w:p>
    <w:p w:rsidR="00000000" w:rsidDel="00000000" w:rsidP="00000000" w:rsidRDefault="00000000" w:rsidRPr="00000000" w14:paraId="000000A1">
      <w:pPr>
        <w:numPr>
          <w:ilvl w:val="0"/>
          <w:numId w:val="2"/>
        </w:numPr>
        <w:ind w:left="720" w:hanging="360"/>
        <w:rPr>
          <w:b w:val="1"/>
          <w:bCs w:val="1"/>
        </w:rPr>
      </w:pPr>
      <w:r w:rsidDel="00000000" w:rsidR="00000000" w:rsidRPr="00000000">
        <w:rPr>
          <w:b w:val="1"/>
          <w:bCs w:val="1"/>
          <w:rtl w:val="0"/>
        </w:rPr>
        <w:t xml:space="preserve">Our depot is for waste collection vehicles operated on a non-profit basis for a local authority, would this depot be covered?</w:t>
        <w:br w:type="textWrapping"/>
      </w:r>
      <w:r w:rsidDel="00000000" w:rsidR="00000000" w:rsidRPr="00000000">
        <w:rPr>
          <w:rtl w:val="0"/>
        </w:rPr>
        <w:t xml:space="preserve">Yes, waste and recycling centres are eligible under this scheme, with battery-electric waste collection vehicles falling within eligible vehicles in the heavy-duty category. </w:t>
        <w:br w:type="textWrapping"/>
      </w:r>
      <w:r w:rsidDel="00000000" w:rsidR="00000000" w:rsidRPr="00000000">
        <w:rPr>
          <w:rtl w:val="0"/>
        </w:rPr>
      </w:r>
    </w:p>
    <w:p w:rsidR="00000000" w:rsidDel="00000000" w:rsidP="00000000" w:rsidRDefault="00000000" w:rsidRPr="00000000" w14:paraId="000000A2">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b w:val="1"/>
          <w:bCs w:val="1"/>
          <w:color w:val="000000"/>
          <w:rtl w:val="0"/>
        </w:rPr>
        <w:t xml:space="preserve">Can a third party fleet operator apply for this funding despite no formal lease agreement in place with the site owner?</w:t>
        <w:br w:type="textWrapping"/>
      </w:r>
      <w:r w:rsidDel="00000000" w:rsidR="00000000" w:rsidRPr="00000000">
        <w:rPr>
          <w:color w:val="000000"/>
          <w:rtl w:val="0"/>
        </w:rPr>
        <w:t xml:space="preserve">Contracted fleet operators are welcome to apply for the funding as the party who owns and operates the BEVs. You must detail in your application that you have permission from the depot owner/lessee for the installation of this infrastructure. We would expect to see written confirmation of this in your application. Please ensure that all organisations involved have reviewed the Grant Funding Agreement in full to understand who will own the EV chargers, who will fund the remaining costs and who will liaise with DNOs etc. </w:t>
        <w:br w:type="textWrapping"/>
      </w:r>
      <w:r w:rsidDel="00000000" w:rsidR="00000000" w:rsidRPr="00000000">
        <w:rPr>
          <w:rtl w:val="0"/>
        </w:rPr>
      </w:r>
    </w:p>
    <w:p w:rsidR="00000000" w:rsidDel="00000000" w:rsidP="00000000" w:rsidRDefault="00000000" w:rsidRPr="00000000" w14:paraId="000000A3">
      <w:pPr>
        <w:ind w:left="720" w:firstLine="0"/>
        <w:rPr/>
      </w:pPr>
      <w:hyperlink r:id="rId10">
        <w:r w:rsidDel="00000000" w:rsidR="00000000" w:rsidRPr="00000000">
          <w:rPr>
            <w:color w:val="1155cc"/>
            <w:u w:val="single"/>
            <w:rtl w:val="0"/>
          </w:rPr>
          <w:t xml:space="preserve">ggms_depot_cs@cabinetoffice.gov.uk</w:t>
        </w:r>
      </w:hyperlink>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rPr>
        <w:sz w:val="16"/>
        <w:szCs w:val="1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1428434</wp:posOffset>
              </wp:positionH>
              <wp:positionV relativeFrom="paragraph">
                <wp:posOffset>-14283</wp:posOffset>
              </wp:positionV>
              <wp:extent cx="1047750" cy="397510"/>
              <wp:effectExtent b="0" l="0" r="0" t="0"/>
              <wp:wrapNone/>
              <wp:docPr descr="OFFICIAL-SENSITIVE" id="2060931330" name=""/>
              <a:graphic>
                <a:graphicData uri="http://schemas.microsoft.com/office/word/2010/wordprocessingShape">
                  <wps:wsp>
                    <wps:cNvSpPr/>
                    <wps:cNvPr id="4" name="Shape 4"/>
                    <wps:spPr>
                      <a:xfrm>
                        <a:off x="4836413" y="3595533"/>
                        <a:ext cx="1019175" cy="368935"/>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1428434</wp:posOffset>
              </wp:positionH>
              <wp:positionV relativeFrom="paragraph">
                <wp:posOffset>-14283</wp:posOffset>
              </wp:positionV>
              <wp:extent cx="1047750" cy="397510"/>
              <wp:effectExtent b="0" l="0" r="0" t="0"/>
              <wp:wrapNone/>
              <wp:docPr descr="OFFICIAL-SENSITIVE" id="2060931330" name="image4.png"/>
              <a:graphic>
                <a:graphicData uri="http://schemas.openxmlformats.org/drawingml/2006/picture">
                  <pic:pic>
                    <pic:nvPicPr>
                      <pic:cNvPr descr="OFFICIAL-SENSITIVE" id="0" name="image4.png"/>
                      <pic:cNvPicPr preferRelativeResize="0"/>
                    </pic:nvPicPr>
                    <pic:blipFill>
                      <a:blip r:embed="rId1"/>
                      <a:srcRect/>
                      <a:stretch>
                        <a:fillRect/>
                      </a:stretch>
                    </pic:blipFill>
                    <pic:spPr>
                      <a:xfrm>
                        <a:off x="0" y="0"/>
                        <a:ext cx="1047750" cy="3975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1373823</wp:posOffset>
              </wp:positionH>
              <wp:positionV relativeFrom="paragraph">
                <wp:posOffset>-9522</wp:posOffset>
              </wp:positionV>
              <wp:extent cx="1156970" cy="387985"/>
              <wp:effectExtent b="0" l="0" r="0" t="0"/>
              <wp:wrapNone/>
              <wp:docPr descr="OFFICIAL-SENSITIVE" id="2060931333" name=""/>
              <a:graphic>
                <a:graphicData uri="http://schemas.microsoft.com/office/word/2010/wordprocessingShape">
                  <wps:wsp>
                    <wps:cNvSpPr/>
                    <wps:cNvPr id="7" name="Shape 7"/>
                    <wps:spPr>
                      <a:xfrm>
                        <a:off x="4777040" y="3595533"/>
                        <a:ext cx="1137920" cy="36893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OFFICIAL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1373823</wp:posOffset>
              </wp:positionH>
              <wp:positionV relativeFrom="paragraph">
                <wp:posOffset>-9522</wp:posOffset>
              </wp:positionV>
              <wp:extent cx="1156970" cy="387985"/>
              <wp:effectExtent b="0" l="0" r="0" t="0"/>
              <wp:wrapNone/>
              <wp:docPr descr="OFFICIAL-SENSITIVE" id="2060931333" name="image7.png"/>
              <a:graphic>
                <a:graphicData uri="http://schemas.openxmlformats.org/drawingml/2006/picture">
                  <pic:pic>
                    <pic:nvPicPr>
                      <pic:cNvPr descr="OFFICIAL-SENSITIVE" id="0" name="image7.png"/>
                      <pic:cNvPicPr preferRelativeResize="0"/>
                    </pic:nvPicPr>
                    <pic:blipFill>
                      <a:blip r:embed="rId1"/>
                      <a:srcRect/>
                      <a:stretch>
                        <a:fillRect/>
                      </a:stretch>
                    </pic:blipFill>
                    <pic:spPr>
                      <a:xfrm>
                        <a:off x="0" y="0"/>
                        <a:ext cx="1156970" cy="387985"/>
                      </a:xfrm>
                      <a:prstGeom prst="rect"/>
                      <a:ln/>
                    </pic:spPr>
                  </pic:pic>
                </a:graphicData>
              </a:graphic>
            </wp:anchor>
          </w:drawing>
        </mc:Fallback>
      </mc:AlternateContent>
    </w:r>
  </w:p>
  <w:p w:rsidR="00000000" w:rsidDel="00000000" w:rsidP="00000000" w:rsidRDefault="00000000" w:rsidRPr="00000000" w14:paraId="000000AD">
    <w:pPr>
      <w:rPr>
        <w:i w:val="1"/>
        <w:iCs w:val="1"/>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ab/>
    </w:r>
    <w:r w:rsidDel="00000000" w:rsidR="00000000" w:rsidRPr="00000000">
      <w:rPr>
        <w:i w:val="1"/>
        <w:iCs w:val="1"/>
        <w:sz w:val="16"/>
        <w:szCs w:val="16"/>
        <w:rtl w:val="0"/>
      </w:rPr>
      <w:t xml:space="preserve">Please direct any questions to: </w:t>
    </w:r>
    <w:hyperlink r:id="rId2">
      <w:r w:rsidDel="00000000" w:rsidR="00000000" w:rsidRPr="00000000">
        <w:rPr>
          <w:i w:val="1"/>
          <w:iCs w:val="1"/>
          <w:color w:val="1155cc"/>
          <w:sz w:val="16"/>
          <w:szCs w:val="16"/>
          <w:u w:val="single"/>
          <w:rtl w:val="0"/>
        </w:rPr>
        <w:t xml:space="preserve">ggms_depot_cs@cabinetoffice.gov.uk</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1428434</wp:posOffset>
              </wp:positionH>
              <wp:positionV relativeFrom="paragraph">
                <wp:posOffset>-14283</wp:posOffset>
              </wp:positionV>
              <wp:extent cx="1047750" cy="397510"/>
              <wp:effectExtent b="0" l="0" r="0" t="0"/>
              <wp:wrapNone/>
              <wp:docPr descr="OFFICIAL-SENSITIVE" id="2060931332" name=""/>
              <a:graphic>
                <a:graphicData uri="http://schemas.microsoft.com/office/word/2010/wordprocessingShape">
                  <wps:wsp>
                    <wps:cNvSpPr/>
                    <wps:cNvPr id="6" name="Shape 6"/>
                    <wps:spPr>
                      <a:xfrm>
                        <a:off x="4836413" y="3595533"/>
                        <a:ext cx="1019175" cy="368935"/>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1428434</wp:posOffset>
              </wp:positionH>
              <wp:positionV relativeFrom="paragraph">
                <wp:posOffset>-14283</wp:posOffset>
              </wp:positionV>
              <wp:extent cx="1047750" cy="397510"/>
              <wp:effectExtent b="0" l="0" r="0" t="0"/>
              <wp:wrapNone/>
              <wp:docPr descr="OFFICIAL-SENSITIVE" id="2060931332" name="image6.png"/>
              <a:graphic>
                <a:graphicData uri="http://schemas.openxmlformats.org/drawingml/2006/picture">
                  <pic:pic>
                    <pic:nvPicPr>
                      <pic:cNvPr descr="OFFICIAL-SENSITIVE" id="0" name="image6.png"/>
                      <pic:cNvPicPr preferRelativeResize="0"/>
                    </pic:nvPicPr>
                    <pic:blipFill>
                      <a:blip r:embed="rId1"/>
                      <a:srcRect/>
                      <a:stretch>
                        <a:fillRect/>
                      </a:stretch>
                    </pic:blipFill>
                    <pic:spPr>
                      <a:xfrm>
                        <a:off x="0" y="0"/>
                        <a:ext cx="1047750" cy="3975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1373823</wp:posOffset>
              </wp:positionH>
              <wp:positionV relativeFrom="paragraph">
                <wp:posOffset>-9522</wp:posOffset>
              </wp:positionV>
              <wp:extent cx="1156970" cy="387985"/>
              <wp:effectExtent b="0" l="0" r="0" t="0"/>
              <wp:wrapNone/>
              <wp:docPr descr="OFFICIAL-SENSITIVE" id="2060931329" name=""/>
              <a:graphic>
                <a:graphicData uri="http://schemas.microsoft.com/office/word/2010/wordprocessingShape">
                  <wps:wsp>
                    <wps:cNvSpPr/>
                    <wps:cNvPr id="3" name="Shape 3"/>
                    <wps:spPr>
                      <a:xfrm>
                        <a:off x="4777040" y="3595533"/>
                        <a:ext cx="1137920" cy="36893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OFFICIAL-SENSITIVE</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1373823</wp:posOffset>
              </wp:positionH>
              <wp:positionV relativeFrom="paragraph">
                <wp:posOffset>-9522</wp:posOffset>
              </wp:positionV>
              <wp:extent cx="1156970" cy="387985"/>
              <wp:effectExtent b="0" l="0" r="0" t="0"/>
              <wp:wrapNone/>
              <wp:docPr descr="OFFICIAL-SENSITIVE" id="2060931329" name="image3.png"/>
              <a:graphic>
                <a:graphicData uri="http://schemas.openxmlformats.org/drawingml/2006/picture">
                  <pic:pic>
                    <pic:nvPicPr>
                      <pic:cNvPr descr="OFFICIAL-SENSITIVE" id="0" name="image3.png"/>
                      <pic:cNvPicPr preferRelativeResize="0"/>
                    </pic:nvPicPr>
                    <pic:blipFill>
                      <a:blip r:embed="rId1"/>
                      <a:srcRect/>
                      <a:stretch>
                        <a:fillRect/>
                      </a:stretch>
                    </pic:blipFill>
                    <pic:spPr>
                      <a:xfrm>
                        <a:off x="0" y="0"/>
                        <a:ext cx="1156970" cy="38798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1373823</wp:posOffset>
              </wp:positionH>
              <wp:positionV relativeFrom="paragraph">
                <wp:posOffset>-9522</wp:posOffset>
              </wp:positionV>
              <wp:extent cx="1156970" cy="387985"/>
              <wp:effectExtent b="0" l="0" r="0" t="0"/>
              <wp:wrapNone/>
              <wp:docPr descr="OFFICIAL-SENSITIVE" id="2060931338" name=""/>
              <a:graphic>
                <a:graphicData uri="http://schemas.microsoft.com/office/word/2010/wordprocessingShape">
                  <wps:wsp>
                    <wps:cNvSpPr/>
                    <wps:cNvPr id="12" name="Shape 12"/>
                    <wps:spPr>
                      <a:xfrm>
                        <a:off x="4777040" y="3595533"/>
                        <a:ext cx="1137920" cy="36893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OFFICIAL-SENSITIVE</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1373823</wp:posOffset>
              </wp:positionH>
              <wp:positionV relativeFrom="paragraph">
                <wp:posOffset>-9522</wp:posOffset>
              </wp:positionV>
              <wp:extent cx="1156970" cy="387985"/>
              <wp:effectExtent b="0" l="0" r="0" t="0"/>
              <wp:wrapNone/>
              <wp:docPr descr="OFFICIAL-SENSITIVE" id="2060931338" name="image12.png"/>
              <a:graphic>
                <a:graphicData uri="http://schemas.openxmlformats.org/drawingml/2006/picture">
                  <pic:pic>
                    <pic:nvPicPr>
                      <pic:cNvPr descr="OFFICIAL-SENSITIVE" id="0" name="image12.png"/>
                      <pic:cNvPicPr preferRelativeResize="0"/>
                    </pic:nvPicPr>
                    <pic:blipFill>
                      <a:blip r:embed="rId1"/>
                      <a:srcRect/>
                      <a:stretch>
                        <a:fillRect/>
                      </a:stretch>
                    </pic:blipFill>
                    <pic:spPr>
                      <a:xfrm>
                        <a:off x="0" y="0"/>
                        <a:ext cx="1156970" cy="38798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1428434</wp:posOffset>
              </wp:positionH>
              <wp:positionV relativeFrom="paragraph">
                <wp:posOffset>-14283</wp:posOffset>
              </wp:positionV>
              <wp:extent cx="1047750" cy="397510"/>
              <wp:effectExtent b="0" l="0" r="0" t="0"/>
              <wp:wrapNone/>
              <wp:docPr descr="OFFICIAL-SENSITIVE" id="2060931328" name=""/>
              <a:graphic>
                <a:graphicData uri="http://schemas.microsoft.com/office/word/2010/wordprocessingShape">
                  <wps:wsp>
                    <wps:cNvSpPr/>
                    <wps:cNvPr id="2" name="Shape 2"/>
                    <wps:spPr>
                      <a:xfrm>
                        <a:off x="4836413" y="3595533"/>
                        <a:ext cx="1019175" cy="368935"/>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1428434</wp:posOffset>
              </wp:positionH>
              <wp:positionV relativeFrom="paragraph">
                <wp:posOffset>-14283</wp:posOffset>
              </wp:positionV>
              <wp:extent cx="1047750" cy="397510"/>
              <wp:effectExtent b="0" l="0" r="0" t="0"/>
              <wp:wrapNone/>
              <wp:docPr descr="OFFICIAL-SENSITIVE" id="2060931328" name="image2.png"/>
              <a:graphic>
                <a:graphicData uri="http://schemas.openxmlformats.org/drawingml/2006/picture">
                  <pic:pic>
                    <pic:nvPicPr>
                      <pic:cNvPr descr="OFFICIAL-SENSITIVE" id="0" name="image2.png"/>
                      <pic:cNvPicPr preferRelativeResize="0"/>
                    </pic:nvPicPr>
                    <pic:blipFill>
                      <a:blip r:embed="rId1"/>
                      <a:srcRect/>
                      <a:stretch>
                        <a:fillRect/>
                      </a:stretch>
                    </pic:blipFill>
                    <pic:spPr>
                      <a:xfrm>
                        <a:off x="0" y="0"/>
                        <a:ext cx="1047750" cy="39751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rPr>
        <w:sz w:val="14"/>
        <w:szCs w:val="14"/>
      </w:rPr>
    </w:pPr>
    <w:r w:rsidDel="00000000" w:rsidR="00000000" w:rsidRPr="00000000">
      <w:rPr>
        <w:sz w:val="14"/>
        <w:szCs w:val="14"/>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1047750" cy="397510"/>
              <wp:effectExtent b="0" l="0" r="0" t="0"/>
              <wp:wrapNone/>
              <wp:docPr descr="OFFICIAL-SENSITIVE" id="2060931335" name=""/>
              <a:graphic>
                <a:graphicData uri="http://schemas.microsoft.com/office/word/2010/wordprocessingShape">
                  <wps:wsp>
                    <wps:cNvSpPr/>
                    <wps:cNvPr id="9" name="Shape 9"/>
                    <wps:spPr>
                      <a:xfrm>
                        <a:off x="4836413" y="3595533"/>
                        <a:ext cx="1019175" cy="368935"/>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OFFICIAL</w:t>
                          </w: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1047750" cy="397510"/>
              <wp:effectExtent b="0" l="0" r="0" t="0"/>
              <wp:wrapNone/>
              <wp:docPr descr="OFFICIAL-SENSITIVE" id="2060931335" name="image9.png"/>
              <a:graphic>
                <a:graphicData uri="http://schemas.openxmlformats.org/drawingml/2006/picture">
                  <pic:pic>
                    <pic:nvPicPr>
                      <pic:cNvPr descr="OFFICIAL-SENSITIVE" id="0" name="image9.png"/>
                      <pic:cNvPicPr preferRelativeResize="0"/>
                    </pic:nvPicPr>
                    <pic:blipFill>
                      <a:blip r:embed="rId1"/>
                      <a:srcRect/>
                      <a:stretch>
                        <a:fillRect/>
                      </a:stretch>
                    </pic:blipFill>
                    <pic:spPr>
                      <a:xfrm>
                        <a:off x="0" y="0"/>
                        <a:ext cx="1047750" cy="397510"/>
                      </a:xfrm>
                      <a:prstGeom prst="rect"/>
                      <a:ln/>
                    </pic:spPr>
                  </pic:pic>
                </a:graphicData>
              </a:graphic>
            </wp:anchor>
          </w:drawing>
        </mc:Fallback>
      </mc:AlternateContent>
    </w:r>
    <w:r w:rsidDel="00000000" w:rsidR="00000000" w:rsidRPr="00000000">
      <w:rPr>
        <w:sz w:val="14"/>
        <w:szCs w:val="14"/>
        <w:rtl w:val="0"/>
      </w:rPr>
      <w:tab/>
      <w:t xml:space="preserve">Department for Transport</w:t>
    </w:r>
    <w:r w:rsidDel="00000000" w:rsidR="00000000" w:rsidRPr="00000000">
      <w:drawing>
        <wp:anchor allowOverlap="1" behindDoc="1" distB="0" distT="0" distL="0" distR="0" hidden="0" layoutInCell="1" locked="0" relativeHeight="0" simplePos="0">
          <wp:simplePos x="0" y="0"/>
          <wp:positionH relativeFrom="column">
            <wp:posOffset>-742946</wp:posOffset>
          </wp:positionH>
          <wp:positionV relativeFrom="paragraph">
            <wp:posOffset>-238121</wp:posOffset>
          </wp:positionV>
          <wp:extent cx="959608" cy="642938"/>
          <wp:effectExtent b="0" l="0" r="0" t="0"/>
          <wp:wrapNone/>
          <wp:docPr id="2060931339"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959608" cy="642938"/>
                  </a:xfrm>
                  <a:prstGeom prst="rect"/>
                  <a:ln/>
                </pic:spPr>
              </pic:pic>
            </a:graphicData>
          </a:graphic>
        </wp:anchor>
      </w:drawing>
    </w:r>
  </w:p>
  <w:p w:rsidR="00000000" w:rsidDel="00000000" w:rsidP="00000000" w:rsidRDefault="00000000" w:rsidRPr="00000000" w14:paraId="000000A8">
    <w:pPr>
      <w:ind w:firstLine="720"/>
      <w:rPr>
        <w:sz w:val="14"/>
        <w:szCs w:val="14"/>
      </w:rPr>
    </w:pPr>
    <w:r w:rsidDel="00000000" w:rsidR="00000000" w:rsidRPr="00000000">
      <w:rPr>
        <w:sz w:val="14"/>
        <w:szCs w:val="14"/>
        <w:rtl w:val="0"/>
      </w:rPr>
      <w:t xml:space="preserve">Depot Charging Scheme</w:t>
    </w:r>
  </w:p>
  <w:p w:rsidR="00000000" w:rsidDel="00000000" w:rsidP="00000000" w:rsidRDefault="00000000" w:rsidRPr="00000000" w14:paraId="000000A9">
    <w:pPr>
      <w:rPr>
        <w:sz w:val="14"/>
        <w:szCs w:val="14"/>
      </w:rPr>
    </w:pPr>
    <w:r w:rsidDel="00000000" w:rsidR="00000000" w:rsidRPr="00000000">
      <w:rPr>
        <w:sz w:val="14"/>
        <w:szCs w:val="14"/>
        <w:rtl w:val="0"/>
      </w:rPr>
      <w:tab/>
      <w:t xml:space="preserve">FAQ </w:t>
      <w:tab/>
      <w:tab/>
      <w:tab/>
      <w:tab/>
      <w:tab/>
      <w:tab/>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color w:val="000000"/>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1156970" cy="387985"/>
              <wp:effectExtent b="0" l="0" r="0" t="0"/>
              <wp:wrapNone/>
              <wp:docPr descr="OFFICIAL-SENSITIVE" id="2060931334" name=""/>
              <a:graphic>
                <a:graphicData uri="http://schemas.microsoft.com/office/word/2010/wordprocessingShape">
                  <wps:wsp>
                    <wps:cNvSpPr/>
                    <wps:cNvPr id="8" name="Shape 8"/>
                    <wps:spPr>
                      <a:xfrm>
                        <a:off x="4777040" y="3595533"/>
                        <a:ext cx="1137920" cy="36893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OFFICIAL-SENSITIVE</w:t>
                          </w: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1156970" cy="387985"/>
              <wp:effectExtent b="0" l="0" r="0" t="0"/>
              <wp:wrapNone/>
              <wp:docPr descr="OFFICIAL-SENSITIVE" id="2060931334" name="image8.png"/>
              <a:graphic>
                <a:graphicData uri="http://schemas.openxmlformats.org/drawingml/2006/picture">
                  <pic:pic>
                    <pic:nvPicPr>
                      <pic:cNvPr descr="OFFICIAL-SENSITIVE" id="0" name="image8.png"/>
                      <pic:cNvPicPr preferRelativeResize="0"/>
                    </pic:nvPicPr>
                    <pic:blipFill>
                      <a:blip r:embed="rId1"/>
                      <a:srcRect/>
                      <a:stretch>
                        <a:fillRect/>
                      </a:stretch>
                    </pic:blipFill>
                    <pic:spPr>
                      <a:xfrm>
                        <a:off x="0" y="0"/>
                        <a:ext cx="1156970" cy="38798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1047750" cy="397510"/>
              <wp:effectExtent b="0" l="0" r="0" t="0"/>
              <wp:wrapNone/>
              <wp:docPr descr="OFFICIAL-SENSITIVE" id="2060931337" name=""/>
              <a:graphic>
                <a:graphicData uri="http://schemas.microsoft.com/office/word/2010/wordprocessingShape">
                  <wps:wsp>
                    <wps:cNvSpPr/>
                    <wps:cNvPr id="11" name="Shape 11"/>
                    <wps:spPr>
                      <a:xfrm>
                        <a:off x="4836413" y="3595533"/>
                        <a:ext cx="1019175" cy="368935"/>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OFFICIAL-SENSITIVE</w:t>
                          </w: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1047750" cy="397510"/>
              <wp:effectExtent b="0" l="0" r="0" t="0"/>
              <wp:wrapNone/>
              <wp:docPr descr="OFFICIAL-SENSITIVE" id="2060931337" name="image11.png"/>
              <a:graphic>
                <a:graphicData uri="http://schemas.openxmlformats.org/drawingml/2006/picture">
                  <pic:pic>
                    <pic:nvPicPr>
                      <pic:cNvPr descr="OFFICIAL-SENSITIVE" id="0" name="image11.png"/>
                      <pic:cNvPicPr preferRelativeResize="0"/>
                    </pic:nvPicPr>
                    <pic:blipFill>
                      <a:blip r:embed="rId1"/>
                      <a:srcRect/>
                      <a:stretch>
                        <a:fillRect/>
                      </a:stretch>
                    </pic:blipFill>
                    <pic:spPr>
                      <a:xfrm>
                        <a:off x="0" y="0"/>
                        <a:ext cx="1047750" cy="39751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color w:val="000000"/>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1156970" cy="387985"/>
              <wp:effectExtent b="0" l="0" r="0" t="0"/>
              <wp:wrapNone/>
              <wp:docPr descr="OFFICIAL-SENSITIVE" id="2060931336" name=""/>
              <a:graphic>
                <a:graphicData uri="http://schemas.microsoft.com/office/word/2010/wordprocessingShape">
                  <wps:wsp>
                    <wps:cNvSpPr/>
                    <wps:cNvPr id="10" name="Shape 10"/>
                    <wps:spPr>
                      <a:xfrm>
                        <a:off x="4777040" y="3595533"/>
                        <a:ext cx="1137920" cy="36893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OFFICIAL-SENSITIVE</w:t>
                          </w: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1156970" cy="387985"/>
              <wp:effectExtent b="0" l="0" r="0" t="0"/>
              <wp:wrapNone/>
              <wp:docPr descr="OFFICIAL-SENSITIVE" id="2060931336" name="image10.png"/>
              <a:graphic>
                <a:graphicData uri="http://schemas.openxmlformats.org/drawingml/2006/picture">
                  <pic:pic>
                    <pic:nvPicPr>
                      <pic:cNvPr descr="OFFICIAL-SENSITIVE" id="0" name="image10.png"/>
                      <pic:cNvPicPr preferRelativeResize="0"/>
                    </pic:nvPicPr>
                    <pic:blipFill>
                      <a:blip r:embed="rId1"/>
                      <a:srcRect/>
                      <a:stretch>
                        <a:fillRect/>
                      </a:stretch>
                    </pic:blipFill>
                    <pic:spPr>
                      <a:xfrm>
                        <a:off x="0" y="0"/>
                        <a:ext cx="1156970" cy="38798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1047750" cy="397510"/>
              <wp:effectExtent b="0" l="0" r="0" t="0"/>
              <wp:wrapNone/>
              <wp:docPr descr="OFFICIAL-SENSITIVE" id="2060931331" name=""/>
              <a:graphic>
                <a:graphicData uri="http://schemas.microsoft.com/office/word/2010/wordprocessingShape">
                  <wps:wsp>
                    <wps:cNvSpPr/>
                    <wps:cNvPr id="5" name="Shape 5"/>
                    <wps:spPr>
                      <a:xfrm>
                        <a:off x="4836413" y="3595533"/>
                        <a:ext cx="1019175" cy="368935"/>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OFFICIAL-SENSITIVE</w:t>
                          </w: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1047750" cy="397510"/>
              <wp:effectExtent b="0" l="0" r="0" t="0"/>
              <wp:wrapNone/>
              <wp:docPr descr="OFFICIAL-SENSITIVE" id="2060931331" name="image5.png"/>
              <a:graphic>
                <a:graphicData uri="http://schemas.openxmlformats.org/drawingml/2006/picture">
                  <pic:pic>
                    <pic:nvPicPr>
                      <pic:cNvPr descr="OFFICIAL-SENSITIVE" id="0" name="image5.png"/>
                      <pic:cNvPicPr preferRelativeResize="0"/>
                    </pic:nvPicPr>
                    <pic:blipFill>
                      <a:blip r:embed="rId1"/>
                      <a:srcRect/>
                      <a:stretch>
                        <a:fillRect/>
                      </a:stretch>
                    </pic:blipFill>
                    <pic:spPr>
                      <a:xfrm>
                        <a:off x="0" y="0"/>
                        <a:ext cx="1047750" cy="39751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FC4E7C"/>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C4E7C"/>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C4E7C"/>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C4E7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FC4E7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C4E7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C4E7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C4E7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C4E7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C4E7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C4E7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C4E7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C4E7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C4E7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C4E7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C4E7C"/>
    <w:rPr>
      <w:i w:val="1"/>
      <w:iCs w:val="1"/>
      <w:color w:val="404040" w:themeColor="text1" w:themeTint="0000BF"/>
    </w:rPr>
  </w:style>
  <w:style w:type="paragraph" w:styleId="ListParagraph">
    <w:name w:val="List Paragraph"/>
    <w:basedOn w:val="Normal"/>
    <w:uiPriority w:val="34"/>
    <w:qFormat w:val="1"/>
    <w:rsid w:val="00FC4E7C"/>
    <w:pPr>
      <w:ind w:left="720"/>
      <w:contextualSpacing w:val="1"/>
    </w:pPr>
  </w:style>
  <w:style w:type="character" w:styleId="IntenseEmphasis">
    <w:name w:val="Intense Emphasis"/>
    <w:basedOn w:val="DefaultParagraphFont"/>
    <w:uiPriority w:val="21"/>
    <w:qFormat w:val="1"/>
    <w:rsid w:val="00FC4E7C"/>
    <w:rPr>
      <w:i w:val="1"/>
      <w:iCs w:val="1"/>
      <w:color w:val="0f4761" w:themeColor="accent1" w:themeShade="0000BF"/>
    </w:rPr>
  </w:style>
  <w:style w:type="paragraph" w:styleId="IntenseQuote">
    <w:name w:val="Intense Quote"/>
    <w:basedOn w:val="Normal"/>
    <w:next w:val="Normal"/>
    <w:link w:val="IntenseQuoteChar"/>
    <w:uiPriority w:val="30"/>
    <w:qFormat w:val="1"/>
    <w:rsid w:val="00FC4E7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C4E7C"/>
    <w:rPr>
      <w:i w:val="1"/>
      <w:iCs w:val="1"/>
      <w:color w:val="0f4761" w:themeColor="accent1" w:themeShade="0000BF"/>
    </w:rPr>
  </w:style>
  <w:style w:type="character" w:styleId="IntenseReference">
    <w:name w:val="Intense Reference"/>
    <w:basedOn w:val="DefaultParagraphFont"/>
    <w:uiPriority w:val="32"/>
    <w:qFormat w:val="1"/>
    <w:rsid w:val="00FC4E7C"/>
    <w:rPr>
      <w:b w:val="1"/>
      <w:bCs w:val="1"/>
      <w:smallCaps w:val="1"/>
      <w:color w:val="0f4761" w:themeColor="accent1" w:themeShade="0000BF"/>
      <w:spacing w:val="5"/>
    </w:r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rFonts w:ascii="Arial" w:cs="Arial" w:eastAsia="Arial" w:hAnsi="Arial"/>
      <w:kern w:val="0"/>
      <w:sz w:val="20"/>
      <w:szCs w:val="20"/>
      <w:lang w:eastAsia="en-GB"/>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semiHidden w:val="1"/>
    <w:unhideWhenUsed w:val="1"/>
    <w:rsid w:val="003F7897"/>
    <w:pPr>
      <w:tabs>
        <w:tab w:val="center" w:pos="4513"/>
        <w:tab w:val="right" w:pos="9026"/>
      </w:tabs>
      <w:spacing w:line="240" w:lineRule="auto"/>
    </w:pPr>
  </w:style>
  <w:style w:type="character" w:styleId="HeaderChar" w:customStyle="1">
    <w:name w:val="Header Char"/>
    <w:basedOn w:val="DefaultParagraphFont"/>
    <w:link w:val="Header"/>
    <w:uiPriority w:val="99"/>
    <w:semiHidden w:val="1"/>
    <w:rsid w:val="003F7897"/>
    <w:rPr>
      <w:rFonts w:ascii="Arial" w:cs="Arial" w:eastAsia="Arial" w:hAnsi="Arial"/>
      <w:kern w:val="0"/>
      <w:lang w:eastAsia="en-GB"/>
    </w:rPr>
  </w:style>
  <w:style w:type="paragraph" w:styleId="Footer">
    <w:name w:val="footer"/>
    <w:basedOn w:val="Normal"/>
    <w:link w:val="FooterChar"/>
    <w:uiPriority w:val="99"/>
    <w:semiHidden w:val="1"/>
    <w:unhideWhenUsed w:val="1"/>
    <w:rsid w:val="003F7897"/>
    <w:pPr>
      <w:tabs>
        <w:tab w:val="center" w:pos="4513"/>
        <w:tab w:val="right" w:pos="9026"/>
      </w:tabs>
      <w:spacing w:line="240" w:lineRule="auto"/>
    </w:pPr>
  </w:style>
  <w:style w:type="character" w:styleId="FooterChar" w:customStyle="1">
    <w:name w:val="Footer Char"/>
    <w:basedOn w:val="DefaultParagraphFont"/>
    <w:link w:val="Footer"/>
    <w:uiPriority w:val="99"/>
    <w:semiHidden w:val="1"/>
    <w:rsid w:val="003F7897"/>
    <w:rPr>
      <w:rFonts w:ascii="Arial" w:cs="Arial" w:eastAsia="Arial" w:hAnsi="Arial"/>
      <w:kern w:val="0"/>
      <w:lang w:eastAsia="en-GB"/>
    </w:rPr>
  </w:style>
  <w:style w:type="paragraph" w:styleId="Revision">
    <w:name w:val="Revision"/>
    <w:hidden w:val="1"/>
    <w:uiPriority w:val="99"/>
    <w:semiHidden w:val="1"/>
    <w:rsid w:val="00891F04"/>
    <w:pPr>
      <w:spacing w:after="0" w:line="240" w:lineRule="auto"/>
    </w:pPr>
    <w:rPr>
      <w:rFonts w:ascii="Arial" w:cs="Arial" w:eastAsia="Arial" w:hAnsi="Arial"/>
      <w:kern w:val="0"/>
      <w:lang w:eastAsia="en-GB"/>
    </w:rPr>
  </w:style>
  <w:style w:type="paragraph" w:styleId="CommentSubject">
    <w:name w:val="annotation subject"/>
    <w:basedOn w:val="CommentText"/>
    <w:next w:val="CommentText"/>
    <w:link w:val="CommentSubjectChar"/>
    <w:uiPriority w:val="99"/>
    <w:semiHidden w:val="1"/>
    <w:unhideWhenUsed w:val="1"/>
    <w:rsid w:val="00A55AA2"/>
    <w:rPr>
      <w:b w:val="1"/>
      <w:bCs w:val="1"/>
    </w:rPr>
  </w:style>
  <w:style w:type="character" w:styleId="CommentSubjectChar" w:customStyle="1">
    <w:name w:val="Comment Subject Char"/>
    <w:basedOn w:val="CommentTextChar"/>
    <w:link w:val="CommentSubject"/>
    <w:uiPriority w:val="99"/>
    <w:semiHidden w:val="1"/>
    <w:rsid w:val="00A55AA2"/>
    <w:rPr>
      <w:rFonts w:ascii="Arial" w:cs="Arial" w:eastAsia="Arial" w:hAnsi="Arial"/>
      <w:b w:val="1"/>
      <w:bCs w:val="1"/>
      <w:kern w:val="0"/>
      <w:sz w:val="20"/>
      <w:szCs w:val="20"/>
      <w:lang w:eastAsia="en-GB"/>
    </w:rPr>
  </w:style>
  <w:style w:type="character" w:styleId="Hyperlink">
    <w:name w:val="Hyperlink"/>
    <w:basedOn w:val="DefaultParagraphFont"/>
    <w:uiPriority w:val="99"/>
    <w:unhideWhenUsed w:val="1"/>
    <w:rsid w:val="001B3BBF"/>
    <w:rPr>
      <w:color w:val="467886"/>
      <w:u w:val="single"/>
    </w:rPr>
  </w:style>
  <w:style w:type="paragraph" w:styleId="TOC2">
    <w:name w:val="toc 2"/>
    <w:basedOn w:val="Normal"/>
    <w:next w:val="Normal"/>
    <w:uiPriority w:val="39"/>
    <w:unhideWhenUsed w:val="1"/>
    <w:rsid w:val="001B3BBF"/>
    <w:pPr>
      <w:spacing w:after="100"/>
      <w:ind w:left="220"/>
    </w:pPr>
  </w:style>
  <w:style w:type="paragraph" w:styleId="TOC1">
    <w:name w:val="toc 1"/>
    <w:basedOn w:val="Normal"/>
    <w:next w:val="Normal"/>
    <w:uiPriority w:val="39"/>
    <w:unhideWhenUsed w:val="1"/>
    <w:rsid w:val="001B3BBF"/>
    <w:pPr>
      <w:spacing w:after="100"/>
    </w:pPr>
  </w:style>
  <w:style w:type="paragraph" w:styleId="xmsolistparagraph" w:customStyle="1">
    <w:name w:val="x_msolistparagraph"/>
    <w:basedOn w:val="Normal"/>
    <w:rsid w:val="00EF4C58"/>
    <w:pPr>
      <w:spacing w:after="100" w:afterAutospacing="1" w:before="100" w:beforeAutospacing="1" w:line="240" w:lineRule="auto"/>
    </w:pPr>
    <w:rPr>
      <w:rFonts w:ascii="Times New Roman" w:cs="Times New Roman" w:eastAsia="Times New Roman" w:hAnsi="Times New Roman"/>
      <w:sz w:val="24"/>
      <w:szCs w:val="24"/>
    </w:rPr>
  </w:style>
  <w:style w:type="paragraph" w:styleId="xmsonormal" w:customStyle="1">
    <w:name w:val="x_msonormal"/>
    <w:basedOn w:val="Normal"/>
    <w:rsid w:val="00EF4C5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ggms_depot_cs@cabinetoffice.gov.uk"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ind-government-grants.service.gov.uk/info/privacy" TargetMode="External"/><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ind-government-grants.service.gov.uk/grants/plug-in-van-and-truck-grant-1" TargetMode="External"/><Relationship Id="rId8" Type="http://schemas.openxmlformats.org/officeDocument/2006/relationships/hyperlink" Target="mailto:ggms_depot_cs@cabinetoffice.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hyperlink" Target="mailto:ggms_depot_cs@cabinetoffice.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rYXAygztBKfOb9pTaT6T3WzG2g==">CgMxLjAyDmgubWZrajUzOWV2Ymk1Mg5oLjlla3psNXpka3psZDIOaC5tdTZzMzhyM2R1bjEyDmgucWpiZHE0M2p3amVpMg5oLjMzZDdoODNrc2FkdDgAciExR2RwVGJyNTRqemlzeFhHRnFwWS1hOGhfdUZmdW1ES2Q=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2026-02-27T16:19:00Z</dcterms:created>
  <dc:creator>Sebastian Rowlands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25aa816,591e1346,41a53c62</vt:lpwstr>
  </property>
  <property fmtid="{D5CDD505-2E9C-101B-9397-08002B2CF9AE}" pid="3" name="ClassificationContentMarkingHeaderFontProps">
    <vt:lpwstr>#000000,10,Aptos</vt:lpwstr>
  </property>
  <property fmtid="{D5CDD505-2E9C-101B-9397-08002B2CF9AE}" pid="4" name="ClassificationContentMarkingHeaderText">
    <vt:lpwstr>OFFICIAL-SENSITIVE</vt:lpwstr>
  </property>
  <property fmtid="{D5CDD505-2E9C-101B-9397-08002B2CF9AE}" pid="5" name="ClassificationContentMarkingFooterShapeIds">
    <vt:lpwstr>7ad750f3,160ad888,4b31bd7f</vt:lpwstr>
  </property>
  <property fmtid="{D5CDD505-2E9C-101B-9397-08002B2CF9AE}" pid="6" name="ClassificationContentMarkingFooterFontProps">
    <vt:lpwstr>#000000,10,Aptos</vt:lpwstr>
  </property>
  <property fmtid="{D5CDD505-2E9C-101B-9397-08002B2CF9AE}" pid="7" name="ClassificationContentMarkingFooterText">
    <vt:lpwstr>OFFICIAL-SENSITIVE</vt:lpwstr>
  </property>
  <property fmtid="{D5CDD505-2E9C-101B-9397-08002B2CF9AE}" pid="8" name="ContentTypeId">
    <vt:lpwstr>0x01010025A8D3D52BAE3D4AB9F716DC7121B127</vt:lpwstr>
  </property>
  <property fmtid="{D5CDD505-2E9C-101B-9397-08002B2CF9AE}" pid="9" name="Financial_x0020_Year">
    <vt:lpwstr/>
  </property>
  <property fmtid="{D5CDD505-2E9C-101B-9397-08002B2CF9AE}" pid="10" name="Custom_x0020_Tag">
    <vt:lpwstr/>
  </property>
  <property fmtid="{D5CDD505-2E9C-101B-9397-08002B2CF9AE}" pid="11" name="Custom Tag">
    <vt:lpwstr/>
  </property>
  <property fmtid="{D5CDD505-2E9C-101B-9397-08002B2CF9AE}" pid="12" name="Financial Year">
    <vt:lpwstr/>
  </property>
  <property fmtid="{D5CDD505-2E9C-101B-9397-08002B2CF9AE}" pid="13" name="docLang">
    <vt:lpwstr>en</vt:lpwstr>
  </property>
</Properties>
</file>