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F0D3" w14:textId="77777777" w:rsidR="00D14BBA" w:rsidRPr="0095649B" w:rsidRDefault="00D14BBA" w:rsidP="00D14BBA">
      <w:pPr>
        <w:pStyle w:val="Heading1"/>
        <w:spacing w:before="120" w:after="120"/>
        <w:jc w:val="both"/>
        <w:rPr>
          <w:rStyle w:val="Heading1Char"/>
          <w:rFonts w:ascii="Times New Roman" w:hAnsi="Times New Roman"/>
          <w:b/>
          <w:bCs/>
        </w:rPr>
      </w:pPr>
      <w:bookmarkStart w:id="0" w:name="_GoBack"/>
      <w:bookmarkEnd w:id="0"/>
      <w:r w:rsidRPr="0095649B">
        <w:rPr>
          <w:rStyle w:val="Heading1Char"/>
          <w:rFonts w:ascii="Times New Roman" w:hAnsi="Times New Roman"/>
          <w:b/>
          <w:bCs/>
        </w:rPr>
        <w:t>Tax Projection Services (Individual and Business)</w:t>
      </w:r>
    </w:p>
    <w:p w14:paraId="2AEFF0D4" w14:textId="77777777" w:rsidR="008F5EAD" w:rsidRPr="0095649B" w:rsidRDefault="008F5EAD" w:rsidP="00D14BBA">
      <w:pPr>
        <w:spacing w:before="120" w:after="120"/>
        <w:jc w:val="both"/>
        <w:rPr>
          <w:b/>
        </w:rPr>
      </w:pPr>
    </w:p>
    <w:p w14:paraId="2AEFF0D5" w14:textId="77777777" w:rsidR="00D14BBA" w:rsidRPr="0095649B" w:rsidRDefault="00D14BBA" w:rsidP="00D14BBA">
      <w:pPr>
        <w:spacing w:before="120" w:after="120"/>
        <w:jc w:val="both"/>
        <w:rPr>
          <w:b/>
        </w:rPr>
      </w:pPr>
      <w:r w:rsidRPr="0095649B">
        <w:rPr>
          <w:b/>
        </w:rPr>
        <w:t>Instructions:</w:t>
      </w:r>
    </w:p>
    <w:p w14:paraId="2AEFF0D7" w14:textId="77777777" w:rsidR="006273C7" w:rsidRPr="006D094B" w:rsidRDefault="006273C7" w:rsidP="006273C7">
      <w:pPr>
        <w:pStyle w:val="BodyText"/>
        <w:tabs>
          <w:tab w:val="left" w:pos="1440"/>
          <w:tab w:val="left" w:pos="1620"/>
        </w:tabs>
        <w:spacing w:before="120"/>
        <w:jc w:val="both"/>
      </w:pPr>
      <w:r w:rsidRPr="006D094B">
        <w:t>Due to rapid changes in professional standards and laws applicable to the practice of public accountancy, you also should refer to the following for additional guidance regarding the content of engagement letters:</w:t>
      </w:r>
    </w:p>
    <w:p w14:paraId="2AEFF0D8" w14:textId="77777777" w:rsidR="00843D5F" w:rsidRPr="006D094B" w:rsidRDefault="001A4F7B" w:rsidP="00843D5F">
      <w:pPr>
        <w:pStyle w:val="BlockText"/>
        <w:numPr>
          <w:ilvl w:val="0"/>
          <w:numId w:val="5"/>
        </w:numPr>
        <w:spacing w:before="120"/>
        <w:ind w:right="0"/>
        <w:jc w:val="both"/>
      </w:pPr>
      <w:hyperlink r:id="rId8" w:history="1">
        <w:r w:rsidR="00843D5F" w:rsidRPr="006D094B">
          <w:rPr>
            <w:rStyle w:val="Hyperlink"/>
          </w:rPr>
          <w:t>U.S. Treasury Department Circular 230</w:t>
        </w:r>
      </w:hyperlink>
    </w:p>
    <w:p w14:paraId="2AEFF0D9" w14:textId="77777777" w:rsidR="006273C7" w:rsidRPr="006D094B" w:rsidRDefault="001A4F7B" w:rsidP="006273C7">
      <w:pPr>
        <w:pStyle w:val="BlockText"/>
        <w:numPr>
          <w:ilvl w:val="0"/>
          <w:numId w:val="5"/>
        </w:numPr>
        <w:spacing w:before="120"/>
        <w:ind w:right="0"/>
        <w:jc w:val="both"/>
      </w:pPr>
      <w:hyperlink r:id="rId9" w:history="1">
        <w:r w:rsidR="006273C7" w:rsidRPr="006D094B">
          <w:rPr>
            <w:rStyle w:val="Hyperlink"/>
          </w:rPr>
          <w:t>AICPA Professional Standards</w:t>
        </w:r>
      </w:hyperlink>
      <w:r w:rsidR="006273C7" w:rsidRPr="006D094B">
        <w:t>, rules and interpretations</w:t>
      </w:r>
    </w:p>
    <w:p w14:paraId="2AEFF0DA" w14:textId="77777777" w:rsidR="006273C7" w:rsidRPr="006D094B" w:rsidRDefault="006273C7" w:rsidP="006273C7">
      <w:pPr>
        <w:pStyle w:val="BlockText"/>
        <w:numPr>
          <w:ilvl w:val="0"/>
          <w:numId w:val="5"/>
        </w:numPr>
        <w:spacing w:before="120"/>
        <w:ind w:right="0"/>
        <w:jc w:val="both"/>
      </w:pPr>
      <w:r w:rsidRPr="006D094B">
        <w:t>AICPA practice aids and training materials</w:t>
      </w:r>
    </w:p>
    <w:p w14:paraId="2AEFF0DB" w14:textId="77777777" w:rsidR="006273C7" w:rsidRPr="006D094B" w:rsidRDefault="006273C7" w:rsidP="006273C7">
      <w:pPr>
        <w:pStyle w:val="BlockText"/>
        <w:numPr>
          <w:ilvl w:val="0"/>
          <w:numId w:val="5"/>
        </w:numPr>
        <w:spacing w:before="120"/>
        <w:ind w:right="0"/>
        <w:jc w:val="both"/>
      </w:pPr>
      <w:r w:rsidRPr="006D094B">
        <w:t>State board of accountancy rules</w:t>
      </w:r>
    </w:p>
    <w:p w14:paraId="2AEFF0DC" w14:textId="77777777" w:rsidR="006273C7" w:rsidRPr="006D094B" w:rsidRDefault="006273C7" w:rsidP="006273C7">
      <w:pPr>
        <w:pStyle w:val="BlockText"/>
        <w:numPr>
          <w:ilvl w:val="0"/>
          <w:numId w:val="5"/>
        </w:numPr>
        <w:spacing w:before="120"/>
        <w:ind w:right="0"/>
        <w:jc w:val="both"/>
      </w:pPr>
      <w:r w:rsidRPr="006D094B">
        <w:t>Other applicable laws and regulations</w:t>
      </w:r>
      <w:r w:rsidR="008F5EAD" w:rsidRPr="006D094B">
        <w:t xml:space="preserve">, including </w:t>
      </w:r>
      <w:r w:rsidR="00D261E7" w:rsidRPr="006D094B">
        <w:t>laws and regulations</w:t>
      </w:r>
      <w:r w:rsidR="00D001EF" w:rsidRPr="006D094B">
        <w:t xml:space="preserve"> applicable to the client’s industry</w:t>
      </w:r>
    </w:p>
    <w:p w14:paraId="2AEFF0DD" w14:textId="77777777" w:rsidR="006273C7" w:rsidRPr="006D094B" w:rsidRDefault="006273C7" w:rsidP="006273C7">
      <w:pPr>
        <w:spacing w:before="120" w:after="120"/>
        <w:jc w:val="both"/>
      </w:pPr>
    </w:p>
    <w:p w14:paraId="2AEFF0DE" w14:textId="77777777" w:rsidR="006273C7" w:rsidRPr="006D094B" w:rsidRDefault="006273C7" w:rsidP="006273C7">
      <w:pPr>
        <w:spacing w:before="120" w:after="120"/>
        <w:jc w:val="both"/>
        <w:rPr>
          <w:b/>
        </w:rPr>
      </w:pPr>
      <w:r w:rsidRPr="006D094B">
        <w:rPr>
          <w:b/>
        </w:rPr>
        <w:t>Tax Projection Services Engagement Letter Considerations:</w:t>
      </w:r>
    </w:p>
    <w:p w14:paraId="2AEFF0DF" w14:textId="77777777" w:rsidR="00D14BBA" w:rsidRPr="006D094B" w:rsidRDefault="00D14BBA" w:rsidP="00D14BBA">
      <w:pPr>
        <w:numPr>
          <w:ilvl w:val="0"/>
          <w:numId w:val="1"/>
        </w:numPr>
        <w:spacing w:before="120" w:after="120"/>
        <w:jc w:val="both"/>
      </w:pPr>
      <w:r w:rsidRPr="006D094B">
        <w:t xml:space="preserve">For </w:t>
      </w:r>
      <w:r w:rsidR="006273C7" w:rsidRPr="006D094B">
        <w:t xml:space="preserve">a </w:t>
      </w:r>
      <w:r w:rsidRPr="006D094B">
        <w:t>new client</w:t>
      </w:r>
      <w:r w:rsidR="006273C7" w:rsidRPr="006D094B">
        <w:t>, perform due diligence by implementing the following measures</w:t>
      </w:r>
      <w:r w:rsidRPr="006D094B">
        <w:t>:</w:t>
      </w:r>
    </w:p>
    <w:p w14:paraId="2AEFF0E0" w14:textId="77777777" w:rsidR="006273C7" w:rsidRPr="006D094B" w:rsidRDefault="006273C7" w:rsidP="00D14BBA">
      <w:pPr>
        <w:numPr>
          <w:ilvl w:val="1"/>
          <w:numId w:val="1"/>
        </w:numPr>
        <w:spacing w:before="120" w:after="120"/>
        <w:jc w:val="both"/>
      </w:pPr>
      <w:r w:rsidRPr="006D094B">
        <w:t>D</w:t>
      </w:r>
      <w:r w:rsidR="00D14BBA" w:rsidRPr="006D094B">
        <w:t>etermine how the tax projection will be used</w:t>
      </w:r>
      <w:r w:rsidRPr="006D094B">
        <w:t>.</w:t>
      </w:r>
    </w:p>
    <w:p w14:paraId="2AEFF0E1" w14:textId="77777777" w:rsidR="006273C7" w:rsidRPr="006D094B" w:rsidRDefault="006273C7" w:rsidP="00D14BBA">
      <w:pPr>
        <w:numPr>
          <w:ilvl w:val="1"/>
          <w:numId w:val="1"/>
        </w:numPr>
        <w:spacing w:before="120" w:after="120"/>
        <w:jc w:val="both"/>
      </w:pPr>
      <w:r w:rsidRPr="006D094B">
        <w:t>E</w:t>
      </w:r>
      <w:r w:rsidR="00D14BBA" w:rsidRPr="006D094B">
        <w:t>valuate the risks associated with undertaking the engagement.</w:t>
      </w:r>
    </w:p>
    <w:p w14:paraId="2AEFF0E2" w14:textId="77777777" w:rsidR="006273C7" w:rsidRPr="006D094B" w:rsidRDefault="006273C7" w:rsidP="00D14BBA">
      <w:pPr>
        <w:numPr>
          <w:ilvl w:val="1"/>
          <w:numId w:val="1"/>
        </w:numPr>
        <w:spacing w:before="120" w:after="120"/>
        <w:jc w:val="both"/>
      </w:pPr>
      <w:r w:rsidRPr="006D094B">
        <w:t>Review p</w:t>
      </w:r>
      <w:r w:rsidR="00D14BBA" w:rsidRPr="006D094B">
        <w:t>rior year returns</w:t>
      </w:r>
      <w:r w:rsidRPr="006D094B">
        <w:t>.</w:t>
      </w:r>
    </w:p>
    <w:p w14:paraId="2AEFF0E3" w14:textId="77777777" w:rsidR="00D14BBA" w:rsidRPr="006D094B" w:rsidRDefault="006273C7" w:rsidP="00D14BBA">
      <w:pPr>
        <w:numPr>
          <w:ilvl w:val="1"/>
          <w:numId w:val="1"/>
        </w:numPr>
        <w:spacing w:before="120" w:after="120"/>
        <w:jc w:val="both"/>
      </w:pPr>
      <w:r w:rsidRPr="006D094B">
        <w:t xml:space="preserve">Interview new </w:t>
      </w:r>
      <w:r w:rsidR="00D14BBA" w:rsidRPr="006D094B">
        <w:t>client(s) to determine their current tax status.</w:t>
      </w:r>
    </w:p>
    <w:p w14:paraId="2AEFF0E4" w14:textId="77777777" w:rsidR="00D14BBA" w:rsidRPr="006D094B" w:rsidRDefault="00D14BBA" w:rsidP="00D14BBA">
      <w:pPr>
        <w:numPr>
          <w:ilvl w:val="1"/>
          <w:numId w:val="1"/>
        </w:numPr>
        <w:spacing w:before="120" w:after="120"/>
        <w:jc w:val="both"/>
      </w:pPr>
      <w:r w:rsidRPr="006D094B">
        <w:t>Consider both the client’s ability to pay professional fees and the need to obtain a retainer prior to rendering services.</w:t>
      </w:r>
    </w:p>
    <w:p w14:paraId="2AEFF0E5" w14:textId="77777777" w:rsidR="008F5EAD" w:rsidRPr="006D094B" w:rsidRDefault="00D001EF" w:rsidP="008F5EAD">
      <w:pPr>
        <w:numPr>
          <w:ilvl w:val="0"/>
          <w:numId w:val="1"/>
        </w:numPr>
        <w:spacing w:before="120" w:after="120"/>
        <w:jc w:val="both"/>
      </w:pPr>
      <w:r w:rsidRPr="006D094B">
        <w:t xml:space="preserve">Define </w:t>
      </w:r>
      <w:r w:rsidR="008F5EAD" w:rsidRPr="006D094B">
        <w:t>the scope and limitations of the engagement.</w:t>
      </w:r>
    </w:p>
    <w:p w14:paraId="2AEFF0E6" w14:textId="77777777" w:rsidR="008F5EAD" w:rsidRPr="006D094B" w:rsidRDefault="008F5EAD" w:rsidP="008F5EAD">
      <w:pPr>
        <w:numPr>
          <w:ilvl w:val="0"/>
          <w:numId w:val="1"/>
        </w:numPr>
        <w:spacing w:before="120" w:after="120"/>
        <w:jc w:val="both"/>
      </w:pPr>
      <w:r w:rsidRPr="006D094B">
        <w:t>Describe the applicable professional standards for the engagement.</w:t>
      </w:r>
    </w:p>
    <w:p w14:paraId="2AEFF0E7" w14:textId="77777777" w:rsidR="008F5EAD" w:rsidRPr="006D094B" w:rsidRDefault="008F5EAD" w:rsidP="008F5EAD">
      <w:pPr>
        <w:numPr>
          <w:ilvl w:val="0"/>
          <w:numId w:val="1"/>
        </w:numPr>
        <w:spacing w:before="120" w:after="120"/>
        <w:jc w:val="both"/>
      </w:pPr>
      <w:r w:rsidRPr="006D094B">
        <w:t>Describe the client’s responsibilities.</w:t>
      </w:r>
    </w:p>
    <w:p w14:paraId="2AEFF0E8" w14:textId="77777777" w:rsidR="008F5EAD" w:rsidRPr="006D094B" w:rsidRDefault="008F5EAD" w:rsidP="008F5EAD">
      <w:pPr>
        <w:numPr>
          <w:ilvl w:val="0"/>
          <w:numId w:val="1"/>
        </w:numPr>
        <w:spacing w:before="120" w:after="120"/>
        <w:jc w:val="both"/>
      </w:pPr>
      <w:r w:rsidRPr="006D094B">
        <w:t>Describe the CPA firm’s responsibilities.</w:t>
      </w:r>
    </w:p>
    <w:p w14:paraId="2AEFF0E9" w14:textId="77777777" w:rsidR="008F5EAD" w:rsidRPr="006D094B" w:rsidRDefault="008F5EAD" w:rsidP="008F5EAD">
      <w:pPr>
        <w:numPr>
          <w:ilvl w:val="0"/>
          <w:numId w:val="1"/>
        </w:numPr>
        <w:spacing w:before="120" w:after="120"/>
        <w:jc w:val="both"/>
      </w:pPr>
      <w:r w:rsidRPr="006D094B">
        <w:t>Indicate when services will begin and conclude.</w:t>
      </w:r>
    </w:p>
    <w:p w14:paraId="2AEFF0EA" w14:textId="77777777" w:rsidR="00D14BBA" w:rsidRPr="006D094B" w:rsidRDefault="00D14BBA" w:rsidP="00D14BBA">
      <w:pPr>
        <w:numPr>
          <w:ilvl w:val="0"/>
          <w:numId w:val="1"/>
        </w:numPr>
        <w:spacing w:before="120" w:after="120"/>
        <w:jc w:val="both"/>
      </w:pPr>
      <w:r w:rsidRPr="006D094B">
        <w:t>Identify the engagement deliverables. For example,</w:t>
      </w:r>
    </w:p>
    <w:p w14:paraId="2AEFF0EB" w14:textId="77777777" w:rsidR="00D14BBA" w:rsidRPr="006D094B" w:rsidRDefault="00D14BBA" w:rsidP="00D14BBA">
      <w:pPr>
        <w:numPr>
          <w:ilvl w:val="1"/>
          <w:numId w:val="1"/>
        </w:numPr>
        <w:spacing w:before="120" w:after="120"/>
        <w:jc w:val="both"/>
      </w:pPr>
      <w:r w:rsidRPr="006D094B">
        <w:t>“At the conclusion of the engagement, we will provide you with:</w:t>
      </w:r>
    </w:p>
    <w:p w14:paraId="2AEFF0EC" w14:textId="77777777" w:rsidR="00D14BBA" w:rsidRPr="006D094B" w:rsidRDefault="00D14BBA" w:rsidP="00D14BBA">
      <w:pPr>
        <w:numPr>
          <w:ilvl w:val="2"/>
          <w:numId w:val="1"/>
        </w:numPr>
        <w:spacing w:before="120" w:after="120"/>
        <w:ind w:left="1440" w:hanging="360"/>
        <w:jc w:val="both"/>
      </w:pPr>
      <w:r w:rsidRPr="006D094B">
        <w:t>a spreadsheet with year-to-date</w:t>
      </w:r>
      <w:r w:rsidR="007B51AE" w:rsidRPr="006D094B">
        <w:t>,</w:t>
      </w:r>
      <w:r w:rsidRPr="006D094B">
        <w:t xml:space="preserve"> annualized and adjusted items of income and expense. Adjusted items of income and expense will be totaled as projected taxable income and calculations of projected cash-flow needs of shareholders/partners to pay tax on the anticipated income will be provided, or</w:t>
      </w:r>
    </w:p>
    <w:p w14:paraId="2AEFF0ED" w14:textId="77777777" w:rsidR="00D14BBA" w:rsidRPr="006D094B" w:rsidRDefault="00D14BBA" w:rsidP="00D14BBA">
      <w:pPr>
        <w:numPr>
          <w:ilvl w:val="2"/>
          <w:numId w:val="1"/>
        </w:numPr>
        <w:spacing w:before="120" w:after="120"/>
        <w:ind w:left="1440" w:hanging="360"/>
        <w:jc w:val="both"/>
      </w:pPr>
      <w:r w:rsidRPr="006D094B">
        <w:lastRenderedPageBreak/>
        <w:t xml:space="preserve">printed output from our tax planning software summarizing </w:t>
      </w:r>
      <w:r w:rsidR="00DC3D7E" w:rsidRPr="006D094B">
        <w:t xml:space="preserve">projected </w:t>
      </w:r>
      <w:r w:rsidRPr="006D094B">
        <w:t>income, expense</w:t>
      </w:r>
      <w:r w:rsidR="002F28F8" w:rsidRPr="006D094B">
        <w:t>s</w:t>
      </w:r>
      <w:r w:rsidRPr="006D094B">
        <w:t>, payments, credits and the anticipated balance due/refund for federal and [</w:t>
      </w:r>
      <w:r w:rsidRPr="006D094B">
        <w:rPr>
          <w:i/>
        </w:rPr>
        <w:t>Name of State(s)</w:t>
      </w:r>
      <w:r w:rsidRPr="006D094B">
        <w:t>] purposes.”</w:t>
      </w:r>
    </w:p>
    <w:p w14:paraId="2AEFF0EE" w14:textId="77777777" w:rsidR="008F5EAD" w:rsidRPr="006D094B" w:rsidRDefault="008F5EAD" w:rsidP="008F5EAD">
      <w:pPr>
        <w:numPr>
          <w:ilvl w:val="0"/>
          <w:numId w:val="1"/>
        </w:numPr>
        <w:spacing w:before="120" w:after="120"/>
        <w:jc w:val="both"/>
      </w:pPr>
      <w:r w:rsidRPr="006D094B">
        <w:t>Document the limitations on use of the deliverable.</w:t>
      </w:r>
    </w:p>
    <w:p w14:paraId="2AEFF0EF" w14:textId="77777777" w:rsidR="008F5EAD" w:rsidRPr="006D094B" w:rsidRDefault="008F5EAD" w:rsidP="008F5EAD">
      <w:pPr>
        <w:numPr>
          <w:ilvl w:val="0"/>
          <w:numId w:val="1"/>
        </w:numPr>
        <w:spacing w:before="120" w:after="120"/>
        <w:jc w:val="both"/>
      </w:pPr>
      <w:r w:rsidRPr="006D094B">
        <w:t>Discuss penalties and interest charges.</w:t>
      </w:r>
    </w:p>
    <w:p w14:paraId="2AEFF0F0" w14:textId="77777777" w:rsidR="008F5EAD" w:rsidRPr="006D094B" w:rsidRDefault="008F5EAD" w:rsidP="008F5EAD">
      <w:pPr>
        <w:numPr>
          <w:ilvl w:val="0"/>
          <w:numId w:val="1"/>
        </w:numPr>
        <w:spacing w:before="120" w:after="120"/>
        <w:jc w:val="both"/>
      </w:pPr>
      <w:r w:rsidRPr="006D094B">
        <w:t xml:space="preserve">Discuss </w:t>
      </w:r>
      <w:r w:rsidR="00A35749" w:rsidRPr="006D094B">
        <w:t xml:space="preserve">the CPA firm’s </w:t>
      </w:r>
      <w:r w:rsidRPr="006D094B">
        <w:t>responsibilities regarding conflicts of interest.</w:t>
      </w:r>
    </w:p>
    <w:p w14:paraId="2AEFF0F1" w14:textId="77777777" w:rsidR="005D33EC" w:rsidRPr="006D094B" w:rsidRDefault="005D33EC" w:rsidP="005D33EC">
      <w:pPr>
        <w:numPr>
          <w:ilvl w:val="0"/>
          <w:numId w:val="1"/>
        </w:numPr>
        <w:spacing w:before="120" w:after="120"/>
        <w:jc w:val="both"/>
      </w:pPr>
      <w:r w:rsidRPr="006D094B">
        <w:t>Renew the engagement letter at least annually.</w:t>
      </w:r>
    </w:p>
    <w:p w14:paraId="2AEFF0F2" w14:textId="77777777" w:rsidR="00D14BBA" w:rsidRPr="006D094B" w:rsidRDefault="00D14BBA" w:rsidP="00D14BBA">
      <w:pPr>
        <w:numPr>
          <w:ilvl w:val="0"/>
          <w:numId w:val="1"/>
        </w:numPr>
        <w:spacing w:before="120" w:after="120"/>
        <w:jc w:val="both"/>
      </w:pPr>
      <w:r w:rsidRPr="006D094B">
        <w:t xml:space="preserve">Attach the CPA firm’s </w:t>
      </w:r>
      <w:r w:rsidRPr="006D094B">
        <w:rPr>
          <w:i/>
        </w:rPr>
        <w:t>Terms and Conditions Addendum</w:t>
      </w:r>
      <w:r w:rsidRPr="006D094B">
        <w:t xml:space="preserve"> to the engagement letter</w:t>
      </w:r>
      <w:r w:rsidR="00F7232C" w:rsidRPr="006D094B">
        <w:t xml:space="preserve"> and incorporate such by reference</w:t>
      </w:r>
      <w:r w:rsidRPr="006D094B">
        <w:t>.</w:t>
      </w:r>
    </w:p>
    <w:p w14:paraId="2AEFF0F3" w14:textId="77777777" w:rsidR="00727127" w:rsidRPr="0095649B" w:rsidRDefault="00727127" w:rsidP="00651BFF">
      <w:pPr>
        <w:spacing w:before="120" w:after="120"/>
        <w:jc w:val="both"/>
      </w:pPr>
      <w:r w:rsidRPr="006D094B">
        <w:t xml:space="preserve">Engagement letters should not be used for compliance with Internal Revenue Code (“IRC”) §7216, </w:t>
      </w:r>
      <w:r w:rsidRPr="006D094B">
        <w:rPr>
          <w:i/>
        </w:rPr>
        <w:t xml:space="preserve">Disclosure or </w:t>
      </w:r>
      <w:r w:rsidR="007B51AE" w:rsidRPr="006D094B">
        <w:rPr>
          <w:i/>
        </w:rPr>
        <w:t>U</w:t>
      </w:r>
      <w:r w:rsidRPr="006D094B">
        <w:rPr>
          <w:i/>
        </w:rPr>
        <w:t xml:space="preserve">se of </w:t>
      </w:r>
      <w:r w:rsidR="007B51AE" w:rsidRPr="006D094B">
        <w:rPr>
          <w:i/>
        </w:rPr>
        <w:t>I</w:t>
      </w:r>
      <w:r w:rsidRPr="006D094B">
        <w:rPr>
          <w:i/>
        </w:rPr>
        <w:t xml:space="preserve">nformation by </w:t>
      </w:r>
      <w:r w:rsidR="007B51AE" w:rsidRPr="006D094B">
        <w:rPr>
          <w:i/>
        </w:rPr>
        <w:t>P</w:t>
      </w:r>
      <w:r w:rsidRPr="006D094B">
        <w:rPr>
          <w:i/>
        </w:rPr>
        <w:t>repare</w:t>
      </w:r>
      <w:r w:rsidR="008F5EAD" w:rsidRPr="006D094B">
        <w:rPr>
          <w:i/>
        </w:rPr>
        <w:t>r</w:t>
      </w:r>
      <w:r w:rsidRPr="006D094B">
        <w:rPr>
          <w:i/>
        </w:rPr>
        <w:t xml:space="preserve">s of </w:t>
      </w:r>
      <w:r w:rsidR="007B51AE" w:rsidRPr="006D094B">
        <w:rPr>
          <w:i/>
        </w:rPr>
        <w:t>R</w:t>
      </w:r>
      <w:r w:rsidRPr="006D094B">
        <w:rPr>
          <w:i/>
        </w:rPr>
        <w:t>eturns</w:t>
      </w:r>
      <w:r w:rsidRPr="006D094B">
        <w:t>, and the applicable regulations, which generally prohibit the disclosure or use of tax return information without the client’s express written consent</w:t>
      </w:r>
      <w:r w:rsidR="00E6494A" w:rsidRPr="006D094B">
        <w:t>, the form and content of which are prescribed by IRC §7216</w:t>
      </w:r>
      <w:r w:rsidRPr="006D094B">
        <w:t xml:space="preserve">. For more information, </w:t>
      </w:r>
      <w:r w:rsidR="00DD595F" w:rsidRPr="006D094B">
        <w:t xml:space="preserve">see the IRS's </w:t>
      </w:r>
      <w:hyperlink r:id="rId10" w:history="1">
        <w:r w:rsidR="00DD595F" w:rsidRPr="0095649B">
          <w:rPr>
            <w:rStyle w:val="Hyperlink"/>
          </w:rPr>
          <w:t>Section 7216 Information Center</w:t>
        </w:r>
      </w:hyperlink>
      <w:r w:rsidR="00DD595F" w:rsidRPr="0095649B">
        <w:t xml:space="preserve">. For sample IRC </w:t>
      </w:r>
      <w:r w:rsidR="00BD22BE" w:rsidRPr="0095649B">
        <w:t>§</w:t>
      </w:r>
      <w:r w:rsidR="00DD595F" w:rsidRPr="0095649B">
        <w:t xml:space="preserve">7216 consent forms, see the AICPA's </w:t>
      </w:r>
      <w:hyperlink r:id="rId11" w:history="1">
        <w:r w:rsidR="00DD595F" w:rsidRPr="0095649B">
          <w:rPr>
            <w:rStyle w:val="Hyperlink"/>
          </w:rPr>
          <w:t>Section 7216 Guidance and Resources</w:t>
        </w:r>
      </w:hyperlink>
      <w:r w:rsidR="00DD595F" w:rsidRPr="0095649B">
        <w:t>.</w:t>
      </w:r>
    </w:p>
    <w:p w14:paraId="2AEFF0F4" w14:textId="77777777" w:rsidR="00D14BBA" w:rsidRPr="006D094B" w:rsidRDefault="00D14BBA" w:rsidP="00D14BBA">
      <w:pPr>
        <w:spacing w:before="120" w:after="120"/>
        <w:jc w:val="center"/>
        <w:rPr>
          <w:lang w:val="fr-FR"/>
        </w:rPr>
      </w:pPr>
      <w:r w:rsidRPr="006D094B">
        <w:rPr>
          <w:lang w:val="fr-FR"/>
        </w:rPr>
        <w:t>* * * * * *</w:t>
      </w:r>
    </w:p>
    <w:p w14:paraId="2AEFF0F5" w14:textId="77777777" w:rsidR="00D14BBA" w:rsidRPr="006D094B" w:rsidRDefault="00D14BBA" w:rsidP="00D14BBA">
      <w:pPr>
        <w:spacing w:before="120" w:after="120"/>
        <w:jc w:val="both"/>
        <w:rPr>
          <w:u w:val="single"/>
        </w:rPr>
      </w:pPr>
      <w:r w:rsidRPr="006D094B">
        <w:br w:type="page"/>
      </w:r>
      <w:r w:rsidRPr="006D094B">
        <w:rPr>
          <w:u w:val="single"/>
        </w:rPr>
        <w:lastRenderedPageBreak/>
        <w:t xml:space="preserve">SAMPLE ONLY – CONSULT WITH </w:t>
      </w:r>
      <w:r w:rsidR="00D001EF" w:rsidRPr="006D094B">
        <w:rPr>
          <w:u w:val="single"/>
        </w:rPr>
        <w:t xml:space="preserve">AN </w:t>
      </w:r>
      <w:r w:rsidRPr="006D094B">
        <w:rPr>
          <w:u w:val="single"/>
        </w:rPr>
        <w:t>ATTORNEY BEFORE USE</w:t>
      </w:r>
      <w:r w:rsidRPr="006D094B">
        <w:t xml:space="preserve">: Certain courts view engagement letters as contracts, and local laws and regulations applicable to engagement letter requirements vary significantly. </w:t>
      </w:r>
      <w:r w:rsidR="00D001EF" w:rsidRPr="006D094B">
        <w:t>G</w:t>
      </w:r>
      <w:r w:rsidRPr="006D094B">
        <w:t xml:space="preserve">overnmental bodies, commissions, regulatory agencies, state boards of accountancy </w:t>
      </w:r>
      <w:r w:rsidR="008F5EAD" w:rsidRPr="006D094B">
        <w:t xml:space="preserve">and </w:t>
      </w:r>
      <w:r w:rsidRPr="006D094B">
        <w:t xml:space="preserve">professional organizations </w:t>
      </w:r>
      <w:r w:rsidR="00D001EF" w:rsidRPr="006D094B">
        <w:t xml:space="preserve">also </w:t>
      </w:r>
      <w:r w:rsidRPr="006D094B">
        <w:t>have requirements that may prohibit individuals and entities subject to their regulation or professional standards from including engagement letter provisions that limit the rights of clients. Accordingly, before using an engagement letter, an attorney should review it for conformity with applicable law</w:t>
      </w:r>
      <w:r w:rsidR="008F5EAD" w:rsidRPr="006D094B">
        <w:t>s</w:t>
      </w:r>
      <w:r w:rsidRPr="006D094B">
        <w:t xml:space="preserve"> and regulations.</w:t>
      </w:r>
    </w:p>
    <w:p w14:paraId="2AEFF0F6" w14:textId="77777777" w:rsidR="00D14BBA" w:rsidRPr="006D094B" w:rsidRDefault="00D14BBA" w:rsidP="00D14BBA">
      <w:pPr>
        <w:spacing w:before="120" w:after="120"/>
        <w:jc w:val="both"/>
      </w:pPr>
    </w:p>
    <w:p w14:paraId="2AEFF0F7" w14:textId="77777777" w:rsidR="00E6494A" w:rsidRPr="006D094B" w:rsidRDefault="00E6494A" w:rsidP="00E6494A">
      <w:pPr>
        <w:spacing w:before="120" w:after="120"/>
        <w:jc w:val="both"/>
        <w:rPr>
          <w:b/>
          <w:color w:val="FF0000"/>
        </w:rPr>
      </w:pPr>
      <w:r w:rsidRPr="006D094B">
        <w:rPr>
          <w:b/>
          <w:color w:val="FF0000"/>
        </w:rPr>
        <w:t xml:space="preserve">NOTE: PLEASE REFER TO CNA’S SAMPLE </w:t>
      </w:r>
      <w:r w:rsidRPr="006D094B">
        <w:rPr>
          <w:b/>
          <w:i/>
          <w:color w:val="FF0000"/>
        </w:rPr>
        <w:t>TERMS AND CONDITIONS ADDENDUM</w:t>
      </w:r>
      <w:r w:rsidRPr="006D094B">
        <w:rPr>
          <w:b/>
          <w:color w:val="FF0000"/>
        </w:rPr>
        <w:t xml:space="preserve"> FOR OTHER IMPORTANT ENGAGEMENT LETTER PROVISIONS RELATED TO:</w:t>
      </w:r>
    </w:p>
    <w:p w14:paraId="2AEFF0F8" w14:textId="4846A44B" w:rsidR="00E6494A" w:rsidRPr="006D094B" w:rsidRDefault="00E6494A" w:rsidP="00E6494A">
      <w:pPr>
        <w:numPr>
          <w:ilvl w:val="0"/>
          <w:numId w:val="8"/>
        </w:numPr>
        <w:spacing w:before="120" w:after="120"/>
        <w:rPr>
          <w:b/>
          <w:color w:val="FF0000"/>
        </w:rPr>
      </w:pPr>
      <w:r w:rsidRPr="006D094B">
        <w:rPr>
          <w:b/>
          <w:color w:val="FF0000"/>
        </w:rPr>
        <w:t>ADMINISTRATIVE PRACTICES</w:t>
      </w:r>
      <w:r w:rsidR="003770B2">
        <w:rPr>
          <w:b/>
          <w:color w:val="FF0000"/>
        </w:rPr>
        <w:t>,</w:t>
      </w:r>
      <w:r w:rsidRPr="006D094B">
        <w:rPr>
          <w:b/>
          <w:color w:val="FF0000"/>
        </w:rPr>
        <w:t xml:space="preserve"> SUCH AS BILLING AND COLLECTIONS;</w:t>
      </w:r>
    </w:p>
    <w:p w14:paraId="2AEFF0F9" w14:textId="5919AA09" w:rsidR="00E6494A" w:rsidRPr="006D094B" w:rsidRDefault="00E6494A" w:rsidP="00E6494A">
      <w:pPr>
        <w:numPr>
          <w:ilvl w:val="0"/>
          <w:numId w:val="8"/>
        </w:numPr>
        <w:spacing w:before="120" w:after="120"/>
        <w:rPr>
          <w:b/>
          <w:color w:val="FF0000"/>
        </w:rPr>
      </w:pPr>
      <w:r w:rsidRPr="006D094B">
        <w:rPr>
          <w:b/>
          <w:color w:val="FF0000"/>
        </w:rPr>
        <w:t>COMPLIANCE WITH PROFESSIONAL STANDARDS</w:t>
      </w:r>
      <w:r w:rsidR="003770B2">
        <w:rPr>
          <w:b/>
          <w:color w:val="FF0000"/>
        </w:rPr>
        <w:t>,</w:t>
      </w:r>
      <w:r w:rsidRPr="006D094B">
        <w:rPr>
          <w:b/>
          <w:color w:val="FF0000"/>
        </w:rPr>
        <w:t xml:space="preserve"> INCLUDING RECORDS MANAGEMENT;</w:t>
      </w:r>
    </w:p>
    <w:p w14:paraId="2AEFF0FA" w14:textId="489CFE79" w:rsidR="00E6494A" w:rsidRPr="006D094B" w:rsidRDefault="00E6494A" w:rsidP="00E6494A">
      <w:pPr>
        <w:numPr>
          <w:ilvl w:val="0"/>
          <w:numId w:val="8"/>
        </w:numPr>
        <w:spacing w:before="120" w:after="120"/>
        <w:rPr>
          <w:b/>
          <w:color w:val="FF0000"/>
        </w:rPr>
      </w:pPr>
      <w:r w:rsidRPr="006D094B">
        <w:rPr>
          <w:b/>
          <w:color w:val="FF0000"/>
        </w:rPr>
        <w:t>CLARIFICATION OF FIRM RESPONSIBILITIES</w:t>
      </w:r>
      <w:r w:rsidR="003770B2">
        <w:rPr>
          <w:b/>
          <w:color w:val="FF0000"/>
        </w:rPr>
        <w:t>,</w:t>
      </w:r>
      <w:r w:rsidRPr="006D094B">
        <w:rPr>
          <w:b/>
          <w:color w:val="FF0000"/>
        </w:rPr>
        <w:t xml:space="preserve"> SUCH AS LIMITATIONS ON ORAL ADVICE AND REFERRALS;</w:t>
      </w:r>
    </w:p>
    <w:p w14:paraId="2AEFF0FB" w14:textId="49DB54AD" w:rsidR="00E6494A" w:rsidRPr="006D094B" w:rsidRDefault="00E6494A" w:rsidP="00E6494A">
      <w:pPr>
        <w:numPr>
          <w:ilvl w:val="0"/>
          <w:numId w:val="8"/>
        </w:numPr>
        <w:spacing w:before="120" w:after="120"/>
        <w:rPr>
          <w:b/>
          <w:color w:val="FF0000"/>
        </w:rPr>
      </w:pPr>
      <w:r w:rsidRPr="006D094B">
        <w:rPr>
          <w:b/>
          <w:color w:val="FF0000"/>
        </w:rPr>
        <w:t>RISK ALLOCATION</w:t>
      </w:r>
      <w:r w:rsidR="003770B2">
        <w:rPr>
          <w:b/>
          <w:color w:val="FF0000"/>
        </w:rPr>
        <w:t>,</w:t>
      </w:r>
      <w:r w:rsidRPr="006D094B">
        <w:rPr>
          <w:b/>
          <w:color w:val="FF0000"/>
        </w:rPr>
        <w:t xml:space="preserve"> SUCH AS DISPUTE RESOLUTION; AND</w:t>
      </w:r>
    </w:p>
    <w:p w14:paraId="2AEFF0FC" w14:textId="7E4C6030" w:rsidR="00E6494A" w:rsidRPr="006D094B" w:rsidRDefault="00E6494A" w:rsidP="00E6494A">
      <w:pPr>
        <w:numPr>
          <w:ilvl w:val="0"/>
          <w:numId w:val="8"/>
        </w:numPr>
        <w:spacing w:before="120" w:after="120"/>
        <w:rPr>
          <w:b/>
          <w:color w:val="FF0000"/>
        </w:rPr>
      </w:pPr>
      <w:r w:rsidRPr="006D094B">
        <w:rPr>
          <w:b/>
          <w:color w:val="FF0000"/>
        </w:rPr>
        <w:t>CONTRACT ENFORCEABILITY</w:t>
      </w:r>
      <w:r w:rsidR="003770B2">
        <w:rPr>
          <w:b/>
          <w:color w:val="FF0000"/>
        </w:rPr>
        <w:t>,</w:t>
      </w:r>
      <w:r w:rsidRPr="006D094B">
        <w:rPr>
          <w:b/>
          <w:color w:val="FF0000"/>
        </w:rPr>
        <w:t xml:space="preserve"> SUCH AS SEVERABILITY.</w:t>
      </w:r>
    </w:p>
    <w:p w14:paraId="2AEFF0FD" w14:textId="77777777" w:rsidR="00E6494A" w:rsidRPr="006D094B" w:rsidRDefault="00E6494A" w:rsidP="00E6494A">
      <w:pPr>
        <w:spacing w:before="120" w:after="120"/>
        <w:jc w:val="both"/>
      </w:pPr>
    </w:p>
    <w:p w14:paraId="2AEFF0FE" w14:textId="77777777" w:rsidR="00D14BBA" w:rsidRPr="006D094B" w:rsidRDefault="00D14BBA" w:rsidP="00E6494A">
      <w:pPr>
        <w:spacing w:before="120" w:after="120"/>
        <w:jc w:val="both"/>
        <w:rPr>
          <w:i/>
          <w:lang w:val="fr-FR"/>
        </w:rPr>
      </w:pPr>
      <w:r w:rsidRPr="006D094B">
        <w:rPr>
          <w:lang w:val="fr-FR"/>
        </w:rPr>
        <w:t>[</w:t>
      </w:r>
      <w:r w:rsidRPr="006D094B">
        <w:rPr>
          <w:i/>
          <w:lang w:val="fr-FR"/>
        </w:rPr>
        <w:t>Date</w:t>
      </w:r>
      <w:r w:rsidRPr="006D094B">
        <w:rPr>
          <w:lang w:val="fr-FR"/>
        </w:rPr>
        <w:t>]</w:t>
      </w:r>
    </w:p>
    <w:p w14:paraId="2AEFF0FF" w14:textId="77777777" w:rsidR="00D14BBA" w:rsidRPr="006D094B" w:rsidRDefault="00D14BBA" w:rsidP="00D14BBA">
      <w:pPr>
        <w:spacing w:before="120" w:after="120"/>
        <w:jc w:val="both"/>
        <w:rPr>
          <w:i/>
          <w:lang w:val="fr-FR"/>
        </w:rPr>
      </w:pPr>
    </w:p>
    <w:p w14:paraId="2AEFF100" w14:textId="77777777" w:rsidR="00D14BBA" w:rsidRPr="006D094B" w:rsidRDefault="00D14BBA" w:rsidP="00D14BBA">
      <w:pPr>
        <w:spacing w:before="120" w:after="120"/>
        <w:jc w:val="both"/>
        <w:rPr>
          <w:i/>
          <w:lang w:val="fr-FR"/>
        </w:rPr>
      </w:pPr>
      <w:r w:rsidRPr="006D094B">
        <w:rPr>
          <w:lang w:val="fr-FR"/>
        </w:rPr>
        <w:t>[</w:t>
      </w:r>
      <w:r w:rsidRPr="006D094B">
        <w:rPr>
          <w:i/>
          <w:lang w:val="fr-FR"/>
        </w:rPr>
        <w:t xml:space="preserve">Client </w:t>
      </w:r>
      <w:r w:rsidRPr="006D094B">
        <w:rPr>
          <w:i/>
        </w:rPr>
        <w:t>Representative</w:t>
      </w:r>
      <w:r w:rsidRPr="006D094B">
        <w:rPr>
          <w:lang w:val="fr-FR"/>
        </w:rPr>
        <w:t>]</w:t>
      </w:r>
    </w:p>
    <w:p w14:paraId="2AEFF101" w14:textId="77777777" w:rsidR="00D14BBA" w:rsidRPr="006D094B" w:rsidRDefault="00D14BBA" w:rsidP="00D14BBA">
      <w:pPr>
        <w:spacing w:before="120" w:after="120"/>
        <w:jc w:val="both"/>
        <w:rPr>
          <w:i/>
        </w:rPr>
      </w:pPr>
      <w:r w:rsidRPr="006D094B">
        <w:t>[</w:t>
      </w:r>
      <w:r w:rsidRPr="006D094B">
        <w:rPr>
          <w:i/>
        </w:rPr>
        <w:t>Client Name</w:t>
      </w:r>
      <w:r w:rsidRPr="006D094B">
        <w:t>]</w:t>
      </w:r>
    </w:p>
    <w:p w14:paraId="2AEFF102" w14:textId="77777777" w:rsidR="00D14BBA" w:rsidRPr="006D094B" w:rsidRDefault="00D14BBA" w:rsidP="00D14BBA">
      <w:pPr>
        <w:spacing w:before="120" w:after="120"/>
        <w:jc w:val="both"/>
        <w:rPr>
          <w:i/>
        </w:rPr>
      </w:pPr>
      <w:r w:rsidRPr="006D094B">
        <w:t>[</w:t>
      </w:r>
      <w:r w:rsidRPr="006D094B">
        <w:rPr>
          <w:i/>
        </w:rPr>
        <w:t>Client Address</w:t>
      </w:r>
      <w:r w:rsidRPr="006D094B">
        <w:t>]</w:t>
      </w:r>
    </w:p>
    <w:p w14:paraId="2AEFF103" w14:textId="77777777" w:rsidR="00D14BBA" w:rsidRPr="006D094B" w:rsidRDefault="00D14BBA" w:rsidP="00D14BBA">
      <w:pPr>
        <w:spacing w:before="120" w:after="120"/>
        <w:jc w:val="both"/>
      </w:pPr>
    </w:p>
    <w:p w14:paraId="2AEFF104" w14:textId="77777777" w:rsidR="00D14BBA" w:rsidRPr="006D094B" w:rsidRDefault="00D14BBA" w:rsidP="00D14BBA">
      <w:pPr>
        <w:spacing w:before="120" w:after="120"/>
        <w:jc w:val="both"/>
      </w:pPr>
      <w:r w:rsidRPr="006D094B">
        <w:t>Dear [</w:t>
      </w:r>
      <w:r w:rsidRPr="006D094B">
        <w:rPr>
          <w:i/>
        </w:rPr>
        <w:t xml:space="preserve">Client </w:t>
      </w:r>
      <w:r w:rsidR="007B51AE" w:rsidRPr="006D094B">
        <w:rPr>
          <w:i/>
        </w:rPr>
        <w:t>Representative</w:t>
      </w:r>
      <w:r w:rsidRPr="006D094B">
        <w:t>]:</w:t>
      </w:r>
    </w:p>
    <w:p w14:paraId="2AEFF105" w14:textId="77777777" w:rsidR="00D14BBA" w:rsidRPr="006D094B" w:rsidRDefault="00D14BBA" w:rsidP="00D14BBA">
      <w:pPr>
        <w:spacing w:before="120" w:after="120"/>
        <w:jc w:val="both"/>
      </w:pPr>
      <w:r w:rsidRPr="006D094B">
        <w:t>[</w:t>
      </w:r>
      <w:r w:rsidRPr="006D094B">
        <w:rPr>
          <w:i/>
        </w:rPr>
        <w:t>CPA Firm</w:t>
      </w:r>
      <w:r w:rsidRPr="006D094B">
        <w:t xml:space="preserve">] </w:t>
      </w:r>
      <w:r w:rsidR="00D91485" w:rsidRPr="006D094B">
        <w:t xml:space="preserve">(“firm,” </w:t>
      </w:r>
      <w:r w:rsidR="004447A5" w:rsidRPr="006D094B">
        <w:t>“</w:t>
      </w:r>
      <w:r w:rsidR="00D91485" w:rsidRPr="006D094B">
        <w:t>we,” “us,” or “our</w:t>
      </w:r>
      <w:r w:rsidR="00DC3D7E" w:rsidRPr="006D094B">
        <w:t>”</w:t>
      </w:r>
      <w:r w:rsidR="00D91485" w:rsidRPr="006D094B">
        <w:t xml:space="preserve">) </w:t>
      </w:r>
      <w:r w:rsidRPr="006D094B">
        <w:t>is pleased to provide [</w:t>
      </w:r>
      <w:r w:rsidRPr="006D094B">
        <w:rPr>
          <w:i/>
        </w:rPr>
        <w:t>Client Name</w:t>
      </w:r>
      <w:r w:rsidRPr="006D094B">
        <w:t xml:space="preserve">] (“you” or “your”) with the professional services described below. This letter, and the attached </w:t>
      </w:r>
      <w:r w:rsidRPr="006D094B">
        <w:rPr>
          <w:i/>
        </w:rPr>
        <w:t>Terms and Conditions Addendum</w:t>
      </w:r>
      <w:r w:rsidR="000D641E" w:rsidRPr="0095649B">
        <w:rPr>
          <w:rStyle w:val="FootnoteReference"/>
          <w:i/>
        </w:rPr>
        <w:footnoteReference w:id="1"/>
      </w:r>
      <w:r w:rsidRPr="0095649B">
        <w:t xml:space="preserve"> and any other attachments incorporated herein</w:t>
      </w:r>
      <w:r w:rsidR="006273C7" w:rsidRPr="0095649B">
        <w:t xml:space="preserve"> (collectively, “Agreement”)</w:t>
      </w:r>
      <w:r w:rsidRPr="0095649B">
        <w:t>, confirm our understanding of the terms and objective</w:t>
      </w:r>
      <w:r w:rsidRPr="006D094B">
        <w:t xml:space="preserve">s of our engagement and the nature and limitations of the services we will provide. The engagement between you and our firm will be governed by the terms of this </w:t>
      </w:r>
      <w:r w:rsidR="006273C7" w:rsidRPr="006D094B">
        <w:t>Agreement</w:t>
      </w:r>
      <w:r w:rsidRPr="006D094B">
        <w:t>.</w:t>
      </w:r>
    </w:p>
    <w:p w14:paraId="2AEFF106" w14:textId="77777777" w:rsidR="00D14BBA" w:rsidRPr="006D094B" w:rsidRDefault="00D14BBA" w:rsidP="00D14BBA">
      <w:pPr>
        <w:pStyle w:val="StyleHeading1TimesNewRoman20pt"/>
        <w:spacing w:before="120" w:after="120"/>
        <w:jc w:val="both"/>
        <w:rPr>
          <w:rFonts w:cs="Times New Roman"/>
          <w:bCs w:val="0"/>
          <w:i/>
          <w:kern w:val="0"/>
          <w:sz w:val="24"/>
          <w:szCs w:val="24"/>
        </w:rPr>
      </w:pPr>
      <w:r w:rsidRPr="006D094B">
        <w:rPr>
          <w:rFonts w:cs="Times New Roman"/>
          <w:bCs w:val="0"/>
          <w:i/>
          <w:kern w:val="0"/>
          <w:sz w:val="24"/>
          <w:szCs w:val="24"/>
        </w:rPr>
        <w:lastRenderedPageBreak/>
        <w:t>Engagement</w:t>
      </w:r>
      <w:r w:rsidR="008F5EAD" w:rsidRPr="006D094B">
        <w:rPr>
          <w:rFonts w:cs="Times New Roman"/>
          <w:bCs w:val="0"/>
          <w:i/>
          <w:kern w:val="0"/>
          <w:sz w:val="24"/>
          <w:szCs w:val="24"/>
        </w:rPr>
        <w:t xml:space="preserve"> Objective and Scope</w:t>
      </w:r>
    </w:p>
    <w:p w14:paraId="2AEFF107" w14:textId="77777777" w:rsidR="00D14BBA" w:rsidRPr="006D094B" w:rsidRDefault="00A35749" w:rsidP="00D14BBA">
      <w:pPr>
        <w:numPr>
          <w:ilvl w:val="0"/>
          <w:numId w:val="3"/>
        </w:numPr>
        <w:spacing w:before="120" w:after="120"/>
        <w:jc w:val="both"/>
        <w:rPr>
          <w:i/>
        </w:rPr>
      </w:pPr>
      <w:r w:rsidRPr="006D094B">
        <w:rPr>
          <w:bCs/>
          <w:i/>
        </w:rPr>
        <w:t>D</w:t>
      </w:r>
      <w:r w:rsidR="00D14BBA" w:rsidRPr="006D094B">
        <w:rPr>
          <w:bCs/>
          <w:i/>
        </w:rPr>
        <w:t>efine the scope of the engagement including</w:t>
      </w:r>
      <w:r w:rsidRPr="006D094B">
        <w:rPr>
          <w:bCs/>
          <w:i/>
        </w:rPr>
        <w:t>, among other elements, the</w:t>
      </w:r>
      <w:r w:rsidR="00D14BBA" w:rsidRPr="006D094B">
        <w:rPr>
          <w:bCs/>
          <w:i/>
        </w:rPr>
        <w:t xml:space="preserve"> </w:t>
      </w:r>
      <w:r w:rsidR="00160B81" w:rsidRPr="006D094B">
        <w:rPr>
          <w:bCs/>
          <w:i/>
        </w:rPr>
        <w:t xml:space="preserve">identity of </w:t>
      </w:r>
      <w:r w:rsidR="00B92301" w:rsidRPr="006D094B">
        <w:rPr>
          <w:bCs/>
          <w:i/>
        </w:rPr>
        <w:t xml:space="preserve">the </w:t>
      </w:r>
      <w:r w:rsidR="00160B81" w:rsidRPr="006D094B">
        <w:rPr>
          <w:bCs/>
          <w:i/>
        </w:rPr>
        <w:t xml:space="preserve">client, </w:t>
      </w:r>
      <w:r w:rsidR="00D14BBA" w:rsidRPr="006D094B">
        <w:rPr>
          <w:bCs/>
          <w:i/>
        </w:rPr>
        <w:t xml:space="preserve">time period, locations, </w:t>
      </w:r>
      <w:r w:rsidRPr="006D094B">
        <w:rPr>
          <w:bCs/>
          <w:i/>
        </w:rPr>
        <w:t xml:space="preserve">and </w:t>
      </w:r>
      <w:r w:rsidR="00D14BBA" w:rsidRPr="006D094B">
        <w:rPr>
          <w:bCs/>
          <w:i/>
        </w:rPr>
        <w:t xml:space="preserve">business units, as applicable. If warranted based </w:t>
      </w:r>
      <w:r w:rsidR="00A905E8" w:rsidRPr="006D094B">
        <w:rPr>
          <w:bCs/>
          <w:i/>
        </w:rPr>
        <w:t>up</w:t>
      </w:r>
      <w:r w:rsidR="00D14BBA" w:rsidRPr="006D094B">
        <w:rPr>
          <w:bCs/>
          <w:i/>
        </w:rPr>
        <w:t>on the nature of services to be rendered, define what is not in scope</w:t>
      </w:r>
      <w:r w:rsidR="00666573" w:rsidRPr="006D094B">
        <w:rPr>
          <w:bCs/>
          <w:i/>
        </w:rPr>
        <w:t>.</w:t>
      </w:r>
      <w:r w:rsidR="00D14BBA" w:rsidRPr="006D094B">
        <w:rPr>
          <w:bCs/>
          <w:i/>
        </w:rPr>
        <w:t xml:space="preserve"> For example:</w:t>
      </w:r>
    </w:p>
    <w:p w14:paraId="2AEFF108" w14:textId="77777777" w:rsidR="00D14BBA" w:rsidRPr="006D094B" w:rsidRDefault="00D14BBA" w:rsidP="00D14BBA">
      <w:pPr>
        <w:numPr>
          <w:ilvl w:val="1"/>
          <w:numId w:val="3"/>
        </w:numPr>
        <w:spacing w:before="120" w:after="120"/>
        <w:jc w:val="both"/>
        <w:rPr>
          <w:i/>
        </w:rPr>
      </w:pPr>
      <w:r w:rsidRPr="006D094B">
        <w:rPr>
          <w:bCs/>
          <w:i/>
        </w:rPr>
        <w:t xml:space="preserve">“We will project </w:t>
      </w:r>
      <w:r w:rsidR="00160B81" w:rsidRPr="006D094B">
        <w:rPr>
          <w:bCs/>
          <w:i/>
        </w:rPr>
        <w:t xml:space="preserve">[Client Name’s] </w:t>
      </w:r>
      <w:r w:rsidRPr="006D094B">
        <w:rPr>
          <w:bCs/>
          <w:i/>
        </w:rPr>
        <w:t xml:space="preserve">federal and [Name of State(s)] income tax for the 20XX tax year based upon the information provided. This </w:t>
      </w:r>
      <w:r w:rsidR="00C4087E" w:rsidRPr="006D094B">
        <w:rPr>
          <w:bCs/>
          <w:i/>
        </w:rPr>
        <w:t xml:space="preserve">represents </w:t>
      </w:r>
      <w:r w:rsidRPr="006D094B">
        <w:rPr>
          <w:bCs/>
          <w:i/>
        </w:rPr>
        <w:t xml:space="preserve">an income tax projection prepared solely for your use, </w:t>
      </w:r>
      <w:r w:rsidR="00C4087E" w:rsidRPr="006D094B">
        <w:rPr>
          <w:bCs/>
          <w:i/>
        </w:rPr>
        <w:t xml:space="preserve">rather than </w:t>
      </w:r>
      <w:r w:rsidRPr="006D094B">
        <w:rPr>
          <w:bCs/>
          <w:i/>
        </w:rPr>
        <w:t xml:space="preserve">a financial projection as described in </w:t>
      </w:r>
      <w:r w:rsidR="00A35749" w:rsidRPr="006D094B">
        <w:rPr>
          <w:bCs/>
          <w:i/>
        </w:rPr>
        <w:t>the American Institute of Certified Public Accountants (“AICPA”) Statements on Standards for Attestation Engagements</w:t>
      </w:r>
      <w:r w:rsidRPr="006D094B">
        <w:rPr>
          <w:bCs/>
          <w:i/>
        </w:rPr>
        <w:t>.”</w:t>
      </w:r>
    </w:p>
    <w:p w14:paraId="2AEFF109" w14:textId="6047C4B8" w:rsidR="003D3713" w:rsidRPr="006D094B" w:rsidRDefault="00D14BBA" w:rsidP="003D3713">
      <w:pPr>
        <w:spacing w:before="120" w:after="120"/>
        <w:jc w:val="both"/>
      </w:pPr>
      <w:r w:rsidRPr="006D094B">
        <w:t xml:space="preserve">Our tax projections depend </w:t>
      </w:r>
      <w:r w:rsidR="00A905E8" w:rsidRPr="006D094B">
        <w:t>up</w:t>
      </w:r>
      <w:r w:rsidRPr="006D094B">
        <w:t xml:space="preserve">on the timeliness, accuracy and completeness of the information and representations that we receive from you. </w:t>
      </w:r>
      <w:r w:rsidR="00DD595F" w:rsidRPr="006D094B">
        <w:t>Our projections are estimates based on a variety of information and a</w:t>
      </w:r>
      <w:r w:rsidR="004671EA" w:rsidRPr="006D094B">
        <w:t xml:space="preserve">ctual amounts </w:t>
      </w:r>
      <w:r w:rsidR="0095649B">
        <w:t xml:space="preserve">may </w:t>
      </w:r>
      <w:r w:rsidR="004671EA" w:rsidRPr="0095649B">
        <w:t>differ from our estimate</w:t>
      </w:r>
      <w:r w:rsidR="003D3713" w:rsidRPr="0095649B">
        <w:t xml:space="preserve"> due to </w:t>
      </w:r>
      <w:r w:rsidR="00DD595F" w:rsidRPr="0095649B">
        <w:t>changes</w:t>
      </w:r>
      <w:r w:rsidR="004143D0" w:rsidRPr="0095649B">
        <w:t xml:space="preserve"> </w:t>
      </w:r>
      <w:r w:rsidR="00DD595F" w:rsidRPr="0095649B">
        <w:t xml:space="preserve">in circumstances, </w:t>
      </w:r>
      <w:r w:rsidR="003D3713" w:rsidRPr="006D094B">
        <w:t>incomplete information, improper estimates and other change</w:t>
      </w:r>
      <w:r w:rsidR="00852A92" w:rsidRPr="006D094B">
        <w:t>s</w:t>
      </w:r>
      <w:r w:rsidR="00317481" w:rsidRPr="006D094B">
        <w:t xml:space="preserve">. </w:t>
      </w:r>
      <w:r w:rsidR="006273C7" w:rsidRPr="006D094B">
        <w:t>In addition, changes in laws, regulations and interpretations following the completion of the engagement may result in a variance between our estimate and the actual amounts.</w:t>
      </w:r>
      <w:r w:rsidR="005D33EC" w:rsidRPr="006D094B">
        <w:t xml:space="preserve"> </w:t>
      </w:r>
      <w:r w:rsidR="003D3713" w:rsidRPr="006D094B">
        <w:t>Any significant representations made to us by you</w:t>
      </w:r>
      <w:r w:rsidR="00C4087E" w:rsidRPr="006D094B">
        <w:t>,</w:t>
      </w:r>
      <w:r w:rsidR="003D3713" w:rsidRPr="006D094B">
        <w:t xml:space="preserve"> or incomplete information</w:t>
      </w:r>
      <w:r w:rsidR="00C4087E" w:rsidRPr="006D094B">
        <w:t>,</w:t>
      </w:r>
      <w:r w:rsidR="003D3713" w:rsidRPr="006D094B">
        <w:t xml:space="preserve"> </w:t>
      </w:r>
      <w:r w:rsidR="00C4087E" w:rsidRPr="006D094B">
        <w:t xml:space="preserve">may </w:t>
      </w:r>
      <w:r w:rsidR="003D3713" w:rsidRPr="006D094B">
        <w:t>cause material differences in our projections.</w:t>
      </w:r>
    </w:p>
    <w:p w14:paraId="2AEFF10A" w14:textId="77777777" w:rsidR="00D14BBA" w:rsidRPr="006D094B" w:rsidRDefault="005D33EC" w:rsidP="00D14BBA">
      <w:pPr>
        <w:spacing w:before="120" w:after="120"/>
        <w:jc w:val="both"/>
      </w:pPr>
      <w:r w:rsidRPr="006D094B">
        <w:t>We will not audit or otherwise verify the data you submit to us, although we may ask you to clarify certain information.</w:t>
      </w:r>
    </w:p>
    <w:p w14:paraId="2AEFF10B" w14:textId="77777777" w:rsidR="005D33EC" w:rsidRPr="006D094B" w:rsidRDefault="005D33EC" w:rsidP="005D33EC">
      <w:pPr>
        <w:spacing w:before="120" w:after="120"/>
        <w:jc w:val="both"/>
      </w:pPr>
      <w:r w:rsidRPr="006D094B">
        <w:t>Our engagement does not include any procedures designed to detect errors, fraud, or theft. Therefore, our engagement cannot be relied upon to disclose such matters.</w:t>
      </w:r>
      <w:r w:rsidR="00843D5F" w:rsidRPr="006D094B">
        <w:t xml:space="preserve"> In addition, we </w:t>
      </w:r>
      <w:r w:rsidR="00DD595F" w:rsidRPr="006D094B">
        <w:t xml:space="preserve">are </w:t>
      </w:r>
      <w:r w:rsidR="00843D5F" w:rsidRPr="006D094B">
        <w:t>no</w:t>
      </w:r>
      <w:r w:rsidR="00DD595F" w:rsidRPr="006D094B">
        <w:t>t responsible for</w:t>
      </w:r>
      <w:r w:rsidR="00843D5F" w:rsidRPr="006D094B">
        <w:t xml:space="preserve"> identify</w:t>
      </w:r>
      <w:r w:rsidR="00DD595F" w:rsidRPr="006D094B">
        <w:t>ing or communicating</w:t>
      </w:r>
      <w:r w:rsidR="00843D5F" w:rsidRPr="006D094B">
        <w:t xml:space="preserve"> deficiencies in your internal controls. You are responsible for developing and implementing internal controls applicable to your operations.</w:t>
      </w:r>
    </w:p>
    <w:p w14:paraId="2AEFF10C" w14:textId="77777777" w:rsidR="00D001EF" w:rsidRPr="006D094B" w:rsidRDefault="00D001EF" w:rsidP="00D001EF">
      <w:pPr>
        <w:spacing w:before="120" w:after="120"/>
        <w:jc w:val="both"/>
      </w:pPr>
      <w:r w:rsidRPr="006D094B">
        <w:t>This engagement is limited to the professional services outlined above.</w:t>
      </w:r>
    </w:p>
    <w:p w14:paraId="2AEFF10D" w14:textId="77777777" w:rsidR="00D14BBA" w:rsidRPr="006D094B" w:rsidRDefault="00D14BBA" w:rsidP="00D14BBA">
      <w:pPr>
        <w:spacing w:before="120" w:after="120"/>
        <w:jc w:val="both"/>
        <w:rPr>
          <w:b/>
          <w:bCs/>
          <w:i/>
        </w:rPr>
      </w:pPr>
      <w:r w:rsidRPr="006D094B">
        <w:rPr>
          <w:b/>
          <w:bCs/>
          <w:i/>
        </w:rPr>
        <w:t>Engagement Approach</w:t>
      </w:r>
    </w:p>
    <w:p w14:paraId="2AEFF10E" w14:textId="77777777" w:rsidR="00D14BBA" w:rsidRPr="006D094B" w:rsidRDefault="00D14BBA" w:rsidP="00D14BBA">
      <w:pPr>
        <w:numPr>
          <w:ilvl w:val="0"/>
          <w:numId w:val="3"/>
        </w:numPr>
        <w:spacing w:before="120" w:after="120"/>
        <w:jc w:val="both"/>
        <w:rPr>
          <w:bCs/>
          <w:iCs/>
        </w:rPr>
      </w:pPr>
      <w:r w:rsidRPr="006D094B">
        <w:rPr>
          <w:bCs/>
          <w:iCs/>
        </w:rPr>
        <w:t>We will request year-to-date income, expenses and other relevant information.</w:t>
      </w:r>
    </w:p>
    <w:p w14:paraId="2AEFF10F" w14:textId="77777777" w:rsidR="00D14BBA" w:rsidRPr="006D094B" w:rsidRDefault="00D14BBA" w:rsidP="00D14BBA">
      <w:pPr>
        <w:numPr>
          <w:ilvl w:val="0"/>
          <w:numId w:val="3"/>
        </w:numPr>
        <w:spacing w:before="120" w:after="120"/>
        <w:jc w:val="both"/>
        <w:rPr>
          <w:bCs/>
          <w:iCs/>
        </w:rPr>
      </w:pPr>
      <w:r w:rsidRPr="006D094B">
        <w:rPr>
          <w:bCs/>
          <w:iCs/>
        </w:rPr>
        <w:t>We will project year-end income</w:t>
      </w:r>
      <w:r w:rsidR="00DC3D7E" w:rsidRPr="006D094B">
        <w:rPr>
          <w:bCs/>
          <w:iCs/>
        </w:rPr>
        <w:t>, expenses and other relevant information</w:t>
      </w:r>
      <w:r w:rsidRPr="006D094B">
        <w:rPr>
          <w:bCs/>
          <w:iCs/>
        </w:rPr>
        <w:t xml:space="preserve"> by annualizing the provided amounts.</w:t>
      </w:r>
    </w:p>
    <w:p w14:paraId="2AEFF110" w14:textId="77777777" w:rsidR="00D14BBA" w:rsidRPr="006D094B" w:rsidRDefault="00D14BBA" w:rsidP="00D14BBA">
      <w:pPr>
        <w:numPr>
          <w:ilvl w:val="0"/>
          <w:numId w:val="3"/>
        </w:numPr>
        <w:spacing w:before="120" w:after="120"/>
        <w:jc w:val="both"/>
        <w:rPr>
          <w:bCs/>
          <w:iCs/>
        </w:rPr>
      </w:pPr>
      <w:r w:rsidRPr="006D094B">
        <w:rPr>
          <w:bCs/>
          <w:iCs/>
        </w:rPr>
        <w:t>Based upon discussions with and information provided by you, we will adjust the projected information</w:t>
      </w:r>
      <w:r w:rsidR="006273C7" w:rsidRPr="006D094B">
        <w:rPr>
          <w:bCs/>
          <w:iCs/>
        </w:rPr>
        <w:t>,</w:t>
      </w:r>
      <w:r w:rsidRPr="006D094B">
        <w:rPr>
          <w:bCs/>
          <w:iCs/>
        </w:rPr>
        <w:t xml:space="preserve"> as appropriate. For example, it would generally not be appropriate to annualize property taxes </w:t>
      </w:r>
      <w:r w:rsidR="006273C7" w:rsidRPr="006D094B">
        <w:rPr>
          <w:bCs/>
          <w:iCs/>
        </w:rPr>
        <w:t xml:space="preserve">that have </w:t>
      </w:r>
      <w:r w:rsidRPr="006D094B">
        <w:rPr>
          <w:bCs/>
          <w:iCs/>
        </w:rPr>
        <w:t xml:space="preserve">been </w:t>
      </w:r>
      <w:r w:rsidR="006273C7" w:rsidRPr="006D094B">
        <w:rPr>
          <w:bCs/>
          <w:iCs/>
        </w:rPr>
        <w:t xml:space="preserve">already </w:t>
      </w:r>
      <w:r w:rsidRPr="006D094B">
        <w:rPr>
          <w:bCs/>
          <w:iCs/>
        </w:rPr>
        <w:t xml:space="preserve">paid. Similarly, wages may </w:t>
      </w:r>
      <w:r w:rsidR="006273C7" w:rsidRPr="006D094B">
        <w:rPr>
          <w:bCs/>
          <w:iCs/>
        </w:rPr>
        <w:t xml:space="preserve">require </w:t>
      </w:r>
      <w:r w:rsidRPr="006D094B">
        <w:rPr>
          <w:bCs/>
          <w:iCs/>
        </w:rPr>
        <w:t>adjust</w:t>
      </w:r>
      <w:r w:rsidR="006273C7" w:rsidRPr="006D094B">
        <w:rPr>
          <w:bCs/>
          <w:iCs/>
        </w:rPr>
        <w:t>ment</w:t>
      </w:r>
      <w:r w:rsidRPr="006D094B">
        <w:rPr>
          <w:bCs/>
          <w:iCs/>
        </w:rPr>
        <w:t xml:space="preserve"> for an anticipated year-end bonus.</w:t>
      </w:r>
    </w:p>
    <w:p w14:paraId="2AEFF111" w14:textId="77777777" w:rsidR="00D14BBA" w:rsidRPr="006D094B" w:rsidRDefault="00D14BBA" w:rsidP="00D14BBA">
      <w:pPr>
        <w:numPr>
          <w:ilvl w:val="0"/>
          <w:numId w:val="3"/>
        </w:numPr>
        <w:spacing w:before="120" w:after="120"/>
        <w:jc w:val="both"/>
        <w:rPr>
          <w:bCs/>
          <w:iCs/>
        </w:rPr>
      </w:pPr>
      <w:r w:rsidRPr="006D094B">
        <w:rPr>
          <w:bCs/>
          <w:iCs/>
        </w:rPr>
        <w:t xml:space="preserve">We </w:t>
      </w:r>
      <w:r w:rsidR="006273C7" w:rsidRPr="006D094B">
        <w:rPr>
          <w:bCs/>
          <w:iCs/>
        </w:rPr>
        <w:t xml:space="preserve">rely upon </w:t>
      </w:r>
      <w:r w:rsidR="00A35749" w:rsidRPr="006D094B">
        <w:rPr>
          <w:bCs/>
          <w:iCs/>
        </w:rPr>
        <w:t xml:space="preserve">applicable </w:t>
      </w:r>
      <w:r w:rsidRPr="006D094B">
        <w:rPr>
          <w:bCs/>
          <w:iCs/>
        </w:rPr>
        <w:t xml:space="preserve">tax law </w:t>
      </w:r>
      <w:r w:rsidR="00A35749" w:rsidRPr="006D094B">
        <w:rPr>
          <w:bCs/>
          <w:iCs/>
        </w:rPr>
        <w:t xml:space="preserve">at the time we perform our analysis </w:t>
      </w:r>
      <w:r w:rsidRPr="006D094B">
        <w:rPr>
          <w:bCs/>
          <w:iCs/>
        </w:rPr>
        <w:t xml:space="preserve">without consideration of </w:t>
      </w:r>
      <w:r w:rsidR="006273C7" w:rsidRPr="006D094B">
        <w:rPr>
          <w:bCs/>
          <w:iCs/>
        </w:rPr>
        <w:t xml:space="preserve">anticipated </w:t>
      </w:r>
      <w:r w:rsidRPr="006D094B">
        <w:rPr>
          <w:bCs/>
          <w:iCs/>
        </w:rPr>
        <w:t xml:space="preserve">changes </w:t>
      </w:r>
      <w:r w:rsidR="006273C7" w:rsidRPr="006D094B">
        <w:rPr>
          <w:bCs/>
          <w:iCs/>
        </w:rPr>
        <w:t>to the tax law</w:t>
      </w:r>
      <w:r w:rsidRPr="006D094B">
        <w:rPr>
          <w:bCs/>
          <w:iCs/>
        </w:rPr>
        <w:t>, even if those changes appear likely to occur.</w:t>
      </w:r>
    </w:p>
    <w:p w14:paraId="2AEFF112" w14:textId="77777777" w:rsidR="00D14BBA" w:rsidRPr="006D094B" w:rsidRDefault="00D14BBA" w:rsidP="00D14BBA">
      <w:pPr>
        <w:spacing w:before="120" w:after="120"/>
        <w:jc w:val="both"/>
        <w:rPr>
          <w:b/>
          <w:i/>
        </w:rPr>
      </w:pPr>
      <w:r w:rsidRPr="006D094B">
        <w:rPr>
          <w:b/>
          <w:i/>
        </w:rPr>
        <w:t>Deliverables</w:t>
      </w:r>
    </w:p>
    <w:p w14:paraId="2AEFF113" w14:textId="77777777" w:rsidR="00D14BBA" w:rsidRPr="006D094B" w:rsidRDefault="00D14BBA" w:rsidP="00D14BBA">
      <w:pPr>
        <w:spacing w:before="120" w:after="120"/>
        <w:jc w:val="both"/>
      </w:pPr>
      <w:r w:rsidRPr="006D094B">
        <w:t>We will issue the following deliverable(s) upon completion of our services.</w:t>
      </w:r>
    </w:p>
    <w:p w14:paraId="2AEFF114" w14:textId="77777777" w:rsidR="00D14BBA" w:rsidRPr="006D094B" w:rsidRDefault="00D14BBA" w:rsidP="00D14BBA">
      <w:pPr>
        <w:numPr>
          <w:ilvl w:val="0"/>
          <w:numId w:val="3"/>
        </w:numPr>
        <w:spacing w:before="120" w:after="120"/>
        <w:jc w:val="both"/>
        <w:rPr>
          <w:bCs/>
          <w:i/>
        </w:rPr>
      </w:pPr>
      <w:r w:rsidRPr="006D094B">
        <w:rPr>
          <w:bCs/>
        </w:rPr>
        <w:lastRenderedPageBreak/>
        <w:t>[</w:t>
      </w:r>
      <w:r w:rsidRPr="006D094B">
        <w:rPr>
          <w:bCs/>
          <w:i/>
        </w:rPr>
        <w:t>Outline deliverables to be prepared. Omit language that implies promised results or performance related to the services or products to be delivered. See instructions for examples.</w:t>
      </w:r>
      <w:r w:rsidRPr="006D094B">
        <w:rPr>
          <w:bCs/>
        </w:rPr>
        <w:t>]</w:t>
      </w:r>
    </w:p>
    <w:p w14:paraId="2AEFF115" w14:textId="77777777" w:rsidR="00D14BBA" w:rsidRPr="006D094B" w:rsidRDefault="00D14BBA" w:rsidP="00D14BBA">
      <w:pPr>
        <w:spacing w:before="120" w:after="120"/>
        <w:jc w:val="both"/>
      </w:pPr>
      <w:r w:rsidRPr="006D094B">
        <w:t>The deliverable(s) presented as part of this engagement are for internal use only and are not to be distributed externally to third parties, in whole or in part, or used for any other purpose.</w:t>
      </w:r>
      <w:r w:rsidR="00DC3D7E" w:rsidRPr="006D094B">
        <w:t xml:space="preserve"> You agree to indemnify and hold us harmless with respect to </w:t>
      </w:r>
      <w:proofErr w:type="gramStart"/>
      <w:r w:rsidR="00DC3D7E" w:rsidRPr="006D094B">
        <w:t>any and all</w:t>
      </w:r>
      <w:proofErr w:type="gramEnd"/>
      <w:r w:rsidR="00DC3D7E" w:rsidRPr="006D094B">
        <w:t xml:space="preserve"> claims arising from the use of these projections by third parties regardless of the nature of the claim, including negligence of any party.</w:t>
      </w:r>
    </w:p>
    <w:p w14:paraId="2AEFF116" w14:textId="3C52BF07" w:rsidR="007B51AE" w:rsidRPr="006D094B" w:rsidRDefault="00D14BBA" w:rsidP="00D14BBA">
      <w:pPr>
        <w:spacing w:before="120" w:after="120"/>
        <w:jc w:val="both"/>
      </w:pPr>
      <w:r w:rsidRPr="006D094B">
        <w:t xml:space="preserve">Our tax projection is based upon </w:t>
      </w:r>
      <w:r w:rsidR="009521EC" w:rsidRPr="006D094B">
        <w:t xml:space="preserve">tax reference materials, </w:t>
      </w:r>
      <w:r w:rsidRPr="006D094B">
        <w:t xml:space="preserve">facts, assumptions, and representations subject to change. </w:t>
      </w:r>
      <w:r w:rsidR="00D261E7" w:rsidRPr="006D094B">
        <w:t xml:space="preserve">Tax reference materials </w:t>
      </w:r>
      <w:proofErr w:type="gramStart"/>
      <w:r w:rsidR="00D261E7" w:rsidRPr="006D094B">
        <w:t>include</w:t>
      </w:r>
      <w:r w:rsidR="004143D0" w:rsidRPr="006D094B">
        <w:t>,</w:t>
      </w:r>
      <w:r w:rsidR="00D261E7" w:rsidRPr="006D094B">
        <w:t xml:space="preserve"> but</w:t>
      </w:r>
      <w:proofErr w:type="gramEnd"/>
      <w:r w:rsidR="00D261E7" w:rsidRPr="006D094B">
        <w:t xml:space="preserve"> are not limited to the Internal Revenue Code (“IRC”), regulations, Revenue Rulings, Revenue Procedures, </w:t>
      </w:r>
      <w:r w:rsidR="009521EC" w:rsidRPr="006D094B">
        <w:t>P</w:t>
      </w:r>
      <w:r w:rsidR="00D261E7" w:rsidRPr="006D094B">
        <w:t xml:space="preserve">rivate </w:t>
      </w:r>
      <w:r w:rsidR="009521EC" w:rsidRPr="006D094B">
        <w:t>L</w:t>
      </w:r>
      <w:r w:rsidR="00D261E7" w:rsidRPr="006D094B">
        <w:t xml:space="preserve">etter </w:t>
      </w:r>
      <w:r w:rsidR="009521EC" w:rsidRPr="006D094B">
        <w:t>R</w:t>
      </w:r>
      <w:r w:rsidR="00D261E7" w:rsidRPr="006D094B">
        <w:t>ulings</w:t>
      </w:r>
      <w:r w:rsidR="00E6494A" w:rsidRPr="006D094B">
        <w:t>,</w:t>
      </w:r>
      <w:r w:rsidR="0095649B">
        <w:t xml:space="preserve"> </w:t>
      </w:r>
      <w:r w:rsidR="00D261E7" w:rsidRPr="0095649B">
        <w:t xml:space="preserve">court </w:t>
      </w:r>
      <w:r w:rsidR="009521EC" w:rsidRPr="0095649B">
        <w:t>decisions</w:t>
      </w:r>
      <w:r w:rsidR="00E6494A" w:rsidRPr="0095649B">
        <w:t>, and similar state and local guidance</w:t>
      </w:r>
      <w:r w:rsidR="00D261E7" w:rsidRPr="0095649B">
        <w:t xml:space="preserve">. </w:t>
      </w:r>
      <w:r w:rsidRPr="0095649B">
        <w:t xml:space="preserve">We will not update our projection </w:t>
      </w:r>
      <w:r w:rsidR="009521EC" w:rsidRPr="0095649B">
        <w:t>after the conc</w:t>
      </w:r>
      <w:r w:rsidR="009521EC" w:rsidRPr="006D094B">
        <w:t xml:space="preserve">lusion of the engagement </w:t>
      </w:r>
      <w:r w:rsidRPr="006D094B">
        <w:t xml:space="preserve">for subsequent </w:t>
      </w:r>
      <w:r w:rsidR="009521EC" w:rsidRPr="006D094B">
        <w:t xml:space="preserve">legislative or administrative </w:t>
      </w:r>
      <w:r w:rsidRPr="006D094B">
        <w:t xml:space="preserve">changes </w:t>
      </w:r>
      <w:r w:rsidR="009521EC" w:rsidRPr="006D094B">
        <w:t>or future judicial interpretations</w:t>
      </w:r>
      <w:r w:rsidRPr="006D094B">
        <w:t>.</w:t>
      </w:r>
      <w:r w:rsidR="009521EC" w:rsidRPr="006D094B">
        <w:t xml:space="preserve"> To the extent we provide written advice concerning federal tax matters, we will follow the guidance contained in U.S. Treasury Department Circular 230</w:t>
      </w:r>
      <w:r w:rsidR="00E6494A" w:rsidRPr="006D094B">
        <w:t xml:space="preserve"> (“Circular 230”)</w:t>
      </w:r>
      <w:r w:rsidR="009521EC" w:rsidRPr="006D094B">
        <w:t xml:space="preserve">, §10.37, </w:t>
      </w:r>
      <w:r w:rsidR="009521EC" w:rsidRPr="006D094B">
        <w:rPr>
          <w:i/>
        </w:rPr>
        <w:t>Requirements for Written Advice</w:t>
      </w:r>
      <w:r w:rsidR="009521EC" w:rsidRPr="006D094B">
        <w:t>.</w:t>
      </w:r>
    </w:p>
    <w:p w14:paraId="2AEFF117" w14:textId="764C6EFE" w:rsidR="00D14BBA" w:rsidRPr="0095649B" w:rsidRDefault="00D14BBA" w:rsidP="00D14BBA">
      <w:pPr>
        <w:spacing w:before="120" w:after="120"/>
        <w:jc w:val="both"/>
      </w:pPr>
      <w:r w:rsidRPr="006D094B">
        <w:t xml:space="preserve">If the tax law changes </w:t>
      </w:r>
      <w:r w:rsidR="00C4087E" w:rsidRPr="006D094B">
        <w:t xml:space="preserve">following </w:t>
      </w:r>
      <w:r w:rsidRPr="006D094B">
        <w:t>the conclusion of the engagement</w:t>
      </w:r>
      <w:r w:rsidR="00C4087E" w:rsidRPr="006D094B">
        <w:t>,</w:t>
      </w:r>
      <w:r w:rsidR="007B51AE" w:rsidRPr="006D094B">
        <w:t xml:space="preserve"> </w:t>
      </w:r>
      <w:r w:rsidRPr="006D094B">
        <w:t>we may be available to update our projection</w:t>
      </w:r>
      <w:r w:rsidR="00B130EB" w:rsidRPr="006D094B">
        <w:t xml:space="preserve"> as a separate engagement</w:t>
      </w:r>
      <w:r w:rsidR="006273C7" w:rsidRPr="006D094B">
        <w:t>.</w:t>
      </w:r>
      <w:r w:rsidR="007B51AE" w:rsidRPr="006D094B">
        <w:t xml:space="preserve"> If you ask us to update our </w:t>
      </w:r>
      <w:r w:rsidR="002F28F8" w:rsidRPr="006D094B">
        <w:t>projection</w:t>
      </w:r>
      <w:r w:rsidR="007B51AE" w:rsidRPr="006D094B">
        <w:t xml:space="preserve">, </w:t>
      </w:r>
      <w:r w:rsidR="00E6494A" w:rsidRPr="006D094B">
        <w:t xml:space="preserve">and we agree to perform this update, </w:t>
      </w:r>
      <w:r w:rsidR="007B51AE" w:rsidRPr="006D094B">
        <w:t xml:space="preserve">we will confirm this </w:t>
      </w:r>
      <w:r w:rsidR="0095649B" w:rsidRPr="004112EA">
        <w:t>engagement</w:t>
      </w:r>
      <w:r w:rsidR="0095649B" w:rsidRPr="0095649B" w:rsidDel="0095649B">
        <w:t xml:space="preserve"> </w:t>
      </w:r>
      <w:r w:rsidR="007B51AE" w:rsidRPr="0095649B">
        <w:t xml:space="preserve">in a separate </w:t>
      </w:r>
      <w:r w:rsidR="0095649B">
        <w:t>Agreement</w:t>
      </w:r>
      <w:r w:rsidR="007B51AE" w:rsidRPr="0095649B">
        <w:t>.</w:t>
      </w:r>
    </w:p>
    <w:p w14:paraId="2AEFF118" w14:textId="77777777" w:rsidR="00D14BBA" w:rsidRPr="006D094B" w:rsidRDefault="00D14BBA" w:rsidP="00D14BBA">
      <w:pPr>
        <w:spacing w:before="120" w:after="120"/>
        <w:jc w:val="both"/>
      </w:pPr>
      <w:r w:rsidRPr="006D094B">
        <w:t xml:space="preserve">If for any reason we are unable to complete the engagement, we will not issue </w:t>
      </w:r>
      <w:r w:rsidR="00D261E7" w:rsidRPr="006D094B">
        <w:t>the</w:t>
      </w:r>
      <w:r w:rsidRPr="006D094B">
        <w:t xml:space="preserve"> deliverable(s).</w:t>
      </w:r>
    </w:p>
    <w:p w14:paraId="2AEFF119" w14:textId="77777777" w:rsidR="008F5EAD" w:rsidRPr="006D094B" w:rsidRDefault="008F5EAD" w:rsidP="008F5EAD">
      <w:pPr>
        <w:spacing w:before="120" w:after="120"/>
        <w:jc w:val="both"/>
      </w:pPr>
      <w:r w:rsidRPr="006D094B">
        <w:rPr>
          <w:b/>
          <w:i/>
        </w:rPr>
        <w:t>CPA Firm Responsibilities</w:t>
      </w:r>
    </w:p>
    <w:p w14:paraId="2AEFF11A" w14:textId="6D4AF923" w:rsidR="007F0310" w:rsidRPr="006D094B" w:rsidRDefault="008F5EAD" w:rsidP="007F0310">
      <w:pPr>
        <w:spacing w:before="120" w:after="120"/>
        <w:jc w:val="both"/>
      </w:pPr>
      <w:r w:rsidRPr="006D094B">
        <w:t>We will perform our services in accordance with the AICPA Statements on Standards for Tax Services</w:t>
      </w:r>
      <w:r w:rsidR="00D817A8" w:rsidRPr="006D094B">
        <w:t xml:space="preserve"> and</w:t>
      </w:r>
      <w:r w:rsidRPr="006D094B">
        <w:t xml:space="preserve"> Statement on Standards for Consulting Services.</w:t>
      </w:r>
      <w:r w:rsidR="007F0310" w:rsidRPr="006D094B">
        <w:t xml:space="preserve"> These services are </w:t>
      </w:r>
      <w:r w:rsidR="007F0310" w:rsidRPr="006D094B">
        <w:rPr>
          <w:i/>
          <w:color w:val="00B0F0"/>
        </w:rPr>
        <w:t>not (</w:t>
      </w:r>
      <w:r w:rsidR="00852A92" w:rsidRPr="006D094B">
        <w:rPr>
          <w:i/>
          <w:color w:val="00B0F0"/>
        </w:rPr>
        <w:t>O</w:t>
      </w:r>
      <w:r w:rsidR="007F0310" w:rsidRPr="006D094B">
        <w:rPr>
          <w:i/>
          <w:color w:val="00B0F0"/>
        </w:rPr>
        <w:t>ptional)</w:t>
      </w:r>
      <w:r w:rsidR="007F0310" w:rsidRPr="006D094B">
        <w:rPr>
          <w:color w:val="00B0F0"/>
        </w:rPr>
        <w:t xml:space="preserve"> </w:t>
      </w:r>
      <w:r w:rsidR="007F0310" w:rsidRPr="006D094B">
        <w:t xml:space="preserve">considered personal financial planning services because we </w:t>
      </w:r>
      <w:r w:rsidR="007F0310" w:rsidRPr="006D094B">
        <w:rPr>
          <w:i/>
          <w:color w:val="00B0F0"/>
        </w:rPr>
        <w:t>do not (</w:t>
      </w:r>
      <w:r w:rsidR="00852A92" w:rsidRPr="006D094B">
        <w:rPr>
          <w:i/>
          <w:color w:val="00B0F0"/>
        </w:rPr>
        <w:t>O</w:t>
      </w:r>
      <w:r w:rsidR="007F0310" w:rsidRPr="006D094B">
        <w:rPr>
          <w:i/>
          <w:color w:val="00B0F0"/>
        </w:rPr>
        <w:t>ptional)</w:t>
      </w:r>
      <w:r w:rsidR="007F0310" w:rsidRPr="006D094B">
        <w:rPr>
          <w:color w:val="00B0F0"/>
        </w:rPr>
        <w:t xml:space="preserve"> </w:t>
      </w:r>
      <w:r w:rsidR="007F0310" w:rsidRPr="006D094B">
        <w:t>consider ourselves to be personal financial planners. As such, the personal financial planning standards do</w:t>
      </w:r>
      <w:r w:rsidR="007F0310" w:rsidRPr="0095649B">
        <w:rPr>
          <w:i/>
          <w:color w:val="00B0F0"/>
        </w:rPr>
        <w:t xml:space="preserve"> not (</w:t>
      </w:r>
      <w:r w:rsidR="00852A92" w:rsidRPr="006D094B">
        <w:rPr>
          <w:i/>
          <w:color w:val="00B0F0"/>
        </w:rPr>
        <w:t>O</w:t>
      </w:r>
      <w:r w:rsidR="007F0310" w:rsidRPr="006D094B">
        <w:rPr>
          <w:i/>
          <w:color w:val="00B0F0"/>
        </w:rPr>
        <w:t>ptional)</w:t>
      </w:r>
      <w:r w:rsidR="007F0310" w:rsidRPr="006D094B">
        <w:rPr>
          <w:color w:val="00B0F0"/>
        </w:rPr>
        <w:t xml:space="preserve"> </w:t>
      </w:r>
      <w:r w:rsidR="007F0310" w:rsidRPr="006D094B">
        <w:t>apply.</w:t>
      </w:r>
    </w:p>
    <w:p w14:paraId="2AEFF11B" w14:textId="77777777" w:rsidR="008F5EAD" w:rsidRPr="006D094B" w:rsidRDefault="007F0310" w:rsidP="008F5EAD">
      <w:pPr>
        <w:spacing w:before="120" w:after="120"/>
        <w:jc w:val="both"/>
      </w:pPr>
      <w:r w:rsidRPr="006D094B">
        <w:t xml:space="preserve">It is our duty to perform services with the same standard of care that a reasonable tax </w:t>
      </w:r>
      <w:r w:rsidR="00DD595F" w:rsidRPr="006D094B">
        <w:t xml:space="preserve">return </w:t>
      </w:r>
      <w:r w:rsidRPr="006D094B">
        <w:t>preparer would exercise in this type of engagement. It is your responsibility to safeguard your assets and maintain accurate records pertaining to transactions. We will not hold your property in trust for you, or otherwise accept fiduciary duties in the performance of the engagement.</w:t>
      </w:r>
    </w:p>
    <w:p w14:paraId="2AEFF11C" w14:textId="77777777" w:rsidR="00E6494A" w:rsidRPr="006D094B" w:rsidRDefault="00E6494A" w:rsidP="00E6494A">
      <w:pPr>
        <w:spacing w:before="120" w:after="120"/>
        <w:jc w:val="both"/>
        <w:rPr>
          <w:u w:val="single"/>
        </w:rPr>
      </w:pPr>
      <w:r w:rsidRPr="006D094B">
        <w:rPr>
          <w:u w:val="single"/>
        </w:rPr>
        <w:t>Arguable positions</w:t>
      </w:r>
    </w:p>
    <w:p w14:paraId="2AEFF11D" w14:textId="77777777" w:rsidR="00E6494A" w:rsidRPr="006D094B" w:rsidRDefault="00E6494A" w:rsidP="00E6494A">
      <w:pPr>
        <w:jc w:val="both"/>
      </w:pPr>
      <w:r w:rsidRPr="006D094B">
        <w:t xml:space="preserve">We will use our judgment to resolve questions in your favor where a tax law is unclear, </w:t>
      </w:r>
      <w:proofErr w:type="gramStart"/>
      <w:r w:rsidRPr="006D094B">
        <w:t>provided that</w:t>
      </w:r>
      <w:proofErr w:type="gramEnd"/>
      <w:r w:rsidRPr="006D094B">
        <w:t xml:space="preserve"> we have a reasonable belief that there is substantial authority for doing so. If there are conflicting interpretations of the law, we will explain the possible positions that may be taken on your return. We will follow the position you request, provided it is consistent with our understanding of tax reference materials. If the IRS, state or local tax authorities later contest the position you select, additional tax, penalties, and interest may be assessed. We assume no liability, and you hereby release us from any liability, including but not limited to, additional tax, penalties, interest, and related professional fees.</w:t>
      </w:r>
    </w:p>
    <w:p w14:paraId="2AEFF11E" w14:textId="77777777" w:rsidR="00843D5F" w:rsidRPr="006D094B" w:rsidRDefault="00843D5F" w:rsidP="00843D5F">
      <w:pPr>
        <w:spacing w:before="120" w:after="120"/>
        <w:jc w:val="both"/>
        <w:rPr>
          <w:i/>
          <w:color w:val="00B0F0"/>
          <w:u w:val="single"/>
        </w:rPr>
      </w:pPr>
      <w:r w:rsidRPr="006D094B">
        <w:rPr>
          <w:i/>
          <w:color w:val="00B0F0"/>
          <w:u w:val="single"/>
        </w:rPr>
        <w:lastRenderedPageBreak/>
        <w:t>Prior year review (Optional</w:t>
      </w:r>
      <w:r w:rsidR="00E6494A" w:rsidRPr="006D094B">
        <w:rPr>
          <w:i/>
          <w:color w:val="00B0F0"/>
          <w:u w:val="single"/>
        </w:rPr>
        <w:t xml:space="preserve"> if prior year returns were not prepared by the CPA firm</w:t>
      </w:r>
      <w:r w:rsidRPr="006D094B">
        <w:rPr>
          <w:i/>
          <w:color w:val="00B0F0"/>
          <w:u w:val="single"/>
        </w:rPr>
        <w:t>)</w:t>
      </w:r>
    </w:p>
    <w:p w14:paraId="2AEFF11F" w14:textId="1397F413" w:rsidR="00843D5F" w:rsidRPr="0095649B" w:rsidRDefault="00843D5F" w:rsidP="00843D5F">
      <w:pPr>
        <w:spacing w:before="120" w:after="120"/>
        <w:jc w:val="both"/>
        <w:rPr>
          <w:i/>
          <w:color w:val="00B0F0"/>
        </w:rPr>
      </w:pPr>
      <w:r w:rsidRPr="006D094B">
        <w:rPr>
          <w:i/>
          <w:color w:val="00B0F0"/>
        </w:rPr>
        <w:t xml:space="preserve">Our review of the prior year’s tax return will necessarily be limited and may not find all errors. We will, however, bring to your attention any errors that we find. If you ask us to prepare amended tax returns and address any other matters arising as a result of any error, </w:t>
      </w:r>
      <w:r w:rsidR="00E6494A" w:rsidRPr="006D094B">
        <w:rPr>
          <w:i/>
          <w:color w:val="00B0F0"/>
        </w:rPr>
        <w:t xml:space="preserve">and we agree to amend the returns, </w:t>
      </w:r>
      <w:r w:rsidRPr="006D094B">
        <w:rPr>
          <w:i/>
          <w:color w:val="00B0F0"/>
        </w:rPr>
        <w:t xml:space="preserve">we will confirm this </w:t>
      </w:r>
      <w:r w:rsidR="0095649B" w:rsidRPr="00F109A9">
        <w:rPr>
          <w:i/>
          <w:color w:val="00B0F0"/>
        </w:rPr>
        <w:t>engagement</w:t>
      </w:r>
      <w:r w:rsidR="0095649B" w:rsidRPr="0095649B" w:rsidDel="0095649B">
        <w:rPr>
          <w:i/>
          <w:color w:val="00B0F0"/>
        </w:rPr>
        <w:t xml:space="preserve"> </w:t>
      </w:r>
      <w:r w:rsidRPr="0095649B">
        <w:rPr>
          <w:i/>
          <w:color w:val="00B0F0"/>
        </w:rPr>
        <w:t xml:space="preserve">in a separate </w:t>
      </w:r>
      <w:r w:rsidR="0095649B">
        <w:rPr>
          <w:i/>
          <w:color w:val="00B0F0"/>
        </w:rPr>
        <w:t>Agreement</w:t>
      </w:r>
      <w:r w:rsidRPr="0095649B">
        <w:rPr>
          <w:i/>
          <w:color w:val="00B0F0"/>
        </w:rPr>
        <w:t>.</w:t>
      </w:r>
    </w:p>
    <w:p w14:paraId="2AEFF120" w14:textId="77777777" w:rsidR="003D3713" w:rsidRPr="006D094B" w:rsidRDefault="003D3713" w:rsidP="003D3713">
      <w:pPr>
        <w:spacing w:before="120" w:after="120"/>
        <w:jc w:val="both"/>
      </w:pPr>
      <w:r w:rsidRPr="006D094B">
        <w:rPr>
          <w:u w:val="single"/>
        </w:rPr>
        <w:t>Tax planning services</w:t>
      </w:r>
    </w:p>
    <w:p w14:paraId="2AEFF121" w14:textId="5C2F8895" w:rsidR="003D3713" w:rsidRPr="0095649B" w:rsidRDefault="00843D5F" w:rsidP="003D3713">
      <w:pPr>
        <w:spacing w:before="120" w:after="120"/>
        <w:jc w:val="both"/>
      </w:pPr>
      <w:r w:rsidRPr="006D094B">
        <w:t>T</w:t>
      </w:r>
      <w:r w:rsidR="003D3713" w:rsidRPr="006D094B">
        <w:t>ax planning services</w:t>
      </w:r>
      <w:r w:rsidRPr="006D094B">
        <w:t xml:space="preserve"> are not within the scope of this engagement</w:t>
      </w:r>
      <w:r w:rsidR="003D3713" w:rsidRPr="006D094B">
        <w:t xml:space="preserve">. </w:t>
      </w:r>
      <w:proofErr w:type="gramStart"/>
      <w:r w:rsidR="003D3713" w:rsidRPr="006D094B">
        <w:t>During the course of</w:t>
      </w:r>
      <w:proofErr w:type="gramEnd"/>
      <w:r w:rsidR="003D3713" w:rsidRPr="006D094B">
        <w:t xml:space="preserve"> preparing the </w:t>
      </w:r>
      <w:r w:rsidR="00852A92" w:rsidRPr="006D094B">
        <w:t xml:space="preserve">projections </w:t>
      </w:r>
      <w:r w:rsidR="003D3713" w:rsidRPr="006D094B">
        <w:t>identified above, we may bring to your attention potential tax savings strategies for you to consider as a possible means of reducing your taxes</w:t>
      </w:r>
      <w:r w:rsidR="00E6494A" w:rsidRPr="006D094B">
        <w:t xml:space="preserve"> in subsequent tax years</w:t>
      </w:r>
      <w:r w:rsidR="003D3713" w:rsidRPr="006D094B">
        <w:t xml:space="preserve">. However, we have no responsibility to do so, and will take no action with respect to such recommendations, as the responsibility for implementation remains with you, the taxpayer. If you ask us to provide tax planning services, </w:t>
      </w:r>
      <w:r w:rsidR="00E6494A" w:rsidRPr="006D094B">
        <w:t xml:space="preserve">and we agree to provide them to you, </w:t>
      </w:r>
      <w:r w:rsidR="003D3713" w:rsidRPr="006D094B">
        <w:t xml:space="preserve">we will confirm this </w:t>
      </w:r>
      <w:r w:rsidR="0095649B" w:rsidRPr="004112EA">
        <w:t>engagement</w:t>
      </w:r>
      <w:r w:rsidR="0095649B" w:rsidRPr="0095649B" w:rsidDel="0095649B">
        <w:t xml:space="preserve"> </w:t>
      </w:r>
      <w:r w:rsidR="003D3713" w:rsidRPr="0095649B">
        <w:t xml:space="preserve">in a separate </w:t>
      </w:r>
      <w:r w:rsidR="0095649B">
        <w:t>Agreement</w:t>
      </w:r>
      <w:r w:rsidR="003D3713" w:rsidRPr="0095649B">
        <w:t>.</w:t>
      </w:r>
    </w:p>
    <w:p w14:paraId="2AEFF122" w14:textId="77777777" w:rsidR="00F30711" w:rsidRPr="006D094B" w:rsidRDefault="00F30711" w:rsidP="00F30711">
      <w:pPr>
        <w:spacing w:before="120" w:after="120"/>
        <w:jc w:val="both"/>
        <w:rPr>
          <w:i/>
          <w:color w:val="00B0F0"/>
          <w:u w:val="single"/>
        </w:rPr>
      </w:pPr>
      <w:r w:rsidRPr="006D094B">
        <w:rPr>
          <w:i/>
          <w:color w:val="00B0F0"/>
          <w:u w:val="single"/>
        </w:rPr>
        <w:t>Divorce (Optional)</w:t>
      </w:r>
    </w:p>
    <w:p w14:paraId="2AEFF123" w14:textId="77777777" w:rsidR="004C6CB8" w:rsidRPr="006D094B" w:rsidRDefault="00F30711" w:rsidP="00D001EF">
      <w:pPr>
        <w:spacing w:after="120"/>
        <w:jc w:val="both"/>
        <w:rPr>
          <w:i/>
          <w:color w:val="00B0F0"/>
        </w:rPr>
      </w:pPr>
      <w:r w:rsidRPr="006D094B">
        <w:rPr>
          <w:i/>
          <w:color w:val="00B0F0"/>
        </w:rPr>
        <w:t xml:space="preserve">You have informed us of your pending divorce. </w:t>
      </w:r>
      <w:r w:rsidR="007F0310" w:rsidRPr="006D094B">
        <w:rPr>
          <w:i/>
          <w:color w:val="00B0F0"/>
        </w:rPr>
        <w:t>As you may have conflicting interests</w:t>
      </w:r>
      <w:r w:rsidR="00843D5F" w:rsidRPr="006D094B">
        <w:rPr>
          <w:i/>
          <w:color w:val="00B0F0"/>
        </w:rPr>
        <w:t xml:space="preserve"> with your spouse</w:t>
      </w:r>
      <w:r w:rsidR="007F0310" w:rsidRPr="006D094B">
        <w:rPr>
          <w:i/>
          <w:color w:val="00B0F0"/>
        </w:rPr>
        <w:t xml:space="preserve">, </w:t>
      </w:r>
      <w:r w:rsidR="00D91485" w:rsidRPr="006D094B">
        <w:rPr>
          <w:i/>
          <w:color w:val="00B0F0"/>
        </w:rPr>
        <w:t>you will both be required to sign a conflict of interest waiver. W</w:t>
      </w:r>
      <w:r w:rsidR="007F0310" w:rsidRPr="006D094B">
        <w:rPr>
          <w:i/>
          <w:color w:val="00B0F0"/>
        </w:rPr>
        <w:t xml:space="preserve">e </w:t>
      </w:r>
      <w:r w:rsidR="00D91485" w:rsidRPr="006D094B">
        <w:rPr>
          <w:i/>
          <w:color w:val="00B0F0"/>
        </w:rPr>
        <w:t xml:space="preserve">will </w:t>
      </w:r>
      <w:r w:rsidR="007F0310" w:rsidRPr="006D094B">
        <w:rPr>
          <w:i/>
          <w:color w:val="00B0F0"/>
        </w:rPr>
        <w:t xml:space="preserve">not be able to advise </w:t>
      </w:r>
      <w:r w:rsidR="00D91485" w:rsidRPr="006D094B">
        <w:rPr>
          <w:i/>
          <w:color w:val="00B0F0"/>
        </w:rPr>
        <w:t xml:space="preserve">either of </w:t>
      </w:r>
      <w:r w:rsidR="007F0310" w:rsidRPr="006D094B">
        <w:rPr>
          <w:i/>
          <w:color w:val="00B0F0"/>
        </w:rPr>
        <w:t xml:space="preserve">you until your divorce is finalized. </w:t>
      </w:r>
      <w:r w:rsidR="00D91485" w:rsidRPr="006D094B">
        <w:rPr>
          <w:i/>
          <w:color w:val="00B0F0"/>
        </w:rPr>
        <w:t>Consequently,</w:t>
      </w:r>
      <w:r w:rsidR="0045225F" w:rsidRPr="006D094B">
        <w:rPr>
          <w:i/>
          <w:color w:val="00B0F0"/>
        </w:rPr>
        <w:t xml:space="preserve"> </w:t>
      </w:r>
      <w:r w:rsidR="004C6CB8" w:rsidRPr="006D094B">
        <w:rPr>
          <w:i/>
          <w:color w:val="00B0F0"/>
        </w:rPr>
        <w:t xml:space="preserve">we will require a letter of instruction from both of your divorce attorneys </w:t>
      </w:r>
      <w:r w:rsidR="0095649B">
        <w:rPr>
          <w:i/>
          <w:color w:val="00B0F0"/>
        </w:rPr>
        <w:t>[</w:t>
      </w:r>
      <w:r w:rsidR="00E6494A" w:rsidRPr="0095649B">
        <w:rPr>
          <w:i/>
          <w:color w:val="00B0F0"/>
        </w:rPr>
        <w:t>or, if the spouse(s) is/are unrepresented, we will require a letter of instruction f</w:t>
      </w:r>
      <w:r w:rsidR="0095649B" w:rsidRPr="0095649B">
        <w:rPr>
          <w:i/>
          <w:color w:val="00B0F0"/>
        </w:rPr>
        <w:t>rom the unrepresented spouse(s)</w:t>
      </w:r>
      <w:r w:rsidR="0095649B">
        <w:rPr>
          <w:i/>
          <w:color w:val="00B0F0"/>
        </w:rPr>
        <w:t>]</w:t>
      </w:r>
      <w:r w:rsidR="00E6494A" w:rsidRPr="0095649B">
        <w:rPr>
          <w:i/>
          <w:color w:val="00B0F0"/>
        </w:rPr>
        <w:t xml:space="preserve"> </w:t>
      </w:r>
      <w:r w:rsidR="00D91485" w:rsidRPr="0095649B">
        <w:rPr>
          <w:i/>
          <w:color w:val="00B0F0"/>
        </w:rPr>
        <w:t xml:space="preserve">identifying </w:t>
      </w:r>
      <w:r w:rsidR="004C6CB8" w:rsidRPr="006D094B">
        <w:rPr>
          <w:i/>
          <w:color w:val="00B0F0"/>
        </w:rPr>
        <w:t xml:space="preserve">items </w:t>
      </w:r>
      <w:r w:rsidR="00F2278D" w:rsidRPr="006D094B">
        <w:rPr>
          <w:i/>
          <w:color w:val="00B0F0"/>
        </w:rPr>
        <w:t xml:space="preserve">needed to prepare the projection </w:t>
      </w:r>
      <w:r w:rsidR="004C6CB8" w:rsidRPr="006D094B">
        <w:rPr>
          <w:i/>
          <w:color w:val="00B0F0"/>
        </w:rPr>
        <w:t xml:space="preserve">and your agreement to same before the tax projections can be prepared. </w:t>
      </w:r>
    </w:p>
    <w:p w14:paraId="2AEFF124" w14:textId="77777777" w:rsidR="00F30711" w:rsidRPr="006D094B" w:rsidRDefault="00F30711" w:rsidP="00F30711">
      <w:pPr>
        <w:spacing w:before="120" w:after="120"/>
        <w:jc w:val="both"/>
        <w:rPr>
          <w:i/>
          <w:color w:val="00B0F0"/>
          <w:u w:val="single"/>
        </w:rPr>
      </w:pPr>
      <w:r w:rsidRPr="006D094B">
        <w:rPr>
          <w:i/>
          <w:color w:val="00B0F0"/>
          <w:u w:val="single"/>
        </w:rPr>
        <w:t xml:space="preserve">Tax </w:t>
      </w:r>
      <w:r w:rsidR="00852A92" w:rsidRPr="006D094B">
        <w:rPr>
          <w:i/>
          <w:color w:val="00B0F0"/>
          <w:u w:val="single"/>
        </w:rPr>
        <w:t>a</w:t>
      </w:r>
      <w:r w:rsidRPr="006D094B">
        <w:rPr>
          <w:i/>
          <w:color w:val="00B0F0"/>
          <w:u w:val="single"/>
        </w:rPr>
        <w:t>dvice (Optional)</w:t>
      </w:r>
    </w:p>
    <w:p w14:paraId="2AEFF125" w14:textId="77777777" w:rsidR="00F30711" w:rsidRPr="006D094B" w:rsidRDefault="00F30711" w:rsidP="00F30711">
      <w:pPr>
        <w:spacing w:before="120" w:after="120"/>
        <w:jc w:val="both"/>
        <w:rPr>
          <w:i/>
          <w:color w:val="00B0F0"/>
        </w:rPr>
      </w:pPr>
      <w:r w:rsidRPr="006D094B">
        <w:rPr>
          <w:i/>
          <w:color w:val="00B0F0"/>
        </w:rPr>
        <w:t xml:space="preserve">Our </w:t>
      </w:r>
      <w:r w:rsidR="0093611B" w:rsidRPr="006D094B">
        <w:rPr>
          <w:i/>
          <w:color w:val="00B0F0"/>
        </w:rPr>
        <w:t xml:space="preserve">projections are </w:t>
      </w:r>
      <w:r w:rsidRPr="006D094B">
        <w:rPr>
          <w:i/>
          <w:color w:val="00B0F0"/>
        </w:rPr>
        <w:t xml:space="preserve">based upon tax reference materials, facts, assumptions, and representations that are subject to change. We will not update our advice after the conclusion of the engagement for subsequent legislative or administrative changes or future judicial interpretations. To the extent we provide written advice concerning federal tax matters, we will follow the guidance contained in </w:t>
      </w:r>
      <w:r w:rsidR="00D817A8" w:rsidRPr="006D094B">
        <w:rPr>
          <w:i/>
          <w:color w:val="00B0F0"/>
        </w:rPr>
        <w:t xml:space="preserve">U.S. Treasury Department </w:t>
      </w:r>
      <w:r w:rsidRPr="006D094B">
        <w:rPr>
          <w:i/>
          <w:color w:val="00B0F0"/>
        </w:rPr>
        <w:t xml:space="preserve">Circular 230, §10.37, Requirements for </w:t>
      </w:r>
      <w:r w:rsidR="00B92301" w:rsidRPr="006D094B">
        <w:rPr>
          <w:i/>
          <w:color w:val="00B0F0"/>
        </w:rPr>
        <w:t>W</w:t>
      </w:r>
      <w:r w:rsidRPr="006D094B">
        <w:rPr>
          <w:i/>
          <w:color w:val="00B0F0"/>
        </w:rPr>
        <w:t xml:space="preserve">ritten </w:t>
      </w:r>
      <w:r w:rsidR="00B92301" w:rsidRPr="006D094B">
        <w:rPr>
          <w:i/>
          <w:color w:val="00B0F0"/>
        </w:rPr>
        <w:t>A</w:t>
      </w:r>
      <w:r w:rsidRPr="006D094B">
        <w:rPr>
          <w:i/>
          <w:color w:val="00B0F0"/>
        </w:rPr>
        <w:t>dvice.</w:t>
      </w:r>
    </w:p>
    <w:p w14:paraId="2AEFF128" w14:textId="77777777" w:rsidR="00D14BBA" w:rsidRPr="006D094B" w:rsidRDefault="00D14BBA" w:rsidP="00D14BBA">
      <w:pPr>
        <w:spacing w:before="120" w:after="120"/>
        <w:jc w:val="both"/>
      </w:pPr>
      <w:r w:rsidRPr="006D094B">
        <w:rPr>
          <w:b/>
          <w:i/>
        </w:rPr>
        <w:t>Client Responsibilities</w:t>
      </w:r>
    </w:p>
    <w:p w14:paraId="2AEFF129" w14:textId="77777777" w:rsidR="00D14BBA" w:rsidRPr="006D094B" w:rsidRDefault="00D14BBA" w:rsidP="00D14BBA">
      <w:pPr>
        <w:spacing w:before="120" w:after="120"/>
        <w:jc w:val="both"/>
      </w:pPr>
      <w:r w:rsidRPr="006D094B">
        <w:t xml:space="preserve">You agree to provide us with complete copies of previously filed tax returns, supporting schedules and any other records or information that we may request, either at </w:t>
      </w:r>
      <w:r w:rsidR="00F30711" w:rsidRPr="006D094B">
        <w:t xml:space="preserve">the </w:t>
      </w:r>
      <w:r w:rsidRPr="006D094B">
        <w:t xml:space="preserve">inception or </w:t>
      </w:r>
      <w:proofErr w:type="gramStart"/>
      <w:r w:rsidRPr="006D094B">
        <w:t>during the course of</w:t>
      </w:r>
      <w:proofErr w:type="gramEnd"/>
      <w:r w:rsidRPr="006D094B">
        <w:t xml:space="preserve"> the engagement.</w:t>
      </w:r>
    </w:p>
    <w:p w14:paraId="2AEFF12A" w14:textId="77777777" w:rsidR="006B575A" w:rsidRPr="006D094B" w:rsidRDefault="006B575A" w:rsidP="006B575A">
      <w:pPr>
        <w:spacing w:before="120" w:after="120"/>
        <w:jc w:val="both"/>
        <w:rPr>
          <w:i/>
          <w:color w:val="00B0F0"/>
          <w:u w:val="single"/>
        </w:rPr>
      </w:pPr>
      <w:r w:rsidRPr="006D094B">
        <w:rPr>
          <w:i/>
          <w:color w:val="00B0F0"/>
          <w:u w:val="single"/>
        </w:rPr>
        <w:t>Communication of authority of others (Optional)</w:t>
      </w:r>
    </w:p>
    <w:p w14:paraId="2AEFF12B" w14:textId="77777777" w:rsidR="00843D5F" w:rsidRPr="006D094B" w:rsidRDefault="00843D5F" w:rsidP="00843D5F">
      <w:pPr>
        <w:spacing w:before="120" w:after="120"/>
        <w:jc w:val="both"/>
        <w:rPr>
          <w:i/>
          <w:color w:val="00B0F0"/>
        </w:rPr>
      </w:pPr>
      <w:r w:rsidRPr="006D094B">
        <w:rPr>
          <w:i/>
          <w:color w:val="00B0F0"/>
        </w:rPr>
        <w:t>You hereby authorize the following individuals to communicate directly with us to request services and obtain copies of tax and financial information on your behalf:</w:t>
      </w:r>
    </w:p>
    <w:p w14:paraId="2AEFF12C" w14:textId="77777777" w:rsidR="00843D5F" w:rsidRPr="006D094B" w:rsidRDefault="00843D5F" w:rsidP="00843D5F">
      <w:pPr>
        <w:spacing w:before="120" w:after="120"/>
        <w:jc w:val="both"/>
        <w:rPr>
          <w:i/>
          <w:color w:val="00B0F0"/>
          <w:u w:val="single"/>
        </w:rPr>
      </w:pPr>
      <w:r w:rsidRPr="006D094B">
        <w:rPr>
          <w:i/>
          <w:color w:val="00B0F0"/>
          <w:u w:val="single"/>
        </w:rPr>
        <w:t>Name</w:t>
      </w:r>
      <w:r w:rsidRPr="006D094B">
        <w:rPr>
          <w:i/>
          <w:color w:val="00B0F0"/>
        </w:rPr>
        <w:tab/>
      </w:r>
      <w:r w:rsidRPr="006D094B">
        <w:rPr>
          <w:i/>
          <w:color w:val="00B0F0"/>
        </w:rPr>
        <w:tab/>
      </w:r>
      <w:r w:rsidRPr="006D094B">
        <w:rPr>
          <w:i/>
          <w:color w:val="00B0F0"/>
        </w:rPr>
        <w:tab/>
      </w:r>
      <w:r w:rsidRPr="006D094B">
        <w:rPr>
          <w:i/>
          <w:color w:val="00B0F0"/>
        </w:rPr>
        <w:tab/>
      </w:r>
      <w:r w:rsidRPr="006D094B">
        <w:rPr>
          <w:i/>
          <w:color w:val="00B0F0"/>
        </w:rPr>
        <w:tab/>
      </w:r>
      <w:r w:rsidRPr="006D094B">
        <w:rPr>
          <w:i/>
          <w:color w:val="00B0F0"/>
        </w:rPr>
        <w:tab/>
      </w:r>
      <w:r w:rsidRPr="006D094B">
        <w:rPr>
          <w:i/>
          <w:color w:val="00B0F0"/>
        </w:rPr>
        <w:tab/>
      </w:r>
      <w:r w:rsidRPr="006D094B">
        <w:rPr>
          <w:i/>
          <w:color w:val="00B0F0"/>
        </w:rPr>
        <w:tab/>
      </w:r>
      <w:r w:rsidRPr="006D094B">
        <w:rPr>
          <w:i/>
          <w:color w:val="00B0F0"/>
          <w:u w:val="single"/>
        </w:rPr>
        <w:t>Title</w:t>
      </w:r>
    </w:p>
    <w:p w14:paraId="2AEFF12D" w14:textId="77777777" w:rsidR="00843D5F" w:rsidRPr="006D094B" w:rsidRDefault="00843D5F" w:rsidP="00843D5F">
      <w:pPr>
        <w:spacing w:before="120" w:after="120"/>
        <w:jc w:val="both"/>
        <w:rPr>
          <w:color w:val="00B0F0"/>
          <w:u w:val="single"/>
        </w:rPr>
      </w:pP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p>
    <w:p w14:paraId="2AEFF12E" w14:textId="77777777" w:rsidR="00843D5F" w:rsidRPr="006D094B" w:rsidRDefault="00843D5F" w:rsidP="00843D5F">
      <w:pPr>
        <w:spacing w:before="120" w:after="120"/>
        <w:jc w:val="both"/>
        <w:rPr>
          <w:color w:val="00B0F0"/>
          <w:u w:val="single"/>
        </w:rPr>
      </w:pP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r w:rsidRPr="006D094B">
        <w:rPr>
          <w:color w:val="00B0F0"/>
          <w:u w:val="single"/>
        </w:rPr>
        <w:tab/>
      </w:r>
    </w:p>
    <w:p w14:paraId="2AEFF12F" w14:textId="77777777" w:rsidR="00843D5F" w:rsidRPr="006D094B" w:rsidRDefault="00843D5F" w:rsidP="00843D5F">
      <w:pPr>
        <w:spacing w:before="120" w:after="120"/>
        <w:jc w:val="both"/>
        <w:rPr>
          <w:i/>
          <w:color w:val="00B0F0"/>
        </w:rPr>
      </w:pPr>
      <w:r w:rsidRPr="006D094B">
        <w:rPr>
          <w:i/>
          <w:color w:val="00B0F0"/>
        </w:rPr>
        <w:lastRenderedPageBreak/>
        <w:t>You agree that the authority conveyed above shall continue in full force and effect until you inform us of any modifications in writing.</w:t>
      </w:r>
    </w:p>
    <w:p w14:paraId="2AEFF130" w14:textId="77777777" w:rsidR="00843D5F" w:rsidRPr="006D094B" w:rsidRDefault="00843D5F" w:rsidP="00843D5F">
      <w:pPr>
        <w:spacing w:before="120" w:after="120"/>
        <w:jc w:val="both"/>
        <w:rPr>
          <w:i/>
          <w:color w:val="00B0F0"/>
          <w:u w:val="single"/>
        </w:rPr>
      </w:pPr>
      <w:r w:rsidRPr="006D094B">
        <w:rPr>
          <w:i/>
          <w:color w:val="00B0F0"/>
          <w:u w:val="single"/>
        </w:rPr>
        <w:t>Online access to information (Optional)</w:t>
      </w:r>
    </w:p>
    <w:p w14:paraId="2AEFF131" w14:textId="77777777" w:rsidR="00843D5F" w:rsidRPr="006D094B" w:rsidRDefault="00843D5F" w:rsidP="00843D5F">
      <w:pPr>
        <w:spacing w:before="120" w:after="120"/>
        <w:jc w:val="both"/>
        <w:rPr>
          <w:i/>
          <w:color w:val="00B0F0"/>
        </w:rPr>
      </w:pPr>
      <w:r w:rsidRPr="006D094B">
        <w:rPr>
          <w:i/>
          <w:color w:val="00B0F0"/>
        </w:rPr>
        <w:t>To the extent you provide our firm with access to electronic data via a local or online database from which we will download your trial balance or other information, you agree that the data is accurate as of the date and time you authorize it to be downloaded.</w:t>
      </w:r>
    </w:p>
    <w:p w14:paraId="2AEFF132" w14:textId="77777777" w:rsidR="00F30711" w:rsidRPr="006D094B" w:rsidRDefault="00F30711" w:rsidP="00F30711">
      <w:pPr>
        <w:spacing w:before="120" w:after="120"/>
        <w:jc w:val="both"/>
        <w:rPr>
          <w:u w:val="single"/>
        </w:rPr>
      </w:pPr>
      <w:r w:rsidRPr="006D094B">
        <w:rPr>
          <w:u w:val="single"/>
        </w:rPr>
        <w:t>State and local filing obligations</w:t>
      </w:r>
    </w:p>
    <w:p w14:paraId="2AEFF133" w14:textId="18D70CD2" w:rsidR="00843D5F" w:rsidRPr="0095649B" w:rsidRDefault="00843D5F" w:rsidP="00843D5F">
      <w:pPr>
        <w:spacing w:before="120" w:after="120"/>
        <w:jc w:val="both"/>
      </w:pPr>
      <w:r w:rsidRPr="006D094B">
        <w:t xml:space="preserve">On June 21, 2018, the U.S. Supreme Court reversed the long-standing physical presence nexus standard in </w:t>
      </w:r>
      <w:r w:rsidRPr="006D094B">
        <w:rPr>
          <w:i/>
        </w:rPr>
        <w:t>South Dakota v. Wayfair, Inc. et. al</w:t>
      </w:r>
      <w:r w:rsidRPr="006D094B">
        <w:t xml:space="preserve">. This decision significantly changes the landscape of sales and use tax compliance, especially for online sellers. If you wish to understand the impact of the decision on your business, </w:t>
      </w:r>
      <w:r w:rsidR="00E6494A" w:rsidRPr="006D094B">
        <w:t xml:space="preserve">please so advise and </w:t>
      </w:r>
      <w:r w:rsidRPr="006D094B">
        <w:t xml:space="preserve">we will confirm this in a separate </w:t>
      </w:r>
      <w:r w:rsidR="0095649B">
        <w:t>Agreement</w:t>
      </w:r>
      <w:r w:rsidRPr="0095649B">
        <w:t>.</w:t>
      </w:r>
    </w:p>
    <w:p w14:paraId="2AEFF134" w14:textId="230F188E" w:rsidR="00F30711" w:rsidRPr="0095649B" w:rsidRDefault="00F30711" w:rsidP="00F30711">
      <w:pPr>
        <w:spacing w:before="120" w:after="120"/>
        <w:jc w:val="both"/>
      </w:pPr>
      <w:r w:rsidRPr="006D094B">
        <w:t xml:space="preserve">You are responsible for determining your tax filing obligations with any state or local tax authorities, including, but not limited to income, franchise, sales, use, property or unclaimed property taxes. If upon review of the information you have provided to us, </w:t>
      </w:r>
      <w:r w:rsidR="00D91485" w:rsidRPr="006D094B">
        <w:t xml:space="preserve">including </w:t>
      </w:r>
      <w:r w:rsidRPr="006D094B">
        <w:t xml:space="preserve">information that comes to our attention, we believe </w:t>
      </w:r>
      <w:r w:rsidR="00D91485" w:rsidRPr="006D094B">
        <w:t xml:space="preserve">that </w:t>
      </w:r>
      <w:r w:rsidRPr="006D094B">
        <w:t>you may have additional filing obligations, we will notify you</w:t>
      </w:r>
      <w:r w:rsidR="00843D5F" w:rsidRPr="006D094B">
        <w:t>.</w:t>
      </w:r>
      <w:r w:rsidRPr="006D094B">
        <w:t xml:space="preserve"> </w:t>
      </w:r>
      <w:r w:rsidR="00843D5F" w:rsidRPr="006D094B">
        <w:t xml:space="preserve">You acknowledge that </w:t>
      </w:r>
      <w:r w:rsidR="00E6494A" w:rsidRPr="006D094B">
        <w:t xml:space="preserve">the scope of our services under this Agreement does not include any services related to your compliance with tax obligations other than those identified in the </w:t>
      </w:r>
      <w:r w:rsidR="00E6494A" w:rsidRPr="006D094B">
        <w:rPr>
          <w:i/>
        </w:rPr>
        <w:t>Engagement Objective and Scope</w:t>
      </w:r>
      <w:r w:rsidR="00E6494A" w:rsidRPr="006D094B">
        <w:t xml:space="preserve"> section of this Agreement</w:t>
      </w:r>
      <w:r w:rsidRPr="006D094B">
        <w:t xml:space="preserve">. If you ask us to prepare </w:t>
      </w:r>
      <w:r w:rsidR="00E6494A" w:rsidRPr="006D094B">
        <w:t xml:space="preserve">any other </w:t>
      </w:r>
      <w:r w:rsidRPr="006D094B">
        <w:t xml:space="preserve">returns, </w:t>
      </w:r>
      <w:r w:rsidR="00E6494A" w:rsidRPr="006D094B">
        <w:t xml:space="preserve">and we agree to do so, </w:t>
      </w:r>
      <w:r w:rsidRPr="006D094B">
        <w:t xml:space="preserve">we will confirm this </w:t>
      </w:r>
      <w:r w:rsidR="0095649B" w:rsidRPr="004112EA">
        <w:t>engagement</w:t>
      </w:r>
      <w:r w:rsidR="0095649B" w:rsidRPr="0095649B" w:rsidDel="0095649B">
        <w:t xml:space="preserve"> </w:t>
      </w:r>
      <w:r w:rsidRPr="0095649B">
        <w:t xml:space="preserve">in a separate </w:t>
      </w:r>
      <w:r w:rsidR="0095649B">
        <w:t>Agreement</w:t>
      </w:r>
      <w:r w:rsidRPr="0095649B">
        <w:t>.</w:t>
      </w:r>
    </w:p>
    <w:p w14:paraId="2AEFF135" w14:textId="77777777" w:rsidR="00843D5F" w:rsidRPr="006D094B" w:rsidRDefault="00843D5F" w:rsidP="00843D5F">
      <w:pPr>
        <w:spacing w:before="120" w:after="120"/>
        <w:jc w:val="both"/>
        <w:rPr>
          <w:i/>
          <w:color w:val="00B0F0"/>
          <w:u w:val="single"/>
        </w:rPr>
      </w:pPr>
      <w:r w:rsidRPr="006D094B">
        <w:rPr>
          <w:i/>
          <w:color w:val="00B0F0"/>
          <w:u w:val="single"/>
        </w:rPr>
        <w:t xml:space="preserve">Virtual </w:t>
      </w:r>
      <w:r w:rsidR="00852A92" w:rsidRPr="006D094B">
        <w:rPr>
          <w:i/>
          <w:color w:val="00B0F0"/>
          <w:u w:val="single"/>
        </w:rPr>
        <w:t>c</w:t>
      </w:r>
      <w:r w:rsidRPr="006D094B">
        <w:rPr>
          <w:i/>
          <w:color w:val="00B0F0"/>
          <w:u w:val="single"/>
        </w:rPr>
        <w:t>urrency (Optional)</w:t>
      </w:r>
    </w:p>
    <w:p w14:paraId="2AEFF136" w14:textId="77777777" w:rsidR="00843D5F" w:rsidRPr="006D094B" w:rsidRDefault="00852A92" w:rsidP="00843D5F">
      <w:pPr>
        <w:spacing w:before="120" w:after="120"/>
        <w:jc w:val="both"/>
        <w:rPr>
          <w:i/>
          <w:color w:val="00B0F0"/>
        </w:rPr>
      </w:pPr>
      <w:r w:rsidRPr="006D094B">
        <w:rPr>
          <w:i/>
          <w:color w:val="00B0F0"/>
        </w:rPr>
        <w:t>T</w:t>
      </w:r>
      <w:r w:rsidR="00843D5F" w:rsidRPr="006D094B">
        <w:rPr>
          <w:i/>
          <w:color w:val="00B0F0"/>
        </w:rPr>
        <w:t>he IRS considers virtual currency (e.g., Bitcoin) as property for U.S. federal income tax purposes. As such, any transactions in, or transactions that use, virtual currency are subject to the same general tax principles that apply to other property transactions.</w:t>
      </w:r>
    </w:p>
    <w:p w14:paraId="2AEFF137" w14:textId="77777777" w:rsidR="00843D5F" w:rsidRPr="006D094B" w:rsidRDefault="00843D5F" w:rsidP="00843D5F">
      <w:pPr>
        <w:spacing w:before="120" w:after="120"/>
        <w:jc w:val="both"/>
        <w:rPr>
          <w:i/>
          <w:color w:val="00B0F0"/>
        </w:rPr>
      </w:pPr>
      <w:r w:rsidRPr="006D094B">
        <w:rPr>
          <w:i/>
          <w:color w:val="00B0F0"/>
        </w:rPr>
        <w:t>If you had virtual currency activity during the tax year, you may be subject to tax consequences associated with such transactions and may have additional reporting obligations. You agree to provide us with complete and accurate information regarding any transactions in, or transactions that have used, virtual currency during the applicable tax year.</w:t>
      </w:r>
    </w:p>
    <w:p w14:paraId="2AEFF138" w14:textId="77777777" w:rsidR="00B130EB" w:rsidRPr="006D094B" w:rsidRDefault="00B130EB" w:rsidP="00B130EB">
      <w:pPr>
        <w:spacing w:before="120" w:after="120"/>
        <w:jc w:val="both"/>
        <w:rPr>
          <w:u w:val="single"/>
        </w:rPr>
      </w:pPr>
      <w:r w:rsidRPr="006D094B">
        <w:rPr>
          <w:u w:val="single"/>
        </w:rPr>
        <w:t>Ultimate responsibility</w:t>
      </w:r>
    </w:p>
    <w:p w14:paraId="2AEFF139" w14:textId="77777777" w:rsidR="00B130EB" w:rsidRPr="006D094B" w:rsidRDefault="00B130EB" w:rsidP="00B130EB">
      <w:pPr>
        <w:spacing w:before="120" w:after="120"/>
        <w:jc w:val="both"/>
      </w:pPr>
      <w:r w:rsidRPr="006D094B">
        <w:t xml:space="preserve">You have final responsibility for </w:t>
      </w:r>
      <w:r w:rsidR="00DD595F" w:rsidRPr="006D094B">
        <w:t xml:space="preserve">the accuracy of </w:t>
      </w:r>
      <w:r w:rsidRPr="006D094B">
        <w:t>your tax projection. We will provide you with a copy of the deliverables for review prior to finalization. You agree to review and examine them carefully for accuracy and completeness. You are solely responsible for implementation of any strategies discussed in the deliverables.</w:t>
      </w:r>
    </w:p>
    <w:p w14:paraId="2AEFF13A" w14:textId="77777777" w:rsidR="00D14BBA" w:rsidRPr="006D094B" w:rsidRDefault="00D14BBA" w:rsidP="00D14BBA">
      <w:pPr>
        <w:spacing w:before="120" w:after="120"/>
        <w:jc w:val="both"/>
        <w:rPr>
          <w:b/>
          <w:i/>
        </w:rPr>
      </w:pPr>
      <w:r w:rsidRPr="006D094B">
        <w:rPr>
          <w:b/>
          <w:i/>
        </w:rPr>
        <w:t>Timing of the Engagement</w:t>
      </w:r>
    </w:p>
    <w:p w14:paraId="2AEFF13B" w14:textId="77777777" w:rsidR="00D14BBA" w:rsidRPr="006D094B" w:rsidRDefault="00D261E7" w:rsidP="00D14BBA">
      <w:pPr>
        <w:spacing w:before="120" w:after="120"/>
        <w:jc w:val="both"/>
      </w:pPr>
      <w:r w:rsidRPr="006D094B">
        <w:t>O</w:t>
      </w:r>
      <w:r w:rsidR="00D14BBA" w:rsidRPr="006D094B">
        <w:t xml:space="preserve">ur engagement </w:t>
      </w:r>
      <w:r w:rsidRPr="006D094B">
        <w:t xml:space="preserve">shall commence </w:t>
      </w:r>
      <w:r w:rsidR="00D14BBA" w:rsidRPr="006D094B">
        <w:t xml:space="preserve">upon receipt of this </w:t>
      </w:r>
      <w:r w:rsidR="00727127" w:rsidRPr="006D094B">
        <w:t>executed Agreement</w:t>
      </w:r>
      <w:r w:rsidR="00D14BBA" w:rsidRPr="006D094B">
        <w:t>. Our services will conclude after one of the following events has occurred:</w:t>
      </w:r>
    </w:p>
    <w:p w14:paraId="2AEFF13C" w14:textId="77777777" w:rsidR="00D14BBA" w:rsidRPr="006D094B" w:rsidRDefault="003F1ECC" w:rsidP="00D14BBA">
      <w:pPr>
        <w:numPr>
          <w:ilvl w:val="0"/>
          <w:numId w:val="2"/>
        </w:numPr>
        <w:spacing w:before="120" w:after="120"/>
        <w:jc w:val="both"/>
      </w:pPr>
      <w:r w:rsidRPr="006D094B">
        <w:t>t</w:t>
      </w:r>
      <w:r w:rsidR="00D14BBA" w:rsidRPr="006D094B">
        <w:t>ransmission of the deliverable</w:t>
      </w:r>
      <w:r w:rsidR="00D261E7" w:rsidRPr="006D094B">
        <w:t>(s)</w:t>
      </w:r>
      <w:r w:rsidR="00D14BBA" w:rsidRPr="006D094B">
        <w:t xml:space="preserve"> as identified above,</w:t>
      </w:r>
    </w:p>
    <w:p w14:paraId="2AEFF13D" w14:textId="77777777" w:rsidR="00D14BBA" w:rsidRPr="006D094B" w:rsidRDefault="003F1ECC" w:rsidP="00D14BBA">
      <w:pPr>
        <w:numPr>
          <w:ilvl w:val="0"/>
          <w:numId w:val="2"/>
        </w:numPr>
        <w:spacing w:before="120" w:after="120"/>
        <w:jc w:val="both"/>
      </w:pPr>
      <w:r w:rsidRPr="006D094B">
        <w:t>n</w:t>
      </w:r>
      <w:r w:rsidR="00D14BBA" w:rsidRPr="006D094B">
        <w:t xml:space="preserve">otice to you that </w:t>
      </w:r>
      <w:r w:rsidR="00D261E7" w:rsidRPr="006D094B">
        <w:t xml:space="preserve">no </w:t>
      </w:r>
      <w:r w:rsidR="00D14BBA" w:rsidRPr="006D094B">
        <w:t>deliverable</w:t>
      </w:r>
      <w:r w:rsidR="00D261E7" w:rsidRPr="006D094B">
        <w:t>(s)</w:t>
      </w:r>
      <w:r w:rsidR="00D14BBA" w:rsidRPr="006D094B">
        <w:t xml:space="preserve"> will be provided,</w:t>
      </w:r>
    </w:p>
    <w:p w14:paraId="2AEFF13E" w14:textId="77777777" w:rsidR="003F1ECC" w:rsidRPr="006D094B" w:rsidRDefault="003F1ECC" w:rsidP="003F1ECC">
      <w:pPr>
        <w:numPr>
          <w:ilvl w:val="0"/>
          <w:numId w:val="2"/>
        </w:numPr>
        <w:spacing w:before="120" w:after="120"/>
        <w:jc w:val="both"/>
      </w:pPr>
      <w:r w:rsidRPr="006D094B">
        <w:rPr>
          <w:rFonts w:eastAsia="MS Mincho"/>
          <w:lang w:eastAsia="ja-JP"/>
        </w:rPr>
        <w:lastRenderedPageBreak/>
        <w:t>written notification by either party that the engagement is terminated, or</w:t>
      </w:r>
    </w:p>
    <w:p w14:paraId="2AEFF13F" w14:textId="77777777" w:rsidR="00D14BBA" w:rsidRPr="006D094B" w:rsidRDefault="003F1ECC" w:rsidP="00D14BBA">
      <w:pPr>
        <w:numPr>
          <w:ilvl w:val="0"/>
          <w:numId w:val="2"/>
        </w:numPr>
        <w:spacing w:before="120" w:after="120"/>
        <w:jc w:val="both"/>
      </w:pPr>
      <w:r w:rsidRPr="006D094B">
        <w:t>o</w:t>
      </w:r>
      <w:r w:rsidR="00D14BBA" w:rsidRPr="006D094B">
        <w:t xml:space="preserve">ne year </w:t>
      </w:r>
      <w:r w:rsidR="00F30711" w:rsidRPr="006D094B">
        <w:t xml:space="preserve">from </w:t>
      </w:r>
      <w:r w:rsidR="00D14BBA" w:rsidRPr="006D094B">
        <w:t>the execution date of th</w:t>
      </w:r>
      <w:r w:rsidR="00727127" w:rsidRPr="006D094B">
        <w:t>is Agreement</w:t>
      </w:r>
      <w:r w:rsidRPr="006D094B">
        <w:t>.</w:t>
      </w:r>
    </w:p>
    <w:p w14:paraId="2AEFF140" w14:textId="152DC1D3" w:rsidR="00D14BBA" w:rsidRPr="006D094B" w:rsidRDefault="00D14BBA" w:rsidP="00D14BBA">
      <w:pPr>
        <w:spacing w:before="120" w:after="120"/>
        <w:jc w:val="both"/>
        <w:rPr>
          <w:b/>
          <w:i/>
        </w:rPr>
      </w:pPr>
      <w:r w:rsidRPr="006D094B">
        <w:rPr>
          <w:b/>
          <w:i/>
        </w:rPr>
        <w:t>Professional Fee</w:t>
      </w:r>
    </w:p>
    <w:p w14:paraId="2AEFF141" w14:textId="77777777" w:rsidR="00D14BBA" w:rsidRPr="006D094B" w:rsidRDefault="00D14BBA" w:rsidP="00D14BBA">
      <w:pPr>
        <w:spacing w:before="120" w:after="120"/>
        <w:jc w:val="both"/>
      </w:pPr>
      <w:r w:rsidRPr="006D094B">
        <w:t>Our professional fee for the services outlined above is estimated to be $[</w:t>
      </w:r>
      <w:r w:rsidRPr="006D094B">
        <w:rPr>
          <w:i/>
        </w:rPr>
        <w:t>X</w:t>
      </w:r>
      <w:r w:rsidRPr="006D094B">
        <w:t>]</w:t>
      </w:r>
      <w:r w:rsidR="007771D0" w:rsidRPr="006D094B">
        <w:t xml:space="preserve">, </w:t>
      </w:r>
      <w:r w:rsidR="007771D0" w:rsidRPr="006D094B">
        <w:rPr>
          <w:i/>
          <w:color w:val="00B0F0"/>
        </w:rPr>
        <w:t xml:space="preserve">of which </w:t>
      </w:r>
      <w:r w:rsidR="007771D0" w:rsidRPr="006D094B">
        <w:rPr>
          <w:color w:val="00B0F0"/>
        </w:rPr>
        <w:t>[</w:t>
      </w:r>
      <w:r w:rsidR="007771D0" w:rsidRPr="006D094B">
        <w:rPr>
          <w:i/>
          <w:color w:val="00B0F0"/>
        </w:rPr>
        <w:t>X</w:t>
      </w:r>
      <w:r w:rsidR="007771D0" w:rsidRPr="006D094B">
        <w:rPr>
          <w:color w:val="00B0F0"/>
        </w:rPr>
        <w:t>]</w:t>
      </w:r>
      <w:r w:rsidR="007771D0" w:rsidRPr="006D094B">
        <w:rPr>
          <w:i/>
          <w:color w:val="00B0F0"/>
        </w:rPr>
        <w:t xml:space="preserve">% is due upon execution of this Agreement as a retainer </w:t>
      </w:r>
      <w:r w:rsidR="007771D0" w:rsidRPr="006D094B">
        <w:rPr>
          <w:color w:val="00B0F0"/>
        </w:rPr>
        <w:t>(</w:t>
      </w:r>
      <w:r w:rsidR="007771D0" w:rsidRPr="006D094B">
        <w:rPr>
          <w:i/>
          <w:color w:val="00B0F0"/>
        </w:rPr>
        <w:t>Optional</w:t>
      </w:r>
      <w:r w:rsidR="007771D0" w:rsidRPr="006D094B">
        <w:rPr>
          <w:color w:val="00B0F0"/>
        </w:rPr>
        <w:t>)</w:t>
      </w:r>
      <w:r w:rsidRPr="006D094B">
        <w:t>. This fee is based upon the complexity of the work to be performed</w:t>
      </w:r>
      <w:r w:rsidR="00992E3C" w:rsidRPr="006D094B">
        <w:t>,</w:t>
      </w:r>
      <w:r w:rsidRPr="006D094B">
        <w:t xml:space="preserve"> and our professional time</w:t>
      </w:r>
      <w:r w:rsidR="00992E3C" w:rsidRPr="006D094B">
        <w:t xml:space="preserve">, </w:t>
      </w:r>
      <w:r w:rsidR="00DA0A5D" w:rsidRPr="006D094B">
        <w:t xml:space="preserve">as well as </w:t>
      </w:r>
      <w:r w:rsidR="00992E3C" w:rsidRPr="006D094B">
        <w:t>out</w:t>
      </w:r>
      <w:r w:rsidR="00F30711" w:rsidRPr="006D094B">
        <w:t>-</w:t>
      </w:r>
      <w:r w:rsidR="00992E3C" w:rsidRPr="006D094B">
        <w:t>of</w:t>
      </w:r>
      <w:r w:rsidR="00F30711" w:rsidRPr="006D094B">
        <w:t>-</w:t>
      </w:r>
      <w:r w:rsidR="00992E3C" w:rsidRPr="006D094B">
        <w:t>pocket expenses</w:t>
      </w:r>
      <w:r w:rsidRPr="006D094B">
        <w:t xml:space="preserve">. </w:t>
      </w:r>
      <w:r w:rsidR="00DA0A5D" w:rsidRPr="006D094B">
        <w:t>In addition, this fee depends upon</w:t>
      </w:r>
      <w:r w:rsidRPr="006D094B">
        <w:t xml:space="preserve"> the </w:t>
      </w:r>
      <w:r w:rsidR="00727127" w:rsidRPr="006D094B">
        <w:t xml:space="preserve">timely delivery, </w:t>
      </w:r>
      <w:r w:rsidRPr="006D094B">
        <w:t>availability, quality</w:t>
      </w:r>
      <w:r w:rsidR="00D261E7" w:rsidRPr="006D094B">
        <w:t>,</w:t>
      </w:r>
      <w:r w:rsidRPr="006D094B">
        <w:t xml:space="preserve"> and completeness of </w:t>
      </w:r>
      <w:r w:rsidR="00727127" w:rsidRPr="006D094B">
        <w:t>the information you provide to us</w:t>
      </w:r>
      <w:r w:rsidRPr="006D094B">
        <w:t xml:space="preserve">. You agree that you will deliver all records requested </w:t>
      </w:r>
      <w:r w:rsidR="003C08A6" w:rsidRPr="006D094B">
        <w:t xml:space="preserve">and respond to all inquiries made by </w:t>
      </w:r>
      <w:r w:rsidRPr="006D094B">
        <w:t xml:space="preserve">our staff </w:t>
      </w:r>
      <w:r w:rsidR="00D261E7" w:rsidRPr="006D094B">
        <w:t xml:space="preserve">to complete this engagement </w:t>
      </w:r>
      <w:r w:rsidRPr="006D094B">
        <w:t>on a timely basis.</w:t>
      </w:r>
      <w:r w:rsidR="00F30711" w:rsidRPr="006D094B">
        <w:rPr>
          <w:bCs/>
          <w:i/>
          <w:color w:val="00B0F0"/>
        </w:rPr>
        <w:t xml:space="preserve"> </w:t>
      </w:r>
      <w:r w:rsidR="00F30711" w:rsidRPr="006D094B">
        <w:t xml:space="preserve">You agree to pay all fees and expenses incurred </w:t>
      </w:r>
      <w:proofErr w:type="gramStart"/>
      <w:r w:rsidR="00F30711" w:rsidRPr="006D094B">
        <w:t>whether or not</w:t>
      </w:r>
      <w:proofErr w:type="gramEnd"/>
      <w:r w:rsidR="00F30711" w:rsidRPr="006D094B">
        <w:t xml:space="preserve"> we prepare the tax return projections.</w:t>
      </w:r>
    </w:p>
    <w:p w14:paraId="2AEFF142" w14:textId="77777777" w:rsidR="00E6494A" w:rsidRPr="0095649B" w:rsidRDefault="00E6494A" w:rsidP="00D14BBA">
      <w:pPr>
        <w:spacing w:before="120" w:after="120"/>
        <w:jc w:val="both"/>
      </w:pPr>
      <w:r w:rsidRPr="006D094B">
        <w:t>We require that all outstanding invoices be paid prior to rel</w:t>
      </w:r>
      <w:r w:rsidR="0095649B" w:rsidRPr="006D094B">
        <w:t>easing the completed tax return</w:t>
      </w:r>
      <w:r w:rsidR="0095649B">
        <w:t xml:space="preserve"> </w:t>
      </w:r>
      <w:r w:rsidR="0095649B" w:rsidRPr="004112EA">
        <w:t>projections</w:t>
      </w:r>
      <w:r w:rsidRPr="0095649B">
        <w:t>. We do not release inco</w:t>
      </w:r>
      <w:r w:rsidR="0095649B">
        <w:t xml:space="preserve">mplete tax return </w:t>
      </w:r>
      <w:r w:rsidR="0095649B" w:rsidRPr="004112EA">
        <w:t>projections</w:t>
      </w:r>
      <w:r w:rsidRPr="0095649B">
        <w:t>.</w:t>
      </w:r>
    </w:p>
    <w:p w14:paraId="2AEFF143" w14:textId="77777777" w:rsidR="00D14BBA" w:rsidRPr="006D094B" w:rsidRDefault="00D14BBA" w:rsidP="00D14BBA">
      <w:pPr>
        <w:spacing w:before="120" w:after="120"/>
        <w:jc w:val="center"/>
      </w:pPr>
      <w:r w:rsidRPr="006D094B">
        <w:t>* * * * * *</w:t>
      </w:r>
    </w:p>
    <w:p w14:paraId="2AEFF144" w14:textId="77777777" w:rsidR="00D14BBA" w:rsidRPr="006D094B" w:rsidRDefault="00D14BBA" w:rsidP="00D14BBA">
      <w:pPr>
        <w:spacing w:before="120" w:after="120"/>
        <w:jc w:val="both"/>
      </w:pPr>
      <w:r w:rsidRPr="006D094B">
        <w:t>We appreciate the opportunity to be of service to [</w:t>
      </w:r>
      <w:r w:rsidRPr="006D094B">
        <w:rPr>
          <w:i/>
          <w:iCs/>
        </w:rPr>
        <w:t>Client Name</w:t>
      </w:r>
      <w:r w:rsidRPr="006D094B">
        <w:t xml:space="preserve">]. Please date and </w:t>
      </w:r>
      <w:r w:rsidR="00727127" w:rsidRPr="006D094B">
        <w:t xml:space="preserve">execute </w:t>
      </w:r>
      <w:r w:rsidRPr="006D094B">
        <w:t xml:space="preserve">this </w:t>
      </w:r>
      <w:r w:rsidR="00727127" w:rsidRPr="006D094B">
        <w:t xml:space="preserve">Agreement </w:t>
      </w:r>
      <w:r w:rsidRPr="006D094B">
        <w:t xml:space="preserve">and return it to us to acknowledge your </w:t>
      </w:r>
      <w:r w:rsidR="003C08A6" w:rsidRPr="006D094B">
        <w:t>acceptance</w:t>
      </w:r>
      <w:r w:rsidRPr="006D094B">
        <w:t xml:space="preserve">. </w:t>
      </w:r>
      <w:r w:rsidR="00727127" w:rsidRPr="006D094B">
        <w:t xml:space="preserve">We will not </w:t>
      </w:r>
      <w:r w:rsidRPr="006D094B">
        <w:t xml:space="preserve">initiate services </w:t>
      </w:r>
      <w:r w:rsidR="00727127" w:rsidRPr="006D094B">
        <w:t xml:space="preserve">until </w:t>
      </w:r>
      <w:r w:rsidRPr="006D094B">
        <w:t xml:space="preserve">we receive the executed </w:t>
      </w:r>
      <w:r w:rsidR="00727127" w:rsidRPr="006D094B">
        <w:t>Agreement</w:t>
      </w:r>
      <w:r w:rsidR="003C08A6" w:rsidRPr="006D094B">
        <w:t xml:space="preserve"> </w:t>
      </w:r>
      <w:r w:rsidR="003C08A6" w:rsidRPr="006D094B">
        <w:rPr>
          <w:i/>
          <w:color w:val="00B0F0"/>
        </w:rPr>
        <w:t>and retainer (Optional)</w:t>
      </w:r>
      <w:r w:rsidRPr="006D094B">
        <w:t>.</w:t>
      </w:r>
    </w:p>
    <w:p w14:paraId="2AEFF145" w14:textId="77777777" w:rsidR="00D14BBA" w:rsidRPr="006D094B" w:rsidRDefault="00D14BBA" w:rsidP="00D14BBA">
      <w:pPr>
        <w:spacing w:before="120" w:after="120"/>
        <w:jc w:val="both"/>
      </w:pPr>
    </w:p>
    <w:p w14:paraId="2AEFF146" w14:textId="77777777" w:rsidR="00D14BBA" w:rsidRPr="006D094B" w:rsidRDefault="00D14BBA" w:rsidP="00D14BBA">
      <w:pPr>
        <w:spacing w:before="120" w:after="120"/>
        <w:jc w:val="both"/>
      </w:pPr>
      <w:r w:rsidRPr="006D094B">
        <w:t>Very truly yours,</w:t>
      </w:r>
    </w:p>
    <w:p w14:paraId="2AEFF147" w14:textId="77777777" w:rsidR="00F30711" w:rsidRPr="006D094B" w:rsidRDefault="00F30711" w:rsidP="00F30711">
      <w:pPr>
        <w:spacing w:before="120" w:after="120"/>
        <w:jc w:val="both"/>
      </w:pPr>
      <w:r w:rsidRPr="006D094B">
        <w:t>[</w:t>
      </w:r>
      <w:r w:rsidRPr="006D094B">
        <w:rPr>
          <w:i/>
        </w:rPr>
        <w:t>CPA</w:t>
      </w:r>
      <w:r w:rsidRPr="006D094B">
        <w:t xml:space="preserve"> </w:t>
      </w:r>
      <w:r w:rsidRPr="006D094B">
        <w:rPr>
          <w:i/>
        </w:rPr>
        <w:t>Firm</w:t>
      </w:r>
      <w:r w:rsidRPr="006D094B">
        <w:t>]</w:t>
      </w:r>
    </w:p>
    <w:p w14:paraId="2AEFF148" w14:textId="77777777" w:rsidR="00D14BBA" w:rsidRPr="006D094B" w:rsidRDefault="00D14BBA" w:rsidP="00D14BBA">
      <w:pPr>
        <w:spacing w:before="120" w:after="120"/>
        <w:jc w:val="both"/>
      </w:pPr>
    </w:p>
    <w:p w14:paraId="2AEFF149" w14:textId="77777777" w:rsidR="00D14BBA" w:rsidRPr="006D094B" w:rsidRDefault="00D14BBA" w:rsidP="00D14BBA">
      <w:pPr>
        <w:spacing w:before="120" w:after="120"/>
        <w:jc w:val="both"/>
      </w:pPr>
      <w:r w:rsidRPr="006D094B">
        <w:t>___________________</w:t>
      </w:r>
    </w:p>
    <w:p w14:paraId="2AEFF14A" w14:textId="77777777" w:rsidR="00D14BBA" w:rsidRPr="006D094B" w:rsidRDefault="00D14BBA" w:rsidP="00D14BBA">
      <w:pPr>
        <w:spacing w:before="120" w:after="120"/>
        <w:jc w:val="both"/>
      </w:pPr>
      <w:r w:rsidRPr="006D094B">
        <w:t>[</w:t>
      </w:r>
      <w:r w:rsidRPr="006D094B">
        <w:rPr>
          <w:i/>
        </w:rPr>
        <w:t>Accountant Name</w:t>
      </w:r>
      <w:r w:rsidRPr="006D094B">
        <w:t>]</w:t>
      </w:r>
    </w:p>
    <w:p w14:paraId="2AEFF14B" w14:textId="77777777" w:rsidR="00D14BBA" w:rsidRPr="006D094B" w:rsidRDefault="00D14BBA" w:rsidP="00D14BBA">
      <w:pPr>
        <w:spacing w:before="120" w:after="120"/>
        <w:jc w:val="both"/>
      </w:pPr>
      <w:r w:rsidRPr="006D094B">
        <w:t>[</w:t>
      </w:r>
      <w:r w:rsidRPr="006D094B">
        <w:rPr>
          <w:i/>
        </w:rPr>
        <w:t>Accountant Title</w:t>
      </w:r>
      <w:r w:rsidRPr="006D094B">
        <w:t>]</w:t>
      </w:r>
    </w:p>
    <w:p w14:paraId="2AEFF14C" w14:textId="77777777" w:rsidR="00D261E7" w:rsidRPr="006D094B" w:rsidRDefault="00D261E7" w:rsidP="00D14BBA">
      <w:pPr>
        <w:spacing w:before="120" w:after="120"/>
        <w:jc w:val="both"/>
      </w:pPr>
    </w:p>
    <w:p w14:paraId="2AEFF14D" w14:textId="77777777" w:rsidR="00D14BBA" w:rsidRPr="006D094B" w:rsidRDefault="00F30711" w:rsidP="00D14BBA">
      <w:pPr>
        <w:spacing w:before="120" w:after="120"/>
        <w:jc w:val="both"/>
      </w:pPr>
      <w:r w:rsidRPr="006D094B">
        <w:t>ACCEPTED</w:t>
      </w:r>
      <w:r w:rsidR="00D14BBA" w:rsidRPr="006D094B">
        <w:t>:</w:t>
      </w:r>
    </w:p>
    <w:p w14:paraId="2AEFF14E" w14:textId="77777777" w:rsidR="00D14BBA" w:rsidRPr="006D094B" w:rsidRDefault="00D14BBA" w:rsidP="00D14BBA">
      <w:pPr>
        <w:spacing w:before="120" w:after="120"/>
        <w:jc w:val="both"/>
      </w:pPr>
    </w:p>
    <w:p w14:paraId="2AEFF14F" w14:textId="77777777" w:rsidR="00D14BBA" w:rsidRPr="006D094B" w:rsidRDefault="00D14BBA" w:rsidP="00D14BBA">
      <w:pPr>
        <w:spacing w:before="120" w:after="120"/>
        <w:jc w:val="both"/>
      </w:pPr>
      <w:r w:rsidRPr="006D094B">
        <w:t>___________________</w:t>
      </w:r>
    </w:p>
    <w:p w14:paraId="2AEFF150" w14:textId="77777777" w:rsidR="00D14BBA" w:rsidRPr="006D094B" w:rsidRDefault="00D14BBA" w:rsidP="00D14BBA">
      <w:pPr>
        <w:spacing w:before="120" w:after="120"/>
        <w:jc w:val="both"/>
      </w:pPr>
      <w:r w:rsidRPr="006D094B">
        <w:t>[</w:t>
      </w:r>
      <w:r w:rsidRPr="006D094B">
        <w:rPr>
          <w:i/>
        </w:rPr>
        <w:t>Client Name</w:t>
      </w:r>
      <w:r w:rsidRPr="006D094B">
        <w:t>]</w:t>
      </w:r>
    </w:p>
    <w:p w14:paraId="2AEFF151" w14:textId="77777777" w:rsidR="00D14BBA" w:rsidRPr="006D094B" w:rsidRDefault="00D14BBA" w:rsidP="00D14BBA">
      <w:pPr>
        <w:spacing w:before="120" w:after="120"/>
        <w:jc w:val="both"/>
      </w:pPr>
      <w:r w:rsidRPr="006D094B">
        <w:t>[</w:t>
      </w:r>
      <w:r w:rsidRPr="006D094B">
        <w:rPr>
          <w:i/>
        </w:rPr>
        <w:t>Authorized Officer</w:t>
      </w:r>
      <w:r w:rsidRPr="006D094B">
        <w:t>]</w:t>
      </w:r>
    </w:p>
    <w:p w14:paraId="2AEFF152" w14:textId="77777777" w:rsidR="00D14BBA" w:rsidRPr="006D094B" w:rsidRDefault="00D14BBA" w:rsidP="00D14BBA">
      <w:pPr>
        <w:spacing w:before="120" w:after="120"/>
        <w:jc w:val="both"/>
      </w:pPr>
      <w:r w:rsidRPr="006D094B">
        <w:t>[</w:t>
      </w:r>
      <w:r w:rsidRPr="006D094B">
        <w:rPr>
          <w:i/>
        </w:rPr>
        <w:t>Title of Officer</w:t>
      </w:r>
      <w:r w:rsidRPr="006D094B">
        <w:t>]</w:t>
      </w:r>
    </w:p>
    <w:p w14:paraId="2AEFF153" w14:textId="77777777" w:rsidR="00D14BBA" w:rsidRPr="006D094B" w:rsidRDefault="00D14BBA" w:rsidP="00D14BBA">
      <w:pPr>
        <w:spacing w:before="120" w:after="120"/>
        <w:jc w:val="both"/>
      </w:pPr>
      <w:r w:rsidRPr="006D094B">
        <w:t>___________________</w:t>
      </w:r>
    </w:p>
    <w:p w14:paraId="2AEFF154" w14:textId="77777777" w:rsidR="00D14BBA" w:rsidRPr="006D094B" w:rsidRDefault="00D14BBA" w:rsidP="00D14BBA">
      <w:pPr>
        <w:spacing w:before="120" w:after="120"/>
        <w:jc w:val="both"/>
      </w:pPr>
      <w:r w:rsidRPr="006D094B">
        <w:t>[</w:t>
      </w:r>
      <w:r w:rsidRPr="006D094B">
        <w:rPr>
          <w:i/>
        </w:rPr>
        <w:t>Date</w:t>
      </w:r>
      <w:r w:rsidRPr="006D094B">
        <w:t>]</w:t>
      </w:r>
    </w:p>
    <w:p w14:paraId="2AEFF155" w14:textId="77777777" w:rsidR="00D14BBA" w:rsidRPr="006D094B" w:rsidRDefault="00D14BBA" w:rsidP="00D14BBA">
      <w:pPr>
        <w:spacing w:before="120" w:after="120"/>
        <w:jc w:val="both"/>
      </w:pPr>
    </w:p>
    <w:p w14:paraId="2AEFF156" w14:textId="77777777" w:rsidR="00D14BBA" w:rsidRPr="006D094B" w:rsidRDefault="00D14BBA" w:rsidP="00D14BBA">
      <w:pPr>
        <w:spacing w:before="120" w:after="120"/>
        <w:jc w:val="center"/>
      </w:pPr>
      <w:r w:rsidRPr="006D094B">
        <w:lastRenderedPageBreak/>
        <w:t>* * * * * *</w:t>
      </w:r>
    </w:p>
    <w:p w14:paraId="2AEFF157" w14:textId="77777777" w:rsidR="00D14BBA" w:rsidRPr="006D094B" w:rsidRDefault="00D14BBA" w:rsidP="00D14BBA">
      <w:pPr>
        <w:spacing w:before="120" w:after="120"/>
        <w:jc w:val="both"/>
        <w:rPr>
          <w:b/>
          <w:i/>
        </w:rPr>
      </w:pPr>
      <w:r w:rsidRPr="006D094B">
        <w:rPr>
          <w:b/>
          <w:i/>
        </w:rPr>
        <w:t>This information is produced and presented by CNA, which is solely responsible for its content.</w:t>
      </w:r>
    </w:p>
    <w:p w14:paraId="2AEFF158" w14:textId="77777777" w:rsidR="00D14BBA" w:rsidRPr="006D094B" w:rsidRDefault="00D14BBA" w:rsidP="00D14BBA">
      <w:pPr>
        <w:spacing w:before="120" w:after="120"/>
        <w:jc w:val="both"/>
        <w:rPr>
          <w:i/>
        </w:rPr>
      </w:pPr>
      <w:r w:rsidRPr="006D094B">
        <w:rPr>
          <w:b/>
          <w:i/>
        </w:rPr>
        <w:t xml:space="preserve">This sample engagement letter contains illustrative language to include in an engagement letter. The letter should not be construed as legal advice or legal opinion on any factual situation. As legal advice must be tailored to the specific circumstance of each case, the general information provided herein is not intended as a substitute for the advice of a professional or legal counsel. This sample </w:t>
      </w:r>
      <w:r w:rsidR="00DA0A5D" w:rsidRPr="006D094B">
        <w:rPr>
          <w:b/>
          <w:i/>
        </w:rPr>
        <w:t xml:space="preserve">is </w:t>
      </w:r>
      <w:r w:rsidRPr="006D094B">
        <w:rPr>
          <w:b/>
          <w:i/>
        </w:rPr>
        <w:t>not intend</w:t>
      </w:r>
      <w:r w:rsidR="00DA0A5D" w:rsidRPr="006D094B">
        <w:rPr>
          <w:b/>
          <w:i/>
        </w:rPr>
        <w:t>ed</w:t>
      </w:r>
      <w:r w:rsidRPr="006D094B">
        <w:rPr>
          <w:b/>
          <w:i/>
        </w:rPr>
        <w:t xml:space="preserve"> to be all-inclusive of the types of services performed by accountants. It should be customized for each engagement and prepared in accordance with applicable professional</w:t>
      </w:r>
      <w:r w:rsidR="00D001EF" w:rsidRPr="006D094B">
        <w:rPr>
          <w:b/>
          <w:i/>
        </w:rPr>
        <w:t>, legal</w:t>
      </w:r>
      <w:r w:rsidRPr="006D094B">
        <w:rPr>
          <w:b/>
          <w:i/>
        </w:rPr>
        <w:t xml:space="preserve"> and regulatory requirements</w:t>
      </w:r>
      <w:r w:rsidRPr="006D094B">
        <w:t>.</w:t>
      </w:r>
    </w:p>
    <w:p w14:paraId="2AEFF159" w14:textId="77777777" w:rsidR="00D14BBA" w:rsidRPr="006D094B" w:rsidRDefault="00D14BBA" w:rsidP="00D14BBA">
      <w:pPr>
        <w:autoSpaceDE w:val="0"/>
        <w:autoSpaceDN w:val="0"/>
        <w:adjustRightInd w:val="0"/>
        <w:spacing w:before="120" w:after="120"/>
        <w:jc w:val="both"/>
        <w:rPr>
          <w:b/>
          <w:bCs/>
          <w:i/>
          <w:iCs/>
        </w:rPr>
      </w:pPr>
      <w:r w:rsidRPr="006D094B">
        <w:rPr>
          <w:b/>
          <w:bCs/>
          <w:i/>
          <w:iCs/>
        </w:rPr>
        <w:t xml:space="preserve">The information, examples and suggestions presented in this material have been developed from sources believed to be reliable, but they should not be construed as legal or other professional advice. CNA accepts no responsibility for the accuracy or completeness of this material and recommends consultation with legal counsel and/or other professional advisors before applying this material in any </w:t>
      </w:r>
      <w:proofErr w:type="gramStart"/>
      <w:r w:rsidRPr="006D094B">
        <w:rPr>
          <w:b/>
          <w:bCs/>
          <w:i/>
          <w:iCs/>
        </w:rPr>
        <w:t>particular factual</w:t>
      </w:r>
      <w:proofErr w:type="gramEnd"/>
      <w:r w:rsidRPr="006D094B">
        <w:rPr>
          <w:b/>
          <w:bCs/>
          <w:i/>
          <w:iCs/>
        </w:rPr>
        <w:t xml:space="preserve"> situations. This material is for illustrative purposes and is not intended to constitute a contract. Please remember that only the relevant insurance policy can provide the actual terms, coverages, amounts, conditions and exclusions for an insured. All CNA products and services may not be available in all states and may be subject to change without notice.</w:t>
      </w:r>
    </w:p>
    <w:p w14:paraId="2AEFF15A" w14:textId="77777777" w:rsidR="00906C57" w:rsidRPr="006D094B" w:rsidRDefault="00D14BBA" w:rsidP="00D14BBA">
      <w:pPr>
        <w:autoSpaceDE w:val="0"/>
        <w:autoSpaceDN w:val="0"/>
        <w:adjustRightInd w:val="0"/>
        <w:spacing w:before="120" w:after="120"/>
        <w:jc w:val="both"/>
        <w:rPr>
          <w:b/>
          <w:bCs/>
          <w:i/>
          <w:iCs/>
        </w:rPr>
      </w:pPr>
      <w:r w:rsidRPr="006D094B">
        <w:rPr>
          <w:b/>
          <w:bCs/>
          <w:i/>
          <w:iCs/>
        </w:rPr>
        <w:t xml:space="preserve">Any references to non-CNA </w:t>
      </w:r>
      <w:r w:rsidR="004447A5" w:rsidRPr="006D094B">
        <w:rPr>
          <w:b/>
          <w:bCs/>
          <w:i/>
          <w:iCs/>
        </w:rPr>
        <w:t>w</w:t>
      </w:r>
      <w:r w:rsidRPr="006D094B">
        <w:rPr>
          <w:b/>
          <w:bCs/>
          <w:i/>
          <w:iCs/>
        </w:rPr>
        <w:t>ebsites are provided solely for convenience, and CNA disclaims any responsibility with respect thereto.</w:t>
      </w:r>
    </w:p>
    <w:p w14:paraId="2AEFF15B" w14:textId="77777777" w:rsidR="00AC45B1" w:rsidRPr="004671EA" w:rsidRDefault="00D14BBA" w:rsidP="004671EA">
      <w:pPr>
        <w:autoSpaceDE w:val="0"/>
        <w:autoSpaceDN w:val="0"/>
        <w:adjustRightInd w:val="0"/>
        <w:spacing w:before="120" w:after="120"/>
        <w:jc w:val="both"/>
        <w:rPr>
          <w:b/>
          <w:bCs/>
          <w:i/>
          <w:iCs/>
        </w:rPr>
      </w:pPr>
      <w:r w:rsidRPr="006D094B">
        <w:rPr>
          <w:b/>
          <w:bCs/>
          <w:i/>
          <w:iCs/>
        </w:rPr>
        <w:t xml:space="preserve">"CNA" is a </w:t>
      </w:r>
      <w:r w:rsidR="0088369A" w:rsidRPr="006D094B">
        <w:rPr>
          <w:b/>
          <w:bCs/>
          <w:i/>
          <w:iCs/>
        </w:rPr>
        <w:t xml:space="preserve">registered </w:t>
      </w:r>
      <w:r w:rsidR="007F0310" w:rsidRPr="006D094B">
        <w:rPr>
          <w:b/>
          <w:bCs/>
          <w:i/>
          <w:iCs/>
        </w:rPr>
        <w:t>trade</w:t>
      </w:r>
      <w:r w:rsidRPr="006D094B">
        <w:rPr>
          <w:b/>
          <w:bCs/>
          <w:i/>
          <w:iCs/>
        </w:rPr>
        <w:t xml:space="preserve">mark </w:t>
      </w:r>
      <w:r w:rsidR="007F0310" w:rsidRPr="006D094B">
        <w:rPr>
          <w:b/>
          <w:bCs/>
          <w:i/>
          <w:iCs/>
        </w:rPr>
        <w:t xml:space="preserve">of </w:t>
      </w:r>
      <w:r w:rsidRPr="006D094B">
        <w:rPr>
          <w:b/>
          <w:bCs/>
          <w:i/>
          <w:iCs/>
        </w:rPr>
        <w:t xml:space="preserve">CNA Financial Corporation. Certain CNA Financial Corporation subsidiaries use the "CNA" </w:t>
      </w:r>
      <w:r w:rsidR="007F0310" w:rsidRPr="006D094B">
        <w:rPr>
          <w:b/>
          <w:bCs/>
          <w:i/>
          <w:iCs/>
        </w:rPr>
        <w:t>trade</w:t>
      </w:r>
      <w:r w:rsidRPr="006D094B">
        <w:rPr>
          <w:b/>
          <w:bCs/>
          <w:i/>
          <w:iCs/>
        </w:rPr>
        <w:t>mark in connection with insurance underwriting and claims activities. Copyright © 20</w:t>
      </w:r>
      <w:r w:rsidR="004447A5" w:rsidRPr="006D094B">
        <w:rPr>
          <w:b/>
          <w:bCs/>
          <w:i/>
          <w:iCs/>
        </w:rPr>
        <w:t>20</w:t>
      </w:r>
      <w:r w:rsidRPr="006D094B">
        <w:rPr>
          <w:b/>
          <w:bCs/>
          <w:i/>
          <w:iCs/>
        </w:rPr>
        <w:t xml:space="preserve"> CNA. All rights reserved.</w:t>
      </w:r>
    </w:p>
    <w:sectPr w:rsidR="00AC45B1" w:rsidRPr="004671EA" w:rsidSect="00AF2327">
      <w:footerReference w:type="default" r:id="rId12"/>
      <w:headerReference w:type="first" r:id="rId13"/>
      <w:footerReference w:type="first" r:id="rId14"/>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F15E" w14:textId="77777777" w:rsidR="008B667B" w:rsidRDefault="008B667B" w:rsidP="00D14BBA">
      <w:r>
        <w:separator/>
      </w:r>
    </w:p>
  </w:endnote>
  <w:endnote w:type="continuationSeparator" w:id="0">
    <w:p w14:paraId="2AEFF15F" w14:textId="77777777" w:rsidR="008B667B" w:rsidRDefault="008B667B" w:rsidP="00D1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F160" w14:textId="77777777" w:rsidR="007C0D41" w:rsidRPr="00985FB6" w:rsidRDefault="00D14BBA" w:rsidP="005432A9">
    <w:pPr>
      <w:pStyle w:val="Header"/>
      <w:jc w:val="center"/>
      <w:rPr>
        <w:sz w:val="18"/>
        <w:szCs w:val="18"/>
      </w:rPr>
    </w:pPr>
    <w:r w:rsidRPr="00985FB6">
      <w:rPr>
        <w:sz w:val="18"/>
        <w:szCs w:val="18"/>
      </w:rPr>
      <w:t xml:space="preserve">Updated </w:t>
    </w:r>
    <w:r w:rsidR="0095649B">
      <w:rPr>
        <w:sz w:val="18"/>
        <w:szCs w:val="18"/>
      </w:rPr>
      <w:t>November</w:t>
    </w:r>
    <w:r w:rsidR="007B51AE">
      <w:rPr>
        <w:sz w:val="18"/>
        <w:szCs w:val="18"/>
      </w:rPr>
      <w:t xml:space="preserve"> </w:t>
    </w:r>
    <w:r>
      <w:rPr>
        <w:sz w:val="18"/>
        <w:szCs w:val="18"/>
      </w:rPr>
      <w:t>20</w:t>
    </w:r>
    <w:r w:rsidR="00E6494A">
      <w:rPr>
        <w:sz w:val="18"/>
        <w:szCs w:val="18"/>
      </w:rPr>
      <w:t>20</w:t>
    </w:r>
  </w:p>
  <w:p w14:paraId="2AEFF161" w14:textId="77777777" w:rsidR="007C0D41" w:rsidRDefault="00D14BBA" w:rsidP="00AF2327">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95640">
      <w:rPr>
        <w:noProof/>
        <w:sz w:val="18"/>
        <w:szCs w:val="18"/>
      </w:rPr>
      <w:t>9</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95640">
      <w:rPr>
        <w:noProof/>
        <w:sz w:val="18"/>
        <w:szCs w:val="18"/>
      </w:rPr>
      <w:t>9</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F163" w14:textId="77777777" w:rsidR="00AF2327" w:rsidRPr="00985FB6" w:rsidRDefault="00AF2327" w:rsidP="00AF2327">
    <w:pPr>
      <w:pStyle w:val="Header"/>
      <w:jc w:val="center"/>
      <w:rPr>
        <w:sz w:val="18"/>
        <w:szCs w:val="18"/>
      </w:rPr>
    </w:pPr>
    <w:r w:rsidRPr="00985FB6">
      <w:rPr>
        <w:sz w:val="18"/>
        <w:szCs w:val="18"/>
      </w:rPr>
      <w:t xml:space="preserve">Updated </w:t>
    </w:r>
    <w:r w:rsidR="0095649B">
      <w:rPr>
        <w:sz w:val="18"/>
        <w:szCs w:val="18"/>
      </w:rPr>
      <w:t xml:space="preserve">November </w:t>
    </w:r>
    <w:r>
      <w:rPr>
        <w:sz w:val="18"/>
        <w:szCs w:val="18"/>
      </w:rPr>
      <w:t>20</w:t>
    </w:r>
    <w:r w:rsidR="00E6494A">
      <w:rPr>
        <w:sz w:val="18"/>
        <w:szCs w:val="18"/>
      </w:rPr>
      <w:t>20</w:t>
    </w:r>
  </w:p>
  <w:p w14:paraId="2AEFF164" w14:textId="77777777" w:rsidR="00AF2327" w:rsidRDefault="00AF2327" w:rsidP="00AF2327">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9564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95640">
      <w:rPr>
        <w:noProof/>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F15C" w14:textId="77777777" w:rsidR="008B667B" w:rsidRDefault="008B667B" w:rsidP="00D14BBA">
      <w:r>
        <w:separator/>
      </w:r>
    </w:p>
  </w:footnote>
  <w:footnote w:type="continuationSeparator" w:id="0">
    <w:p w14:paraId="2AEFF15D" w14:textId="77777777" w:rsidR="008B667B" w:rsidRDefault="008B667B" w:rsidP="00D14BBA">
      <w:r>
        <w:continuationSeparator/>
      </w:r>
    </w:p>
  </w:footnote>
  <w:footnote w:id="1">
    <w:p w14:paraId="2AEFF167" w14:textId="7FB27C67" w:rsidR="000D641E" w:rsidRDefault="000D641E">
      <w:pPr>
        <w:pStyle w:val="FootnoteText"/>
      </w:pPr>
      <w:r>
        <w:rPr>
          <w:rStyle w:val="FootnoteReference"/>
        </w:rPr>
        <w:footnoteRef/>
      </w:r>
      <w:r>
        <w:t xml:space="preserve"> </w:t>
      </w:r>
      <w:r w:rsidR="000C5195">
        <w:t xml:space="preserve">See the Terms and Conditions Addendum that is included in the </w:t>
      </w:r>
      <w:hyperlink r:id="rId1" w:anchor="tabs" w:history="1">
        <w:r w:rsidR="000C5195">
          <w:rPr>
            <w:rStyle w:val="Hyperlink"/>
          </w:rPr>
          <w:t>AICPA Tax Section’s Annual Tax Compliance Kit</w:t>
        </w:r>
      </w:hyperlink>
      <w:r w:rsidR="000C51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F162" w14:textId="77777777" w:rsidR="00AF2327" w:rsidRPr="00AF2327" w:rsidRDefault="00AF2327" w:rsidP="00AF2327">
    <w:pPr>
      <w:rPr>
        <w:sz w:val="28"/>
        <w:szCs w:val="28"/>
      </w:rPr>
    </w:pPr>
    <w:r>
      <w:rPr>
        <w:noProof/>
      </w:rPr>
      <w:drawing>
        <wp:inline distT="0" distB="0" distL="0" distR="0" wp14:anchorId="2AEFF165" wp14:editId="2AEFF166">
          <wp:extent cx="9525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t xml:space="preserve">    </w:t>
    </w:r>
    <w:r w:rsidRPr="00985FB6">
      <w:rPr>
        <w:b/>
        <w:sz w:val="32"/>
        <w:szCs w:val="32"/>
      </w:rPr>
      <w:t>AICPA Professional Liability Insurance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6031"/>
    <w:multiLevelType w:val="multilevel"/>
    <w:tmpl w:val="1E1431B8"/>
    <w:lvl w:ilvl="0">
      <w:start w:val="1"/>
      <w:numFmt w:val="bullet"/>
      <w:lvlText w:val=""/>
      <w:lvlJc w:val="left"/>
      <w:pPr>
        <w:tabs>
          <w:tab w:val="num" w:pos="360"/>
        </w:tabs>
        <w:ind w:left="360" w:hanging="360"/>
      </w:pPr>
      <w:rPr>
        <w:rFonts w:ascii="Symbol" w:hAnsi="Symbol" w:hint="default"/>
        <w:b w:val="0"/>
        <w:i w:val="0"/>
        <w:caps w:val="0"/>
        <w:strike w:val="0"/>
        <w:dstrike w:val="0"/>
        <w:shadow w:val="0"/>
        <w:emboss w:val="0"/>
        <w:imprint w:val="0"/>
        <w:vanish w:val="0"/>
        <w:color w:val="auto"/>
        <w:sz w:val="22"/>
        <w:szCs w:val="22"/>
        <w:vertAlign w:val="baseline"/>
      </w:rPr>
    </w:lvl>
    <w:lvl w:ilvl="1">
      <w:start w:val="1"/>
      <w:numFmt w:val="upperLetter"/>
      <w:lvlText w:val="%2."/>
      <w:lvlJc w:val="left"/>
      <w:pPr>
        <w:tabs>
          <w:tab w:val="num" w:pos="1392"/>
        </w:tabs>
        <w:ind w:left="1392" w:hanging="432"/>
      </w:pPr>
      <w:rPr>
        <w:rFonts w:ascii="Times New Roman" w:hAnsi="Times New Roman" w:hint="default"/>
        <w:b w:val="0"/>
        <w:i w:val="0"/>
        <w:sz w:val="22"/>
        <w:szCs w:val="22"/>
      </w:rPr>
    </w:lvl>
    <w:lvl w:ilvl="2">
      <w:start w:val="1"/>
      <w:numFmt w:val="bullet"/>
      <w:lvlText w:val=""/>
      <w:lvlJc w:val="left"/>
      <w:pPr>
        <w:tabs>
          <w:tab w:val="num" w:pos="1512"/>
        </w:tabs>
        <w:ind w:left="1512" w:hanging="360"/>
      </w:pPr>
      <w:rPr>
        <w:rFonts w:ascii="Symbol" w:hAnsi="Symbol" w:hint="default"/>
        <w:b w:val="0"/>
        <w:i w:val="0"/>
        <w:caps w:val="0"/>
        <w:strike w:val="0"/>
        <w:dstrike w:val="0"/>
        <w:shadow w:val="0"/>
        <w:emboss w:val="0"/>
        <w:imprint w:val="0"/>
        <w:vanish w:val="0"/>
        <w:color w:val="auto"/>
        <w:sz w:val="22"/>
        <w:szCs w:val="22"/>
        <w:vertAlign w:val="baseline"/>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922A8F"/>
    <w:multiLevelType w:val="hybridMultilevel"/>
    <w:tmpl w:val="DA521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C253A"/>
    <w:multiLevelType w:val="multilevel"/>
    <w:tmpl w:val="AC1415E2"/>
    <w:lvl w:ilvl="0">
      <w:start w:val="1"/>
      <w:numFmt w:val="upperRoman"/>
      <w:lvlText w:val="%1."/>
      <w:lvlJc w:val="left"/>
      <w:pPr>
        <w:tabs>
          <w:tab w:val="num" w:pos="720"/>
        </w:tabs>
        <w:ind w:left="720" w:hanging="720"/>
      </w:pPr>
      <w:rPr>
        <w:rFonts w:ascii="Courier New" w:hAnsi="Courier New" w:hint="default"/>
        <w:b w:val="0"/>
        <w:i w:val="0"/>
        <w:caps w:val="0"/>
        <w:strike w:val="0"/>
        <w:dstrike w:val="0"/>
        <w:shadow w:val="0"/>
        <w:emboss w:val="0"/>
        <w:imprint w:val="0"/>
        <w:vanish w:val="0"/>
        <w:sz w:val="22"/>
        <w:szCs w:val="22"/>
        <w:vertAlign w:val="baseline"/>
      </w:rPr>
    </w:lvl>
    <w:lvl w:ilvl="1">
      <w:start w:val="1"/>
      <w:numFmt w:val="upperLetter"/>
      <w:pStyle w:val="BlockText"/>
      <w:lvlText w:val="%2."/>
      <w:lvlJc w:val="left"/>
      <w:pPr>
        <w:tabs>
          <w:tab w:val="num" w:pos="1392"/>
        </w:tabs>
        <w:ind w:left="1392" w:hanging="432"/>
      </w:pPr>
      <w:rPr>
        <w:rFonts w:ascii="Times New Roman" w:hAnsi="Times New Roman" w:hint="default"/>
        <w:b w:val="0"/>
        <w:i w:val="0"/>
        <w:sz w:val="22"/>
        <w:szCs w:val="22"/>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1C1409"/>
    <w:multiLevelType w:val="multilevel"/>
    <w:tmpl w:val="677C92E4"/>
    <w:lvl w:ilvl="0">
      <w:start w:val="1"/>
      <w:numFmt w:val="bullet"/>
      <w:lvlText w:val=""/>
      <w:lvlJc w:val="left"/>
      <w:pPr>
        <w:tabs>
          <w:tab w:val="num" w:pos="-360"/>
        </w:tabs>
        <w:ind w:left="504" w:hanging="504"/>
      </w:pPr>
      <w:rPr>
        <w:rFonts w:ascii="Symbol" w:hAnsi="Symbol" w:hint="default"/>
      </w:rPr>
    </w:lvl>
    <w:lvl w:ilvl="1">
      <w:start w:val="1"/>
      <w:numFmt w:val="bullet"/>
      <w:lvlText w:val="-"/>
      <w:lvlJc w:val="left"/>
      <w:pPr>
        <w:tabs>
          <w:tab w:val="num" w:pos="0"/>
        </w:tabs>
        <w:ind w:left="1152" w:hanging="432"/>
      </w:pPr>
      <w:rPr>
        <w:rFonts w:ascii="Times New Roman" w:hAnsi="Times New Roman" w:cs="Times New Roman"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4" w15:restartNumberingAfterBreak="0">
    <w:nsid w:val="38C810D7"/>
    <w:multiLevelType w:val="hybridMultilevel"/>
    <w:tmpl w:val="6CA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A0253"/>
    <w:multiLevelType w:val="hybridMultilevel"/>
    <w:tmpl w:val="A84AA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0032F2"/>
    <w:multiLevelType w:val="hybridMultilevel"/>
    <w:tmpl w:val="4BC2A1E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BBA"/>
    <w:rsid w:val="00014872"/>
    <w:rsid w:val="00024004"/>
    <w:rsid w:val="0004540C"/>
    <w:rsid w:val="00046938"/>
    <w:rsid w:val="00051345"/>
    <w:rsid w:val="000548DB"/>
    <w:rsid w:val="00054EEA"/>
    <w:rsid w:val="00066CC3"/>
    <w:rsid w:val="00067CB1"/>
    <w:rsid w:val="0007209C"/>
    <w:rsid w:val="00075506"/>
    <w:rsid w:val="0008067E"/>
    <w:rsid w:val="00081CCB"/>
    <w:rsid w:val="00091FCD"/>
    <w:rsid w:val="00093945"/>
    <w:rsid w:val="00093F98"/>
    <w:rsid w:val="00094201"/>
    <w:rsid w:val="000B0D09"/>
    <w:rsid w:val="000B1918"/>
    <w:rsid w:val="000B68DE"/>
    <w:rsid w:val="000B6F2B"/>
    <w:rsid w:val="000B7EF8"/>
    <w:rsid w:val="000C2590"/>
    <w:rsid w:val="000C5195"/>
    <w:rsid w:val="000C538E"/>
    <w:rsid w:val="000D2B28"/>
    <w:rsid w:val="000D641E"/>
    <w:rsid w:val="000E23C2"/>
    <w:rsid w:val="000E6860"/>
    <w:rsid w:val="000F312F"/>
    <w:rsid w:val="000F42A1"/>
    <w:rsid w:val="000F78C9"/>
    <w:rsid w:val="00100D37"/>
    <w:rsid w:val="00101F9A"/>
    <w:rsid w:val="0010311E"/>
    <w:rsid w:val="001079AD"/>
    <w:rsid w:val="00111B10"/>
    <w:rsid w:val="0011454E"/>
    <w:rsid w:val="001168B8"/>
    <w:rsid w:val="00121640"/>
    <w:rsid w:val="001216FE"/>
    <w:rsid w:val="00130825"/>
    <w:rsid w:val="001341A3"/>
    <w:rsid w:val="00136E3B"/>
    <w:rsid w:val="00140233"/>
    <w:rsid w:val="00147363"/>
    <w:rsid w:val="00150E6D"/>
    <w:rsid w:val="00154441"/>
    <w:rsid w:val="00155285"/>
    <w:rsid w:val="0015556F"/>
    <w:rsid w:val="00160B81"/>
    <w:rsid w:val="001621D1"/>
    <w:rsid w:val="001629A2"/>
    <w:rsid w:val="00164E83"/>
    <w:rsid w:val="00165619"/>
    <w:rsid w:val="00165BE1"/>
    <w:rsid w:val="001677F3"/>
    <w:rsid w:val="00173149"/>
    <w:rsid w:val="0018221C"/>
    <w:rsid w:val="00183932"/>
    <w:rsid w:val="00184AF5"/>
    <w:rsid w:val="00187CFA"/>
    <w:rsid w:val="00190AAF"/>
    <w:rsid w:val="001939CB"/>
    <w:rsid w:val="0019751C"/>
    <w:rsid w:val="001A1952"/>
    <w:rsid w:val="001A4F7B"/>
    <w:rsid w:val="001A6902"/>
    <w:rsid w:val="001A6AEF"/>
    <w:rsid w:val="001B1866"/>
    <w:rsid w:val="001B3338"/>
    <w:rsid w:val="001B57A1"/>
    <w:rsid w:val="001B7512"/>
    <w:rsid w:val="001C1CA6"/>
    <w:rsid w:val="001C45A6"/>
    <w:rsid w:val="001D52AE"/>
    <w:rsid w:val="001E328B"/>
    <w:rsid w:val="001E62A8"/>
    <w:rsid w:val="001E6ACF"/>
    <w:rsid w:val="001F31A3"/>
    <w:rsid w:val="001F3EAB"/>
    <w:rsid w:val="001F65B9"/>
    <w:rsid w:val="002006B3"/>
    <w:rsid w:val="002024C4"/>
    <w:rsid w:val="002029A6"/>
    <w:rsid w:val="00206DDA"/>
    <w:rsid w:val="00213365"/>
    <w:rsid w:val="00216C06"/>
    <w:rsid w:val="002206ED"/>
    <w:rsid w:val="0022357A"/>
    <w:rsid w:val="00224D47"/>
    <w:rsid w:val="002340BA"/>
    <w:rsid w:val="00240F48"/>
    <w:rsid w:val="00241C0D"/>
    <w:rsid w:val="00242913"/>
    <w:rsid w:val="00251BB9"/>
    <w:rsid w:val="00254DCE"/>
    <w:rsid w:val="00255ACF"/>
    <w:rsid w:val="00257E89"/>
    <w:rsid w:val="00263DC3"/>
    <w:rsid w:val="00266495"/>
    <w:rsid w:val="0028248A"/>
    <w:rsid w:val="00282CEF"/>
    <w:rsid w:val="002865FE"/>
    <w:rsid w:val="0029283D"/>
    <w:rsid w:val="002930DF"/>
    <w:rsid w:val="0029392C"/>
    <w:rsid w:val="002A01AC"/>
    <w:rsid w:val="002A119A"/>
    <w:rsid w:val="002A150A"/>
    <w:rsid w:val="002A666C"/>
    <w:rsid w:val="002A6697"/>
    <w:rsid w:val="002B05A1"/>
    <w:rsid w:val="002B2D88"/>
    <w:rsid w:val="002B467D"/>
    <w:rsid w:val="002B5EC4"/>
    <w:rsid w:val="002B628D"/>
    <w:rsid w:val="002B7789"/>
    <w:rsid w:val="002C0C92"/>
    <w:rsid w:val="002C2203"/>
    <w:rsid w:val="002C333D"/>
    <w:rsid w:val="002D2459"/>
    <w:rsid w:val="002D30E1"/>
    <w:rsid w:val="002D442E"/>
    <w:rsid w:val="002D5B88"/>
    <w:rsid w:val="002E0AF7"/>
    <w:rsid w:val="002E3A01"/>
    <w:rsid w:val="002E41AD"/>
    <w:rsid w:val="002E4789"/>
    <w:rsid w:val="002E65B7"/>
    <w:rsid w:val="002F1F2B"/>
    <w:rsid w:val="002F28F8"/>
    <w:rsid w:val="002F6AA2"/>
    <w:rsid w:val="002F7C70"/>
    <w:rsid w:val="003017C6"/>
    <w:rsid w:val="00303FEF"/>
    <w:rsid w:val="0031418B"/>
    <w:rsid w:val="00317425"/>
    <w:rsid w:val="00317481"/>
    <w:rsid w:val="00317893"/>
    <w:rsid w:val="00321C50"/>
    <w:rsid w:val="00322801"/>
    <w:rsid w:val="0032300A"/>
    <w:rsid w:val="0032600A"/>
    <w:rsid w:val="003349F6"/>
    <w:rsid w:val="00335062"/>
    <w:rsid w:val="00341B29"/>
    <w:rsid w:val="0034317E"/>
    <w:rsid w:val="00344C5B"/>
    <w:rsid w:val="00345B5B"/>
    <w:rsid w:val="00352BDB"/>
    <w:rsid w:val="00367D43"/>
    <w:rsid w:val="00371316"/>
    <w:rsid w:val="003770B2"/>
    <w:rsid w:val="003776FE"/>
    <w:rsid w:val="00380A67"/>
    <w:rsid w:val="0038389B"/>
    <w:rsid w:val="00385F56"/>
    <w:rsid w:val="00392EE5"/>
    <w:rsid w:val="003968B1"/>
    <w:rsid w:val="003A20A7"/>
    <w:rsid w:val="003A4853"/>
    <w:rsid w:val="003A6213"/>
    <w:rsid w:val="003A78C4"/>
    <w:rsid w:val="003A7E11"/>
    <w:rsid w:val="003B256D"/>
    <w:rsid w:val="003B71E8"/>
    <w:rsid w:val="003C08A6"/>
    <w:rsid w:val="003C0D16"/>
    <w:rsid w:val="003C26A9"/>
    <w:rsid w:val="003D00D5"/>
    <w:rsid w:val="003D05E4"/>
    <w:rsid w:val="003D108F"/>
    <w:rsid w:val="003D3713"/>
    <w:rsid w:val="003E03EF"/>
    <w:rsid w:val="003E0A7E"/>
    <w:rsid w:val="003E1D23"/>
    <w:rsid w:val="003E1FC4"/>
    <w:rsid w:val="003E2871"/>
    <w:rsid w:val="003E72B1"/>
    <w:rsid w:val="003E7EA2"/>
    <w:rsid w:val="003F05C5"/>
    <w:rsid w:val="003F1ECC"/>
    <w:rsid w:val="003F3D55"/>
    <w:rsid w:val="003F40C5"/>
    <w:rsid w:val="003F438B"/>
    <w:rsid w:val="003F6C9A"/>
    <w:rsid w:val="004104C9"/>
    <w:rsid w:val="004143D0"/>
    <w:rsid w:val="004149FE"/>
    <w:rsid w:val="0041554F"/>
    <w:rsid w:val="004203A1"/>
    <w:rsid w:val="00420605"/>
    <w:rsid w:val="004222A2"/>
    <w:rsid w:val="00424FCD"/>
    <w:rsid w:val="0044163E"/>
    <w:rsid w:val="004447A5"/>
    <w:rsid w:val="00445DCC"/>
    <w:rsid w:val="004474BC"/>
    <w:rsid w:val="0045059F"/>
    <w:rsid w:val="00451ABD"/>
    <w:rsid w:val="0045225F"/>
    <w:rsid w:val="00452927"/>
    <w:rsid w:val="00454444"/>
    <w:rsid w:val="00454FDE"/>
    <w:rsid w:val="00456FB0"/>
    <w:rsid w:val="00461781"/>
    <w:rsid w:val="00463F2F"/>
    <w:rsid w:val="004671EA"/>
    <w:rsid w:val="0046761E"/>
    <w:rsid w:val="00473D1A"/>
    <w:rsid w:val="00475995"/>
    <w:rsid w:val="004817FB"/>
    <w:rsid w:val="00482775"/>
    <w:rsid w:val="004843BA"/>
    <w:rsid w:val="00484828"/>
    <w:rsid w:val="00484D60"/>
    <w:rsid w:val="00491143"/>
    <w:rsid w:val="00491A18"/>
    <w:rsid w:val="00494A63"/>
    <w:rsid w:val="00494D36"/>
    <w:rsid w:val="0049608F"/>
    <w:rsid w:val="004A04FF"/>
    <w:rsid w:val="004A462B"/>
    <w:rsid w:val="004B51DB"/>
    <w:rsid w:val="004C00F6"/>
    <w:rsid w:val="004C0EF5"/>
    <w:rsid w:val="004C66BE"/>
    <w:rsid w:val="004C6CB8"/>
    <w:rsid w:val="004C7D47"/>
    <w:rsid w:val="004C7EA9"/>
    <w:rsid w:val="004D5776"/>
    <w:rsid w:val="004E1739"/>
    <w:rsid w:val="004E424F"/>
    <w:rsid w:val="004F03A4"/>
    <w:rsid w:val="004F20A4"/>
    <w:rsid w:val="004F21D4"/>
    <w:rsid w:val="004F40FE"/>
    <w:rsid w:val="00502351"/>
    <w:rsid w:val="00510012"/>
    <w:rsid w:val="005123F6"/>
    <w:rsid w:val="00513173"/>
    <w:rsid w:val="00520B09"/>
    <w:rsid w:val="00526334"/>
    <w:rsid w:val="005359F4"/>
    <w:rsid w:val="00536E06"/>
    <w:rsid w:val="00542522"/>
    <w:rsid w:val="0054317C"/>
    <w:rsid w:val="00547DBD"/>
    <w:rsid w:val="00552025"/>
    <w:rsid w:val="0055449B"/>
    <w:rsid w:val="0055600F"/>
    <w:rsid w:val="0056110F"/>
    <w:rsid w:val="0057153E"/>
    <w:rsid w:val="00572B0E"/>
    <w:rsid w:val="005750BC"/>
    <w:rsid w:val="00575524"/>
    <w:rsid w:val="00577688"/>
    <w:rsid w:val="00580D78"/>
    <w:rsid w:val="00580DB2"/>
    <w:rsid w:val="0058162C"/>
    <w:rsid w:val="00584673"/>
    <w:rsid w:val="00585185"/>
    <w:rsid w:val="00590E03"/>
    <w:rsid w:val="00595999"/>
    <w:rsid w:val="00596D83"/>
    <w:rsid w:val="005A15B5"/>
    <w:rsid w:val="005A4247"/>
    <w:rsid w:val="005A454B"/>
    <w:rsid w:val="005A4FAB"/>
    <w:rsid w:val="005A656B"/>
    <w:rsid w:val="005B0E9B"/>
    <w:rsid w:val="005B157E"/>
    <w:rsid w:val="005B2D8C"/>
    <w:rsid w:val="005B38D2"/>
    <w:rsid w:val="005C20E9"/>
    <w:rsid w:val="005C35AE"/>
    <w:rsid w:val="005C6EE0"/>
    <w:rsid w:val="005C7825"/>
    <w:rsid w:val="005D1967"/>
    <w:rsid w:val="005D33EC"/>
    <w:rsid w:val="005D3D81"/>
    <w:rsid w:val="005E1277"/>
    <w:rsid w:val="005E30E3"/>
    <w:rsid w:val="005E4B0E"/>
    <w:rsid w:val="005F0161"/>
    <w:rsid w:val="005F167D"/>
    <w:rsid w:val="005F45F2"/>
    <w:rsid w:val="005F4F8D"/>
    <w:rsid w:val="00603A3D"/>
    <w:rsid w:val="006048D7"/>
    <w:rsid w:val="006048F1"/>
    <w:rsid w:val="00605ED2"/>
    <w:rsid w:val="00607747"/>
    <w:rsid w:val="006105F5"/>
    <w:rsid w:val="006119AE"/>
    <w:rsid w:val="00613028"/>
    <w:rsid w:val="00613910"/>
    <w:rsid w:val="00613E28"/>
    <w:rsid w:val="0061543F"/>
    <w:rsid w:val="006256EE"/>
    <w:rsid w:val="006273C7"/>
    <w:rsid w:val="00632D71"/>
    <w:rsid w:val="0063726E"/>
    <w:rsid w:val="00644E38"/>
    <w:rsid w:val="00647358"/>
    <w:rsid w:val="00650FF9"/>
    <w:rsid w:val="00651BFF"/>
    <w:rsid w:val="00652FB6"/>
    <w:rsid w:val="00654CE8"/>
    <w:rsid w:val="00656D05"/>
    <w:rsid w:val="006577F7"/>
    <w:rsid w:val="00662A91"/>
    <w:rsid w:val="006663F3"/>
    <w:rsid w:val="00666573"/>
    <w:rsid w:val="00666924"/>
    <w:rsid w:val="006768FD"/>
    <w:rsid w:val="00677395"/>
    <w:rsid w:val="00685569"/>
    <w:rsid w:val="00690B8E"/>
    <w:rsid w:val="00692C52"/>
    <w:rsid w:val="00694F51"/>
    <w:rsid w:val="00695661"/>
    <w:rsid w:val="00697636"/>
    <w:rsid w:val="006A670A"/>
    <w:rsid w:val="006A7584"/>
    <w:rsid w:val="006B074B"/>
    <w:rsid w:val="006B52EA"/>
    <w:rsid w:val="006B575A"/>
    <w:rsid w:val="006B5DE5"/>
    <w:rsid w:val="006C2292"/>
    <w:rsid w:val="006C23D5"/>
    <w:rsid w:val="006C6555"/>
    <w:rsid w:val="006D094B"/>
    <w:rsid w:val="006D331D"/>
    <w:rsid w:val="006D4C53"/>
    <w:rsid w:val="006D598F"/>
    <w:rsid w:val="006D5C3E"/>
    <w:rsid w:val="006E0939"/>
    <w:rsid w:val="006E0B02"/>
    <w:rsid w:val="006E2D1D"/>
    <w:rsid w:val="006F5FFC"/>
    <w:rsid w:val="006F61B6"/>
    <w:rsid w:val="00705083"/>
    <w:rsid w:val="007059DA"/>
    <w:rsid w:val="007078F4"/>
    <w:rsid w:val="00710A93"/>
    <w:rsid w:val="007125D2"/>
    <w:rsid w:val="007161B5"/>
    <w:rsid w:val="00722AEA"/>
    <w:rsid w:val="00724BC6"/>
    <w:rsid w:val="0072693D"/>
    <w:rsid w:val="00727127"/>
    <w:rsid w:val="00732E1D"/>
    <w:rsid w:val="0073582C"/>
    <w:rsid w:val="0073720E"/>
    <w:rsid w:val="0073749F"/>
    <w:rsid w:val="007374F2"/>
    <w:rsid w:val="00742D8A"/>
    <w:rsid w:val="007436F5"/>
    <w:rsid w:val="00745C90"/>
    <w:rsid w:val="00746180"/>
    <w:rsid w:val="00754D79"/>
    <w:rsid w:val="00754DCB"/>
    <w:rsid w:val="00755737"/>
    <w:rsid w:val="00774F5D"/>
    <w:rsid w:val="00775C98"/>
    <w:rsid w:val="00776647"/>
    <w:rsid w:val="007771D0"/>
    <w:rsid w:val="007815B4"/>
    <w:rsid w:val="007839CC"/>
    <w:rsid w:val="00784094"/>
    <w:rsid w:val="007876C2"/>
    <w:rsid w:val="00787E3B"/>
    <w:rsid w:val="00787EDE"/>
    <w:rsid w:val="00791D3E"/>
    <w:rsid w:val="00794D43"/>
    <w:rsid w:val="00796C98"/>
    <w:rsid w:val="007A124E"/>
    <w:rsid w:val="007A1348"/>
    <w:rsid w:val="007A7156"/>
    <w:rsid w:val="007B1D03"/>
    <w:rsid w:val="007B416D"/>
    <w:rsid w:val="007B51AE"/>
    <w:rsid w:val="007B73CA"/>
    <w:rsid w:val="007B7768"/>
    <w:rsid w:val="007C093A"/>
    <w:rsid w:val="007C2387"/>
    <w:rsid w:val="007C4394"/>
    <w:rsid w:val="007C5A1F"/>
    <w:rsid w:val="007C6403"/>
    <w:rsid w:val="007C76AB"/>
    <w:rsid w:val="007D103C"/>
    <w:rsid w:val="007D7AB2"/>
    <w:rsid w:val="007E1CAF"/>
    <w:rsid w:val="007E2B26"/>
    <w:rsid w:val="007E2EC5"/>
    <w:rsid w:val="007F0310"/>
    <w:rsid w:val="007F08D4"/>
    <w:rsid w:val="007F0A64"/>
    <w:rsid w:val="007F260B"/>
    <w:rsid w:val="007F5796"/>
    <w:rsid w:val="007F6B3D"/>
    <w:rsid w:val="0080309F"/>
    <w:rsid w:val="0080463D"/>
    <w:rsid w:val="00810A1F"/>
    <w:rsid w:val="0081124C"/>
    <w:rsid w:val="00813325"/>
    <w:rsid w:val="008216CE"/>
    <w:rsid w:val="008238D1"/>
    <w:rsid w:val="00834B40"/>
    <w:rsid w:val="00834B71"/>
    <w:rsid w:val="008413CF"/>
    <w:rsid w:val="0084374A"/>
    <w:rsid w:val="00843D5F"/>
    <w:rsid w:val="0084626F"/>
    <w:rsid w:val="0084666C"/>
    <w:rsid w:val="0085254E"/>
    <w:rsid w:val="00852A92"/>
    <w:rsid w:val="0085463B"/>
    <w:rsid w:val="0086271E"/>
    <w:rsid w:val="00864907"/>
    <w:rsid w:val="008718D5"/>
    <w:rsid w:val="008728AA"/>
    <w:rsid w:val="00874241"/>
    <w:rsid w:val="00874514"/>
    <w:rsid w:val="008808A1"/>
    <w:rsid w:val="0088369A"/>
    <w:rsid w:val="008865B3"/>
    <w:rsid w:val="008868A8"/>
    <w:rsid w:val="008868FB"/>
    <w:rsid w:val="00886FF0"/>
    <w:rsid w:val="00887CC4"/>
    <w:rsid w:val="00890D30"/>
    <w:rsid w:val="008A0C7C"/>
    <w:rsid w:val="008A516A"/>
    <w:rsid w:val="008A53F1"/>
    <w:rsid w:val="008A7CB9"/>
    <w:rsid w:val="008B059E"/>
    <w:rsid w:val="008B2B0D"/>
    <w:rsid w:val="008B4105"/>
    <w:rsid w:val="008B4AD8"/>
    <w:rsid w:val="008B5075"/>
    <w:rsid w:val="008B55AA"/>
    <w:rsid w:val="008B667B"/>
    <w:rsid w:val="008C139C"/>
    <w:rsid w:val="008C4B82"/>
    <w:rsid w:val="008C562E"/>
    <w:rsid w:val="008D4045"/>
    <w:rsid w:val="008D4AA2"/>
    <w:rsid w:val="008E1DD4"/>
    <w:rsid w:val="008E4A33"/>
    <w:rsid w:val="008E4BF7"/>
    <w:rsid w:val="008E55E7"/>
    <w:rsid w:val="008E723E"/>
    <w:rsid w:val="008F0285"/>
    <w:rsid w:val="008F286D"/>
    <w:rsid w:val="008F52A5"/>
    <w:rsid w:val="008F5EAD"/>
    <w:rsid w:val="00903690"/>
    <w:rsid w:val="00906C57"/>
    <w:rsid w:val="00912EFA"/>
    <w:rsid w:val="00913714"/>
    <w:rsid w:val="00913BD5"/>
    <w:rsid w:val="0091744C"/>
    <w:rsid w:val="00922FC0"/>
    <w:rsid w:val="0092361A"/>
    <w:rsid w:val="009245BA"/>
    <w:rsid w:val="009247DC"/>
    <w:rsid w:val="00927373"/>
    <w:rsid w:val="0093611B"/>
    <w:rsid w:val="00937A06"/>
    <w:rsid w:val="00941880"/>
    <w:rsid w:val="00941A11"/>
    <w:rsid w:val="00945976"/>
    <w:rsid w:val="00945AE8"/>
    <w:rsid w:val="00951997"/>
    <w:rsid w:val="009521EC"/>
    <w:rsid w:val="00952CDD"/>
    <w:rsid w:val="00954875"/>
    <w:rsid w:val="0095649B"/>
    <w:rsid w:val="00956AC7"/>
    <w:rsid w:val="00972841"/>
    <w:rsid w:val="0097391B"/>
    <w:rsid w:val="009768F2"/>
    <w:rsid w:val="009851CA"/>
    <w:rsid w:val="00986DC1"/>
    <w:rsid w:val="00991DBA"/>
    <w:rsid w:val="00992BFA"/>
    <w:rsid w:val="00992E3C"/>
    <w:rsid w:val="0099354C"/>
    <w:rsid w:val="0099470F"/>
    <w:rsid w:val="00996CCC"/>
    <w:rsid w:val="009A0BFC"/>
    <w:rsid w:val="009A0F65"/>
    <w:rsid w:val="009B13C6"/>
    <w:rsid w:val="009B2597"/>
    <w:rsid w:val="009B3539"/>
    <w:rsid w:val="009B3A9D"/>
    <w:rsid w:val="009B49A0"/>
    <w:rsid w:val="009B6954"/>
    <w:rsid w:val="009B6F92"/>
    <w:rsid w:val="009B7143"/>
    <w:rsid w:val="009C171C"/>
    <w:rsid w:val="009C19B3"/>
    <w:rsid w:val="009C6E90"/>
    <w:rsid w:val="009C709E"/>
    <w:rsid w:val="009D2A29"/>
    <w:rsid w:val="009D7585"/>
    <w:rsid w:val="009E0B13"/>
    <w:rsid w:val="009E0F7C"/>
    <w:rsid w:val="009E25B8"/>
    <w:rsid w:val="009E442A"/>
    <w:rsid w:val="009F08B7"/>
    <w:rsid w:val="009F2255"/>
    <w:rsid w:val="009F4EA0"/>
    <w:rsid w:val="009F668E"/>
    <w:rsid w:val="009F7F1E"/>
    <w:rsid w:val="00A00136"/>
    <w:rsid w:val="00A01DBA"/>
    <w:rsid w:val="00A0261B"/>
    <w:rsid w:val="00A031F6"/>
    <w:rsid w:val="00A0392A"/>
    <w:rsid w:val="00A10726"/>
    <w:rsid w:val="00A11688"/>
    <w:rsid w:val="00A11A20"/>
    <w:rsid w:val="00A2058D"/>
    <w:rsid w:val="00A222B3"/>
    <w:rsid w:val="00A26F55"/>
    <w:rsid w:val="00A30525"/>
    <w:rsid w:val="00A30822"/>
    <w:rsid w:val="00A3106F"/>
    <w:rsid w:val="00A310D8"/>
    <w:rsid w:val="00A32933"/>
    <w:rsid w:val="00A33181"/>
    <w:rsid w:val="00A34B3E"/>
    <w:rsid w:val="00A35749"/>
    <w:rsid w:val="00A36A88"/>
    <w:rsid w:val="00A42C77"/>
    <w:rsid w:val="00A43089"/>
    <w:rsid w:val="00A46141"/>
    <w:rsid w:val="00A46946"/>
    <w:rsid w:val="00A47B7D"/>
    <w:rsid w:val="00A5428B"/>
    <w:rsid w:val="00A55C89"/>
    <w:rsid w:val="00A56577"/>
    <w:rsid w:val="00A568BD"/>
    <w:rsid w:val="00A60EF4"/>
    <w:rsid w:val="00A65B4F"/>
    <w:rsid w:val="00A70996"/>
    <w:rsid w:val="00A7578C"/>
    <w:rsid w:val="00A77165"/>
    <w:rsid w:val="00A84A63"/>
    <w:rsid w:val="00A86C9C"/>
    <w:rsid w:val="00A905E8"/>
    <w:rsid w:val="00A934FD"/>
    <w:rsid w:val="00A964B1"/>
    <w:rsid w:val="00A96725"/>
    <w:rsid w:val="00AA2152"/>
    <w:rsid w:val="00AA24B0"/>
    <w:rsid w:val="00AA7EDD"/>
    <w:rsid w:val="00AB1579"/>
    <w:rsid w:val="00AB31A2"/>
    <w:rsid w:val="00AB4CE2"/>
    <w:rsid w:val="00AB7B8C"/>
    <w:rsid w:val="00AC118E"/>
    <w:rsid w:val="00AC1A2D"/>
    <w:rsid w:val="00AC22CC"/>
    <w:rsid w:val="00AC45B1"/>
    <w:rsid w:val="00AD21D4"/>
    <w:rsid w:val="00AD4028"/>
    <w:rsid w:val="00AD5083"/>
    <w:rsid w:val="00AD75E2"/>
    <w:rsid w:val="00AE6D18"/>
    <w:rsid w:val="00AF0E72"/>
    <w:rsid w:val="00AF1749"/>
    <w:rsid w:val="00AF2327"/>
    <w:rsid w:val="00AF51A1"/>
    <w:rsid w:val="00AF5C50"/>
    <w:rsid w:val="00B011E0"/>
    <w:rsid w:val="00B10297"/>
    <w:rsid w:val="00B11860"/>
    <w:rsid w:val="00B11E4C"/>
    <w:rsid w:val="00B130EB"/>
    <w:rsid w:val="00B1399E"/>
    <w:rsid w:val="00B15E42"/>
    <w:rsid w:val="00B15FD1"/>
    <w:rsid w:val="00B2241A"/>
    <w:rsid w:val="00B245EC"/>
    <w:rsid w:val="00B33867"/>
    <w:rsid w:val="00B34517"/>
    <w:rsid w:val="00B37CDF"/>
    <w:rsid w:val="00B42EAA"/>
    <w:rsid w:val="00B43FE7"/>
    <w:rsid w:val="00B46AC2"/>
    <w:rsid w:val="00B46C43"/>
    <w:rsid w:val="00B51468"/>
    <w:rsid w:val="00B5397C"/>
    <w:rsid w:val="00B55723"/>
    <w:rsid w:val="00B576F3"/>
    <w:rsid w:val="00B60536"/>
    <w:rsid w:val="00B6563B"/>
    <w:rsid w:val="00B657B9"/>
    <w:rsid w:val="00B66AA6"/>
    <w:rsid w:val="00B67E5C"/>
    <w:rsid w:val="00B704B8"/>
    <w:rsid w:val="00B70666"/>
    <w:rsid w:val="00B70D5C"/>
    <w:rsid w:val="00B8365E"/>
    <w:rsid w:val="00B836B4"/>
    <w:rsid w:val="00B8411A"/>
    <w:rsid w:val="00B84A5B"/>
    <w:rsid w:val="00B84BEE"/>
    <w:rsid w:val="00B92301"/>
    <w:rsid w:val="00B9299B"/>
    <w:rsid w:val="00B93274"/>
    <w:rsid w:val="00B938FD"/>
    <w:rsid w:val="00B95640"/>
    <w:rsid w:val="00B95F3E"/>
    <w:rsid w:val="00B9746C"/>
    <w:rsid w:val="00B97F0F"/>
    <w:rsid w:val="00BA1EF3"/>
    <w:rsid w:val="00BA221A"/>
    <w:rsid w:val="00BA7EDD"/>
    <w:rsid w:val="00BB1395"/>
    <w:rsid w:val="00BB15B7"/>
    <w:rsid w:val="00BB21EF"/>
    <w:rsid w:val="00BB33DC"/>
    <w:rsid w:val="00BB5459"/>
    <w:rsid w:val="00BB65CC"/>
    <w:rsid w:val="00BC1673"/>
    <w:rsid w:val="00BD22BE"/>
    <w:rsid w:val="00BD3ACA"/>
    <w:rsid w:val="00BE4D05"/>
    <w:rsid w:val="00BE502D"/>
    <w:rsid w:val="00BE5980"/>
    <w:rsid w:val="00BE5B93"/>
    <w:rsid w:val="00BF6C9B"/>
    <w:rsid w:val="00BF6F35"/>
    <w:rsid w:val="00BF7387"/>
    <w:rsid w:val="00C00296"/>
    <w:rsid w:val="00C00B4C"/>
    <w:rsid w:val="00C100A5"/>
    <w:rsid w:val="00C10927"/>
    <w:rsid w:val="00C11BD7"/>
    <w:rsid w:val="00C14106"/>
    <w:rsid w:val="00C141E4"/>
    <w:rsid w:val="00C201A1"/>
    <w:rsid w:val="00C2505D"/>
    <w:rsid w:val="00C277D1"/>
    <w:rsid w:val="00C30BDB"/>
    <w:rsid w:val="00C3183F"/>
    <w:rsid w:val="00C33C1F"/>
    <w:rsid w:val="00C35C05"/>
    <w:rsid w:val="00C37212"/>
    <w:rsid w:val="00C37D49"/>
    <w:rsid w:val="00C40095"/>
    <w:rsid w:val="00C4087E"/>
    <w:rsid w:val="00C42328"/>
    <w:rsid w:val="00C43E09"/>
    <w:rsid w:val="00C45B55"/>
    <w:rsid w:val="00C50A08"/>
    <w:rsid w:val="00C51DA5"/>
    <w:rsid w:val="00C537F0"/>
    <w:rsid w:val="00C61DD3"/>
    <w:rsid w:val="00C62759"/>
    <w:rsid w:val="00C63DDC"/>
    <w:rsid w:val="00C65DFA"/>
    <w:rsid w:val="00C70D39"/>
    <w:rsid w:val="00C7128B"/>
    <w:rsid w:val="00C71D9D"/>
    <w:rsid w:val="00C769A8"/>
    <w:rsid w:val="00C77208"/>
    <w:rsid w:val="00C80AE8"/>
    <w:rsid w:val="00C82043"/>
    <w:rsid w:val="00C86EBF"/>
    <w:rsid w:val="00C91F11"/>
    <w:rsid w:val="00C92FAE"/>
    <w:rsid w:val="00CA04A1"/>
    <w:rsid w:val="00CA08E2"/>
    <w:rsid w:val="00CA3521"/>
    <w:rsid w:val="00CA53F8"/>
    <w:rsid w:val="00CA55D6"/>
    <w:rsid w:val="00CB015D"/>
    <w:rsid w:val="00CB0C8C"/>
    <w:rsid w:val="00CB3B90"/>
    <w:rsid w:val="00CB7504"/>
    <w:rsid w:val="00CC1394"/>
    <w:rsid w:val="00CC1B84"/>
    <w:rsid w:val="00CC36EF"/>
    <w:rsid w:val="00CC4FD4"/>
    <w:rsid w:val="00CC77E6"/>
    <w:rsid w:val="00CD5391"/>
    <w:rsid w:val="00CD7953"/>
    <w:rsid w:val="00CE110D"/>
    <w:rsid w:val="00CE63BE"/>
    <w:rsid w:val="00CF0059"/>
    <w:rsid w:val="00CF65A0"/>
    <w:rsid w:val="00D001EF"/>
    <w:rsid w:val="00D00D92"/>
    <w:rsid w:val="00D0407C"/>
    <w:rsid w:val="00D05F03"/>
    <w:rsid w:val="00D10B68"/>
    <w:rsid w:val="00D11933"/>
    <w:rsid w:val="00D13654"/>
    <w:rsid w:val="00D146F2"/>
    <w:rsid w:val="00D14BBA"/>
    <w:rsid w:val="00D14D92"/>
    <w:rsid w:val="00D15427"/>
    <w:rsid w:val="00D1545C"/>
    <w:rsid w:val="00D16356"/>
    <w:rsid w:val="00D21BCE"/>
    <w:rsid w:val="00D235CB"/>
    <w:rsid w:val="00D261E7"/>
    <w:rsid w:val="00D27276"/>
    <w:rsid w:val="00D4292B"/>
    <w:rsid w:val="00D42AF3"/>
    <w:rsid w:val="00D43F65"/>
    <w:rsid w:val="00D45F35"/>
    <w:rsid w:val="00D4603C"/>
    <w:rsid w:val="00D558DE"/>
    <w:rsid w:val="00D57D9C"/>
    <w:rsid w:val="00D60168"/>
    <w:rsid w:val="00D6036F"/>
    <w:rsid w:val="00D6252E"/>
    <w:rsid w:val="00D62FB7"/>
    <w:rsid w:val="00D63234"/>
    <w:rsid w:val="00D64042"/>
    <w:rsid w:val="00D67CAA"/>
    <w:rsid w:val="00D71EA1"/>
    <w:rsid w:val="00D720AC"/>
    <w:rsid w:val="00D75A12"/>
    <w:rsid w:val="00D75A9A"/>
    <w:rsid w:val="00D7786B"/>
    <w:rsid w:val="00D80BF3"/>
    <w:rsid w:val="00D816DF"/>
    <w:rsid w:val="00D817A8"/>
    <w:rsid w:val="00D81A4C"/>
    <w:rsid w:val="00D85B56"/>
    <w:rsid w:val="00D8629E"/>
    <w:rsid w:val="00D91485"/>
    <w:rsid w:val="00D91F54"/>
    <w:rsid w:val="00D92727"/>
    <w:rsid w:val="00D96940"/>
    <w:rsid w:val="00DA0A5D"/>
    <w:rsid w:val="00DA40B3"/>
    <w:rsid w:val="00DA43E0"/>
    <w:rsid w:val="00DA70CE"/>
    <w:rsid w:val="00DB0243"/>
    <w:rsid w:val="00DB0C71"/>
    <w:rsid w:val="00DB1BA4"/>
    <w:rsid w:val="00DB6371"/>
    <w:rsid w:val="00DC3D7E"/>
    <w:rsid w:val="00DD0C23"/>
    <w:rsid w:val="00DD31E9"/>
    <w:rsid w:val="00DD595F"/>
    <w:rsid w:val="00DD6D96"/>
    <w:rsid w:val="00DE4223"/>
    <w:rsid w:val="00DF05D4"/>
    <w:rsid w:val="00DF1067"/>
    <w:rsid w:val="00DF42ED"/>
    <w:rsid w:val="00DF6177"/>
    <w:rsid w:val="00E015E8"/>
    <w:rsid w:val="00E12A23"/>
    <w:rsid w:val="00E13431"/>
    <w:rsid w:val="00E14203"/>
    <w:rsid w:val="00E22DB5"/>
    <w:rsid w:val="00E31789"/>
    <w:rsid w:val="00E36306"/>
    <w:rsid w:val="00E4082D"/>
    <w:rsid w:val="00E41C57"/>
    <w:rsid w:val="00E44B26"/>
    <w:rsid w:val="00E50CD6"/>
    <w:rsid w:val="00E512CD"/>
    <w:rsid w:val="00E5419E"/>
    <w:rsid w:val="00E551C7"/>
    <w:rsid w:val="00E56CC7"/>
    <w:rsid w:val="00E577A7"/>
    <w:rsid w:val="00E62E06"/>
    <w:rsid w:val="00E6361F"/>
    <w:rsid w:val="00E6494A"/>
    <w:rsid w:val="00E6723B"/>
    <w:rsid w:val="00E71A32"/>
    <w:rsid w:val="00E73467"/>
    <w:rsid w:val="00E744FA"/>
    <w:rsid w:val="00E74574"/>
    <w:rsid w:val="00E83D6B"/>
    <w:rsid w:val="00E83F4D"/>
    <w:rsid w:val="00E91D5E"/>
    <w:rsid w:val="00E93D81"/>
    <w:rsid w:val="00EA1D33"/>
    <w:rsid w:val="00EA4C2E"/>
    <w:rsid w:val="00EB592B"/>
    <w:rsid w:val="00EB72C1"/>
    <w:rsid w:val="00EC1506"/>
    <w:rsid w:val="00EC24E8"/>
    <w:rsid w:val="00ED309C"/>
    <w:rsid w:val="00ED611C"/>
    <w:rsid w:val="00ED76D8"/>
    <w:rsid w:val="00EE2504"/>
    <w:rsid w:val="00EE3901"/>
    <w:rsid w:val="00EE5D72"/>
    <w:rsid w:val="00EF0190"/>
    <w:rsid w:val="00EF24DB"/>
    <w:rsid w:val="00EF38BB"/>
    <w:rsid w:val="00EF50DC"/>
    <w:rsid w:val="00F008CD"/>
    <w:rsid w:val="00F109A9"/>
    <w:rsid w:val="00F110D4"/>
    <w:rsid w:val="00F142EE"/>
    <w:rsid w:val="00F16FC8"/>
    <w:rsid w:val="00F1788D"/>
    <w:rsid w:val="00F20EB0"/>
    <w:rsid w:val="00F2278D"/>
    <w:rsid w:val="00F22A55"/>
    <w:rsid w:val="00F2435F"/>
    <w:rsid w:val="00F30216"/>
    <w:rsid w:val="00F30711"/>
    <w:rsid w:val="00F33A71"/>
    <w:rsid w:val="00F34501"/>
    <w:rsid w:val="00F36B47"/>
    <w:rsid w:val="00F4021E"/>
    <w:rsid w:val="00F53258"/>
    <w:rsid w:val="00F6028A"/>
    <w:rsid w:val="00F649FC"/>
    <w:rsid w:val="00F67FB5"/>
    <w:rsid w:val="00F7232C"/>
    <w:rsid w:val="00F74AAC"/>
    <w:rsid w:val="00F76DCB"/>
    <w:rsid w:val="00F81DDD"/>
    <w:rsid w:val="00F83F11"/>
    <w:rsid w:val="00F85549"/>
    <w:rsid w:val="00F8651C"/>
    <w:rsid w:val="00F86568"/>
    <w:rsid w:val="00F86BC6"/>
    <w:rsid w:val="00F9312A"/>
    <w:rsid w:val="00F9462F"/>
    <w:rsid w:val="00F949E9"/>
    <w:rsid w:val="00F97EEB"/>
    <w:rsid w:val="00FA2644"/>
    <w:rsid w:val="00FB1CCF"/>
    <w:rsid w:val="00FB4143"/>
    <w:rsid w:val="00FC04CE"/>
    <w:rsid w:val="00FC3CF3"/>
    <w:rsid w:val="00FC5C4D"/>
    <w:rsid w:val="00FC6E62"/>
    <w:rsid w:val="00FC73C7"/>
    <w:rsid w:val="00FD1146"/>
    <w:rsid w:val="00FD2FC5"/>
    <w:rsid w:val="00FD7E30"/>
    <w:rsid w:val="00FE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F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BBA"/>
    <w:rPr>
      <w:rFonts w:eastAsia="Times New Roman"/>
      <w:sz w:val="24"/>
      <w:szCs w:val="24"/>
    </w:rPr>
  </w:style>
  <w:style w:type="paragraph" w:styleId="Heading1">
    <w:name w:val="heading 1"/>
    <w:basedOn w:val="Normal"/>
    <w:next w:val="Normal"/>
    <w:link w:val="Heading1Char"/>
    <w:qFormat/>
    <w:rsid w:val="00D14BB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BBA"/>
    <w:rPr>
      <w:rFonts w:ascii="Arial" w:eastAsia="Times New Roman" w:hAnsi="Arial" w:cs="Arial"/>
      <w:b/>
      <w:bCs/>
      <w:kern w:val="32"/>
      <w:sz w:val="32"/>
      <w:szCs w:val="32"/>
    </w:rPr>
  </w:style>
  <w:style w:type="paragraph" w:styleId="Header">
    <w:name w:val="header"/>
    <w:basedOn w:val="Normal"/>
    <w:link w:val="HeaderChar"/>
    <w:rsid w:val="00D14BBA"/>
    <w:pPr>
      <w:tabs>
        <w:tab w:val="center" w:pos="4320"/>
        <w:tab w:val="right" w:pos="8640"/>
      </w:tabs>
    </w:pPr>
  </w:style>
  <w:style w:type="character" w:customStyle="1" w:styleId="HeaderChar">
    <w:name w:val="Header Char"/>
    <w:basedOn w:val="DefaultParagraphFont"/>
    <w:link w:val="Header"/>
    <w:rsid w:val="00D14BBA"/>
    <w:rPr>
      <w:rFonts w:eastAsia="Times New Roman"/>
      <w:sz w:val="24"/>
      <w:szCs w:val="24"/>
    </w:rPr>
  </w:style>
  <w:style w:type="paragraph" w:styleId="Footer">
    <w:name w:val="footer"/>
    <w:basedOn w:val="Normal"/>
    <w:link w:val="FooterChar"/>
    <w:rsid w:val="00D14BBA"/>
    <w:pPr>
      <w:tabs>
        <w:tab w:val="center" w:pos="4320"/>
        <w:tab w:val="right" w:pos="8640"/>
      </w:tabs>
    </w:pPr>
  </w:style>
  <w:style w:type="character" w:customStyle="1" w:styleId="FooterChar">
    <w:name w:val="Footer Char"/>
    <w:basedOn w:val="DefaultParagraphFont"/>
    <w:link w:val="Footer"/>
    <w:rsid w:val="00D14BBA"/>
    <w:rPr>
      <w:rFonts w:eastAsia="Times New Roman"/>
      <w:sz w:val="24"/>
      <w:szCs w:val="24"/>
    </w:rPr>
  </w:style>
  <w:style w:type="character" w:styleId="CommentReference">
    <w:name w:val="annotation reference"/>
    <w:basedOn w:val="DefaultParagraphFont"/>
    <w:rsid w:val="00D14BBA"/>
    <w:rPr>
      <w:sz w:val="16"/>
      <w:szCs w:val="16"/>
    </w:rPr>
  </w:style>
  <w:style w:type="paragraph" w:styleId="FootnoteText">
    <w:name w:val="footnote text"/>
    <w:basedOn w:val="Normal"/>
    <w:link w:val="FootnoteTextChar"/>
    <w:rsid w:val="00D14BBA"/>
    <w:rPr>
      <w:sz w:val="20"/>
      <w:szCs w:val="20"/>
    </w:rPr>
  </w:style>
  <w:style w:type="character" w:customStyle="1" w:styleId="FootnoteTextChar">
    <w:name w:val="Footnote Text Char"/>
    <w:basedOn w:val="DefaultParagraphFont"/>
    <w:link w:val="FootnoteText"/>
    <w:rsid w:val="00D14BBA"/>
    <w:rPr>
      <w:rFonts w:eastAsia="Times New Roman"/>
    </w:rPr>
  </w:style>
  <w:style w:type="character" w:styleId="FootnoteReference">
    <w:name w:val="footnote reference"/>
    <w:basedOn w:val="DefaultParagraphFont"/>
    <w:rsid w:val="00D14BBA"/>
    <w:rPr>
      <w:vertAlign w:val="superscript"/>
    </w:rPr>
  </w:style>
  <w:style w:type="paragraph" w:customStyle="1" w:styleId="StyleHeading1TimesNewRoman20pt">
    <w:name w:val="Style Heading 1 + Times New Roman 20 pt"/>
    <w:basedOn w:val="Heading1"/>
    <w:rsid w:val="00D14BBA"/>
    <w:rPr>
      <w:rFonts w:ascii="Times New Roman" w:hAnsi="Times New Roman"/>
      <w:sz w:val="40"/>
    </w:rPr>
  </w:style>
  <w:style w:type="paragraph" w:customStyle="1" w:styleId="Text">
    <w:name w:val="Text"/>
    <w:basedOn w:val="Normal"/>
    <w:rsid w:val="00D14BBA"/>
    <w:pPr>
      <w:tabs>
        <w:tab w:val="left" w:pos="284"/>
      </w:tabs>
      <w:overflowPunct w:val="0"/>
      <w:autoSpaceDE w:val="0"/>
      <w:autoSpaceDN w:val="0"/>
      <w:adjustRightInd w:val="0"/>
      <w:spacing w:after="260"/>
      <w:jc w:val="both"/>
      <w:textAlignment w:val="baseline"/>
    </w:pPr>
    <w:rPr>
      <w:sz w:val="22"/>
      <w:szCs w:val="20"/>
      <w:lang w:val="en-GB"/>
    </w:rPr>
  </w:style>
  <w:style w:type="paragraph" w:styleId="BalloonText">
    <w:name w:val="Balloon Text"/>
    <w:basedOn w:val="Normal"/>
    <w:link w:val="BalloonTextChar"/>
    <w:rsid w:val="00D14BBA"/>
    <w:rPr>
      <w:rFonts w:ascii="Tahoma" w:hAnsi="Tahoma" w:cs="Tahoma"/>
      <w:sz w:val="16"/>
      <w:szCs w:val="16"/>
    </w:rPr>
  </w:style>
  <w:style w:type="character" w:customStyle="1" w:styleId="BalloonTextChar">
    <w:name w:val="Balloon Text Char"/>
    <w:basedOn w:val="DefaultParagraphFont"/>
    <w:link w:val="BalloonText"/>
    <w:rsid w:val="00D14BBA"/>
    <w:rPr>
      <w:rFonts w:ascii="Tahoma" w:eastAsia="Times New Roman" w:hAnsi="Tahoma" w:cs="Tahoma"/>
      <w:sz w:val="16"/>
      <w:szCs w:val="16"/>
    </w:rPr>
  </w:style>
  <w:style w:type="paragraph" w:styleId="NormalWeb">
    <w:name w:val="Normal (Web)"/>
    <w:basedOn w:val="Normal"/>
    <w:uiPriority w:val="99"/>
    <w:unhideWhenUsed/>
    <w:rsid w:val="00D14BBA"/>
    <w:pPr>
      <w:spacing w:before="100" w:beforeAutospacing="1" w:after="100" w:afterAutospacing="1"/>
    </w:pPr>
  </w:style>
  <w:style w:type="paragraph" w:styleId="BodyText">
    <w:name w:val="Body Text"/>
    <w:basedOn w:val="Normal"/>
    <w:link w:val="BodyTextChar"/>
    <w:rsid w:val="006273C7"/>
    <w:pPr>
      <w:spacing w:after="120"/>
    </w:pPr>
  </w:style>
  <w:style w:type="character" w:customStyle="1" w:styleId="BodyTextChar">
    <w:name w:val="Body Text Char"/>
    <w:basedOn w:val="DefaultParagraphFont"/>
    <w:link w:val="BodyText"/>
    <w:rsid w:val="006273C7"/>
    <w:rPr>
      <w:rFonts w:eastAsia="Times New Roman"/>
      <w:sz w:val="24"/>
      <w:szCs w:val="24"/>
    </w:rPr>
  </w:style>
  <w:style w:type="paragraph" w:styleId="BlockText">
    <w:name w:val="Block Text"/>
    <w:basedOn w:val="Normal"/>
    <w:link w:val="BlockTextChar"/>
    <w:rsid w:val="006273C7"/>
    <w:pPr>
      <w:numPr>
        <w:ilvl w:val="1"/>
        <w:numId w:val="4"/>
      </w:numPr>
      <w:spacing w:after="120"/>
      <w:ind w:right="1440"/>
    </w:pPr>
  </w:style>
  <w:style w:type="character" w:customStyle="1" w:styleId="BlockTextChar">
    <w:name w:val="Block Text Char"/>
    <w:link w:val="BlockText"/>
    <w:rsid w:val="006273C7"/>
    <w:rPr>
      <w:rFonts w:eastAsia="Times New Roman"/>
      <w:sz w:val="24"/>
      <w:szCs w:val="24"/>
    </w:rPr>
  </w:style>
  <w:style w:type="character" w:styleId="Hyperlink">
    <w:name w:val="Hyperlink"/>
    <w:rsid w:val="00727127"/>
    <w:rPr>
      <w:color w:val="0000FF"/>
      <w:u w:val="single"/>
    </w:rPr>
  </w:style>
  <w:style w:type="paragraph" w:styleId="ListParagraph">
    <w:name w:val="List Paragraph"/>
    <w:basedOn w:val="Normal"/>
    <w:uiPriority w:val="34"/>
    <w:qFormat/>
    <w:rsid w:val="00727127"/>
    <w:pPr>
      <w:ind w:left="720"/>
      <w:contextualSpacing/>
    </w:pPr>
  </w:style>
  <w:style w:type="paragraph" w:styleId="CommentText">
    <w:name w:val="annotation text"/>
    <w:basedOn w:val="Normal"/>
    <w:link w:val="CommentTextChar"/>
    <w:rsid w:val="008F5EAD"/>
    <w:rPr>
      <w:sz w:val="20"/>
      <w:szCs w:val="20"/>
    </w:rPr>
  </w:style>
  <w:style w:type="character" w:customStyle="1" w:styleId="CommentTextChar">
    <w:name w:val="Comment Text Char"/>
    <w:basedOn w:val="DefaultParagraphFont"/>
    <w:link w:val="CommentText"/>
    <w:rsid w:val="008F5EAD"/>
    <w:rPr>
      <w:rFonts w:eastAsia="Times New Roman"/>
    </w:rPr>
  </w:style>
  <w:style w:type="paragraph" w:styleId="CommentSubject">
    <w:name w:val="annotation subject"/>
    <w:basedOn w:val="CommentText"/>
    <w:next w:val="CommentText"/>
    <w:link w:val="CommentSubjectChar"/>
    <w:rsid w:val="008F5EAD"/>
    <w:rPr>
      <w:b/>
      <w:bCs/>
    </w:rPr>
  </w:style>
  <w:style w:type="character" w:customStyle="1" w:styleId="CommentSubjectChar">
    <w:name w:val="Comment Subject Char"/>
    <w:basedOn w:val="CommentTextChar"/>
    <w:link w:val="CommentSubject"/>
    <w:rsid w:val="008F5EAD"/>
    <w:rPr>
      <w:rFonts w:eastAsia="Times New Roman"/>
      <w:b/>
      <w:bCs/>
    </w:rPr>
  </w:style>
  <w:style w:type="paragraph" w:styleId="PlainText">
    <w:name w:val="Plain Text"/>
    <w:basedOn w:val="Normal"/>
    <w:link w:val="PlainTextChar"/>
    <w:uiPriority w:val="99"/>
    <w:unhideWhenUsed/>
    <w:rsid w:val="00852A92"/>
    <w:rPr>
      <w:rFonts w:ascii="Courier New" w:eastAsia="Calibri" w:hAnsi="Courier New" w:cs="Courier New"/>
      <w:sz w:val="20"/>
      <w:szCs w:val="20"/>
      <w:lang w:eastAsia="zh-CN"/>
    </w:rPr>
  </w:style>
  <w:style w:type="character" w:customStyle="1" w:styleId="PlainTextChar">
    <w:name w:val="Plain Text Char"/>
    <w:basedOn w:val="DefaultParagraphFont"/>
    <w:link w:val="PlainText"/>
    <w:uiPriority w:val="99"/>
    <w:rsid w:val="00852A92"/>
    <w:rPr>
      <w:rFonts w:ascii="Courier New" w:eastAsia="Calibri" w:hAnsi="Courier New" w:cs="Courier New"/>
      <w:lang w:eastAsia="zh-CN"/>
    </w:rPr>
  </w:style>
  <w:style w:type="paragraph" w:customStyle="1" w:styleId="Continuedpara">
    <w:name w:val="Continued para"/>
    <w:basedOn w:val="Normal"/>
    <w:rsid w:val="00852A92"/>
    <w:pPr>
      <w:spacing w:after="24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8274">
      <w:bodyDiv w:val="1"/>
      <w:marLeft w:val="0"/>
      <w:marRight w:val="0"/>
      <w:marTop w:val="0"/>
      <w:marBottom w:val="0"/>
      <w:divBdr>
        <w:top w:val="none" w:sz="0" w:space="0" w:color="auto"/>
        <w:left w:val="none" w:sz="0" w:space="0" w:color="auto"/>
        <w:bottom w:val="none" w:sz="0" w:space="0" w:color="auto"/>
        <w:right w:val="none" w:sz="0" w:space="0" w:color="auto"/>
      </w:divBdr>
    </w:div>
    <w:div w:id="472909928">
      <w:bodyDiv w:val="1"/>
      <w:marLeft w:val="0"/>
      <w:marRight w:val="0"/>
      <w:marTop w:val="0"/>
      <w:marBottom w:val="0"/>
      <w:divBdr>
        <w:top w:val="none" w:sz="0" w:space="0" w:color="auto"/>
        <w:left w:val="none" w:sz="0" w:space="0" w:color="auto"/>
        <w:bottom w:val="none" w:sz="0" w:space="0" w:color="auto"/>
        <w:right w:val="none" w:sz="0" w:space="0" w:color="auto"/>
      </w:divBdr>
    </w:div>
    <w:div w:id="980383546">
      <w:bodyDiv w:val="1"/>
      <w:marLeft w:val="0"/>
      <w:marRight w:val="0"/>
      <w:marTop w:val="0"/>
      <w:marBottom w:val="0"/>
      <w:divBdr>
        <w:top w:val="none" w:sz="0" w:space="0" w:color="auto"/>
        <w:left w:val="none" w:sz="0" w:space="0" w:color="auto"/>
        <w:bottom w:val="none" w:sz="0" w:space="0" w:color="auto"/>
        <w:right w:val="none" w:sz="0" w:space="0" w:color="auto"/>
      </w:divBdr>
    </w:div>
    <w:div w:id="11626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pcir230.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cpa.org/interestareas/tax/resources/standardsethics/section721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tax-professionals/section-7216-information-cente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icpa.org/research/standard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icpa.org/interestareas/tax/resources/compliance/annualcompliancekit.html?tab-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BF3749E3AEE45A2D2BF11B3AA411B" ma:contentTypeVersion="12" ma:contentTypeDescription="Create a new document." ma:contentTypeScope="" ma:versionID="eba7ff14e6976980b9bdaa9168c63624">
  <xsd:schema xmlns:xsd="http://www.w3.org/2001/XMLSchema" xmlns:xs="http://www.w3.org/2001/XMLSchema" xmlns:p="http://schemas.microsoft.com/office/2006/metadata/properties" xmlns:ns2="cb058a43-6197-491e-8ba7-1d462bb806ec" xmlns:ns3="2ec4d8f2-e091-4b4c-84d6-09d2c3f37f22" targetNamespace="http://schemas.microsoft.com/office/2006/metadata/properties" ma:root="true" ma:fieldsID="d90661e5e5013dc7ab0761192fb8dcc7" ns2:_="" ns3:_="">
    <xsd:import namespace="cb058a43-6197-491e-8ba7-1d462bb806ec"/>
    <xsd:import namespace="2ec4d8f2-e091-4b4c-84d6-09d2c3f37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8a43-6197-491e-8ba7-1d462bb80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d8f2-e091-4b4c-84d6-09d2c3f37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A0434-CFE1-459F-A5C4-FA131CC99279}">
  <ds:schemaRefs>
    <ds:schemaRef ds:uri="http://schemas.openxmlformats.org/officeDocument/2006/bibliography"/>
  </ds:schemaRefs>
</ds:datastoreItem>
</file>

<file path=customXml/itemProps2.xml><?xml version="1.0" encoding="utf-8"?>
<ds:datastoreItem xmlns:ds="http://schemas.openxmlformats.org/officeDocument/2006/customXml" ds:itemID="{30BB1698-47BB-43DE-A249-4F8B90C5D156}"/>
</file>

<file path=customXml/itemProps3.xml><?xml version="1.0" encoding="utf-8"?>
<ds:datastoreItem xmlns:ds="http://schemas.openxmlformats.org/officeDocument/2006/customXml" ds:itemID="{5B99CF71-34CD-4C0F-8B04-3BF9509CF18E}"/>
</file>

<file path=customXml/itemProps4.xml><?xml version="1.0" encoding="utf-8"?>
<ds:datastoreItem xmlns:ds="http://schemas.openxmlformats.org/officeDocument/2006/customXml" ds:itemID="{1B6444E7-4515-4355-B7B7-65B5DBE21D39}"/>
</file>

<file path=docProps/app.xml><?xml version="1.0" encoding="utf-8"?>
<Properties xmlns="http://schemas.openxmlformats.org/officeDocument/2006/extended-properties" xmlns:vt="http://schemas.openxmlformats.org/officeDocument/2006/docPropsVTypes">
  <Template>Normal</Template>
  <TotalTime>0</TotalTime>
  <Pages>9</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2020-11-29T23:43:00Z</dcterms:created>
  <dcterms:modified xsi:type="dcterms:W3CDTF">2020-11-29T23:43:00Z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DisplayName">
    <vt:lpwstr>Rood,Deborah</vt:lpwstr>
  </property>
  <property fmtid="{D5CDD505-2E9C-101B-9397-08002B2CF9AE}" pid="3" name="ContentTypeId">
    <vt:lpwstr>0x0101009DEBF3749E3AEE45A2D2BF11B3AA411B</vt:lpwstr>
  </property>
  <property fmtid="{D5CDD505-2E9C-101B-9397-08002B2CF9AE}" pid="4" name="_EmailSubject">
    <vt:lpwstr>Engagement Letters</vt:lpwstr>
  </property>
  <property fmtid="{D5CDD505-2E9C-101B-9397-08002B2CF9AE}" pid="5" name="_AdHocReviewCycleID">
    <vt:i4>-866627519</vt:i4>
  </property>
  <property fmtid="{D5CDD505-2E9C-101B-9397-08002B2CF9AE}" pid="6" name="_AuthorEmail">
    <vt:lpwstr>Deborah.Rood@cna.com</vt:lpwstr>
  </property>
  <property fmtid="{D5CDD505-2E9C-101B-9397-08002B2CF9AE}" pid="7" name="_NewReviewCycle">
    <vt:lpwstr/>
  </property>
  <property fmtid="{D5CDD505-2E9C-101B-9397-08002B2CF9AE}" pid="8" name="_ReviewingToolsShownOnce">
    <vt:lpwstr/>
  </property>
</Properties>
</file>