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0200" w14:textId="77777777" w:rsidR="00FF0F55" w:rsidRDefault="00F62E64" w:rsidP="00F62E64">
      <w:pPr>
        <w:spacing w:after="0" w:line="360" w:lineRule="auto"/>
        <w:contextualSpacing/>
        <w:rPr>
          <w:rFonts w:cs="Arial"/>
        </w:rPr>
      </w:pPr>
      <w:r w:rsidRPr="00156C85">
        <w:rPr>
          <w:rFonts w:cs="Arial"/>
        </w:rPr>
        <w:t xml:space="preserve">The conditions set out in this agreement and in the related guidance must be followed by all IPSA funded </w:t>
      </w:r>
      <w:r w:rsidRPr="00156C85">
        <w:rPr>
          <w:rStyle w:val="normaltextrun"/>
          <w:rFonts w:cs="Arial"/>
          <w:shd w:val="clear" w:color="auto" w:fill="FFFFFF"/>
        </w:rPr>
        <w:t xml:space="preserve">pooled </w:t>
      </w:r>
      <w:r w:rsidRPr="00156C85">
        <w:rPr>
          <w:rFonts w:cs="Arial"/>
        </w:rPr>
        <w:t xml:space="preserve">staffing services, which provide research, briefing and drafting services to MPs. </w:t>
      </w:r>
    </w:p>
    <w:p w14:paraId="0570A58C" w14:textId="77777777" w:rsidR="00FF0F55" w:rsidRDefault="00FF0F55" w:rsidP="00F62E64">
      <w:pPr>
        <w:spacing w:after="0" w:line="360" w:lineRule="auto"/>
        <w:contextualSpacing/>
        <w:rPr>
          <w:rFonts w:cs="Arial"/>
        </w:rPr>
      </w:pPr>
    </w:p>
    <w:p w14:paraId="27F4715B" w14:textId="6D057544" w:rsidR="00F62E64" w:rsidRPr="00156C85" w:rsidRDefault="00F62E64" w:rsidP="00F62E64">
      <w:pPr>
        <w:spacing w:after="0" w:line="360" w:lineRule="auto"/>
        <w:contextualSpacing/>
      </w:pPr>
      <w:r w:rsidRPr="00156C85">
        <w:rPr>
          <w:rFonts w:cs="Arial"/>
        </w:rPr>
        <w:t xml:space="preserve">All pooled services registered with IPSA on a direct payment basis must sign this agreement as a condition of funding. Failure to meet these conditions could lead to IPSA no longer being able to fund a service. </w:t>
      </w:r>
    </w:p>
    <w:p w14:paraId="67AD7E6E" w14:textId="77777777" w:rsidR="00F62E64" w:rsidRPr="00156C85" w:rsidRDefault="00F62E64" w:rsidP="00F62E64">
      <w:pPr>
        <w:spacing w:after="0" w:line="360" w:lineRule="auto"/>
        <w:rPr>
          <w:rFonts w:cs="Arial"/>
        </w:rPr>
      </w:pPr>
    </w:p>
    <w:p w14:paraId="05D84204" w14:textId="1679167A" w:rsidR="00F62E64" w:rsidRDefault="00F62E64" w:rsidP="00F62E64">
      <w:pPr>
        <w:spacing w:after="0" w:line="360" w:lineRule="auto"/>
        <w:rPr>
          <w:rFonts w:cs="Arial"/>
        </w:rPr>
      </w:pPr>
      <w:r w:rsidRPr="00156C85">
        <w:rPr>
          <w:rFonts w:cs="Arial"/>
        </w:rPr>
        <w:t>Name:</w:t>
      </w:r>
      <w:r w:rsidR="00FF0F55">
        <w:rPr>
          <w:rFonts w:cs="Arial"/>
        </w:rPr>
        <w:t xml:space="preserve"> </w:t>
      </w:r>
      <w:r w:rsidRPr="00156C85">
        <w:rPr>
          <w:rFonts w:cs="Arial"/>
        </w:rPr>
        <w:t>_______________</w:t>
      </w:r>
      <w:r>
        <w:rPr>
          <w:rFonts w:cs="Arial"/>
        </w:rPr>
        <w:t>____</w:t>
      </w:r>
    </w:p>
    <w:p w14:paraId="4F33FD6C" w14:textId="77777777" w:rsidR="00BA5F06" w:rsidRDefault="00BA5F06" w:rsidP="00F62E64">
      <w:pPr>
        <w:spacing w:after="0" w:line="360" w:lineRule="auto"/>
        <w:rPr>
          <w:rFonts w:cs="Arial"/>
        </w:rPr>
      </w:pPr>
    </w:p>
    <w:p w14:paraId="54695730" w14:textId="2D772786" w:rsidR="00F62E64" w:rsidRPr="00156C85" w:rsidRDefault="00F62E64" w:rsidP="00F62E64">
      <w:pPr>
        <w:spacing w:after="0" w:line="360" w:lineRule="auto"/>
        <w:rPr>
          <w:rFonts w:cs="Arial"/>
        </w:rPr>
      </w:pPr>
      <w:r>
        <w:rPr>
          <w:rFonts w:cs="Arial"/>
        </w:rPr>
        <w:t xml:space="preserve">Date: </w:t>
      </w:r>
      <w:r w:rsidRPr="00156C85">
        <w:rPr>
          <w:rFonts w:cs="Arial"/>
        </w:rPr>
        <w:t>_______________</w:t>
      </w:r>
    </w:p>
    <w:p w14:paraId="16A9AA4E" w14:textId="77777777" w:rsidR="00BA5F06" w:rsidRDefault="00BA5F06" w:rsidP="00F62E64">
      <w:pPr>
        <w:spacing w:after="0" w:line="360" w:lineRule="auto"/>
        <w:rPr>
          <w:rFonts w:cs="Arial"/>
        </w:rPr>
      </w:pPr>
    </w:p>
    <w:p w14:paraId="6842AE11" w14:textId="188DE57D" w:rsidR="00F62E64" w:rsidRPr="00156C85" w:rsidRDefault="00F62E64" w:rsidP="00F62E64">
      <w:pPr>
        <w:spacing w:after="0" w:line="360" w:lineRule="auto"/>
        <w:rPr>
          <w:rFonts w:cs="Arial"/>
        </w:rPr>
      </w:pPr>
      <w:r w:rsidRPr="00156C85">
        <w:rPr>
          <w:rFonts w:cs="Arial"/>
        </w:rPr>
        <w:t xml:space="preserve">Organisation: _______________ </w:t>
      </w:r>
    </w:p>
    <w:p w14:paraId="611CB603" w14:textId="77777777" w:rsidR="00F62E64" w:rsidRPr="00156C85" w:rsidRDefault="00F62E64" w:rsidP="00F62E64">
      <w:pPr>
        <w:spacing w:after="0" w:line="360" w:lineRule="auto"/>
        <w:rPr>
          <w:rFonts w:cs="Arial"/>
        </w:rPr>
      </w:pPr>
    </w:p>
    <w:p w14:paraId="257F8A40" w14:textId="77777777" w:rsidR="00F62E64" w:rsidRPr="00156C85" w:rsidRDefault="00F62E64" w:rsidP="00F62E64">
      <w:pPr>
        <w:spacing w:after="0" w:line="360" w:lineRule="auto"/>
        <w:rPr>
          <w:rFonts w:cs="Arial"/>
        </w:rPr>
      </w:pPr>
      <w:r w:rsidRPr="00156C85">
        <w:rPr>
          <w:rFonts w:cs="Arial"/>
        </w:rPr>
        <w:t xml:space="preserve">Hereby agrees: </w:t>
      </w:r>
    </w:p>
    <w:p w14:paraId="28E78814" w14:textId="77777777" w:rsidR="00F62E64" w:rsidRPr="00156C85" w:rsidRDefault="00F62E64" w:rsidP="00F62E64">
      <w:pPr>
        <w:pStyle w:val="ListParagraph"/>
        <w:numPr>
          <w:ilvl w:val="0"/>
          <w:numId w:val="4"/>
        </w:numPr>
        <w:spacing w:before="0" w:line="360" w:lineRule="auto"/>
        <w:contextualSpacing/>
        <w:jc w:val="left"/>
        <w:rPr>
          <w:rFonts w:ascii="Karla" w:eastAsia="Karla" w:hAnsi="Karla" w:cs="Arial"/>
        </w:rPr>
      </w:pPr>
      <w:r w:rsidRPr="00156C85">
        <w:rPr>
          <w:rFonts w:ascii="Karla" w:eastAsia="Karla" w:hAnsi="Karla" w:cs="Arial"/>
        </w:rPr>
        <w:t>To comply with IPSA’s Guidance on Pooled Staffing Services.</w:t>
      </w:r>
    </w:p>
    <w:p w14:paraId="49F93701" w14:textId="77777777" w:rsidR="00F62E64" w:rsidRPr="00156C85" w:rsidRDefault="00F62E64" w:rsidP="00F62E64">
      <w:pPr>
        <w:pStyle w:val="ListParagraph"/>
        <w:numPr>
          <w:ilvl w:val="0"/>
          <w:numId w:val="4"/>
        </w:numPr>
        <w:spacing w:before="0" w:line="360" w:lineRule="auto"/>
        <w:contextualSpacing/>
        <w:jc w:val="left"/>
        <w:rPr>
          <w:rFonts w:ascii="Karla" w:eastAsia="Karla" w:hAnsi="Karla" w:cs="Arial"/>
        </w:rPr>
      </w:pPr>
      <w:r w:rsidRPr="00156C85">
        <w:rPr>
          <w:rFonts w:ascii="Karla" w:eastAsia="Karla" w:hAnsi="Karla" w:cs="Arial"/>
        </w:rPr>
        <w:t xml:space="preserve">To comply with the Scheme in particular the Fundamental Principles (Part A) and General Conditions (Part B, Chapter 3) set out in IPSA’s Scheme and in doing so to ensure that the written materials produced are </w:t>
      </w:r>
      <w:r>
        <w:rPr>
          <w:rFonts w:ascii="Karla" w:eastAsia="Karla" w:hAnsi="Karla" w:cs="Arial"/>
        </w:rPr>
        <w:t>p</w:t>
      </w:r>
      <w:r w:rsidRPr="00156C85">
        <w:rPr>
          <w:rFonts w:ascii="Karla" w:eastAsia="Karla" w:hAnsi="Karla" w:cs="Arial"/>
        </w:rPr>
        <w:t xml:space="preserve">arliamentary in nature, not party-political, not aimed at gaining a campaigning advantage and not for lobbying purposes. </w:t>
      </w:r>
    </w:p>
    <w:p w14:paraId="7995FA3B" w14:textId="77777777" w:rsidR="00F62E64" w:rsidRPr="00156C85" w:rsidRDefault="00F62E64" w:rsidP="00F62E64">
      <w:pPr>
        <w:pStyle w:val="ListParagraph"/>
        <w:numPr>
          <w:ilvl w:val="0"/>
          <w:numId w:val="4"/>
        </w:numPr>
        <w:spacing w:before="0" w:line="360" w:lineRule="auto"/>
        <w:contextualSpacing/>
        <w:jc w:val="left"/>
        <w:rPr>
          <w:rFonts w:ascii="Karla" w:hAnsi="Karla" w:cs="Arial"/>
        </w:rPr>
      </w:pPr>
      <w:r w:rsidRPr="00156C85">
        <w:rPr>
          <w:rFonts w:ascii="Karla" w:eastAsia="Karla" w:hAnsi="Karla" w:cs="Arial"/>
        </w:rPr>
        <w:t xml:space="preserve">To make materials available for inspection by IPSA when requested, and at least once every parliament. </w:t>
      </w:r>
    </w:p>
    <w:p w14:paraId="16AC3A73" w14:textId="5713F5AD" w:rsidR="00060045" w:rsidRPr="00C8694D" w:rsidRDefault="00F62E64" w:rsidP="00060045">
      <w:pPr>
        <w:pStyle w:val="ListParagraph"/>
        <w:numPr>
          <w:ilvl w:val="0"/>
          <w:numId w:val="4"/>
        </w:numPr>
        <w:spacing w:before="0" w:line="360" w:lineRule="auto"/>
        <w:contextualSpacing/>
        <w:jc w:val="left"/>
        <w:rPr>
          <w:rFonts w:ascii="Karla" w:eastAsia="Karla" w:hAnsi="Karla" w:cs="Arial"/>
        </w:rPr>
      </w:pPr>
      <w:r w:rsidRPr="00156C85">
        <w:rPr>
          <w:rFonts w:ascii="Karla" w:eastAsia="Karla" w:hAnsi="Karla" w:cs="Arial"/>
        </w:rPr>
        <w:t xml:space="preserve">To provide the necessary financial details and information about subscribers to IPSA’s Finance Team in a timely manner. </w:t>
      </w:r>
    </w:p>
    <w:p w14:paraId="54BD4B56" w14:textId="7D000CF0" w:rsidR="00F507F0" w:rsidRPr="00060045" w:rsidRDefault="00060045" w:rsidP="00060045">
      <w:pPr>
        <w:tabs>
          <w:tab w:val="left" w:pos="7110"/>
        </w:tabs>
      </w:pPr>
      <w:r>
        <w:tab/>
      </w:r>
    </w:p>
    <w:sectPr w:rsidR="00F507F0" w:rsidRPr="00060045" w:rsidSect="00060045">
      <w:headerReference w:type="default" r:id="rId10"/>
      <w:footerReference w:type="default" r:id="rId11"/>
      <w:pgSz w:w="11906" w:h="16838"/>
      <w:pgMar w:top="1447" w:right="1133" w:bottom="1542" w:left="1426"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EC71" w14:textId="77777777" w:rsidR="00F507F0" w:rsidRDefault="00F507F0" w:rsidP="00F507F0">
      <w:pPr>
        <w:spacing w:after="0" w:line="240" w:lineRule="auto"/>
      </w:pPr>
      <w:r>
        <w:separator/>
      </w:r>
    </w:p>
  </w:endnote>
  <w:endnote w:type="continuationSeparator" w:id="0">
    <w:p w14:paraId="3F28AE1E" w14:textId="77777777" w:rsidR="00F507F0" w:rsidRDefault="00F507F0" w:rsidP="00F5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charset w:val="00"/>
    <w:family w:val="auto"/>
    <w:pitch w:val="variable"/>
    <w:sig w:usb0="80000027"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31E1" w14:textId="77777777" w:rsidR="00FF0F55" w:rsidRDefault="00FF0F55" w:rsidP="00FF0F55">
    <w:pPr>
      <w:spacing w:after="0"/>
      <w:rPr>
        <w:b/>
        <w:color w:val="008E77"/>
      </w:rPr>
    </w:pPr>
  </w:p>
  <w:p w14:paraId="203CB454" w14:textId="77777777" w:rsidR="00FF0F55" w:rsidRDefault="00FF0F55" w:rsidP="00FF0F55">
    <w:pPr>
      <w:spacing w:after="0"/>
      <w:rPr>
        <w:b/>
        <w:color w:val="008E77"/>
      </w:rPr>
    </w:pPr>
  </w:p>
  <w:p w14:paraId="653FF338" w14:textId="3D8130DF" w:rsidR="00FF0F55" w:rsidRPr="00156C85" w:rsidRDefault="00FF0F55" w:rsidP="00FF0F55">
    <w:pPr>
      <w:spacing w:after="0"/>
      <w:rPr>
        <w:b/>
        <w:color w:val="008E77"/>
      </w:rPr>
    </w:pPr>
    <w:r>
      <w:rPr>
        <w:b/>
        <w:color w:val="008E77"/>
      </w:rPr>
      <w:t xml:space="preserve">Written agreement for </w:t>
    </w:r>
    <w:r w:rsidRPr="00156C85">
      <w:rPr>
        <w:b/>
        <w:color w:val="008E77"/>
      </w:rPr>
      <w:t>pooled research, briefing and drafting services</w:t>
    </w:r>
  </w:p>
  <w:p w14:paraId="5C6B923C" w14:textId="0D055DA7" w:rsidR="00FF0F55" w:rsidRDefault="00FF0F55">
    <w:pPr>
      <w:pStyle w:val="Footer"/>
    </w:pPr>
  </w:p>
  <w:p w14:paraId="077E794D" w14:textId="77777777" w:rsidR="00FF0F55" w:rsidRDefault="00FF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E582" w14:textId="77777777" w:rsidR="00F507F0" w:rsidRDefault="00F507F0" w:rsidP="00F507F0">
      <w:pPr>
        <w:spacing w:after="0" w:line="240" w:lineRule="auto"/>
      </w:pPr>
      <w:r>
        <w:separator/>
      </w:r>
    </w:p>
  </w:footnote>
  <w:footnote w:type="continuationSeparator" w:id="0">
    <w:p w14:paraId="79E1026C" w14:textId="77777777" w:rsidR="00F507F0" w:rsidRDefault="00F507F0" w:rsidP="00F5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284AC" w14:textId="6B99B7A4" w:rsidR="00F62E64" w:rsidRPr="00156C85" w:rsidRDefault="00F507F0" w:rsidP="00C8694D">
    <w:pPr>
      <w:spacing w:after="0" w:line="360" w:lineRule="auto"/>
      <w:rPr>
        <w:rStyle w:val="normaltextrun"/>
        <w:rFonts w:cs="Arial"/>
      </w:rPr>
    </w:pPr>
    <w:r>
      <w:rPr>
        <w:noProof/>
      </w:rPr>
      <w:drawing>
        <wp:anchor distT="0" distB="0" distL="114300" distR="114300" simplePos="0" relativeHeight="251659264" behindDoc="1" locked="0" layoutInCell="1" allowOverlap="1" wp14:anchorId="381C2546" wp14:editId="1D3131C6">
          <wp:simplePos x="0" y="0"/>
          <wp:positionH relativeFrom="margin">
            <wp:posOffset>4566285</wp:posOffset>
          </wp:positionH>
          <wp:positionV relativeFrom="paragraph">
            <wp:posOffset>-73025</wp:posOffset>
          </wp:positionV>
          <wp:extent cx="1710055" cy="1080135"/>
          <wp:effectExtent l="0" t="0" r="0" b="0"/>
          <wp:wrapTight wrapText="bothSides">
            <wp:wrapPolygon edited="0">
              <wp:start x="1925" y="3048"/>
              <wp:lineTo x="1925" y="17524"/>
              <wp:lineTo x="13234" y="18286"/>
              <wp:lineTo x="14197" y="18286"/>
              <wp:lineTo x="14437" y="16000"/>
              <wp:lineTo x="17806" y="16000"/>
              <wp:lineTo x="19491" y="13714"/>
              <wp:lineTo x="19009" y="9905"/>
              <wp:lineTo x="17325" y="3048"/>
              <wp:lineTo x="1925" y="3048"/>
            </wp:wrapPolygon>
          </wp:wrapTight>
          <wp:docPr id="7" name="Graphic 7" descr="Logo of the Independent Parliamentary Standards Authority"/>
          <wp:cNvGraphicFramePr/>
          <a:graphic xmlns:a="http://schemas.openxmlformats.org/drawingml/2006/main">
            <a:graphicData uri="http://schemas.openxmlformats.org/drawingml/2006/picture">
              <pic:pic xmlns:pic="http://schemas.openxmlformats.org/drawingml/2006/picture">
                <pic:nvPicPr>
                  <pic:cNvPr id="7" name="Graphic 7" descr="Logo of the Independent Parliamentary Standards Authority"/>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55" cy="1080135"/>
                  </a:xfrm>
                  <a:prstGeom prst="rect">
                    <a:avLst/>
                  </a:prstGeom>
                </pic:spPr>
              </pic:pic>
            </a:graphicData>
          </a:graphic>
          <wp14:sizeRelH relativeFrom="margin">
            <wp14:pctWidth>0</wp14:pctWidth>
          </wp14:sizeRelH>
          <wp14:sizeRelV relativeFrom="margin">
            <wp14:pctHeight>0</wp14:pctHeight>
          </wp14:sizeRelV>
        </wp:anchor>
      </w:drawing>
    </w:r>
    <w:r w:rsidR="00F62E64" w:rsidRPr="00156C85">
      <w:rPr>
        <w:rStyle w:val="normaltextrun"/>
        <w:rFonts w:cs="Arial"/>
        <w:b/>
        <w:bCs/>
        <w:color w:val="00886C"/>
        <w:sz w:val="44"/>
        <w:szCs w:val="44"/>
      </w:rPr>
      <w:t>Written agreement</w:t>
    </w:r>
    <w:r w:rsidR="00F62E64">
      <w:rPr>
        <w:rStyle w:val="normaltextrun"/>
        <w:rFonts w:cs="Arial"/>
        <w:b/>
        <w:bCs/>
        <w:color w:val="00886C"/>
        <w:sz w:val="44"/>
        <w:szCs w:val="44"/>
      </w:rPr>
      <w:t xml:space="preserve"> </w:t>
    </w:r>
    <w:r w:rsidR="00F62E64" w:rsidRPr="00156C85">
      <w:rPr>
        <w:rStyle w:val="normaltextrun"/>
        <w:rFonts w:cs="Arial"/>
        <w:b/>
        <w:bCs/>
        <w:color w:val="00886C"/>
        <w:sz w:val="44"/>
        <w:szCs w:val="44"/>
      </w:rPr>
      <w:t xml:space="preserve">between IPSA </w:t>
    </w:r>
    <w:r w:rsidR="00C8694D">
      <w:rPr>
        <w:rStyle w:val="normaltextrun"/>
        <w:rFonts w:cs="Arial"/>
        <w:b/>
        <w:bCs/>
        <w:color w:val="00886C"/>
        <w:sz w:val="44"/>
        <w:szCs w:val="44"/>
      </w:rPr>
      <w:br/>
    </w:r>
    <w:r w:rsidR="00F62E64" w:rsidRPr="00156C85">
      <w:rPr>
        <w:rStyle w:val="normaltextrun"/>
        <w:rFonts w:cs="Arial"/>
        <w:b/>
        <w:bCs/>
        <w:color w:val="00886C"/>
        <w:sz w:val="44"/>
        <w:szCs w:val="44"/>
      </w:rPr>
      <w:t>and pooled staffing services</w:t>
    </w:r>
  </w:p>
  <w:p w14:paraId="54ABE156" w14:textId="0D88C149" w:rsidR="00F507F0" w:rsidRDefault="00F507F0" w:rsidP="00F62E6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F9B"/>
    <w:multiLevelType w:val="hybridMultilevel"/>
    <w:tmpl w:val="51CC7636"/>
    <w:lvl w:ilvl="0" w:tplc="7B3ADC9C">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8FA30">
      <w:start w:val="1"/>
      <w:numFmt w:val="bullet"/>
      <w:lvlText w:val="o"/>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C05A1E">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C8FF70">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0B6AE">
      <w:start w:val="1"/>
      <w:numFmt w:val="bullet"/>
      <w:lvlText w:val="o"/>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D28CA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E0BF9E">
      <w:start w:val="1"/>
      <w:numFmt w:val="bullet"/>
      <w:lvlText w:val="•"/>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0C232">
      <w:start w:val="1"/>
      <w:numFmt w:val="bullet"/>
      <w:lvlText w:val="o"/>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5C80FC">
      <w:start w:val="1"/>
      <w:numFmt w:val="bullet"/>
      <w:lvlText w:val="▪"/>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FC2A1F"/>
    <w:multiLevelType w:val="hybridMultilevel"/>
    <w:tmpl w:val="24E85F22"/>
    <w:lvl w:ilvl="0" w:tplc="09BCE762">
      <w:start w:val="1"/>
      <w:numFmt w:val="bullet"/>
      <w:lvlText w:val=""/>
      <w:lvlJc w:val="left"/>
      <w:pPr>
        <w:ind w:left="720" w:hanging="360"/>
      </w:pPr>
      <w:rPr>
        <w:rFonts w:ascii="Symbol" w:hAnsi="Symbol" w:hint="default"/>
      </w:rPr>
    </w:lvl>
    <w:lvl w:ilvl="1" w:tplc="4BB02718">
      <w:start w:val="1"/>
      <w:numFmt w:val="bullet"/>
      <w:lvlText w:val="o"/>
      <w:lvlJc w:val="left"/>
      <w:pPr>
        <w:ind w:left="1440" w:hanging="360"/>
      </w:pPr>
      <w:rPr>
        <w:rFonts w:ascii="Courier New" w:hAnsi="Courier New" w:hint="default"/>
      </w:rPr>
    </w:lvl>
    <w:lvl w:ilvl="2" w:tplc="186E93E8">
      <w:start w:val="1"/>
      <w:numFmt w:val="bullet"/>
      <w:lvlText w:val=""/>
      <w:lvlJc w:val="left"/>
      <w:pPr>
        <w:ind w:left="2160" w:hanging="360"/>
      </w:pPr>
      <w:rPr>
        <w:rFonts w:ascii="Wingdings" w:hAnsi="Wingdings" w:hint="default"/>
      </w:rPr>
    </w:lvl>
    <w:lvl w:ilvl="3" w:tplc="8F2CF316">
      <w:start w:val="1"/>
      <w:numFmt w:val="bullet"/>
      <w:lvlText w:val=""/>
      <w:lvlJc w:val="left"/>
      <w:pPr>
        <w:ind w:left="2880" w:hanging="360"/>
      </w:pPr>
      <w:rPr>
        <w:rFonts w:ascii="Symbol" w:hAnsi="Symbol" w:hint="default"/>
      </w:rPr>
    </w:lvl>
    <w:lvl w:ilvl="4" w:tplc="4058E438">
      <w:start w:val="1"/>
      <w:numFmt w:val="bullet"/>
      <w:lvlText w:val="o"/>
      <w:lvlJc w:val="left"/>
      <w:pPr>
        <w:ind w:left="3600" w:hanging="360"/>
      </w:pPr>
      <w:rPr>
        <w:rFonts w:ascii="Courier New" w:hAnsi="Courier New" w:hint="default"/>
      </w:rPr>
    </w:lvl>
    <w:lvl w:ilvl="5" w:tplc="E14CDBEA">
      <w:start w:val="1"/>
      <w:numFmt w:val="bullet"/>
      <w:lvlText w:val=""/>
      <w:lvlJc w:val="left"/>
      <w:pPr>
        <w:ind w:left="4320" w:hanging="360"/>
      </w:pPr>
      <w:rPr>
        <w:rFonts w:ascii="Wingdings" w:hAnsi="Wingdings" w:hint="default"/>
      </w:rPr>
    </w:lvl>
    <w:lvl w:ilvl="6" w:tplc="4058CCAA">
      <w:start w:val="1"/>
      <w:numFmt w:val="bullet"/>
      <w:lvlText w:val=""/>
      <w:lvlJc w:val="left"/>
      <w:pPr>
        <w:ind w:left="5040" w:hanging="360"/>
      </w:pPr>
      <w:rPr>
        <w:rFonts w:ascii="Symbol" w:hAnsi="Symbol" w:hint="default"/>
      </w:rPr>
    </w:lvl>
    <w:lvl w:ilvl="7" w:tplc="4B404C0A">
      <w:start w:val="1"/>
      <w:numFmt w:val="bullet"/>
      <w:lvlText w:val="o"/>
      <w:lvlJc w:val="left"/>
      <w:pPr>
        <w:ind w:left="5760" w:hanging="360"/>
      </w:pPr>
      <w:rPr>
        <w:rFonts w:ascii="Courier New" w:hAnsi="Courier New" w:hint="default"/>
      </w:rPr>
    </w:lvl>
    <w:lvl w:ilvl="8" w:tplc="AFBEB026">
      <w:start w:val="1"/>
      <w:numFmt w:val="bullet"/>
      <w:lvlText w:val=""/>
      <w:lvlJc w:val="left"/>
      <w:pPr>
        <w:ind w:left="6480" w:hanging="360"/>
      </w:pPr>
      <w:rPr>
        <w:rFonts w:ascii="Wingdings" w:hAnsi="Wingdings" w:hint="default"/>
      </w:rPr>
    </w:lvl>
  </w:abstractNum>
  <w:abstractNum w:abstractNumId="2" w15:restartNumberingAfterBreak="0">
    <w:nsid w:val="4FD144F8"/>
    <w:multiLevelType w:val="hybridMultilevel"/>
    <w:tmpl w:val="5D8C2BC6"/>
    <w:lvl w:ilvl="0" w:tplc="D1C62D0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2775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2A85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85FA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E8A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4B73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6E6C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20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B23ED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DE7D7C"/>
    <w:multiLevelType w:val="hybridMultilevel"/>
    <w:tmpl w:val="809A046C"/>
    <w:lvl w:ilvl="0" w:tplc="FCB0B622">
      <w:start w:val="3"/>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A2B4A6">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B8855C">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A4F2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0C6E0">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58BBEC">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4CBDF6">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A6214">
      <w:start w:val="1"/>
      <w:numFmt w:val="bullet"/>
      <w:lvlText w:val="o"/>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23BD6">
      <w:start w:val="1"/>
      <w:numFmt w:val="bullet"/>
      <w:lvlText w:val="▪"/>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A7"/>
    <w:rsid w:val="00060045"/>
    <w:rsid w:val="008063EA"/>
    <w:rsid w:val="00BA5F06"/>
    <w:rsid w:val="00C8694D"/>
    <w:rsid w:val="00E501A7"/>
    <w:rsid w:val="00F507F0"/>
    <w:rsid w:val="00F62E64"/>
    <w:rsid w:val="00FF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7D7C0"/>
  <w15:docId w15:val="{48522DFB-DCB8-4664-949D-6279BC5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8063EA"/>
    <w:pPr>
      <w:keepNext/>
      <w:keepLines/>
      <w:spacing w:after="155"/>
      <w:ind w:left="10" w:hanging="10"/>
      <w:outlineLvl w:val="0"/>
    </w:pPr>
    <w:rPr>
      <w:rFonts w:ascii="Calibri" w:eastAsia="Calibri" w:hAnsi="Calibri" w:cs="Calibri"/>
      <w:color w:val="00886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0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F0"/>
    <w:rPr>
      <w:rFonts w:ascii="Calibri" w:eastAsia="Calibri" w:hAnsi="Calibri" w:cs="Calibri"/>
      <w:color w:val="000000"/>
    </w:rPr>
  </w:style>
  <w:style w:type="paragraph" w:styleId="Footer">
    <w:name w:val="footer"/>
    <w:basedOn w:val="Normal"/>
    <w:link w:val="FooterChar"/>
    <w:uiPriority w:val="99"/>
    <w:unhideWhenUsed/>
    <w:rsid w:val="00F50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F0"/>
    <w:rPr>
      <w:rFonts w:ascii="Calibri" w:eastAsia="Calibri" w:hAnsi="Calibri" w:cs="Calibri"/>
      <w:color w:val="000000"/>
    </w:rPr>
  </w:style>
  <w:style w:type="character" w:customStyle="1" w:styleId="Heading1Char">
    <w:name w:val="Heading 1 Char"/>
    <w:basedOn w:val="DefaultParagraphFont"/>
    <w:link w:val="Heading1"/>
    <w:uiPriority w:val="9"/>
    <w:rsid w:val="008063EA"/>
    <w:rPr>
      <w:rFonts w:ascii="Calibri" w:eastAsia="Calibri" w:hAnsi="Calibri" w:cs="Calibri"/>
      <w:color w:val="00886C"/>
      <w:sz w:val="28"/>
    </w:rPr>
  </w:style>
  <w:style w:type="paragraph" w:customStyle="1" w:styleId="footnotedescription">
    <w:name w:val="footnote description"/>
    <w:next w:val="Normal"/>
    <w:link w:val="footnotedescriptionChar"/>
    <w:hidden/>
    <w:rsid w:val="008063EA"/>
    <w:pPr>
      <w:spacing w:after="0"/>
      <w:ind w:left="29"/>
    </w:pPr>
    <w:rPr>
      <w:rFonts w:ascii="Calibri" w:eastAsia="Calibri" w:hAnsi="Calibri" w:cs="Calibri"/>
      <w:color w:val="0000FF"/>
      <w:sz w:val="20"/>
      <w:u w:val="single" w:color="0000FF"/>
    </w:rPr>
  </w:style>
  <w:style w:type="character" w:customStyle="1" w:styleId="footnotedescriptionChar">
    <w:name w:val="footnote description Char"/>
    <w:link w:val="footnotedescription"/>
    <w:rsid w:val="008063EA"/>
    <w:rPr>
      <w:rFonts w:ascii="Calibri" w:eastAsia="Calibri" w:hAnsi="Calibri" w:cs="Calibri"/>
      <w:color w:val="0000FF"/>
      <w:sz w:val="20"/>
      <w:u w:val="single" w:color="0000FF"/>
    </w:rPr>
  </w:style>
  <w:style w:type="character" w:customStyle="1" w:styleId="footnotemark">
    <w:name w:val="footnote mark"/>
    <w:hidden/>
    <w:rsid w:val="008063EA"/>
    <w:rPr>
      <w:rFonts w:ascii="Calibri" w:eastAsia="Calibri" w:hAnsi="Calibri" w:cs="Calibri"/>
      <w:color w:val="000000"/>
      <w:sz w:val="20"/>
      <w:vertAlign w:val="superscript"/>
    </w:rPr>
  </w:style>
  <w:style w:type="character" w:customStyle="1" w:styleId="normaltextrun">
    <w:name w:val="normaltextrun"/>
    <w:basedOn w:val="DefaultParagraphFont"/>
    <w:rsid w:val="00F62E64"/>
  </w:style>
  <w:style w:type="paragraph" w:styleId="ListParagraph">
    <w:name w:val="List Paragraph"/>
    <w:basedOn w:val="Normal"/>
    <w:uiPriority w:val="34"/>
    <w:qFormat/>
    <w:rsid w:val="00F62E64"/>
    <w:pPr>
      <w:spacing w:before="120" w:after="0" w:line="240" w:lineRule="auto"/>
      <w:ind w:left="720" w:hanging="544"/>
      <w:jc w:val="both"/>
    </w:pPr>
    <w:rPr>
      <w:rFonts w:asciiTheme="minorHAnsi" w:eastAsia="Times New Roman" w:hAnsiTheme="minorHAnsi"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989A9A"/>
      </a:accent3>
      <a:accent4>
        <a:srgbClr val="7E335A"/>
      </a:accent4>
      <a:accent5>
        <a:srgbClr val="379A87"/>
      </a:accent5>
      <a:accent6>
        <a:srgbClr val="431C5B"/>
      </a:accent6>
      <a:hlink>
        <a:srgbClr val="00886C"/>
      </a:hlink>
      <a:folHlink>
        <a:srgbClr val="0088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8F704731A1245A8558BB31EDD16AA" ma:contentTypeVersion="11" ma:contentTypeDescription="Create a new document." ma:contentTypeScope="" ma:versionID="a0ad9b017a8d8695abc85fccab4910da">
  <xsd:schema xmlns:xsd="http://www.w3.org/2001/XMLSchema" xmlns:xs="http://www.w3.org/2001/XMLSchema" xmlns:p="http://schemas.microsoft.com/office/2006/metadata/properties" xmlns:ns2="7032944a-bc8e-49a7-ba50-19023530b757" xmlns:ns3="4fa3803e-0f75-433e-9517-ab86e2c31b75" targetNamespace="http://schemas.microsoft.com/office/2006/metadata/properties" ma:root="true" ma:fieldsID="2a12ec2033294c1d37a3a18a5485d992" ns2:_="" ns3:_="">
    <xsd:import namespace="7032944a-bc8e-49a7-ba50-19023530b757"/>
    <xsd:import namespace="4fa3803e-0f75-433e-9517-ab86e2c31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944a-bc8e-49a7-ba50-19023530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3803e-0f75-433e-9517-ab86e2c31b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a3803e-0f75-433e-9517-ab86e2c31b75">
      <UserInfo>
        <DisplayName>Georgia Wilson</DisplayName>
        <AccountId>43</AccountId>
        <AccountType/>
      </UserInfo>
      <UserInfo>
        <DisplayName>Nick Crinnion</DisplayName>
        <AccountId>129</AccountId>
        <AccountType/>
      </UserInfo>
    </SharedWithUsers>
  </documentManagement>
</p:properties>
</file>

<file path=customXml/itemProps1.xml><?xml version="1.0" encoding="utf-8"?>
<ds:datastoreItem xmlns:ds="http://schemas.openxmlformats.org/officeDocument/2006/customXml" ds:itemID="{6A151DBD-009A-4493-8DB0-3175368E4007}">
  <ds:schemaRefs>
    <ds:schemaRef ds:uri="http://schemas.microsoft.com/sharepoint/v3/contenttype/forms"/>
  </ds:schemaRefs>
</ds:datastoreItem>
</file>

<file path=customXml/itemProps2.xml><?xml version="1.0" encoding="utf-8"?>
<ds:datastoreItem xmlns:ds="http://schemas.openxmlformats.org/officeDocument/2006/customXml" ds:itemID="{692A1E13-3AF0-48ED-B355-41B64E1F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944a-bc8e-49a7-ba50-19023530b757"/>
    <ds:schemaRef ds:uri="4fa3803e-0f75-433e-9517-ab86e2c31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A9905-980A-414B-8F86-CEEC5A068BE5}">
  <ds:schemaRefs>
    <ds:schemaRef ds:uri="http://purl.org/dc/dcmitype/"/>
    <ds:schemaRef ds:uri="78202d22-a364-4de4-aee9-36b56e5b770c"/>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449ca9ca-b184-406b-bb08-28812bd51e71"/>
    <ds:schemaRef ds:uri="http://purl.org/dc/terms/"/>
    <ds:schemaRef ds:uri="4fa3803e-0f75-433e-9517-ab86e2c31b7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 Al Islam</dc:creator>
  <cp:keywords/>
  <cp:lastModifiedBy>Nick Crinnion</cp:lastModifiedBy>
  <cp:revision>4</cp:revision>
  <dcterms:created xsi:type="dcterms:W3CDTF">2021-04-16T15:19:00Z</dcterms:created>
  <dcterms:modified xsi:type="dcterms:W3CDTF">2021-04-19T09:46:00Z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0x010100C5E8F704731A1245A8558BB31EDD16AA</vt:lpwstr>
  </property>
</Properties>
</file>