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BCDA" w14:textId="5F2489B5" w:rsidR="00057B03" w:rsidRPr="00611225" w:rsidRDefault="00BB4051" w:rsidP="00611225">
      <w:pPr>
        <w:spacing w:after="160" w:line="259" w:lineRule="auto"/>
        <w:rPr>
          <w:rFonts w:ascii="Calibri" w:eastAsia="Calibri" w:hAnsi="Calibri" w:cs="Calibri"/>
          <w:color w:val="253746"/>
          <w:lang w:eastAsia="en-GB"/>
        </w:rPr>
      </w:pPr>
      <w:r w:rsidRPr="00611225">
        <w:rPr>
          <w:rFonts w:ascii="Calibri" w:eastAsia="Calibri" w:hAnsi="Calibri" w:cs="Calibri"/>
          <w:color w:val="253746"/>
          <w:lang w:eastAsia="en-GB"/>
        </w:rPr>
        <w:t>Please ensure all the following documents are sent to IPSA so we can process them swiftly</w:t>
      </w:r>
      <w:r w:rsidR="000029FF" w:rsidRPr="00611225">
        <w:rPr>
          <w:rFonts w:ascii="Calibri" w:eastAsia="Calibri" w:hAnsi="Calibri" w:cs="Calibri"/>
          <w:color w:val="253746"/>
          <w:lang w:eastAsia="en-GB"/>
        </w:rPr>
        <w:t xml:space="preserve"> and email this completed form to </w:t>
      </w:r>
      <w:hyperlink r:id="rId11" w:history="1">
        <w:r w:rsidR="000029FF" w:rsidRPr="00611225">
          <w:rPr>
            <w:rFonts w:ascii="Calibri" w:eastAsia="Calibri" w:hAnsi="Calibri" w:cs="Calibri"/>
            <w:color w:val="00886C" w:themeColor="accent1"/>
            <w:u w:val="single"/>
            <w:lang w:eastAsia="en-GB"/>
          </w:rPr>
          <w:t>payroll@theipsa.org.uk</w:t>
        </w:r>
      </w:hyperlink>
      <w:r w:rsidR="00611225">
        <w:rPr>
          <w:rFonts w:ascii="Calibri" w:eastAsia="Calibri" w:hAnsi="Calibri" w:cs="Calibri"/>
          <w:color w:val="253746"/>
          <w:lang w:eastAsia="en-GB"/>
        </w:rPr>
        <w:t>.</w:t>
      </w:r>
    </w:p>
    <w:tbl>
      <w:tblPr>
        <w:tblStyle w:val="TableGrid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65"/>
        <w:gridCol w:w="3261"/>
      </w:tblGrid>
      <w:tr w:rsidR="004643FC" w:rsidRPr="00043211" w14:paraId="2C7EA318" w14:textId="77777777" w:rsidTr="00611225">
        <w:trPr>
          <w:trHeight w:val="609"/>
        </w:trPr>
        <w:tc>
          <w:tcPr>
            <w:tcW w:w="5665" w:type="dxa"/>
          </w:tcPr>
          <w:p w14:paraId="65E63E89" w14:textId="72A3F5E7" w:rsidR="004643FC" w:rsidRPr="00057B03" w:rsidRDefault="004643FC" w:rsidP="00057B03">
            <w:pPr>
              <w:rPr>
                <w:lang w:val="en"/>
              </w:rPr>
            </w:pPr>
            <w:r w:rsidRPr="00CA0DE4">
              <w:rPr>
                <w:lang w:val="en"/>
              </w:rPr>
              <w:t>Is this to replace a staff member? If so</w:t>
            </w:r>
            <w:r w:rsidR="00611225">
              <w:rPr>
                <w:lang w:val="en"/>
              </w:rPr>
              <w:t>,</w:t>
            </w:r>
            <w:r w:rsidRPr="00CA0DE4">
              <w:rPr>
                <w:lang w:val="en"/>
              </w:rPr>
              <w:t xml:space="preserve"> please provide the staff members name here who left</w:t>
            </w:r>
          </w:p>
        </w:tc>
        <w:tc>
          <w:tcPr>
            <w:tcW w:w="3261" w:type="dxa"/>
          </w:tcPr>
          <w:p w14:paraId="4CF9F6D2" w14:textId="77777777" w:rsidR="004643FC" w:rsidRDefault="004643FC" w:rsidP="00A912A5">
            <w:pPr>
              <w:jc w:val="center"/>
            </w:pPr>
          </w:p>
        </w:tc>
      </w:tr>
      <w:tr w:rsidR="00A912A5" w:rsidRPr="00043211" w14:paraId="159BCA8C" w14:textId="77777777" w:rsidTr="00611225">
        <w:trPr>
          <w:trHeight w:val="211"/>
        </w:trPr>
        <w:tc>
          <w:tcPr>
            <w:tcW w:w="5665" w:type="dxa"/>
          </w:tcPr>
          <w:p w14:paraId="6A3C68CB" w14:textId="2D7080DE" w:rsidR="000029FF" w:rsidRPr="00057B03" w:rsidRDefault="00A912A5" w:rsidP="00057B03">
            <w:pPr>
              <w:rPr>
                <w:lang w:val="en"/>
              </w:rPr>
            </w:pPr>
            <w:r w:rsidRPr="00057B03">
              <w:rPr>
                <w:lang w:val="en"/>
              </w:rPr>
              <w:t xml:space="preserve">Signed </w:t>
            </w:r>
            <w:r w:rsidR="00611225">
              <w:rPr>
                <w:lang w:val="en"/>
              </w:rPr>
              <w:t>o</w:t>
            </w:r>
            <w:r w:rsidRPr="00057B03">
              <w:rPr>
                <w:lang w:val="en"/>
              </w:rPr>
              <w:t xml:space="preserve">riginal </w:t>
            </w:r>
            <w:r w:rsidR="00611225">
              <w:rPr>
                <w:lang w:val="en"/>
              </w:rPr>
              <w:t>c</w:t>
            </w:r>
            <w:r w:rsidRPr="00057B03">
              <w:rPr>
                <w:lang w:val="en"/>
              </w:rPr>
              <w:t>ontract</w:t>
            </w:r>
          </w:p>
        </w:tc>
        <w:tc>
          <w:tcPr>
            <w:tcW w:w="3261" w:type="dxa"/>
          </w:tcPr>
          <w:p w14:paraId="0279CC35" w14:textId="52BDE76C" w:rsidR="00A912A5" w:rsidRPr="00043211" w:rsidRDefault="00ED219F" w:rsidP="00A912A5">
            <w:pPr>
              <w:jc w:val="center"/>
            </w:pPr>
            <w:r w:rsidRPr="000432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A912A5" w:rsidRPr="00043211">
              <w:instrText xml:space="preserve"> FORMCHECKBOX </w:instrText>
            </w:r>
            <w:r w:rsidR="005576A0">
              <w:fldChar w:fldCharType="separate"/>
            </w:r>
            <w:r w:rsidRPr="00043211">
              <w:fldChar w:fldCharType="end"/>
            </w:r>
            <w:bookmarkEnd w:id="0"/>
          </w:p>
        </w:tc>
      </w:tr>
      <w:tr w:rsidR="00A912A5" w:rsidRPr="00043211" w14:paraId="3C586AF3" w14:textId="77777777" w:rsidTr="00611225">
        <w:trPr>
          <w:trHeight w:val="371"/>
        </w:trPr>
        <w:tc>
          <w:tcPr>
            <w:tcW w:w="5665" w:type="dxa"/>
          </w:tcPr>
          <w:p w14:paraId="0EA71624" w14:textId="68B850C8" w:rsidR="000029FF" w:rsidRPr="00057B03" w:rsidRDefault="00611225" w:rsidP="00057B03">
            <w:pPr>
              <w:rPr>
                <w:lang w:val="en"/>
              </w:rPr>
            </w:pPr>
            <w:r>
              <w:rPr>
                <w:lang w:val="en"/>
              </w:rPr>
              <w:t xml:space="preserve">Signed Key Terms </w:t>
            </w:r>
            <w:r>
              <w:rPr>
                <w:lang w:val="en"/>
              </w:rPr>
              <w:t>d</w:t>
            </w:r>
            <w:r>
              <w:rPr>
                <w:lang w:val="en"/>
              </w:rPr>
              <w:t>ocuments</w:t>
            </w:r>
          </w:p>
        </w:tc>
        <w:tc>
          <w:tcPr>
            <w:tcW w:w="3261" w:type="dxa"/>
          </w:tcPr>
          <w:p w14:paraId="68486505" w14:textId="5A63EA7B" w:rsidR="00A912A5" w:rsidRPr="00043211" w:rsidRDefault="00ED219F" w:rsidP="00A912A5">
            <w:pPr>
              <w:jc w:val="center"/>
            </w:pPr>
            <w:r w:rsidRPr="000432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A912A5" w:rsidRPr="00043211">
              <w:instrText xml:space="preserve"> FORMCHECKBOX </w:instrText>
            </w:r>
            <w:r w:rsidR="005576A0">
              <w:fldChar w:fldCharType="separate"/>
            </w:r>
            <w:r w:rsidRPr="00043211">
              <w:fldChar w:fldCharType="end"/>
            </w:r>
            <w:bookmarkEnd w:id="1"/>
          </w:p>
        </w:tc>
      </w:tr>
      <w:tr w:rsidR="00611225" w:rsidRPr="00043211" w14:paraId="5DCAC2D0" w14:textId="77777777" w:rsidTr="00611225">
        <w:trPr>
          <w:trHeight w:val="371"/>
        </w:trPr>
        <w:tc>
          <w:tcPr>
            <w:tcW w:w="5665" w:type="dxa"/>
          </w:tcPr>
          <w:p w14:paraId="3CDBB559" w14:textId="6096D0A0" w:rsidR="00611225" w:rsidRPr="00057B03" w:rsidRDefault="00611225" w:rsidP="00057B03">
            <w:pPr>
              <w:rPr>
                <w:lang w:val="en"/>
              </w:rPr>
            </w:pPr>
            <w:r w:rsidRPr="00057B03">
              <w:rPr>
                <w:lang w:val="en"/>
              </w:rPr>
              <w:t xml:space="preserve">Signed </w:t>
            </w:r>
            <w:r>
              <w:rPr>
                <w:lang w:val="en"/>
              </w:rPr>
              <w:t>o</w:t>
            </w:r>
            <w:r w:rsidRPr="00057B03">
              <w:rPr>
                <w:lang w:val="en"/>
              </w:rPr>
              <w:t xml:space="preserve">riginal </w:t>
            </w:r>
            <w:r>
              <w:rPr>
                <w:lang w:val="en"/>
              </w:rPr>
              <w:t>j</w:t>
            </w:r>
            <w:r w:rsidRPr="00057B03">
              <w:rPr>
                <w:lang w:val="en"/>
              </w:rPr>
              <w:t xml:space="preserve">ob </w:t>
            </w:r>
            <w:r>
              <w:rPr>
                <w:lang w:val="en"/>
              </w:rPr>
              <w:t>d</w:t>
            </w:r>
            <w:r w:rsidRPr="00057B03">
              <w:rPr>
                <w:lang w:val="en"/>
              </w:rPr>
              <w:t>escription</w:t>
            </w:r>
          </w:p>
        </w:tc>
        <w:tc>
          <w:tcPr>
            <w:tcW w:w="3261" w:type="dxa"/>
          </w:tcPr>
          <w:p w14:paraId="53C8EA20" w14:textId="4C4AF4F3" w:rsidR="00611225" w:rsidRPr="00043211" w:rsidRDefault="00611225" w:rsidP="00A912A5">
            <w:pPr>
              <w:jc w:val="center"/>
            </w:pPr>
            <w:r w:rsidRPr="000432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11">
              <w:instrText xml:space="preserve"> FORMCHECKBOX </w:instrText>
            </w:r>
            <w:r>
              <w:fldChar w:fldCharType="separate"/>
            </w:r>
            <w:r w:rsidRPr="00043211">
              <w:fldChar w:fldCharType="end"/>
            </w:r>
          </w:p>
        </w:tc>
      </w:tr>
      <w:tr w:rsidR="00A912A5" w:rsidRPr="00043211" w14:paraId="2E58150A" w14:textId="77777777" w:rsidTr="00611225">
        <w:trPr>
          <w:trHeight w:val="257"/>
        </w:trPr>
        <w:tc>
          <w:tcPr>
            <w:tcW w:w="5665" w:type="dxa"/>
          </w:tcPr>
          <w:p w14:paraId="742CF845" w14:textId="416B3A2C" w:rsidR="000029FF" w:rsidRPr="00057B03" w:rsidRDefault="00A912A5" w:rsidP="00057B03">
            <w:pPr>
              <w:rPr>
                <w:lang w:val="en"/>
              </w:rPr>
            </w:pPr>
            <w:r w:rsidRPr="00057B03">
              <w:rPr>
                <w:lang w:val="en"/>
              </w:rPr>
              <w:t>Employee New Starter Form</w:t>
            </w:r>
          </w:p>
        </w:tc>
        <w:tc>
          <w:tcPr>
            <w:tcW w:w="3261" w:type="dxa"/>
          </w:tcPr>
          <w:p w14:paraId="5C47175C" w14:textId="46275F21" w:rsidR="00A912A5" w:rsidRPr="00043211" w:rsidRDefault="00ED219F" w:rsidP="00A912A5">
            <w:pPr>
              <w:jc w:val="center"/>
            </w:pPr>
            <w:r w:rsidRPr="0004321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912A5" w:rsidRPr="00043211">
              <w:instrText xml:space="preserve"> FORMCHECKBOX </w:instrText>
            </w:r>
            <w:r w:rsidR="005576A0">
              <w:fldChar w:fldCharType="separate"/>
            </w:r>
            <w:r w:rsidRPr="00043211">
              <w:fldChar w:fldCharType="end"/>
            </w:r>
            <w:bookmarkEnd w:id="2"/>
          </w:p>
        </w:tc>
      </w:tr>
      <w:tr w:rsidR="00A912A5" w:rsidRPr="00043211" w14:paraId="56747BE4" w14:textId="77777777" w:rsidTr="00611225">
        <w:trPr>
          <w:trHeight w:val="248"/>
        </w:trPr>
        <w:tc>
          <w:tcPr>
            <w:tcW w:w="5665" w:type="dxa"/>
          </w:tcPr>
          <w:p w14:paraId="1C61C88D" w14:textId="4AD6D5FB" w:rsidR="000029FF" w:rsidRPr="00057B03" w:rsidRDefault="005C26A7" w:rsidP="00057B03">
            <w:pPr>
              <w:rPr>
                <w:lang w:val="en"/>
              </w:rPr>
            </w:pPr>
            <w:r w:rsidRPr="00057B03">
              <w:rPr>
                <w:lang w:val="en"/>
              </w:rPr>
              <w:t>P4</w:t>
            </w:r>
            <w:r w:rsidR="008079FC" w:rsidRPr="00057B03">
              <w:rPr>
                <w:lang w:val="en"/>
              </w:rPr>
              <w:t>5</w:t>
            </w:r>
            <w:r w:rsidRPr="00057B03">
              <w:rPr>
                <w:lang w:val="en"/>
              </w:rPr>
              <w:t xml:space="preserve"> or HMRC Starter Checklist</w:t>
            </w:r>
          </w:p>
        </w:tc>
        <w:tc>
          <w:tcPr>
            <w:tcW w:w="3261" w:type="dxa"/>
          </w:tcPr>
          <w:p w14:paraId="31850097" w14:textId="6F7944C9" w:rsidR="00A912A5" w:rsidRPr="00043211" w:rsidRDefault="00ED219F" w:rsidP="00A912A5">
            <w:pPr>
              <w:jc w:val="center"/>
            </w:pPr>
            <w:r w:rsidRPr="000432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A912A5" w:rsidRPr="00043211">
              <w:instrText xml:space="preserve"> FORMCHECKBOX </w:instrText>
            </w:r>
            <w:r w:rsidR="005576A0">
              <w:fldChar w:fldCharType="separate"/>
            </w:r>
            <w:r w:rsidRPr="00043211">
              <w:fldChar w:fldCharType="end"/>
            </w:r>
            <w:bookmarkEnd w:id="3"/>
          </w:p>
        </w:tc>
      </w:tr>
    </w:tbl>
    <w:p w14:paraId="6123AA86" w14:textId="77777777" w:rsidR="00057B03" w:rsidRDefault="00057B03" w:rsidP="00057B03">
      <w:pPr>
        <w:rPr>
          <w:i/>
          <w:iCs/>
          <w:lang w:val="en"/>
        </w:rPr>
      </w:pPr>
    </w:p>
    <w:p w14:paraId="0057247F" w14:textId="69148AA7" w:rsidR="00611225" w:rsidRDefault="00611225" w:rsidP="00611225">
      <w:pPr>
        <w:rPr>
          <w:i/>
          <w:iCs/>
          <w:lang w:val="en"/>
        </w:rPr>
      </w:pPr>
      <w:r>
        <w:rPr>
          <w:i/>
          <w:iCs/>
          <w:lang w:val="en"/>
        </w:rPr>
        <w:t xml:space="preserve">For new staff on </w:t>
      </w:r>
      <w:r>
        <w:rPr>
          <w:i/>
          <w:iCs/>
          <w:lang w:val="en"/>
        </w:rPr>
        <w:t>p</w:t>
      </w:r>
      <w:r>
        <w:rPr>
          <w:i/>
          <w:iCs/>
          <w:lang w:val="en"/>
        </w:rPr>
        <w:t xml:space="preserve">ermanent and </w:t>
      </w:r>
      <w:r>
        <w:rPr>
          <w:i/>
          <w:iCs/>
          <w:lang w:val="en"/>
        </w:rPr>
        <w:t>f</w:t>
      </w:r>
      <w:r>
        <w:rPr>
          <w:i/>
          <w:iCs/>
          <w:lang w:val="en"/>
        </w:rPr>
        <w:t>ixed-</w:t>
      </w:r>
      <w:r>
        <w:rPr>
          <w:i/>
          <w:iCs/>
          <w:lang w:val="en"/>
        </w:rPr>
        <w:t>t</w:t>
      </w:r>
      <w:r>
        <w:rPr>
          <w:i/>
          <w:iCs/>
          <w:lang w:val="en"/>
        </w:rPr>
        <w:t xml:space="preserve">erm contracts, we need to receive the documentation above by the 15th of the month to ensure the employee is paid at the end of the month. </w:t>
      </w:r>
    </w:p>
    <w:p w14:paraId="2A1FCFD7" w14:textId="3C74D53D" w:rsidR="00611225" w:rsidRDefault="00611225" w:rsidP="00611225">
      <w:pPr>
        <w:rPr>
          <w:i/>
          <w:iCs/>
          <w:lang w:val="en"/>
        </w:rPr>
      </w:pPr>
      <w:r>
        <w:rPr>
          <w:i/>
          <w:iCs/>
          <w:lang w:val="en"/>
        </w:rPr>
        <w:t xml:space="preserve">For all staff on </w:t>
      </w:r>
      <w:r>
        <w:rPr>
          <w:i/>
          <w:iCs/>
          <w:lang w:val="en"/>
        </w:rPr>
        <w:t>c</w:t>
      </w:r>
      <w:r>
        <w:rPr>
          <w:i/>
          <w:iCs/>
          <w:lang w:val="en"/>
        </w:rPr>
        <w:t xml:space="preserve">asual contracts, we need to receive the documentation by the </w:t>
      </w:r>
      <w:r>
        <w:rPr>
          <w:b/>
          <w:bCs/>
          <w:i/>
          <w:iCs/>
          <w:lang w:val="en"/>
        </w:rPr>
        <w:t>seventh of the month</w:t>
      </w:r>
      <w:r>
        <w:rPr>
          <w:i/>
          <w:iCs/>
          <w:lang w:val="en"/>
        </w:rPr>
        <w:t>. All casual hours worked are paid a month in arrears.</w:t>
      </w:r>
    </w:p>
    <w:p w14:paraId="7973E015" w14:textId="1238FF1B" w:rsidR="00AD5853" w:rsidRPr="00611225" w:rsidRDefault="00AD5853" w:rsidP="00057B03">
      <w:pPr>
        <w:pStyle w:val="Heading1"/>
        <w:ind w:left="24"/>
        <w:rPr>
          <w:b/>
          <w:bCs/>
          <w:color w:val="00886C" w:themeColor="accent1"/>
          <w:sz w:val="36"/>
          <w:szCs w:val="28"/>
        </w:rPr>
      </w:pPr>
      <w:r w:rsidRPr="00611225">
        <w:rPr>
          <w:b/>
          <w:bCs/>
          <w:color w:val="00886C" w:themeColor="accent1"/>
          <w:sz w:val="36"/>
          <w:szCs w:val="28"/>
        </w:rPr>
        <w:t>The House of Commons Employee Assistance Programme (EAP)</w:t>
      </w:r>
    </w:p>
    <w:p w14:paraId="26689F58" w14:textId="444AB12E" w:rsidR="00611225" w:rsidRDefault="00611225" w:rsidP="00611225">
      <w:pPr>
        <w:rPr>
          <w:lang w:val="en"/>
        </w:rPr>
      </w:pPr>
      <w:r>
        <w:rPr>
          <w:lang w:val="en"/>
        </w:rPr>
        <w:t>The EAP is a</w:t>
      </w:r>
      <w:r>
        <w:rPr>
          <w:lang w:val="en"/>
        </w:rPr>
        <w:t xml:space="preserve">n all-day everyday </w:t>
      </w:r>
      <w:r>
        <w:rPr>
          <w:lang w:val="en"/>
        </w:rPr>
        <w:t>confidential helpline offering MPs’ staff assistance, guidance, and support with personal problems and/or work-related problems that may impact their job performance, health, mental and emotional wellbeing.</w:t>
      </w:r>
    </w:p>
    <w:p w14:paraId="57903218" w14:textId="1817CA7E" w:rsidR="00611225" w:rsidRDefault="00611225" w:rsidP="00611225">
      <w:pPr>
        <w:rPr>
          <w:lang w:val="en"/>
        </w:rPr>
      </w:pPr>
      <w:r>
        <w:rPr>
          <w:lang w:val="en"/>
        </w:rPr>
        <w:t>Issues they cover include family Issues, gambling, domestic abuse, debt, childcare, medical information, financial, insurance claims, legal, work, lifestyle addiction, relationships, consumer issues, stress, and housing.</w:t>
      </w:r>
      <w:r w:rsidR="00F43DCC">
        <w:rPr>
          <w:lang w:val="en"/>
        </w:rPr>
        <w:t xml:space="preserve"> </w:t>
      </w:r>
      <w:r>
        <w:rPr>
          <w:lang w:val="en"/>
        </w:rPr>
        <w:t>The EAP also offers short-term counseling and follow-up services for employees.</w:t>
      </w:r>
    </w:p>
    <w:p w14:paraId="5A7C153C" w14:textId="053E0831" w:rsidR="00AD5853" w:rsidRPr="00611225" w:rsidRDefault="00AD5853" w:rsidP="00057B03">
      <w:pPr>
        <w:pStyle w:val="Heading1"/>
        <w:ind w:left="24"/>
        <w:rPr>
          <w:b/>
          <w:bCs/>
          <w:color w:val="00886C" w:themeColor="accent1"/>
          <w:sz w:val="36"/>
          <w:szCs w:val="28"/>
        </w:rPr>
      </w:pPr>
      <w:r w:rsidRPr="00611225">
        <w:rPr>
          <w:b/>
          <w:bCs/>
          <w:color w:val="00886C" w:themeColor="accent1"/>
          <w:sz w:val="36"/>
          <w:szCs w:val="28"/>
        </w:rPr>
        <w:t>Contact details</w:t>
      </w:r>
    </w:p>
    <w:p w14:paraId="7FC7143D" w14:textId="1B302ADD" w:rsidR="00611225" w:rsidRDefault="00611225" w:rsidP="00611225">
      <w:pPr>
        <w:rPr>
          <w:lang w:val="en"/>
        </w:rPr>
      </w:pPr>
      <w:r>
        <w:rPr>
          <w:lang w:val="en"/>
        </w:rPr>
        <w:t xml:space="preserve">Telephone </w:t>
      </w:r>
      <w:r>
        <w:rPr>
          <w:b/>
          <w:bCs/>
          <w:lang w:val="en"/>
        </w:rPr>
        <w:t>0800 030 5182</w:t>
      </w:r>
      <w:r>
        <w:rPr>
          <w:lang w:val="en"/>
        </w:rPr>
        <w:t>. This free phone line is available 24-hours a day, seven days a week, 365 days a year. There is no limit on how many times someone can call.</w:t>
      </w:r>
      <w:r w:rsidR="00F43DCC">
        <w:rPr>
          <w:lang w:val="en"/>
        </w:rPr>
        <w:t xml:space="preserve"> You can also r</w:t>
      </w:r>
      <w:r>
        <w:rPr>
          <w:lang w:val="en"/>
        </w:rPr>
        <w:t xml:space="preserve">equest contact through </w:t>
      </w:r>
      <w:hyperlink r:id="rId12" w:history="1">
        <w:r>
          <w:rPr>
            <w:rStyle w:val="Hyperlink"/>
            <w:color w:val="00886C" w:themeColor="accent1"/>
          </w:rPr>
          <w:t>Health Assured’s online portal</w:t>
        </w:r>
      </w:hyperlink>
      <w:r>
        <w:rPr>
          <w:lang w:val="en"/>
        </w:rPr>
        <w:t xml:space="preserve">. A call back will be arranged. </w:t>
      </w:r>
    </w:p>
    <w:p w14:paraId="1360631F" w14:textId="77777777" w:rsidR="00611225" w:rsidRDefault="00611225" w:rsidP="00611225">
      <w:pPr>
        <w:rPr>
          <w:lang w:val="en"/>
        </w:rPr>
      </w:pPr>
      <w:r>
        <w:rPr>
          <w:lang w:val="en"/>
        </w:rPr>
        <w:t xml:space="preserve">To access the portal, use the login details: </w:t>
      </w:r>
    </w:p>
    <w:p w14:paraId="5665EE92" w14:textId="73F16510" w:rsidR="00721B68" w:rsidRPr="00057B03" w:rsidRDefault="00AD5853" w:rsidP="00057B03">
      <w:pPr>
        <w:rPr>
          <w:lang w:val="en"/>
        </w:rPr>
      </w:pPr>
      <w:r w:rsidRPr="00057B03">
        <w:rPr>
          <w:b/>
          <w:bCs/>
          <w:lang w:val="en"/>
        </w:rPr>
        <w:t>Username:</w:t>
      </w:r>
      <w:r w:rsidRPr="00057B03">
        <w:rPr>
          <w:lang w:val="en"/>
        </w:rPr>
        <w:t xml:space="preserve"> House</w:t>
      </w:r>
    </w:p>
    <w:p w14:paraId="20C556CB" w14:textId="77BF5BD1" w:rsidR="005C2A0D" w:rsidRPr="00057B03" w:rsidRDefault="00AD5853" w:rsidP="00057B03">
      <w:pPr>
        <w:rPr>
          <w:lang w:val="en"/>
        </w:rPr>
      </w:pPr>
      <w:r w:rsidRPr="00057B03">
        <w:rPr>
          <w:b/>
          <w:bCs/>
          <w:lang w:val="en"/>
        </w:rPr>
        <w:t>Password:</w:t>
      </w:r>
      <w:r w:rsidRPr="00057B03">
        <w:rPr>
          <w:lang w:val="en"/>
        </w:rPr>
        <w:t xml:space="preserve"> Parliament</w:t>
      </w:r>
    </w:p>
    <w:sectPr w:rsidR="005C2A0D" w:rsidRPr="00057B03" w:rsidSect="009B671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C651" w14:textId="77777777" w:rsidR="00C16594" w:rsidRDefault="00C16594" w:rsidP="00043211">
      <w:pPr>
        <w:spacing w:after="0" w:line="240" w:lineRule="auto"/>
      </w:pPr>
      <w:r>
        <w:separator/>
      </w:r>
    </w:p>
  </w:endnote>
  <w:endnote w:type="continuationSeparator" w:id="0">
    <w:p w14:paraId="7AA418C8" w14:textId="77777777" w:rsidR="00C16594" w:rsidRDefault="00C16594" w:rsidP="0004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1E9E0" w14:textId="77777777" w:rsidR="00C16594" w:rsidRDefault="00C16594" w:rsidP="00043211">
      <w:pPr>
        <w:spacing w:after="0" w:line="240" w:lineRule="auto"/>
      </w:pPr>
      <w:r>
        <w:separator/>
      </w:r>
    </w:p>
  </w:footnote>
  <w:footnote w:type="continuationSeparator" w:id="0">
    <w:p w14:paraId="0F42F467" w14:textId="77777777" w:rsidR="00C16594" w:rsidRDefault="00C16594" w:rsidP="0004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EB49" w14:textId="43076723" w:rsidR="00043211" w:rsidRPr="00833463" w:rsidRDefault="00043211" w:rsidP="00043211">
    <w:pPr>
      <w:spacing w:after="0" w:line="240" w:lineRule="auto"/>
      <w:jc w:val="right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312023" wp14:editId="0F74230D">
          <wp:simplePos x="0" y="0"/>
          <wp:positionH relativeFrom="margin">
            <wp:posOffset>-97790</wp:posOffset>
          </wp:positionH>
          <wp:positionV relativeFrom="paragraph">
            <wp:posOffset>-161925</wp:posOffset>
          </wp:positionV>
          <wp:extent cx="1710055" cy="1080135"/>
          <wp:effectExtent l="0" t="0" r="0" b="0"/>
          <wp:wrapTight wrapText="bothSides">
            <wp:wrapPolygon edited="0">
              <wp:start x="1925" y="3048"/>
              <wp:lineTo x="1925" y="17524"/>
              <wp:lineTo x="13234" y="18286"/>
              <wp:lineTo x="14197" y="18286"/>
              <wp:lineTo x="14437" y="16000"/>
              <wp:lineTo x="17806" y="16000"/>
              <wp:lineTo x="19491" y="13714"/>
              <wp:lineTo x="19009" y="9905"/>
              <wp:lineTo x="17325" y="3048"/>
              <wp:lineTo x="1925" y="3048"/>
            </wp:wrapPolygon>
          </wp:wrapTight>
          <wp:docPr id="1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211">
      <w:rPr>
        <w:rFonts w:cstheme="minorHAnsi"/>
        <w:b/>
        <w:color w:val="00886C" w:themeColor="accent1"/>
        <w:sz w:val="44"/>
        <w:szCs w:val="20"/>
      </w:rPr>
      <w:t xml:space="preserve">Checklist for a </w:t>
    </w:r>
    <w:r w:rsidR="00611225">
      <w:rPr>
        <w:rFonts w:cstheme="minorHAnsi"/>
        <w:b/>
        <w:color w:val="00886C" w:themeColor="accent1"/>
        <w:sz w:val="44"/>
        <w:szCs w:val="20"/>
      </w:rPr>
      <w:t>n</w:t>
    </w:r>
    <w:r w:rsidRPr="00043211">
      <w:rPr>
        <w:rFonts w:cstheme="minorHAnsi"/>
        <w:b/>
        <w:color w:val="00886C" w:themeColor="accent1"/>
        <w:sz w:val="44"/>
        <w:szCs w:val="20"/>
      </w:rPr>
      <w:t xml:space="preserve">ew </w:t>
    </w:r>
    <w:r w:rsidR="00611225">
      <w:rPr>
        <w:rFonts w:cstheme="minorHAnsi"/>
        <w:b/>
        <w:color w:val="00886C" w:themeColor="accent1"/>
        <w:sz w:val="44"/>
        <w:szCs w:val="20"/>
      </w:rPr>
      <w:t>s</w:t>
    </w:r>
    <w:r w:rsidRPr="00043211">
      <w:rPr>
        <w:rFonts w:cstheme="minorHAnsi"/>
        <w:b/>
        <w:color w:val="00886C" w:themeColor="accent1"/>
        <w:sz w:val="44"/>
        <w:szCs w:val="20"/>
      </w:rPr>
      <w:t xml:space="preserve">tarter </w:t>
    </w:r>
    <w:r w:rsidR="00B42A3A">
      <w:rPr>
        <w:rFonts w:cstheme="minorHAnsi"/>
        <w:b/>
        <w:color w:val="00886C" w:themeColor="accent1"/>
        <w:sz w:val="44"/>
        <w:szCs w:val="20"/>
      </w:rPr>
      <w:br/>
    </w:r>
    <w:r w:rsidRPr="00043211">
      <w:rPr>
        <w:rFonts w:cstheme="minorHAnsi"/>
        <w:b/>
        <w:color w:val="00886C" w:themeColor="accent1"/>
        <w:sz w:val="44"/>
        <w:szCs w:val="20"/>
      </w:rPr>
      <w:t>(MPs</w:t>
    </w:r>
    <w:r w:rsidR="00611225" w:rsidRPr="00043211">
      <w:rPr>
        <w:rFonts w:cstheme="minorHAnsi"/>
        <w:b/>
        <w:color w:val="00886C" w:themeColor="accent1"/>
        <w:sz w:val="44"/>
        <w:szCs w:val="20"/>
      </w:rPr>
      <w:t>’</w:t>
    </w:r>
    <w:r w:rsidRPr="00043211">
      <w:rPr>
        <w:rFonts w:cstheme="minorHAnsi"/>
        <w:b/>
        <w:color w:val="00886C" w:themeColor="accent1"/>
        <w:sz w:val="44"/>
        <w:szCs w:val="20"/>
      </w:rPr>
      <w:t xml:space="preserve"> Staff)</w:t>
    </w:r>
  </w:p>
  <w:p w14:paraId="0B02C6E6" w14:textId="77777777" w:rsidR="00043211" w:rsidRDefault="00043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03"/>
    <w:multiLevelType w:val="hybridMultilevel"/>
    <w:tmpl w:val="6CAE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8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3"/>
    <w:rsid w:val="000029FF"/>
    <w:rsid w:val="00043211"/>
    <w:rsid w:val="00057B03"/>
    <w:rsid w:val="000D14CC"/>
    <w:rsid w:val="00190D23"/>
    <w:rsid w:val="001F7285"/>
    <w:rsid w:val="002008AA"/>
    <w:rsid w:val="00260514"/>
    <w:rsid w:val="00300EBF"/>
    <w:rsid w:val="003178D4"/>
    <w:rsid w:val="00337F1A"/>
    <w:rsid w:val="003E5D2B"/>
    <w:rsid w:val="004643FC"/>
    <w:rsid w:val="004C64E8"/>
    <w:rsid w:val="005A0927"/>
    <w:rsid w:val="005C26A7"/>
    <w:rsid w:val="005C2A0D"/>
    <w:rsid w:val="005D3BC0"/>
    <w:rsid w:val="006013F9"/>
    <w:rsid w:val="00611225"/>
    <w:rsid w:val="0065353D"/>
    <w:rsid w:val="0066459B"/>
    <w:rsid w:val="006E26EF"/>
    <w:rsid w:val="006E37CA"/>
    <w:rsid w:val="006F6E70"/>
    <w:rsid w:val="00717E36"/>
    <w:rsid w:val="00721B68"/>
    <w:rsid w:val="00725CDA"/>
    <w:rsid w:val="007A1AC3"/>
    <w:rsid w:val="007E2231"/>
    <w:rsid w:val="008079FC"/>
    <w:rsid w:val="008B5C13"/>
    <w:rsid w:val="008D6480"/>
    <w:rsid w:val="008E7D6D"/>
    <w:rsid w:val="009056D8"/>
    <w:rsid w:val="00940D50"/>
    <w:rsid w:val="009650F1"/>
    <w:rsid w:val="009A43B3"/>
    <w:rsid w:val="009B6710"/>
    <w:rsid w:val="00A912A5"/>
    <w:rsid w:val="00AB39AC"/>
    <w:rsid w:val="00AC5285"/>
    <w:rsid w:val="00AD2E5B"/>
    <w:rsid w:val="00AD5853"/>
    <w:rsid w:val="00AF205B"/>
    <w:rsid w:val="00B42A3A"/>
    <w:rsid w:val="00B75373"/>
    <w:rsid w:val="00BB4051"/>
    <w:rsid w:val="00BC22A3"/>
    <w:rsid w:val="00C16594"/>
    <w:rsid w:val="00C74541"/>
    <w:rsid w:val="00CA0DE4"/>
    <w:rsid w:val="00CC4C3B"/>
    <w:rsid w:val="00CD6BC8"/>
    <w:rsid w:val="00CE29A9"/>
    <w:rsid w:val="00D64EC8"/>
    <w:rsid w:val="00DC7BB9"/>
    <w:rsid w:val="00E312CE"/>
    <w:rsid w:val="00E511E8"/>
    <w:rsid w:val="00E874A8"/>
    <w:rsid w:val="00EC2D00"/>
    <w:rsid w:val="00ED219F"/>
    <w:rsid w:val="00F05C76"/>
    <w:rsid w:val="00F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301B0"/>
  <w15:docId w15:val="{986470B9-7306-4AFE-B71E-DAA989B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10"/>
  </w:style>
  <w:style w:type="paragraph" w:styleId="Heading1">
    <w:name w:val="heading 1"/>
    <w:next w:val="Normal"/>
    <w:link w:val="Heading1Char"/>
    <w:uiPriority w:val="9"/>
    <w:qFormat/>
    <w:rsid w:val="00057B03"/>
    <w:pPr>
      <w:keepNext/>
      <w:keepLines/>
      <w:spacing w:after="155" w:line="259" w:lineRule="auto"/>
      <w:ind w:left="10" w:hanging="10"/>
      <w:outlineLvl w:val="0"/>
    </w:pPr>
    <w:rPr>
      <w:rFonts w:ascii="Calibri" w:eastAsia="Calibri" w:hAnsi="Calibri" w:cs="Calibri"/>
      <w:color w:val="00886C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D2B"/>
    <w:pPr>
      <w:ind w:left="720"/>
      <w:contextualSpacing/>
    </w:pPr>
  </w:style>
  <w:style w:type="table" w:styleId="TableGrid">
    <w:name w:val="Table Grid"/>
    <w:basedOn w:val="TableNormal"/>
    <w:uiPriority w:val="59"/>
    <w:rsid w:val="00664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1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C76"/>
    <w:rPr>
      <w:color w:val="0563C1"/>
      <w:u w:val="single"/>
    </w:rPr>
  </w:style>
  <w:style w:type="paragraph" w:styleId="NoSpacing">
    <w:name w:val="No Spacing"/>
    <w:uiPriority w:val="1"/>
    <w:qFormat/>
    <w:rsid w:val="000029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29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211"/>
  </w:style>
  <w:style w:type="paragraph" w:styleId="Footer">
    <w:name w:val="footer"/>
    <w:basedOn w:val="Normal"/>
    <w:link w:val="FooterChar"/>
    <w:uiPriority w:val="99"/>
    <w:unhideWhenUsed/>
    <w:rsid w:val="0004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211"/>
  </w:style>
  <w:style w:type="character" w:customStyle="1" w:styleId="Heading1Char">
    <w:name w:val="Heading 1 Char"/>
    <w:basedOn w:val="DefaultParagraphFont"/>
    <w:link w:val="Heading1"/>
    <w:uiPriority w:val="9"/>
    <w:rsid w:val="00057B03"/>
    <w:rPr>
      <w:rFonts w:ascii="Calibri" w:eastAsia="Calibri" w:hAnsi="Calibri" w:cs="Calibri"/>
      <w:color w:val="00886C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assuredeap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roll@theips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PSA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86C"/>
      </a:accent1>
      <a:accent2>
        <a:srgbClr val="253746"/>
      </a:accent2>
      <a:accent3>
        <a:srgbClr val="989A9A"/>
      </a:accent3>
      <a:accent4>
        <a:srgbClr val="7E335A"/>
      </a:accent4>
      <a:accent5>
        <a:srgbClr val="379A87"/>
      </a:accent5>
      <a:accent6>
        <a:srgbClr val="431C5B"/>
      </a:accent6>
      <a:hlink>
        <a:srgbClr val="00886C"/>
      </a:hlink>
      <a:folHlink>
        <a:srgbClr val="0088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3803e-0f75-433e-9517-ab86e2c31b75" xsi:nil="true"/>
    <lcf76f155ced4ddcb4097134ff3c332f xmlns="7032944a-bc8e-49a7-ba50-19023530b757">
      <Terms xmlns="http://schemas.microsoft.com/office/infopath/2007/PartnerControls"/>
    </lcf76f155ced4ddcb4097134ff3c332f>
    <Topic xmlns="7032944a-bc8e-49a7-ba50-19023530b757" xsi:nil="true"/>
    <About xmlns="7032944a-bc8e-49a7-ba50-19023530b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8F704731A1245A8558BB31EDD16AA" ma:contentTypeVersion="18" ma:contentTypeDescription="Create a new document." ma:contentTypeScope="" ma:versionID="39943063a2e432302af538f5c78752c5">
  <xsd:schema xmlns:xsd="http://www.w3.org/2001/XMLSchema" xmlns:xs="http://www.w3.org/2001/XMLSchema" xmlns:p="http://schemas.microsoft.com/office/2006/metadata/properties" xmlns:ns2="7032944a-bc8e-49a7-ba50-19023530b757" xmlns:ns3="4fa3803e-0f75-433e-9517-ab86e2c31b75" targetNamespace="http://schemas.microsoft.com/office/2006/metadata/properties" ma:root="true" ma:fieldsID="b2d72ac556f6c4421613b9d36bcb0e28" ns2:_="" ns3:_="">
    <xsd:import namespace="7032944a-bc8e-49a7-ba50-19023530b757"/>
    <xsd:import namespace="4fa3803e-0f75-433e-9517-ab86e2c31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Topic" minOccurs="0"/>
                <xsd:element ref="ns2:Ab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944a-bc8e-49a7-ba50-19023530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8ae507-2aa3-4da9-bd05-a249b3659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opic" ma:index="24" nillable="true" ma:displayName="Topic" ma:format="Dropdown" ma:internalName="Topic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About" ma:index="25" nillable="true" ma:displayName="About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803e-0f75-433e-9517-ab86e2c31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9d236-1cf5-4945-9219-ab065a29d3ce}" ma:internalName="TaxCatchAll" ma:showField="CatchAllData" ma:web="4fa3803e-0f75-433e-9517-ab86e2c31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6D89-85BE-4253-9411-7F7681A621DB}">
  <ds:schemaRefs>
    <ds:schemaRef ds:uri="http://schemas.microsoft.com/office/2006/metadata/properties"/>
    <ds:schemaRef ds:uri="http://schemas.microsoft.com/office/infopath/2007/PartnerControls"/>
    <ds:schemaRef ds:uri="449ca9ca-b184-406b-bb08-28812bd51e71"/>
    <ds:schemaRef ds:uri="dc4cfca7-4594-41f2-978d-b23ae7fd6365"/>
    <ds:schemaRef ds:uri="4fa3803e-0f75-433e-9517-ab86e2c31b75"/>
    <ds:schemaRef ds:uri="7032944a-bc8e-49a7-ba50-19023530b757"/>
  </ds:schemaRefs>
</ds:datastoreItem>
</file>

<file path=customXml/itemProps2.xml><?xml version="1.0" encoding="utf-8"?>
<ds:datastoreItem xmlns:ds="http://schemas.openxmlformats.org/officeDocument/2006/customXml" ds:itemID="{0B4F73D8-A08F-4EEB-871D-2901ADA04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760E4-FC0F-4CE3-AC04-03A16F67D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944a-bc8e-49a7-ba50-19023530b757"/>
    <ds:schemaRef ds:uri="4fa3803e-0f75-433e-9517-ab86e2c31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DEE34-A165-4409-82AF-0FC7BD68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starter checklist for MP staff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starter checklist for MP staff</dc:title>
  <dc:creator>IPSA</dc:creator>
  <cp:lastModifiedBy>Nick Crinnion</cp:lastModifiedBy>
  <cp:revision>2</cp:revision>
  <cp:lastPrinted>2014-05-01T16:20:00Z</cp:lastPrinted>
  <dcterms:created xsi:type="dcterms:W3CDTF">2024-07-23T08:21:00Z</dcterms:created>
  <dcterms:modified xsi:type="dcterms:W3CDTF">2024-07-23T08:21:00Z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0x0101003890F7455C9B3E459F98391DE05ABD38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