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65" w14:textId="77777777" w:rsidR="00D93DB2" w:rsidRDefault="00D93DB2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>
        <w:rPr>
          <w:rFonts w:ascii="Segoe UI" w:hAnsi="Segoe UI" w:cs="Segoe UI"/>
          <w:noProof/>
          <w:color w:val="595959" w:themeColor="text1" w:themeTint="A6"/>
          <w:sz w:val="28"/>
        </w:rPr>
        <w:drawing>
          <wp:inline distT="0" distB="0" distL="0" distR="0" wp14:anchorId="1209947E" wp14:editId="7CEE8D33">
            <wp:extent cx="652218" cy="329157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18" cy="32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79A0" w14:textId="77777777" w:rsidR="00D93DB2" w:rsidRDefault="00D93DB2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</w:p>
    <w:p w14:paraId="0435B9F3" w14:textId="3F880513" w:rsidR="00D93DB2" w:rsidRDefault="00D73BED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>
        <w:rPr>
          <w:rFonts w:ascii="Segoe UI" w:hAnsi="Segoe UI" w:cs="Segoe UI"/>
          <w:color w:val="595959" w:themeColor="text1" w:themeTint="A6"/>
          <w:sz w:val="28"/>
        </w:rPr>
        <w:t>Contrat de Liquidité</w:t>
      </w:r>
    </w:p>
    <w:p w14:paraId="60D1CC0C" w14:textId="77777777" w:rsidR="0064496E" w:rsidRDefault="00D93DB2" w:rsidP="0064496E">
      <w:pPr>
        <w:pStyle w:val="Titre7"/>
        <w:tabs>
          <w:tab w:val="left" w:pos="8115"/>
        </w:tabs>
        <w:jc w:val="left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</w:rPr>
        <w:t>Bilan Semestriel</w:t>
      </w:r>
    </w:p>
    <w:p w14:paraId="49492F43" w14:textId="77777777" w:rsidR="0064496E" w:rsidRDefault="0064496E" w:rsidP="0064496E">
      <w:pPr>
        <w:pStyle w:val="Titre7"/>
        <w:tabs>
          <w:tab w:val="left" w:pos="8115"/>
        </w:tabs>
        <w:jc w:val="left"/>
        <w:rPr>
          <w:rFonts w:ascii="Segoe UI" w:hAnsi="Segoe UI" w:cs="Segoe UI"/>
          <w:bCs/>
          <w:sz w:val="28"/>
          <w:szCs w:val="28"/>
        </w:rPr>
      </w:pPr>
    </w:p>
    <w:p w14:paraId="27379F76" w14:textId="77777777" w:rsidR="00D73BED" w:rsidRDefault="00D73BED" w:rsidP="00D73BED">
      <w:pPr>
        <w:jc w:val="both"/>
      </w:pPr>
    </w:p>
    <w:p w14:paraId="1BED3B13" w14:textId="77777777" w:rsidR="00D73BED" w:rsidRDefault="00D73BED" w:rsidP="00D73BED">
      <w:pPr>
        <w:jc w:val="both"/>
      </w:pPr>
    </w:p>
    <w:p w14:paraId="6683E6A9" w14:textId="206EB1B5" w:rsidR="00CE3364" w:rsidRPr="009635FB" w:rsidRDefault="00CE3364" w:rsidP="00CE3364">
      <w:pPr>
        <w:jc w:val="center"/>
        <w:rPr>
          <w:rFonts w:ascii="Segoe UI" w:hAnsi="Segoe UI" w:cs="Segoe UI"/>
          <w:b/>
          <w:bCs/>
          <w:color w:val="00B0F0"/>
          <w:sz w:val="28"/>
          <w:szCs w:val="28"/>
        </w:rPr>
      </w:pPr>
      <w:r w:rsidRPr="009635FB">
        <w:rPr>
          <w:rFonts w:ascii="Segoe UI" w:hAnsi="Segoe UI" w:cs="Segoe UI"/>
          <w:b/>
          <w:bCs/>
          <w:color w:val="00B0F0"/>
          <w:sz w:val="28"/>
          <w:szCs w:val="28"/>
        </w:rPr>
        <w:t>BILAN SEMESTRIEL DU CONTRAT DE LIQUIDITE CONTRACTE AVEC LE CREDIT INDUSTRI</w:t>
      </w:r>
      <w:r w:rsidR="00A932C0" w:rsidRPr="009635FB">
        <w:rPr>
          <w:rFonts w:ascii="Segoe UI" w:hAnsi="Segoe UI" w:cs="Segoe UI"/>
          <w:b/>
          <w:bCs/>
          <w:color w:val="00B0F0"/>
          <w:sz w:val="28"/>
          <w:szCs w:val="28"/>
        </w:rPr>
        <w:t>EL</w:t>
      </w:r>
      <w:r w:rsidRPr="009635FB">
        <w:rPr>
          <w:rFonts w:ascii="Segoe UI" w:hAnsi="Segoe UI" w:cs="Segoe UI"/>
          <w:b/>
          <w:bCs/>
          <w:color w:val="00B0F0"/>
          <w:sz w:val="28"/>
          <w:szCs w:val="28"/>
        </w:rPr>
        <w:t xml:space="preserve"> </w:t>
      </w:r>
      <w:r w:rsidR="00A932C0" w:rsidRPr="009635FB">
        <w:rPr>
          <w:rFonts w:ascii="Segoe UI" w:hAnsi="Segoe UI" w:cs="Segoe UI"/>
          <w:b/>
          <w:bCs/>
          <w:color w:val="00B0F0"/>
          <w:sz w:val="28"/>
          <w:szCs w:val="28"/>
        </w:rPr>
        <w:t>ET</w:t>
      </w:r>
      <w:r w:rsidRPr="009635FB">
        <w:rPr>
          <w:rFonts w:ascii="Segoe UI" w:hAnsi="Segoe UI" w:cs="Segoe UI"/>
          <w:b/>
          <w:bCs/>
          <w:color w:val="00B0F0"/>
          <w:sz w:val="28"/>
          <w:szCs w:val="28"/>
        </w:rPr>
        <w:t xml:space="preserve"> COMMERCIAL</w:t>
      </w:r>
    </w:p>
    <w:p w14:paraId="4117FA3F" w14:textId="77777777" w:rsidR="00CE3364" w:rsidRPr="00CE3364" w:rsidRDefault="00CE3364" w:rsidP="00CE3364">
      <w:pPr>
        <w:jc w:val="center"/>
        <w:rPr>
          <w:rFonts w:ascii="Segoe UI" w:hAnsi="Segoe UI" w:cs="Segoe UI"/>
          <w:sz w:val="28"/>
          <w:szCs w:val="28"/>
        </w:rPr>
      </w:pPr>
    </w:p>
    <w:p w14:paraId="3AF1E4E4" w14:textId="77777777" w:rsidR="00CE3364" w:rsidRDefault="00CE3364" w:rsidP="00D73BED">
      <w:pPr>
        <w:jc w:val="both"/>
      </w:pPr>
    </w:p>
    <w:p w14:paraId="77000D22" w14:textId="17204B7F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>Au titre du contrat de liquidité confié par la société KEYRUS au C</w:t>
      </w:r>
      <w:r w:rsidR="009635FB">
        <w:rPr>
          <w:rFonts w:ascii="Segoe UI" w:hAnsi="Segoe UI"/>
          <w:color w:val="000000" w:themeColor="text1"/>
          <w:sz w:val="20"/>
        </w:rPr>
        <w:t>rédit Industriel et Commercial (CIC Market Solutions)</w:t>
      </w:r>
      <w:r w:rsidRPr="00D93DB2">
        <w:rPr>
          <w:rFonts w:ascii="Segoe UI" w:hAnsi="Segoe UI"/>
          <w:color w:val="000000" w:themeColor="text1"/>
          <w:sz w:val="20"/>
        </w:rPr>
        <w:t>, les moyens suivants figuraient au compte de liquidité</w:t>
      </w:r>
      <w:r w:rsidR="000524E6">
        <w:rPr>
          <w:rFonts w:ascii="Segoe UI" w:hAnsi="Segoe UI"/>
          <w:color w:val="000000" w:themeColor="text1"/>
          <w:sz w:val="20"/>
        </w:rPr>
        <w:t xml:space="preserve">, à la date du </w:t>
      </w:r>
      <w:r w:rsidR="000524E6" w:rsidRPr="00393E44">
        <w:rPr>
          <w:rFonts w:ascii="Segoe UI" w:hAnsi="Segoe UI"/>
          <w:b/>
          <w:bCs/>
          <w:color w:val="000000" w:themeColor="text1"/>
          <w:sz w:val="20"/>
        </w:rPr>
        <w:t>31 décembre 2021</w:t>
      </w:r>
      <w:r w:rsidRPr="00D93DB2">
        <w:rPr>
          <w:rFonts w:ascii="Segoe UI" w:hAnsi="Segoe UI"/>
          <w:color w:val="000000" w:themeColor="text1"/>
          <w:sz w:val="20"/>
        </w:rPr>
        <w:t> :</w:t>
      </w:r>
    </w:p>
    <w:p w14:paraId="5804CB42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4AF69132" w14:textId="77777777" w:rsidR="00D73BED" w:rsidRPr="000B0B81" w:rsidRDefault="00D73BED" w:rsidP="000B0B81">
      <w:pPr>
        <w:pStyle w:val="Paragraphedeliste"/>
        <w:numPr>
          <w:ilvl w:val="0"/>
          <w:numId w:val="7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 xml:space="preserve">8 990 titres </w:t>
      </w:r>
    </w:p>
    <w:p w14:paraId="702D0C6B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0B425C3C" w14:textId="046CEB4E" w:rsidR="00D73BED" w:rsidRPr="00CB25D7" w:rsidRDefault="00CB25D7" w:rsidP="000B0B81">
      <w:pPr>
        <w:pStyle w:val="Paragraphedeliste"/>
        <w:numPr>
          <w:ilvl w:val="0"/>
          <w:numId w:val="7"/>
        </w:numPr>
        <w:jc w:val="both"/>
        <w:rPr>
          <w:rFonts w:ascii="Segoe UI" w:hAnsi="Segoe UI"/>
          <w:color w:val="000000" w:themeColor="text1"/>
          <w:sz w:val="20"/>
        </w:rPr>
      </w:pPr>
      <w:r w:rsidRPr="00CB25D7">
        <w:rPr>
          <w:rFonts w:ascii="Segoe UI" w:hAnsi="Segoe UI"/>
          <w:color w:val="000000" w:themeColor="text1"/>
          <w:sz w:val="20"/>
        </w:rPr>
        <w:t>29 756,90</w:t>
      </w:r>
      <w:r w:rsidR="00D73BED" w:rsidRPr="00CB25D7">
        <w:rPr>
          <w:rFonts w:ascii="Segoe UI" w:hAnsi="Segoe UI"/>
          <w:color w:val="000000" w:themeColor="text1"/>
          <w:sz w:val="20"/>
        </w:rPr>
        <w:t xml:space="preserve"> €</w:t>
      </w:r>
    </w:p>
    <w:p w14:paraId="0BD92AEA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25500091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>Au cours du 2ème semestre 2021, il a été négocié un total de :</w:t>
      </w:r>
    </w:p>
    <w:p w14:paraId="09327EF0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713C82DE" w14:textId="77777777" w:rsidR="00D73BED" w:rsidRPr="000B0B81" w:rsidRDefault="00D73BED" w:rsidP="000B0B81">
      <w:pPr>
        <w:pStyle w:val="Paragraphedeliste"/>
        <w:numPr>
          <w:ilvl w:val="0"/>
          <w:numId w:val="8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 xml:space="preserve">85 724 titres à l’achat pour un montant de 281 548,27 € </w:t>
      </w:r>
    </w:p>
    <w:p w14:paraId="39757C01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6B2307DB" w14:textId="77777777" w:rsidR="00D73BED" w:rsidRPr="000B0B81" w:rsidRDefault="00D73BED" w:rsidP="000B0B81">
      <w:pPr>
        <w:pStyle w:val="Paragraphedeliste"/>
        <w:numPr>
          <w:ilvl w:val="0"/>
          <w:numId w:val="8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>90 684 titres à la vente pour un montant de 298 175,55 €</w:t>
      </w:r>
    </w:p>
    <w:p w14:paraId="39F14010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7733880A" w14:textId="4CFD03AE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>Sur cette même période, ont été exécuté</w:t>
      </w:r>
      <w:r w:rsidR="000524E6">
        <w:rPr>
          <w:rFonts w:ascii="Segoe UI" w:hAnsi="Segoe UI"/>
          <w:color w:val="000000" w:themeColor="text1"/>
          <w:sz w:val="20"/>
        </w:rPr>
        <w:t>e</w:t>
      </w:r>
      <w:r w:rsidRPr="00D93DB2">
        <w:rPr>
          <w:rFonts w:ascii="Segoe UI" w:hAnsi="Segoe UI"/>
          <w:color w:val="000000" w:themeColor="text1"/>
          <w:sz w:val="20"/>
        </w:rPr>
        <w:t>s :</w:t>
      </w:r>
    </w:p>
    <w:p w14:paraId="0EF6ECDC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31E965E6" w14:textId="77777777" w:rsidR="00D73BED" w:rsidRPr="000B0B81" w:rsidRDefault="00D73BED" w:rsidP="000B0B81">
      <w:pPr>
        <w:pStyle w:val="Paragraphedeliste"/>
        <w:numPr>
          <w:ilvl w:val="0"/>
          <w:numId w:val="9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 xml:space="preserve">839 transactions à l’achat </w:t>
      </w:r>
    </w:p>
    <w:p w14:paraId="61F70850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5D06C425" w14:textId="77777777" w:rsidR="00D73BED" w:rsidRPr="000B0B81" w:rsidRDefault="00D73BED" w:rsidP="000B0B81">
      <w:pPr>
        <w:pStyle w:val="Paragraphedeliste"/>
        <w:numPr>
          <w:ilvl w:val="0"/>
          <w:numId w:val="9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>895 transactions à la vente</w:t>
      </w:r>
    </w:p>
    <w:p w14:paraId="679FAC89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73AAEF97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 xml:space="preserve">Il est rappelé que lors de la signature du contrat, les moyens suivants figuraient au compte de liquidité : </w:t>
      </w:r>
    </w:p>
    <w:p w14:paraId="7FB65C4D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11FFFE45" w14:textId="77777777" w:rsidR="00D73BED" w:rsidRPr="000B0B81" w:rsidRDefault="00D73BED" w:rsidP="000B0B81">
      <w:pPr>
        <w:pStyle w:val="Paragraphedeliste"/>
        <w:numPr>
          <w:ilvl w:val="0"/>
          <w:numId w:val="10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 xml:space="preserve">7 852 titres </w:t>
      </w:r>
    </w:p>
    <w:p w14:paraId="24CA6021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02D69B46" w14:textId="77777777" w:rsidR="00D73BED" w:rsidRPr="000B0B81" w:rsidRDefault="00D73BED" w:rsidP="000B0B81">
      <w:pPr>
        <w:pStyle w:val="Paragraphedeliste"/>
        <w:numPr>
          <w:ilvl w:val="0"/>
          <w:numId w:val="10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>76 401,07 €</w:t>
      </w:r>
      <w:r w:rsidRPr="000B0B81">
        <w:rPr>
          <w:rFonts w:ascii="Segoe UI" w:hAnsi="Segoe UI"/>
          <w:color w:val="000000" w:themeColor="text1"/>
          <w:sz w:val="20"/>
        </w:rPr>
        <w:tab/>
      </w:r>
    </w:p>
    <w:p w14:paraId="7E0F7244" w14:textId="77777777" w:rsidR="00D73BED" w:rsidRDefault="00D73BED" w:rsidP="00D73BED">
      <w:pPr>
        <w:jc w:val="both"/>
        <w:rPr>
          <w:sz w:val="22"/>
        </w:rPr>
      </w:pPr>
    </w:p>
    <w:p w14:paraId="319F907E" w14:textId="77777777" w:rsidR="00D73BED" w:rsidRDefault="00D73BED" w:rsidP="00D73BED">
      <w:pPr>
        <w:jc w:val="both"/>
        <w:rPr>
          <w:sz w:val="22"/>
        </w:rPr>
      </w:pPr>
    </w:p>
    <w:p w14:paraId="4D22548E" w14:textId="77777777" w:rsidR="000B0B81" w:rsidRDefault="000B0B81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5C35F385" w14:textId="77777777" w:rsidR="000B0B81" w:rsidRDefault="000B0B81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40D4F175" w14:textId="77777777" w:rsidR="000B0B81" w:rsidRDefault="000B0B81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741676B2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79A1472F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3CFA9CD9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5CEF5898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0C1D6881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lastRenderedPageBreak/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0B4FF5F9" w14:textId="7C17FB25" w:rsidR="00DF32D3" w:rsidRPr="007E3D3A" w:rsidRDefault="00313FB5" w:rsidP="007E3D3A">
      <w:pPr>
        <w:jc w:val="both"/>
        <w:rPr>
          <w:rFonts w:ascii="Segoe UI" w:hAnsi="Segoe UI" w:cs="Segoe UI"/>
          <w:sz w:val="20"/>
        </w:rPr>
      </w:pPr>
      <w:r w:rsidRPr="007E3D3A">
        <w:rPr>
          <w:rFonts w:ascii="Segoe UI" w:hAnsi="Segoe UI" w:cs="Segoe UI"/>
          <w:color w:val="000000" w:themeColor="text1"/>
          <w:sz w:val="20"/>
        </w:rPr>
        <w:t>Plus d'informations sur</w:t>
      </w:r>
      <w:r w:rsidR="007E3D3A">
        <w:rPr>
          <w:rFonts w:ascii="Segoe UI" w:hAnsi="Segoe UI" w:cs="Segoe UI"/>
          <w:color w:val="000000" w:themeColor="text1"/>
          <w:sz w:val="20"/>
        </w:rPr>
        <w:t xml:space="preserve"> www.keyrus.fr</w:t>
      </w:r>
    </w:p>
    <w:sectPr w:rsidR="00DF32D3" w:rsidRPr="007E3D3A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B300" w14:textId="77777777" w:rsidR="00010321" w:rsidRDefault="00010321" w:rsidP="00C34EE8">
      <w:r>
        <w:separator/>
      </w:r>
    </w:p>
  </w:endnote>
  <w:endnote w:type="continuationSeparator" w:id="0">
    <w:p w14:paraId="62C7F6C4" w14:textId="77777777" w:rsidR="00010321" w:rsidRDefault="00010321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CB25D7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C7CD" w14:textId="77777777" w:rsidR="00010321" w:rsidRDefault="00010321" w:rsidP="00C34EE8">
      <w:r>
        <w:separator/>
      </w:r>
    </w:p>
  </w:footnote>
  <w:footnote w:type="continuationSeparator" w:id="0">
    <w:p w14:paraId="1114669C" w14:textId="77777777" w:rsidR="00010321" w:rsidRDefault="00010321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E34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8E7382"/>
    <w:multiLevelType w:val="hybridMultilevel"/>
    <w:tmpl w:val="E3666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D312D"/>
    <w:multiLevelType w:val="hybridMultilevel"/>
    <w:tmpl w:val="26F60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0FBC"/>
    <w:multiLevelType w:val="hybridMultilevel"/>
    <w:tmpl w:val="8B34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E5E"/>
    <w:multiLevelType w:val="hybridMultilevel"/>
    <w:tmpl w:val="7FAA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2"/>
  </w:num>
  <w:num w:numId="2" w16cid:durableId="446513209">
    <w:abstractNumId w:val="4"/>
  </w:num>
  <w:num w:numId="3" w16cid:durableId="909844697">
    <w:abstractNumId w:val="9"/>
  </w:num>
  <w:num w:numId="4" w16cid:durableId="850072373">
    <w:abstractNumId w:val="0"/>
  </w:num>
  <w:num w:numId="5" w16cid:durableId="583682467">
    <w:abstractNumId w:val="5"/>
  </w:num>
  <w:num w:numId="6" w16cid:durableId="494802930">
    <w:abstractNumId w:val="1"/>
  </w:num>
  <w:num w:numId="7" w16cid:durableId="1628504749">
    <w:abstractNumId w:val="6"/>
  </w:num>
  <w:num w:numId="8" w16cid:durableId="1500149307">
    <w:abstractNumId w:val="8"/>
  </w:num>
  <w:num w:numId="9" w16cid:durableId="1371684492">
    <w:abstractNumId w:val="3"/>
  </w:num>
  <w:num w:numId="10" w16cid:durableId="180168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10321"/>
    <w:rsid w:val="00024924"/>
    <w:rsid w:val="000524E6"/>
    <w:rsid w:val="000563A3"/>
    <w:rsid w:val="00086983"/>
    <w:rsid w:val="00086E54"/>
    <w:rsid w:val="000A611D"/>
    <w:rsid w:val="000B0B81"/>
    <w:rsid w:val="000C379C"/>
    <w:rsid w:val="000C6C5B"/>
    <w:rsid w:val="000D7525"/>
    <w:rsid w:val="000E216B"/>
    <w:rsid w:val="001046DC"/>
    <w:rsid w:val="0010505C"/>
    <w:rsid w:val="00146BB0"/>
    <w:rsid w:val="001542EA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B64C6"/>
    <w:rsid w:val="002D013B"/>
    <w:rsid w:val="002D217B"/>
    <w:rsid w:val="002D6872"/>
    <w:rsid w:val="002E077C"/>
    <w:rsid w:val="002F0E72"/>
    <w:rsid w:val="00313FB5"/>
    <w:rsid w:val="00332190"/>
    <w:rsid w:val="003517D8"/>
    <w:rsid w:val="00354C06"/>
    <w:rsid w:val="00393E44"/>
    <w:rsid w:val="003A3DA9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0786"/>
    <w:rsid w:val="005212EC"/>
    <w:rsid w:val="005559EB"/>
    <w:rsid w:val="00555FAA"/>
    <w:rsid w:val="00582ACF"/>
    <w:rsid w:val="005B05CB"/>
    <w:rsid w:val="005C3810"/>
    <w:rsid w:val="005C4103"/>
    <w:rsid w:val="005E6679"/>
    <w:rsid w:val="005F265D"/>
    <w:rsid w:val="005F2D68"/>
    <w:rsid w:val="0060718F"/>
    <w:rsid w:val="0064496E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E3D3A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8B6633"/>
    <w:rsid w:val="0091135F"/>
    <w:rsid w:val="00916251"/>
    <w:rsid w:val="009362D1"/>
    <w:rsid w:val="00951353"/>
    <w:rsid w:val="00960B4D"/>
    <w:rsid w:val="009635FB"/>
    <w:rsid w:val="00964F2D"/>
    <w:rsid w:val="00990833"/>
    <w:rsid w:val="009B4424"/>
    <w:rsid w:val="009E4191"/>
    <w:rsid w:val="009E64C4"/>
    <w:rsid w:val="009F55E5"/>
    <w:rsid w:val="00A370DA"/>
    <w:rsid w:val="00A9154B"/>
    <w:rsid w:val="00A932C0"/>
    <w:rsid w:val="00A94D47"/>
    <w:rsid w:val="00AA449C"/>
    <w:rsid w:val="00AF3FCE"/>
    <w:rsid w:val="00AF5743"/>
    <w:rsid w:val="00B06C2B"/>
    <w:rsid w:val="00B15441"/>
    <w:rsid w:val="00B9739D"/>
    <w:rsid w:val="00BA349F"/>
    <w:rsid w:val="00BA534A"/>
    <w:rsid w:val="00BC09C7"/>
    <w:rsid w:val="00BF21E8"/>
    <w:rsid w:val="00C07FA2"/>
    <w:rsid w:val="00C22397"/>
    <w:rsid w:val="00C238B5"/>
    <w:rsid w:val="00C267DF"/>
    <w:rsid w:val="00C34EE8"/>
    <w:rsid w:val="00C510A5"/>
    <w:rsid w:val="00C917D5"/>
    <w:rsid w:val="00C97912"/>
    <w:rsid w:val="00CA565B"/>
    <w:rsid w:val="00CB25D7"/>
    <w:rsid w:val="00CC0B0B"/>
    <w:rsid w:val="00CD1FD5"/>
    <w:rsid w:val="00CE3364"/>
    <w:rsid w:val="00CF5057"/>
    <w:rsid w:val="00D22AA0"/>
    <w:rsid w:val="00D27E71"/>
    <w:rsid w:val="00D317C1"/>
    <w:rsid w:val="00D34A76"/>
    <w:rsid w:val="00D36DA5"/>
    <w:rsid w:val="00D53E06"/>
    <w:rsid w:val="00D550E6"/>
    <w:rsid w:val="00D5772F"/>
    <w:rsid w:val="00D73BED"/>
    <w:rsid w:val="00D80703"/>
    <w:rsid w:val="00D93DB2"/>
    <w:rsid w:val="00D9495E"/>
    <w:rsid w:val="00DA0FCB"/>
    <w:rsid w:val="00DB2894"/>
    <w:rsid w:val="00DB6DC5"/>
    <w:rsid w:val="00DE16DF"/>
    <w:rsid w:val="00DF32D3"/>
    <w:rsid w:val="00DF42A6"/>
    <w:rsid w:val="00E10F20"/>
    <w:rsid w:val="00E30659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73BE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73BE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2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14</cp:revision>
  <cp:lastPrinted>2021-05-20T13:57:00Z</cp:lastPrinted>
  <dcterms:created xsi:type="dcterms:W3CDTF">2022-07-21T09:16:00Z</dcterms:created>
  <dcterms:modified xsi:type="dcterms:W3CDTF">2022-07-25T10:10:00Z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