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6"/>
        <w:pBdr/>
        <w:spacing/>
        <w:ind/>
        <w:rPr/>
      </w:pPr>
      <w:r>
        <w:t xml:space="preserve">Stakeholder views</w:t>
      </w:r>
      <w:r>
        <w:t xml:space="preserve"> summary</w:t>
      </w:r>
      <w:r/>
    </w:p>
    <w:tbl>
      <w:tblPr>
        <w:tblStyle w:val="631"/>
        <w:tblW w:w="0" w:type="auto"/>
        <w:tblBorders/>
        <w:tblLook w:val="04A0" w:firstRow="1" w:lastRow="0" w:firstColumn="1" w:lastColumn="0" w:noHBand="0" w:noVBand="1"/>
      </w:tblPr>
      <w:tblGrid>
        <w:gridCol w:w="2789"/>
        <w:gridCol w:w="2789"/>
        <w:gridCol w:w="2790"/>
        <w:gridCol w:w="2790"/>
        <w:gridCol w:w="2790"/>
      </w:tblGrid>
      <w:tr>
        <w:trPr/>
        <w:tc>
          <w:tcPr>
            <w:tcBorders/>
            <w:tcW w:w="2789" w:type="dxa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Stakeholder name</w:t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2789" w:type="dxa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Stakeholder type</w:t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2790" w:type="dxa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Summary view</w:t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2790" w:type="dxa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Key concerns or insights</w:t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2790" w:type="dxa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Next steps</w:t>
            </w:r>
            <w:r>
              <w:rPr>
                <w:b w:val="0"/>
                <w:bCs w:val="0"/>
              </w:rPr>
            </w:r>
          </w:p>
        </w:tc>
      </w:tr>
      <w:tr>
        <w:trPr/>
        <w:tc>
          <w:tcPr>
            <w:tcBorders/>
            <w:tcW w:w="2789" w:type="dxa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E.g. </w:t>
            </w:r>
            <w:r>
              <w:rPr>
                <w:b w:val="0"/>
                <w:bCs w:val="0"/>
              </w:rPr>
              <w:t xml:space="preserve">Services Branch</w:t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2789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Internal</w:t>
            </w:r>
            <w:r/>
          </w:p>
        </w:tc>
        <w:tc>
          <w:tcPr>
            <w:tcBorders/>
            <w:tcW w:w="279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Supports</w:t>
            </w:r>
            <w:r/>
          </w:p>
        </w:tc>
        <w:tc>
          <w:tcPr>
            <w:tcBorders/>
            <w:tcW w:w="2790" w:type="dxa"/>
            <w:textDirection w:val="lrTb"/>
            <w:noWrap w:val="false"/>
          </w:tcPr>
          <w:p>
            <w:pPr>
              <w:pStyle w:val="632"/>
              <w:numPr>
                <w:ilvl w:val="0"/>
                <w:numId w:val="1"/>
              </w:numPr>
              <w:pBdr/>
              <w:spacing/>
              <w:ind/>
              <w:rPr/>
            </w:pPr>
            <w:r>
              <w:t xml:space="preserve">...</w:t>
            </w:r>
            <w:r/>
          </w:p>
          <w:p>
            <w:pPr>
              <w:pStyle w:val="632"/>
              <w:numPr>
                <w:ilvl w:val="0"/>
                <w:numId w:val="1"/>
              </w:numPr>
              <w:pBdr/>
              <w:spacing/>
              <w:ind/>
              <w:rPr/>
            </w:pPr>
            <w:r>
              <w:t xml:space="preserve">...</w:t>
            </w:r>
            <w:r/>
          </w:p>
        </w:tc>
        <w:tc>
          <w:tcPr>
            <w:tcBorders/>
            <w:tcW w:w="2790" w:type="dxa"/>
            <w:textDirection w:val="lrTb"/>
            <w:noWrap w:val="false"/>
          </w:tcPr>
          <w:p>
            <w:pPr>
              <w:pStyle w:val="632"/>
              <w:numPr>
                <w:ilvl w:val="0"/>
                <w:numId w:val="1"/>
              </w:numPr>
              <w:pBdr/>
              <w:spacing/>
              <w:ind/>
              <w:rPr/>
            </w:pPr>
            <w:r>
              <w:t xml:space="preserve">...</w:t>
            </w:r>
            <w:r/>
          </w:p>
          <w:p>
            <w:pPr>
              <w:pStyle w:val="632"/>
              <w:numPr>
                <w:ilvl w:val="0"/>
                <w:numId w:val="1"/>
              </w:numPr>
              <w:pBdr/>
              <w:spacing/>
              <w:ind/>
              <w:rPr/>
            </w:pPr>
            <w:r>
              <w:t xml:space="preserve">...</w:t>
            </w:r>
            <w:r/>
          </w:p>
        </w:tc>
      </w:tr>
      <w:tr>
        <w:trPr/>
        <w:tc>
          <w:tcPr>
            <w:tcBorders/>
            <w:tcW w:w="2789" w:type="dxa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E.g. </w:t>
            </w:r>
            <w:r>
              <w:rPr>
                <w:b w:val="0"/>
                <w:bCs w:val="0"/>
              </w:rPr>
              <w:t xml:space="preserve">Federation of users</w:t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2789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External – peak body</w:t>
            </w:r>
            <w:r/>
          </w:p>
        </w:tc>
        <w:tc>
          <w:tcPr>
            <w:tcBorders/>
            <w:tcW w:w="279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Does not support</w:t>
            </w:r>
            <w:r/>
          </w:p>
        </w:tc>
        <w:tc>
          <w:tcPr>
            <w:tcBorders/>
            <w:tcW w:w="2790" w:type="dxa"/>
            <w:textDirection w:val="lrTb"/>
            <w:noWrap w:val="false"/>
          </w:tcPr>
          <w:p>
            <w:pPr>
              <w:pStyle w:val="632"/>
              <w:numPr>
                <w:ilvl w:val="0"/>
                <w:numId w:val="1"/>
              </w:numPr>
              <w:pBdr/>
              <w:spacing/>
              <w:ind/>
              <w:rPr/>
            </w:pPr>
            <w:r>
              <w:t xml:space="preserve">...</w:t>
            </w:r>
            <w:r/>
          </w:p>
          <w:p>
            <w:pPr>
              <w:pStyle w:val="632"/>
              <w:numPr>
                <w:ilvl w:val="0"/>
                <w:numId w:val="1"/>
              </w:numPr>
              <w:pBdr/>
              <w:spacing/>
              <w:ind/>
              <w:rPr/>
            </w:pPr>
            <w:r>
              <w:t xml:space="preserve">...</w:t>
            </w:r>
            <w:r/>
          </w:p>
        </w:tc>
        <w:tc>
          <w:tcPr>
            <w:tcBorders/>
            <w:tcW w:w="2790" w:type="dxa"/>
            <w:textDirection w:val="lrTb"/>
            <w:noWrap w:val="false"/>
          </w:tcPr>
          <w:p>
            <w:pPr>
              <w:pStyle w:val="632"/>
              <w:numPr>
                <w:ilvl w:val="0"/>
                <w:numId w:val="1"/>
              </w:numPr>
              <w:pBdr/>
              <w:spacing/>
              <w:ind/>
              <w:rPr/>
            </w:pPr>
            <w:r>
              <w:t xml:space="preserve">...</w:t>
            </w:r>
            <w:r/>
          </w:p>
          <w:p>
            <w:pPr>
              <w:pStyle w:val="632"/>
              <w:numPr>
                <w:ilvl w:val="0"/>
                <w:numId w:val="1"/>
              </w:numPr>
              <w:pBdr/>
              <w:spacing/>
              <w:ind/>
              <w:rPr/>
            </w:pPr>
            <w:r>
              <w:t xml:space="preserve">...</w:t>
            </w:r>
            <w:r/>
          </w:p>
        </w:tc>
      </w:tr>
      <w:tr>
        <w:trPr/>
        <w:tc>
          <w:tcPr>
            <w:tcBorders/>
            <w:tcW w:w="2789" w:type="dxa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E.g. </w:t>
            </w:r>
            <w:r>
              <w:rPr>
                <w:b w:val="0"/>
                <w:bCs w:val="0"/>
              </w:rPr>
              <w:t xml:space="preserve">Department of Finance</w:t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2789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Other government</w:t>
            </w:r>
            <w:r/>
          </w:p>
        </w:tc>
        <w:tc>
          <w:tcPr>
            <w:tcBorders/>
            <w:tcW w:w="279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Supports with caveats</w:t>
            </w:r>
            <w:r/>
          </w:p>
        </w:tc>
        <w:tc>
          <w:tcPr>
            <w:tcBorders/>
            <w:tcW w:w="2790" w:type="dxa"/>
            <w:textDirection w:val="lrTb"/>
            <w:noWrap w:val="false"/>
          </w:tcPr>
          <w:p>
            <w:pPr>
              <w:pStyle w:val="632"/>
              <w:numPr>
                <w:ilvl w:val="0"/>
                <w:numId w:val="1"/>
              </w:numPr>
              <w:pBdr/>
              <w:spacing/>
              <w:ind/>
              <w:rPr/>
            </w:pPr>
            <w:r>
              <w:t xml:space="preserve">...</w:t>
            </w:r>
            <w:r/>
          </w:p>
          <w:p>
            <w:pPr>
              <w:pStyle w:val="632"/>
              <w:numPr>
                <w:ilvl w:val="0"/>
                <w:numId w:val="1"/>
              </w:numPr>
              <w:pBdr/>
              <w:spacing/>
              <w:ind/>
              <w:rPr/>
            </w:pPr>
            <w:r>
              <w:t xml:space="preserve">...</w:t>
            </w:r>
            <w:r/>
          </w:p>
        </w:tc>
        <w:tc>
          <w:tcPr>
            <w:tcBorders/>
            <w:tcW w:w="2790" w:type="dxa"/>
            <w:textDirection w:val="lrTb"/>
            <w:noWrap w:val="false"/>
          </w:tcPr>
          <w:p>
            <w:pPr>
              <w:pStyle w:val="632"/>
              <w:numPr>
                <w:ilvl w:val="0"/>
                <w:numId w:val="1"/>
              </w:numPr>
              <w:pBdr/>
              <w:spacing/>
              <w:ind/>
              <w:rPr/>
            </w:pPr>
            <w:r>
              <w:t xml:space="preserve">...</w:t>
            </w:r>
            <w:r/>
          </w:p>
          <w:p>
            <w:pPr>
              <w:pStyle w:val="632"/>
              <w:numPr>
                <w:ilvl w:val="0"/>
                <w:numId w:val="1"/>
              </w:numPr>
              <w:pBdr/>
              <w:spacing/>
              <w:ind/>
              <w:rPr/>
            </w:pPr>
            <w:r>
              <w:t xml:space="preserve">...</w:t>
            </w:r>
            <w:r/>
          </w:p>
        </w:tc>
      </w:tr>
      <w:tr>
        <w:trPr/>
        <w:tc>
          <w:tcPr>
            <w:tcBorders/>
            <w:tcW w:w="2789" w:type="dxa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...</w:t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2789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...</w:t>
            </w:r>
            <w:r/>
          </w:p>
        </w:tc>
        <w:tc>
          <w:tcPr>
            <w:tcBorders/>
            <w:tcW w:w="279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...</w:t>
            </w:r>
            <w:r/>
          </w:p>
        </w:tc>
        <w:tc>
          <w:tcPr>
            <w:tcBorders/>
            <w:tcW w:w="2790" w:type="dxa"/>
            <w:textDirection w:val="lrTb"/>
            <w:noWrap w:val="false"/>
          </w:tcPr>
          <w:p>
            <w:pPr>
              <w:pStyle w:val="632"/>
              <w:numPr>
                <w:ilvl w:val="0"/>
                <w:numId w:val="1"/>
              </w:numPr>
              <w:pBdr/>
              <w:spacing/>
              <w:ind/>
              <w:rPr/>
            </w:pPr>
            <w:r>
              <w:t xml:space="preserve">...</w:t>
            </w:r>
            <w:r/>
          </w:p>
        </w:tc>
        <w:tc>
          <w:tcPr>
            <w:tcBorders/>
            <w:tcW w:w="2790" w:type="dxa"/>
            <w:textDirection w:val="lrTb"/>
            <w:noWrap w:val="false"/>
          </w:tcPr>
          <w:p>
            <w:pPr>
              <w:pStyle w:val="632"/>
              <w:numPr>
                <w:ilvl w:val="0"/>
                <w:numId w:val="1"/>
              </w:numPr>
              <w:pBdr/>
              <w:spacing/>
              <w:ind/>
              <w:rPr/>
            </w:pPr>
            <w:r>
              <w:t xml:space="preserve">...</w:t>
            </w:r>
            <w:r/>
          </w:p>
        </w:tc>
      </w:tr>
    </w:tbl>
    <w:p>
      <w:pPr>
        <w:pStyle w:val="626"/>
        <w:pBdr/>
        <w:spacing/>
        <w:ind/>
        <w:rPr/>
      </w:pPr>
      <w:r>
        <w:t xml:space="preserve">Risk</w:t>
      </w:r>
      <w:r>
        <w:t xml:space="preserve"> summary</w:t>
      </w:r>
      <w:r/>
    </w:p>
    <w:tbl>
      <w:tblPr>
        <w:tblStyle w:val="631"/>
        <w:tblW w:w="5000" w:type="pct"/>
        <w:tblBorders/>
        <w:tblLook w:val="04A0" w:firstRow="1" w:lastRow="0" w:firstColumn="1" w:lastColumn="0" w:noHBand="0" w:noVBand="1"/>
      </w:tblPr>
      <w:tblGrid>
        <w:gridCol w:w="2742"/>
        <w:gridCol w:w="3197"/>
        <w:gridCol w:w="1155"/>
        <w:gridCol w:w="1311"/>
        <w:gridCol w:w="5543"/>
      </w:tblGrid>
      <w:tr>
        <w:trPr/>
        <w:tc>
          <w:tcPr>
            <w:tcBorders/>
            <w:tcW w:w="983" w:type="pc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Risk description</w:t>
            </w:r>
            <w:r/>
          </w:p>
        </w:tc>
        <w:tc>
          <w:tcPr>
            <w:tcBorders/>
            <w:tcW w:w="1146" w:type="pc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Impact</w:t>
            </w:r>
            <w:r/>
          </w:p>
        </w:tc>
        <w:tc>
          <w:tcPr>
            <w:tcBorders/>
            <w:tcW w:w="414" w:type="pc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Likelihood</w:t>
            </w:r>
            <w:r/>
          </w:p>
        </w:tc>
        <w:tc>
          <w:tcPr>
            <w:tcBorders/>
            <w:tcW w:w="470" w:type="pc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Risk rating</w:t>
            </w:r>
            <w:r>
              <w:t xml:space="preserve">*</w:t>
            </w:r>
            <w:r/>
          </w:p>
        </w:tc>
        <w:tc>
          <w:tcPr>
            <w:tcBorders/>
            <w:tcW w:w="1987" w:type="pc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Mitigation</w:t>
            </w:r>
            <w:r/>
          </w:p>
        </w:tc>
      </w:tr>
      <w:tr>
        <w:trPr/>
        <w:tc>
          <w:tcPr>
            <w:tcBorders/>
            <w:tcW w:w="983" w:type="pc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Risk 1 </w:t>
            </w:r>
            <w:r>
              <w:t xml:space="preserve">–</w:t>
            </w:r>
            <w:r>
              <w:t xml:space="preserve"> </w:t>
            </w:r>
            <w:r>
              <w:t xml:space="preserve">description of the risk</w:t>
            </w:r>
            <w:r/>
          </w:p>
        </w:tc>
        <w:tc>
          <w:tcPr>
            <w:tcBorders/>
            <w:tcW w:w="1146" w:type="pct"/>
            <w:textDirection w:val="lrTb"/>
            <w:noWrap w:val="false"/>
          </w:tcPr>
          <w:p>
            <w:pPr>
              <w:pBdr/>
              <w:spacing/>
              <w:ind/>
              <w:rPr>
                <w:rFonts w:ascii="Arial" w:hAnsi="Arial" w:cs="Arial"/>
                <w:b/>
                <w:bCs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 xml:space="preserve">‼</w:t>
            </w:r>
            <w:r>
              <w:rPr>
                <w:rFonts w:ascii="Arial" w:hAnsi="Arial" w:cs="Arial"/>
                <w:color w:val="ff000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0000"/>
              </w:rPr>
            </w:r>
          </w:p>
          <w:p>
            <w:pPr>
              <w:pBdr/>
              <w:spacing/>
              <w:ind/>
              <w:rPr/>
            </w:pPr>
            <w:r>
              <w:t xml:space="preserve">This could impact citizens by ...</w:t>
            </w:r>
            <w:r/>
          </w:p>
        </w:tc>
        <w:tc>
          <w:tcPr>
            <w:tcBorders/>
            <w:tcW w:w="414" w:type="pc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b/>
                <w:bCs/>
                <w:color w:val="ffc000"/>
                <w:sz w:val="20"/>
                <w:szCs w:val="20"/>
              </w:rPr>
              <w:t xml:space="preserve">Θ</w:t>
            </w:r>
            <w:r/>
          </w:p>
        </w:tc>
        <w:tc>
          <w:tcPr>
            <w:tcBorders/>
            <w:tcW w:w="470" w:type="pct"/>
            <w:textDirection w:val="lrTb"/>
            <w:noWrap w:val="false"/>
          </w:tcPr>
          <w:p>
            <w:pPr>
              <w:pBdr/>
              <w:spacing/>
              <w:ind/>
              <w:rPr>
                <w:rFonts w:ascii="Arial" w:hAnsi="Arial" w:cs="Arial"/>
                <w:b/>
                <w:bCs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 xml:space="preserve">‼ </w:t>
            </w:r>
            <w:r>
              <w:rPr>
                <w:rFonts w:ascii="Arial" w:hAnsi="Arial" w:cs="Arial"/>
                <w:b/>
                <w:bCs/>
                <w:color w:val="ff0000"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1987" w:type="pct"/>
            <w:textDirection w:val="lrTb"/>
            <w:noWrap w:val="false"/>
          </w:tcPr>
          <w:p>
            <w:pPr>
              <w:pStyle w:val="632"/>
              <w:numPr>
                <w:ilvl w:val="0"/>
                <w:numId w:val="2"/>
              </w:numPr>
              <w:pBdr/>
              <w:spacing/>
              <w:ind/>
              <w:rPr/>
            </w:pPr>
            <w:r>
              <w:t xml:space="preserve">Proposed steps to reduce possible impact</w:t>
            </w:r>
            <w:r/>
          </w:p>
          <w:p>
            <w:pPr>
              <w:pStyle w:val="632"/>
              <w:numPr>
                <w:ilvl w:val="0"/>
                <w:numId w:val="2"/>
              </w:numPr>
              <w:pBdr/>
              <w:spacing/>
              <w:ind/>
              <w:rPr/>
            </w:pPr>
            <w:r>
              <w:t xml:space="preserve">Proposed steps to reduce likelihood</w:t>
            </w:r>
            <w:r/>
          </w:p>
          <w:p>
            <w:pPr>
              <w:pStyle w:val="632"/>
              <w:numPr>
                <w:ilvl w:val="0"/>
                <w:numId w:val="2"/>
              </w:numPr>
              <w:pBdr/>
              <w:spacing/>
              <w:ind/>
              <w:rPr/>
            </w:pPr>
            <w:r>
              <w:t xml:space="preserve">Alternative approach that removes risk</w:t>
            </w:r>
            <w:r/>
          </w:p>
        </w:tc>
      </w:tr>
      <w:tr>
        <w:trPr/>
        <w:tc>
          <w:tcPr>
            <w:tcBorders/>
            <w:tcW w:w="983" w:type="pc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Risk 2 – description of the risk</w:t>
            </w:r>
            <w:r/>
          </w:p>
        </w:tc>
        <w:tc>
          <w:tcPr>
            <w:tcBorders/>
            <w:tcW w:w="1146" w:type="pc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color w:val="ffc000"/>
                <w:sz w:val="20"/>
                <w:szCs w:val="20"/>
              </w:rPr>
            </w:pPr>
            <w:r>
              <w:rPr>
                <w:b/>
                <w:bCs/>
                <w:color w:val="ffc000"/>
                <w:sz w:val="20"/>
                <w:szCs w:val="20"/>
              </w:rPr>
              <w:t xml:space="preserve">Θ</w:t>
            </w:r>
            <w:r>
              <w:rPr>
                <w:b/>
                <w:bCs/>
                <w:color w:val="ffc000"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ffc000"/>
                <w:sz w:val="20"/>
                <w:szCs w:val="20"/>
              </w:rPr>
            </w:r>
          </w:p>
          <w:p>
            <w:pPr>
              <w:pBdr/>
              <w:spacing/>
              <w:ind/>
              <w:rPr/>
            </w:pPr>
            <w:r>
              <w:t xml:space="preserve">This could impact group A by...</w:t>
            </w:r>
            <w:r/>
          </w:p>
        </w:tc>
        <w:tc>
          <w:tcPr>
            <w:tcBorders/>
            <w:tcW w:w="414" w:type="pc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Wingdings" w:hAnsi="Wingdings" w:eastAsia="Wingdings" w:cs="Wingdings"/>
                <w:b/>
                <w:bCs/>
                <w:color w:val="00b050"/>
                <w:sz w:val="20"/>
                <w:szCs w:val="20"/>
              </w:rPr>
              <w:t xml:space="preserve">ü</w:t>
            </w:r>
            <w:r/>
          </w:p>
        </w:tc>
        <w:tc>
          <w:tcPr>
            <w:tcBorders/>
            <w:tcW w:w="470" w:type="pc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b/>
                <w:bCs/>
                <w:color w:val="ffc000"/>
                <w:sz w:val="20"/>
                <w:szCs w:val="20"/>
              </w:rPr>
              <w:t xml:space="preserve">Θ</w:t>
            </w:r>
            <w:r/>
          </w:p>
        </w:tc>
        <w:tc>
          <w:tcPr>
            <w:tcBorders/>
            <w:tcW w:w="1987" w:type="pct"/>
            <w:textDirection w:val="lrTb"/>
            <w:noWrap w:val="false"/>
          </w:tcPr>
          <w:p>
            <w:pPr>
              <w:pStyle w:val="632"/>
              <w:numPr>
                <w:ilvl w:val="0"/>
                <w:numId w:val="3"/>
              </w:numPr>
              <w:pBdr/>
              <w:spacing/>
              <w:ind/>
              <w:rPr/>
            </w:pPr>
            <w:r>
              <w:t xml:space="preserve">...</w:t>
            </w:r>
            <w:r/>
          </w:p>
          <w:p>
            <w:pPr>
              <w:pStyle w:val="632"/>
              <w:numPr>
                <w:ilvl w:val="0"/>
                <w:numId w:val="3"/>
              </w:numPr>
              <w:pBdr/>
              <w:spacing/>
              <w:ind/>
              <w:rPr/>
            </w:pPr>
            <w:r>
              <w:t xml:space="preserve">...</w:t>
            </w:r>
            <w:r/>
          </w:p>
        </w:tc>
      </w:tr>
      <w:tr>
        <w:trPr>
          <w:trHeight w:val="102"/>
        </w:trPr>
        <w:tc>
          <w:tcPr>
            <w:tcBorders/>
            <w:tcW w:w="983" w:type="pc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Risk 3 – description of the risk</w:t>
            </w:r>
            <w:r/>
          </w:p>
        </w:tc>
        <w:tc>
          <w:tcPr>
            <w:tcBorders/>
            <w:tcW w:w="1146" w:type="pc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color w:val="00b050"/>
                <w:sz w:val="20"/>
                <w:szCs w:val="20"/>
              </w:rPr>
            </w:pPr>
            <w:r>
              <w:rPr>
                <w:rFonts w:ascii="Wingdings" w:hAnsi="Wingdings" w:eastAsia="Wingdings" w:cs="Wingdings"/>
                <w:b/>
                <w:bCs/>
                <w:color w:val="00b050"/>
                <w:sz w:val="20"/>
                <w:szCs w:val="20"/>
              </w:rPr>
              <w:t xml:space="preserve">ü</w:t>
            </w:r>
            <w:r>
              <w:rPr>
                <w:b/>
                <w:bCs/>
                <w:color w:val="00b050"/>
                <w:sz w:val="20"/>
                <w:szCs w:val="20"/>
              </w:rPr>
            </w:r>
          </w:p>
          <w:p>
            <w:pPr>
              <w:pBdr/>
              <w:spacing/>
              <w:ind/>
              <w:rPr/>
            </w:pPr>
            <w:r>
              <w:t xml:space="preserve">The department would... </w:t>
            </w:r>
            <w:r/>
          </w:p>
        </w:tc>
        <w:tc>
          <w:tcPr>
            <w:tcBorders/>
            <w:tcW w:w="414" w:type="pc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Arial" w:hAnsi="Arial" w:cs="Arial"/>
                <w:color w:val="ff0000"/>
              </w:rPr>
              <w:t xml:space="preserve">‼</w:t>
            </w:r>
            <w:r/>
          </w:p>
        </w:tc>
        <w:tc>
          <w:tcPr>
            <w:tcBorders/>
            <w:tcW w:w="470" w:type="pct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b/>
                <w:bCs/>
                <w:color w:val="ffc000"/>
                <w:sz w:val="20"/>
                <w:szCs w:val="20"/>
              </w:rPr>
              <w:t xml:space="preserve">Θ</w:t>
            </w:r>
            <w:r/>
          </w:p>
        </w:tc>
        <w:tc>
          <w:tcPr>
            <w:tcBorders/>
            <w:tcW w:w="1987" w:type="pct"/>
            <w:textDirection w:val="lrTb"/>
            <w:noWrap w:val="false"/>
          </w:tcPr>
          <w:p>
            <w:pPr>
              <w:pStyle w:val="632"/>
              <w:numPr>
                <w:ilvl w:val="0"/>
                <w:numId w:val="4"/>
              </w:numPr>
              <w:pBdr/>
              <w:spacing/>
              <w:ind/>
              <w:rPr/>
            </w:pPr>
            <w:r>
              <w:t xml:space="preserve">...</w:t>
            </w:r>
            <w:r/>
          </w:p>
          <w:p>
            <w:pPr>
              <w:pStyle w:val="632"/>
              <w:numPr>
                <w:ilvl w:val="0"/>
                <w:numId w:val="4"/>
              </w:numPr>
              <w:pBdr/>
              <w:spacing/>
              <w:ind/>
              <w:rPr/>
            </w:pPr>
            <w:r>
              <w:t xml:space="preserve">...</w:t>
            </w:r>
            <w:r/>
          </w:p>
        </w:tc>
      </w:tr>
    </w:tbl>
    <w:p>
      <w:pPr>
        <w:pBdr/>
        <w:spacing/>
        <w:ind/>
        <w:rPr>
          <w:b/>
          <w:bCs/>
          <w:sz w:val="20"/>
          <w:szCs w:val="20"/>
        </w:rPr>
      </w:pPr>
      <w:r>
        <w:rPr>
          <w:rFonts w:ascii="Arial" w:hAnsi="Arial" w:cs="Arial"/>
          <w:color w:val="ff0000"/>
        </w:rPr>
        <w:t xml:space="preserve">‼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High</w:t>
      </w:r>
      <w:r>
        <w:rPr>
          <w:sz w:val="20"/>
          <w:szCs w:val="20"/>
        </w:rPr>
        <w:t xml:space="preserve"> </w:t>
      </w:r>
      <w:r>
        <w:rPr>
          <w:b/>
          <w:bCs/>
          <w:color w:val="ffc000"/>
          <w:sz w:val="20"/>
          <w:szCs w:val="20"/>
        </w:rPr>
        <w:t xml:space="preserve">Θ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Medium </w:t>
      </w:r>
      <w:r>
        <w:rPr>
          <w:sz w:val="20"/>
          <w:szCs w:val="20"/>
        </w:rPr>
        <w:t xml:space="preserve"> </w:t>
      </w:r>
      <w:r>
        <w:rPr>
          <w:rFonts w:ascii="Wingdings" w:hAnsi="Wingdings" w:eastAsia="Wingdings" w:cs="Wingdings"/>
          <w:b/>
          <w:bCs/>
          <w:color w:val="00b050"/>
          <w:sz w:val="20"/>
          <w:szCs w:val="20"/>
        </w:rPr>
        <w:t xml:space="preserve">ü</w:t>
      </w:r>
      <w:r>
        <w:rPr>
          <w:b/>
          <w:bCs/>
          <w:color w:val="00b050"/>
          <w:sz w:val="20"/>
          <w:szCs w:val="20"/>
        </w:rPr>
        <w:t xml:space="preserve"> </w:t>
      </w:r>
      <w:r>
        <w:rPr>
          <w:sz w:val="20"/>
          <w:szCs w:val="20"/>
        </w:rPr>
        <w:t xml:space="preserve">Low</w:t>
      </w: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br/>
      </w:r>
      <w:r>
        <w:rPr>
          <w:sz w:val="20"/>
          <w:szCs w:val="20"/>
        </w:rPr>
        <w:t xml:space="preserve">*Automatically calculated based on organisational risk matrix</w:t>
      </w:r>
      <w:r>
        <w:rPr>
          <w:b/>
          <w:bCs/>
          <w:sz w:val="20"/>
          <w:szCs w:val="20"/>
        </w:rPr>
      </w:r>
    </w:p>
    <w:p>
      <w:pPr>
        <w:pStyle w:val="626"/>
        <w:pBdr/>
        <w:spacing/>
        <w:ind/>
        <w:rPr/>
      </w:pPr>
      <w:r>
        <w:t xml:space="preserve">Roles and responsibilities summary (</w:t>
      </w:r>
      <w:r>
        <w:t xml:space="preserve">RASCI</w:t>
      </w:r>
      <w:r>
        <w:t xml:space="preserve">)</w:t>
      </w:r>
      <w:r/>
    </w:p>
    <w:tbl>
      <w:tblPr>
        <w:tblStyle w:val="631"/>
        <w:tblW w:w="5000" w:type="pct"/>
        <w:tblBorders/>
        <w:tblLook w:val="04A0" w:firstRow="1" w:lastRow="0" w:firstColumn="1" w:lastColumn="0" w:noHBand="0" w:noVBand="1"/>
      </w:tblPr>
      <w:tblGrid>
        <w:gridCol w:w="2807"/>
        <w:gridCol w:w="2509"/>
        <w:gridCol w:w="2508"/>
        <w:gridCol w:w="2508"/>
        <w:gridCol w:w="1808"/>
        <w:gridCol w:w="1808"/>
      </w:tblGrid>
      <w:tr>
        <w:trPr/>
        <w:tc>
          <w:tcPr>
            <w:tcBorders/>
            <w:tcW w:w="1006" w:type="pct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Task/component</w:t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899" w:type="pct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Team/person 1</w:t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899" w:type="pct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Team/person 2</w:t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899" w:type="pct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Team/person 3</w:t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648" w:type="pct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Team/person 4</w:t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648" w:type="pct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Team/person 5</w:t>
            </w:r>
            <w:r>
              <w:rPr>
                <w:b w:val="0"/>
                <w:bCs w:val="0"/>
              </w:rPr>
            </w:r>
          </w:p>
        </w:tc>
      </w:tr>
      <w:tr>
        <w:trPr/>
        <w:tc>
          <w:tcPr>
            <w:tcBorders/>
            <w:tcW w:w="1006" w:type="pct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Task 1</w:t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899" w:type="pc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A</w:t>
            </w:r>
            <w:r>
              <w:rPr>
                <w:b/>
                <w:bCs/>
              </w:rPr>
            </w:r>
          </w:p>
        </w:tc>
        <w:tc>
          <w:tcPr>
            <w:tcBorders/>
            <w:tcW w:w="899" w:type="pc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R</w:t>
            </w:r>
            <w:r>
              <w:rPr>
                <w:b/>
                <w:bCs/>
              </w:rPr>
            </w:r>
          </w:p>
        </w:tc>
        <w:tc>
          <w:tcPr>
            <w:tcBorders/>
            <w:tcW w:w="899" w:type="pc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C</w:t>
            </w:r>
            <w:r>
              <w:rPr>
                <w:b/>
                <w:bCs/>
              </w:rPr>
            </w:r>
          </w:p>
        </w:tc>
        <w:tc>
          <w:tcPr>
            <w:tcBorders/>
            <w:tcW w:w="648" w:type="pc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C</w:t>
            </w:r>
            <w:r>
              <w:rPr>
                <w:b/>
                <w:bCs/>
              </w:rPr>
            </w:r>
          </w:p>
        </w:tc>
        <w:tc>
          <w:tcPr>
            <w:tcBorders/>
            <w:tcW w:w="648" w:type="pc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I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1006" w:type="pct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Task 2</w:t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899" w:type="pc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I</w:t>
            </w:r>
            <w:r>
              <w:rPr>
                <w:b/>
                <w:bCs/>
              </w:rPr>
            </w:r>
          </w:p>
        </w:tc>
        <w:tc>
          <w:tcPr>
            <w:tcBorders/>
            <w:tcW w:w="899" w:type="pc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A/R</w:t>
            </w:r>
            <w:r>
              <w:rPr>
                <w:b/>
                <w:bCs/>
              </w:rPr>
            </w:r>
          </w:p>
        </w:tc>
        <w:tc>
          <w:tcPr>
            <w:tcBorders/>
            <w:tcW w:w="899" w:type="pc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S</w:t>
            </w:r>
            <w:r>
              <w:rPr>
                <w:b/>
                <w:bCs/>
              </w:rPr>
            </w:r>
          </w:p>
        </w:tc>
        <w:tc>
          <w:tcPr>
            <w:tcBorders/>
            <w:tcW w:w="648" w:type="pc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648" w:type="pc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</w:tr>
      <w:tr>
        <w:trPr/>
        <w:tc>
          <w:tcPr>
            <w:tcBorders/>
            <w:tcW w:w="1006" w:type="pct"/>
            <w:textDirection w:val="lrTb"/>
            <w:noWrap w:val="false"/>
          </w:tcPr>
          <w:p>
            <w:pPr>
              <w:pBdr/>
              <w:spacing/>
              <w:ind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Task 3</w:t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899" w:type="pc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A</w:t>
            </w:r>
            <w:r>
              <w:rPr>
                <w:b/>
                <w:bCs/>
              </w:rPr>
            </w:r>
          </w:p>
        </w:tc>
        <w:tc>
          <w:tcPr>
            <w:tcBorders/>
            <w:tcW w:w="899" w:type="pc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S</w:t>
            </w:r>
            <w:r>
              <w:rPr>
                <w:b/>
                <w:bCs/>
              </w:rPr>
            </w:r>
          </w:p>
        </w:tc>
        <w:tc>
          <w:tcPr>
            <w:tcBorders/>
            <w:tcW w:w="899" w:type="pc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R</w:t>
            </w:r>
            <w:r>
              <w:rPr>
                <w:b/>
                <w:bCs/>
              </w:rPr>
            </w:r>
          </w:p>
        </w:tc>
        <w:tc>
          <w:tcPr>
            <w:tcBorders/>
            <w:tcW w:w="648" w:type="pc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I</w:t>
            </w:r>
            <w:r>
              <w:rPr>
                <w:b/>
                <w:bCs/>
              </w:rPr>
            </w:r>
          </w:p>
        </w:tc>
        <w:tc>
          <w:tcPr>
            <w:tcBorders/>
            <w:tcW w:w="648" w:type="pct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S</w:t>
            </w:r>
            <w:r>
              <w:rPr>
                <w:b/>
                <w:bCs/>
              </w:rPr>
            </w:r>
          </w:p>
        </w:tc>
      </w:tr>
    </w:tbl>
    <w:p>
      <w:pPr>
        <w:pBdr/>
        <w:spacing/>
        <w:ind/>
        <w:rPr>
          <w:b/>
          <w:bCs/>
        </w:rPr>
      </w:pPr>
      <w:r>
        <w:rPr>
          <w:b/>
          <w:bCs/>
        </w:rPr>
        <w:t xml:space="preserve">R: Responsible (does the work), A: accountable (makes sure the work is done and meets need – sometimes an executive sponsor), </w:t>
      </w:r>
      <w:r>
        <w:rPr>
          <w:b/>
          <w:bCs/>
        </w:rPr>
        <w:t xml:space="preserve">S: Supporting (</w:t>
      </w:r>
      <w:r>
        <w:rPr>
          <w:b/>
          <w:bCs/>
        </w:rPr>
        <w:t xml:space="preserve">provides assistance</w:t>
      </w:r>
      <w:r>
        <w:rPr>
          <w:b/>
          <w:bCs/>
        </w:rPr>
        <w:t xml:space="preserve">), C: Consulted (gives advice), I: Informed (is kept in the loop/provided information when appropriate)</w:t>
      </w:r>
      <w:r>
        <w:rPr>
          <w:b/>
          <w:bCs/>
        </w:rPr>
      </w:r>
    </w:p>
    <w:p>
      <w:pPr>
        <w:pStyle w:val="626"/>
        <w:pBdr/>
        <w:spacing/>
        <w:ind/>
        <w:rPr/>
      </w:pPr>
      <w:r>
        <w:t xml:space="preserve">Options analysis</w:t>
      </w:r>
      <w:r/>
    </w:p>
    <w:tbl>
      <w:tblPr>
        <w:tblStyle w:val="630"/>
        <w:tblW w:w="0" w:type="auto"/>
        <w:tblBorders/>
        <w:tblLook w:val="04A0" w:firstRow="1" w:lastRow="0" w:firstColumn="1" w:lastColumn="0" w:noHBand="0" w:noVBand="1"/>
      </w:tblPr>
      <w:tblGrid>
        <w:gridCol w:w="2972"/>
        <w:gridCol w:w="1559"/>
        <w:gridCol w:w="1891"/>
        <w:gridCol w:w="1464"/>
        <w:gridCol w:w="1464"/>
      </w:tblGrid>
      <w:tr>
        <w:trPr/>
        <w:tc>
          <w:tcPr>
            <w:shd w:val="clear" w:color="auto" w:fill="4472c4" w:themeFill="accent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2" w:type="dxa"/>
            <w:textDirection w:val="lrTb"/>
            <w:noWrap w:val="false"/>
          </w:tcPr>
          <w:p>
            <w:pPr>
              <w:pBdr/>
              <w:spacing w:line="240" w:lineRule="auto"/>
              <w:ind/>
              <w:rPr>
                <w:b/>
                <w:bCs/>
                <w:color w:val="ffffff" w:themeColor="background1"/>
              </w:rPr>
            </w:pPr>
            <w:r>
              <w:rPr>
                <w:b/>
                <w:bCs/>
                <w:color w:val="ffffff" w:themeColor="background1"/>
              </w:rPr>
              <w:t xml:space="preserve">Criterion</w:t>
            </w:r>
            <w:r>
              <w:rPr>
                <w:b/>
                <w:bCs/>
                <w:color w:val="ffffff" w:themeColor="background1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Option A </w:t>
            </w:r>
            <w:r>
              <w:rPr>
                <w:b/>
                <w:bCs/>
              </w:rPr>
              <w:br/>
              <w:t xml:space="preserve">(do nothing)</w:t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91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Option B (recommended)</w:t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4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Option C </w:t>
            </w:r>
            <w:r>
              <w:rPr>
                <w:b/>
                <w:bCs/>
              </w:rPr>
              <w:br/>
              <w:t xml:space="preserve">(alternative)</w:t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4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Option D </w:t>
            </w:r>
            <w:r>
              <w:rPr>
                <w:b/>
                <w:bCs/>
              </w:rPr>
            </w:r>
          </w:p>
          <w:p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</w:rPr>
              <w:t xml:space="preserve">(alternative)</w:t>
            </w:r>
            <w:r>
              <w:rPr>
                <w:b/>
                <w:bCs/>
              </w:rPr>
            </w:r>
          </w:p>
        </w:tc>
      </w:tr>
      <w:tr>
        <w:trPr/>
        <w:tc>
          <w:tcPr>
            <w:shd w:val="clear" w:color="auto" w:fill="d9e2f3" w:themeFill="accent1" w:themeFillTint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Outcome 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</w:rPr>
            </w:pPr>
            <w:r>
              <w:rPr>
                <w:rFonts w:ascii="Wingdings 2" w:hAnsi="Wingdings 2" w:eastAsia="Wingdings 2" w:cs="Wingdings 2"/>
                <w:color w:val="ff0000"/>
              </w:rPr>
              <w:t xml:space="preserve">Ó</w:t>
            </w:r>
            <w:r>
              <w:rPr>
                <w:color w:val="ff000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91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color w:val="00b050"/>
              </w:rPr>
            </w:pPr>
            <w:r>
              <w:rPr>
                <w:rFonts w:ascii="Wingdings" w:hAnsi="Wingdings" w:eastAsia="Wingdings" w:cs="Wingdings"/>
                <w:b/>
                <w:bCs/>
                <w:color w:val="00b050"/>
              </w:rPr>
              <w:t xml:space="preserve">ü</w:t>
            </w:r>
            <w:r>
              <w:rPr>
                <w:b/>
                <w:bCs/>
                <w:color w:val="00b05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Wingdings 2" w:hAnsi="Wingdings 2" w:eastAsia="Wingdings 2" w:cs="Wingdings 2"/>
                <w:color w:val="ff0000"/>
              </w:rPr>
              <w:t xml:space="preserve">Ó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4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</w:rPr>
            </w:pPr>
            <w:r>
              <w:rPr>
                <w:rFonts w:ascii="Wingdings" w:hAnsi="Wingdings" w:eastAsia="Wingdings" w:cs="Wingdings"/>
                <w:b/>
                <w:bCs/>
                <w:color w:val="00b050"/>
              </w:rPr>
              <w:t xml:space="preserve">ü</w:t>
            </w:r>
            <w:r>
              <w:rPr>
                <w:color w:val="ff0000"/>
              </w:rPr>
            </w:r>
          </w:p>
        </w:tc>
      </w:tr>
      <w:tr>
        <w:trPr/>
        <w:tc>
          <w:tcPr>
            <w:shd w:val="clear" w:color="auto" w:fill="d9e2f3" w:themeFill="accent1" w:themeFillTint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Outcome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</w:rPr>
            </w:pPr>
            <w:r>
              <w:rPr>
                <w:rFonts w:ascii="Wingdings 2" w:hAnsi="Wingdings 2" w:eastAsia="Wingdings 2" w:cs="Wingdings 2"/>
                <w:color w:val="ff0000"/>
              </w:rPr>
              <w:t xml:space="preserve">Ó</w:t>
            </w:r>
            <w:r>
              <w:rPr>
                <w:color w:val="ff000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91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color w:val="00b050"/>
              </w:rPr>
            </w:pPr>
            <w:r>
              <w:rPr>
                <w:rFonts w:ascii="Wingdings" w:hAnsi="Wingdings" w:eastAsia="Wingdings" w:cs="Wingdings"/>
                <w:b/>
                <w:bCs/>
                <w:color w:val="00b050"/>
              </w:rPr>
              <w:t xml:space="preserve">ü</w:t>
            </w:r>
            <w:r>
              <w:rPr>
                <w:b/>
                <w:bCs/>
                <w:color w:val="00b05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4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</w:rPr>
            </w:pPr>
            <w:r>
              <w:rPr>
                <w:rFonts w:ascii="Wingdings" w:hAnsi="Wingdings" w:eastAsia="Wingdings" w:cs="Wingdings"/>
                <w:b/>
                <w:bCs/>
                <w:color w:val="00b050"/>
              </w:rPr>
              <w:t xml:space="preserve">ü</w:t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4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color w:val="00b050"/>
              </w:rPr>
            </w:pPr>
            <w:r>
              <w:rPr>
                <w:rFonts w:ascii="Wingdings" w:hAnsi="Wingdings" w:eastAsia="Wingdings" w:cs="Wingdings"/>
                <w:b/>
                <w:bCs/>
                <w:color w:val="00b050"/>
              </w:rPr>
              <w:t xml:space="preserve">ü</w:t>
            </w:r>
            <w:r>
              <w:rPr>
                <w:b/>
                <w:bCs/>
                <w:color w:val="00b050"/>
              </w:rPr>
            </w:r>
          </w:p>
        </w:tc>
      </w:tr>
      <w:tr>
        <w:trPr/>
        <w:tc>
          <w:tcPr>
            <w:shd w:val="clear" w:color="auto" w:fill="d9e2f3" w:themeFill="accent1" w:themeFillTint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Outcome 3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rPr>
                <w:color w:val="ff0000"/>
              </w:rPr>
            </w:pPr>
            <w:r>
              <w:rPr>
                <w:rFonts w:ascii="Wingdings 2" w:hAnsi="Wingdings 2" w:eastAsia="Wingdings 2" w:cs="Wingdings 2"/>
                <w:color w:val="ff0000"/>
              </w:rPr>
              <w:t xml:space="preserve">Ó</w:t>
            </w:r>
            <w:r>
              <w:rPr>
                <w:color w:val="ff0000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91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  <w:color w:val="ffc000"/>
              </w:rPr>
              <w:t xml:space="preserve">Θ</w:t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4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</w:rPr>
            </w:pPr>
            <w:r>
              <w:rPr>
                <w:b/>
                <w:bCs/>
                <w:color w:val="ffc000"/>
              </w:rPr>
              <w:t xml:space="preserve">Θ</w:t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4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color w:val="ffc000"/>
              </w:rPr>
            </w:pPr>
            <w:r>
              <w:rPr>
                <w:rFonts w:ascii="Wingdings 2" w:hAnsi="Wingdings 2" w:eastAsia="Wingdings 2" w:cs="Wingdings 2"/>
                <w:color w:val="ff0000"/>
              </w:rPr>
              <w:t xml:space="preserve">Ó</w:t>
            </w:r>
            <w:r>
              <w:rPr>
                <w:b/>
                <w:bCs/>
                <w:color w:val="ffc000"/>
              </w:rPr>
            </w:r>
          </w:p>
        </w:tc>
      </w:tr>
      <w:tr>
        <w:trPr/>
        <w:tc>
          <w:tcPr>
            <w:shd w:val="clear" w:color="auto" w:fill="d9e2f3" w:themeFill="accent1" w:themeFillTint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Capital cost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$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9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$$$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$$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$$</w:t>
            </w:r>
            <w:r/>
          </w:p>
        </w:tc>
      </w:tr>
      <w:tr>
        <w:trPr/>
        <w:tc>
          <w:tcPr>
            <w:shd w:val="clear" w:color="auto" w:fill="d9e2f3" w:themeFill="accent1" w:themeFillTint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Ongoing (recurrent) cost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$$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9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$$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$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$$</w:t>
            </w:r>
            <w:r/>
          </w:p>
        </w:tc>
      </w:tr>
      <w:tr>
        <w:trPr/>
        <w:tc>
          <w:tcPr>
            <w:shd w:val="clear" w:color="auto" w:fill="d9e2f3" w:themeFill="accent1" w:themeFillTint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Risk 1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Wingdings" w:hAnsi="Wingdings" w:eastAsia="Wingdings" w:cs="Wingdings"/>
                <w:b/>
                <w:bCs/>
                <w:color w:val="00b050"/>
              </w:rPr>
              <w:t xml:space="preserve">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9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Wingdings" w:hAnsi="Wingdings" w:eastAsia="Wingdings" w:cs="Wingdings"/>
                <w:b/>
                <w:bCs/>
                <w:color w:val="00b050"/>
              </w:rPr>
              <w:t xml:space="preserve">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b/>
                <w:bCs/>
                <w:color w:val="ffc000"/>
              </w:rPr>
              <w:t xml:space="preserve">Θ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4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color w:val="ffc000"/>
              </w:rPr>
            </w:pPr>
            <w:r>
              <w:rPr>
                <w:rFonts w:ascii="Wingdings" w:hAnsi="Wingdings" w:eastAsia="Wingdings" w:cs="Wingdings"/>
                <w:b/>
                <w:bCs/>
                <w:color w:val="00b050"/>
              </w:rPr>
              <w:t xml:space="preserve">ü</w:t>
            </w:r>
            <w:r>
              <w:rPr>
                <w:b/>
                <w:bCs/>
                <w:color w:val="ffc000"/>
              </w:rPr>
            </w:r>
          </w:p>
        </w:tc>
      </w:tr>
      <w:tr>
        <w:trPr/>
        <w:tc>
          <w:tcPr>
            <w:shd w:val="clear" w:color="auto" w:fill="d9e2f3" w:themeFill="accent1" w:themeFillTint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972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Risk 2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59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Wingdings 2" w:hAnsi="Wingdings 2" w:eastAsia="Wingdings 2" w:cs="Wingdings 2"/>
                <w:color w:val="ff0000"/>
              </w:rPr>
              <w:t xml:space="preserve">Ó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89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Wingdings" w:hAnsi="Wingdings" w:eastAsia="Wingdings" w:cs="Wingdings"/>
                <w:b/>
                <w:bCs/>
                <w:color w:val="00b050"/>
              </w:rPr>
              <w:t xml:space="preserve">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ascii="Wingdings" w:hAnsi="Wingdings" w:eastAsia="Wingdings" w:cs="Wingdings"/>
                <w:b/>
                <w:bCs/>
                <w:color w:val="00b050"/>
              </w:rPr>
              <w:t xml:space="preserve">ü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64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bCs/>
                <w:color w:val="00b050"/>
              </w:rPr>
            </w:pPr>
            <w:r>
              <w:rPr>
                <w:rFonts w:ascii="Wingdings" w:hAnsi="Wingdings" w:eastAsia="Wingdings" w:cs="Wingdings"/>
                <w:b/>
                <w:bCs/>
                <w:color w:val="00b050"/>
              </w:rPr>
              <w:t xml:space="preserve">ü</w:t>
            </w:r>
            <w:r>
              <w:rPr>
                <w:b/>
                <w:bCs/>
                <w:color w:val="00b050"/>
              </w:rPr>
            </w:r>
          </w:p>
        </w:tc>
      </w:tr>
    </w:tbl>
    <w:p>
      <w:pPr>
        <w:pBdr/>
        <w:spacing/>
        <w:ind/>
        <w:rPr>
          <w:rFonts w:ascii="Helvetica Neue" w:hAnsi="Helvetica Neue" w:eastAsia="Helvetica Neue" w:cs="Helvetica Neue"/>
          <w:sz w:val="16"/>
          <w:szCs w:val="16"/>
        </w:rPr>
      </w:pPr>
      <w:r>
        <w:rPr>
          <w:rFonts w:ascii="Wingdings 2" w:hAnsi="Wingdings 2" w:eastAsia="Wingdings 2" w:cs="Wingdings 2"/>
          <w:color w:val="ff0000"/>
          <w:sz w:val="20"/>
          <w:szCs w:val="20"/>
        </w:rPr>
        <w:t xml:space="preserve">Ó</w:t>
      </w:r>
      <w:r>
        <w:rPr>
          <w:sz w:val="20"/>
          <w:szCs w:val="20"/>
        </w:rPr>
        <w:t xml:space="preserve"> Negative impact on target, </w:t>
      </w:r>
      <w:r>
        <w:rPr>
          <w:b/>
          <w:bCs/>
          <w:color w:val="ffc000"/>
          <w:sz w:val="20"/>
          <w:szCs w:val="20"/>
        </w:rPr>
        <w:t xml:space="preserve">Θ</w:t>
      </w:r>
      <w:r>
        <w:rPr>
          <w:b/>
          <w:bCs/>
          <w:sz w:val="20"/>
          <w:szCs w:val="20"/>
        </w:rPr>
        <w:t xml:space="preserve"> </w:t>
      </w:r>
      <w:r>
        <w:rPr>
          <w:sz w:val="20"/>
          <w:szCs w:val="20"/>
        </w:rPr>
        <w:t xml:space="preserve">Medium or unknown impact on target,  </w:t>
      </w:r>
      <w:r>
        <w:rPr>
          <w:rFonts w:ascii="Wingdings" w:hAnsi="Wingdings" w:eastAsia="Wingdings" w:cs="Wingdings"/>
          <w:b/>
          <w:bCs/>
          <w:color w:val="00b050"/>
          <w:sz w:val="20"/>
          <w:szCs w:val="20"/>
        </w:rPr>
        <w:t xml:space="preserve">ü</w:t>
      </w:r>
      <w:r>
        <w:rPr>
          <w:b/>
          <w:bCs/>
          <w:color w:val="00b050"/>
          <w:sz w:val="20"/>
          <w:szCs w:val="20"/>
        </w:rPr>
        <w:t xml:space="preserve"> </w:t>
      </w:r>
      <w:r>
        <w:rPr>
          <w:sz w:val="20"/>
          <w:szCs w:val="20"/>
        </w:rPr>
        <w:t xml:space="preserve">Positive contribution to target</w:t>
      </w:r>
      <w:r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br/>
      </w:r>
      <w:r>
        <w:rPr>
          <w:b/>
          <w:bCs/>
          <w:sz w:val="20"/>
          <w:szCs w:val="20"/>
        </w:rPr>
        <w:t xml:space="preserve">$ </w:t>
      </w:r>
      <w:r>
        <w:rPr>
          <w:sz w:val="20"/>
          <w:szCs w:val="20"/>
        </w:rPr>
        <w:t xml:space="preserve">Low cost, </w:t>
      </w:r>
      <w:r>
        <w:rPr>
          <w:b/>
          <w:bCs/>
          <w:sz w:val="20"/>
          <w:szCs w:val="20"/>
        </w:rPr>
        <w:t xml:space="preserve">$$ </w:t>
      </w:r>
      <w:r>
        <w:rPr>
          <w:sz w:val="20"/>
          <w:szCs w:val="20"/>
        </w:rPr>
        <w:t xml:space="preserve">Medium cost, </w:t>
      </w:r>
      <w:r>
        <w:rPr>
          <w:b/>
          <w:bCs/>
          <w:sz w:val="20"/>
          <w:szCs w:val="20"/>
        </w:rPr>
        <w:t xml:space="preserve">$$$ </w:t>
      </w:r>
      <w:r>
        <w:rPr>
          <w:sz w:val="20"/>
          <w:szCs w:val="20"/>
        </w:rPr>
        <w:t xml:space="preserve">High cost</w:t>
      </w:r>
      <w:r>
        <w:rPr>
          <w:rFonts w:ascii="Helvetica Neue" w:hAnsi="Helvetica Neue" w:eastAsia="Helvetica Neue" w:cs="Helvetica Neue"/>
          <w:sz w:val="16"/>
          <w:szCs w:val="16"/>
        </w:rPr>
      </w:r>
    </w:p>
    <w:p>
      <w:pPr>
        <w:pStyle w:val="626"/>
        <w:pBdr/>
        <w:spacing/>
        <w:ind/>
        <w:rPr/>
      </w:pPr>
      <w:r>
        <w:t xml:space="preserve">Impact summary</w:t>
      </w:r>
      <w:r/>
    </w:p>
    <w:tbl>
      <w:tblPr>
        <w:tblStyle w:val="631"/>
        <w:tblW w:w="0" w:type="auto"/>
        <w:tblBorders/>
        <w:tblLook w:val="06A0" w:firstRow="1" w:lastRow="0" w:firstColumn="1" w:lastColumn="0" w:noHBand="1" w:noVBand="1"/>
      </w:tblPr>
      <w:tblGrid>
        <w:gridCol w:w="2830"/>
        <w:gridCol w:w="6521"/>
      </w:tblGrid>
      <w:tr>
        <w:trPr/>
        <w:tc>
          <w:tcPr>
            <w:tcBorders/>
            <w:tcW w:w="283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Theme/category</w:t>
            </w:r>
            <w:r/>
          </w:p>
        </w:tc>
        <w:tc>
          <w:tcPr>
            <w:tcBorders/>
            <w:tcW w:w="652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Summary</w:t>
            </w:r>
            <w:r/>
          </w:p>
        </w:tc>
      </w:tr>
      <w:tr>
        <w:trPr/>
        <w:tc>
          <w:tcPr>
            <w:tcBorders/>
            <w:tcW w:w="283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Government direction</w:t>
            </w:r>
            <w:r/>
          </w:p>
        </w:tc>
        <w:tc>
          <w:tcPr>
            <w:tcBorders/>
            <w:tcW w:w="652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Specify which strategies</w:t>
            </w:r>
            <w:r>
              <w:t xml:space="preserve">,</w:t>
            </w:r>
            <w:r>
              <w:t xml:space="preserve"> plans </w:t>
            </w:r>
            <w:r>
              <w:t xml:space="preserve">or government commitments </w:t>
            </w:r>
            <w:r>
              <w:t xml:space="preserve">the proposal is expected to impact, and what the impact would be</w:t>
            </w:r>
            <w:r/>
          </w:p>
        </w:tc>
      </w:tr>
      <w:tr>
        <w:trPr/>
        <w:tc>
          <w:tcPr>
            <w:tcBorders/>
            <w:tcW w:w="283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Special needs groups / equity </w:t>
            </w:r>
            <w:r/>
          </w:p>
        </w:tc>
        <w:tc>
          <w:tcPr>
            <w:tcBorders/>
            <w:tcW w:w="652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If there are specific vulnerable or targeted groups, specify impacts separately for this group, including whether tailored solutions are required to ensure equitable access or outcomes</w:t>
            </w:r>
            <w:r/>
          </w:p>
        </w:tc>
      </w:tr>
      <w:tr>
        <w:trPr/>
        <w:tc>
          <w:tcPr>
            <w:tcBorders/>
            <w:tcW w:w="283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Financial impact</w:t>
            </w:r>
            <w:r/>
          </w:p>
        </w:tc>
        <w:tc>
          <w:tcPr>
            <w:tcBorders/>
            <w:tcW w:w="652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Expected costs or income</w:t>
            </w:r>
            <w:r/>
          </w:p>
        </w:tc>
      </w:tr>
      <w:tr>
        <w:trPr/>
        <w:tc>
          <w:tcPr>
            <w:tcBorders/>
            <w:tcW w:w="283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Workforce impact</w:t>
            </w:r>
            <w:r/>
          </w:p>
        </w:tc>
        <w:tc>
          <w:tcPr>
            <w:tcBorders/>
            <w:tcW w:w="652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Expected workforce requirements or impact on existing workforce</w:t>
            </w:r>
            <w:r/>
          </w:p>
        </w:tc>
      </w:tr>
      <w:tr>
        <w:trPr/>
        <w:tc>
          <w:tcPr>
            <w:tcBorders/>
            <w:tcW w:w="2830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t xml:space="preserve">&lt;other common or high-profile impacts&gt;</w:t>
            </w:r>
            <w:r/>
          </w:p>
        </w:tc>
        <w:tc>
          <w:tcPr>
            <w:tcBorders/>
            <w:tcW w:w="6521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</w:tbl>
    <w:p>
      <w:pPr>
        <w:pBdr/>
        <w:spacing/>
        <w:ind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p>
      <w:pPr>
        <w:pBdr/>
        <w:spacing/>
        <w:ind/>
        <w:rPr>
          <w:b/>
          <w:bCs/>
        </w:rPr>
      </w:pPr>
      <w:r>
        <w:rPr>
          <w:b/>
          <w:bCs/>
        </w:rPr>
      </w:r>
      <w:r>
        <w:rPr>
          <w:b/>
          <w:bCs/>
        </w:rPr>
      </w:r>
    </w:p>
    <w:sectPr>
      <w:footnotePr/>
      <w:endnotePr/>
      <w:type w:val="nextPage"/>
      <w:pgSz w:h="11906" w:orient="portrait" w:w="16838"/>
      <w:pgMar w:top="1440" w:right="1440" w:bottom="1440" w:left="1440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 Neue">
    <w:panose1 w:val="020B0603030804020204"/>
  </w:font>
  <w:font w:name="Wingdings 2">
    <w:panose1 w:val="05040102010807070707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space"/>
    </w:lvl>
  </w:abstractNum>
  <w:abstractNum w:abstractNumId="1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space"/>
    </w:lvl>
  </w:abstractNum>
  <w:abstractNum w:abstractNumId="2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space"/>
    </w:lvl>
  </w:abstractNum>
  <w:abstractNum w:abstractNumId="3">
    <w:lvl w:ilvl="0">
      <w:isLgl w:val="false"/>
      <w:lvlJc w:val="left"/>
      <w:lvlText w:val=""/>
      <w:numFmt w:val="bullet"/>
      <w:pPr>
        <w:pBdr/>
        <w:spacing/>
        <w:ind w:hanging="360" w:left="720"/>
      </w:pPr>
      <w:rPr>
        <w:rFonts w:hint="default" w:ascii="Symbol" w:hAnsi="Symbol"/>
      </w:rPr>
      <w:start w:val="1"/>
      <w:suff w:val="space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cs="Courier New"/>
      </w:rPr>
      <w:start w:val="1"/>
      <w:suff w:val="space"/>
    </w:lvl>
    <w:lvl w:ilvl="2">
      <w:isLgl w:val="false"/>
      <w:lvlJc w:val="left"/>
      <w:lvlText w:val=""/>
      <w:numFmt w:val="bullet"/>
      <w:pPr>
        <w:pBdr/>
        <w:spacing/>
        <w:ind w:hanging="360" w:left="2160"/>
      </w:pPr>
      <w:rPr>
        <w:rFonts w:hint="default" w:ascii="Wingdings" w:hAnsi="Wingdings"/>
      </w:rPr>
      <w:start w:val="1"/>
      <w:suff w:val="space"/>
    </w:lvl>
    <w:lvl w:ilvl="3">
      <w:isLgl w:val="false"/>
      <w:lvlJc w:val="left"/>
      <w:lvlText w:val=""/>
      <w:numFmt w:val="bullet"/>
      <w:pPr>
        <w:pBdr/>
        <w:spacing/>
        <w:ind w:hanging="360" w:left="2880"/>
      </w:pPr>
      <w:rPr>
        <w:rFonts w:hint="default" w:ascii="Symbol" w:hAnsi="Symbol"/>
      </w:rPr>
      <w:start w:val="1"/>
      <w:suff w:val="space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cs="Courier New"/>
      </w:rPr>
      <w:start w:val="1"/>
      <w:suff w:val="space"/>
    </w:lvl>
    <w:lvl w:ilvl="5">
      <w:isLgl w:val="false"/>
      <w:lvlJc w:val="left"/>
      <w:lvlText w:val=""/>
      <w:numFmt w:val="bullet"/>
      <w:pPr>
        <w:pBdr/>
        <w:spacing/>
        <w:ind w:hanging="360" w:left="4320"/>
      </w:pPr>
      <w:rPr>
        <w:rFonts w:hint="default" w:ascii="Wingdings" w:hAnsi="Wingdings"/>
      </w:rPr>
      <w:start w:val="1"/>
      <w:suff w:val="space"/>
    </w:lvl>
    <w:lvl w:ilvl="6">
      <w:isLgl w:val="false"/>
      <w:lvlJc w:val="left"/>
      <w:lvlText w:val=""/>
      <w:numFmt w:val="bullet"/>
      <w:pPr>
        <w:pBdr/>
        <w:spacing/>
        <w:ind w:hanging="360" w:left="5040"/>
      </w:pPr>
      <w:rPr>
        <w:rFonts w:hint="default" w:ascii="Symbol" w:hAnsi="Symbol"/>
      </w:rPr>
      <w:start w:val="1"/>
      <w:suff w:val="space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cs="Courier New"/>
      </w:rPr>
      <w:start w:val="1"/>
      <w:suff w:val="space"/>
    </w:lvl>
    <w:lvl w:ilvl="8">
      <w:isLgl w:val="false"/>
      <w:lvlJc w:val="left"/>
      <w:lvlText w:val=""/>
      <w:numFmt w:val="bullet"/>
      <w:pPr>
        <w:pBdr/>
        <w:spacing/>
        <w:ind w:hanging="360" w:left="6480"/>
      </w:pPr>
      <w:rPr>
        <w:rFonts w:hint="default" w:ascii="Wingdings" w:hAnsi="Wingdings"/>
      </w:rPr>
      <w:start w:val="1"/>
      <w:suff w:val="space"/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AU" w:eastAsia="en-US" w:bidi="ar-SA"/>
        <w14:ligatures w14:val="standardContextual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5">
    <w:name w:val="Heading 2"/>
    <w:basedOn w:val="625"/>
    <w:next w:val="625"/>
    <w:link w:val="16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27"/>
    <w:link w:val="15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17">
    <w:name w:val="Heading 3"/>
    <w:basedOn w:val="625"/>
    <w:next w:val="625"/>
    <w:link w:val="18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27"/>
    <w:link w:val="17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19">
    <w:name w:val="Heading 4"/>
    <w:basedOn w:val="625"/>
    <w:next w:val="625"/>
    <w:link w:val="20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27"/>
    <w:link w:val="1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25"/>
    <w:next w:val="625"/>
    <w:link w:val="22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27"/>
    <w:link w:val="21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5"/>
    <w:next w:val="625"/>
    <w:link w:val="24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7"/>
    <w:link w:val="23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5"/>
    <w:next w:val="625"/>
    <w:link w:val="26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7"/>
    <w:link w:val="25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5"/>
    <w:next w:val="625"/>
    <w:link w:val="28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7"/>
    <w:link w:val="27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5"/>
    <w:next w:val="625"/>
    <w:link w:val="30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7"/>
    <w:link w:val="29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pBdr/>
      <w:spacing w:after="0" w:before="0" w:line="240" w:lineRule="auto"/>
      <w:ind/>
    </w:pPr>
  </w:style>
  <w:style w:type="paragraph" w:styleId="34">
    <w:name w:val="Title"/>
    <w:basedOn w:val="625"/>
    <w:next w:val="625"/>
    <w:link w:val="35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35">
    <w:name w:val="Title Char"/>
    <w:basedOn w:val="627"/>
    <w:link w:val="34"/>
    <w:uiPriority w:val="10"/>
    <w:pPr>
      <w:pBdr/>
      <w:spacing/>
      <w:ind/>
    </w:pPr>
    <w:rPr>
      <w:sz w:val="48"/>
      <w:szCs w:val="48"/>
    </w:rPr>
  </w:style>
  <w:style w:type="paragraph" w:styleId="36">
    <w:name w:val="Subtitle"/>
    <w:basedOn w:val="625"/>
    <w:next w:val="625"/>
    <w:link w:val="37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37">
    <w:name w:val="Subtitle Char"/>
    <w:basedOn w:val="627"/>
    <w:link w:val="36"/>
    <w:uiPriority w:val="11"/>
    <w:pPr>
      <w:pBdr/>
      <w:spacing/>
      <w:ind/>
    </w:pPr>
    <w:rPr>
      <w:sz w:val="24"/>
      <w:szCs w:val="24"/>
    </w:rPr>
  </w:style>
  <w:style w:type="paragraph" w:styleId="38">
    <w:name w:val="Quote"/>
    <w:basedOn w:val="625"/>
    <w:next w:val="625"/>
    <w:link w:val="39"/>
    <w:uiPriority w:val="29"/>
    <w:qFormat/>
    <w:pPr>
      <w:pBdr/>
      <w:spacing/>
      <w:ind w:right="720" w:left="720"/>
    </w:pPr>
    <w:rPr>
      <w:i/>
    </w:rPr>
  </w:style>
  <w:style w:type="character" w:styleId="39">
    <w:name w:val="Quote Char"/>
    <w:link w:val="38"/>
    <w:uiPriority w:val="29"/>
    <w:pPr>
      <w:pBdr/>
      <w:spacing/>
      <w:ind/>
    </w:pPr>
    <w:rPr>
      <w:i/>
    </w:rPr>
  </w:style>
  <w:style w:type="paragraph" w:styleId="40">
    <w:name w:val="Intense Quote"/>
    <w:basedOn w:val="625"/>
    <w:next w:val="625"/>
    <w:link w:val="41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41">
    <w:name w:val="Intense Quote Char"/>
    <w:link w:val="40"/>
    <w:uiPriority w:val="30"/>
    <w:pPr>
      <w:pBdr/>
      <w:spacing/>
      <w:ind/>
    </w:pPr>
    <w:rPr>
      <w:i/>
    </w:rPr>
  </w:style>
  <w:style w:type="paragraph" w:styleId="42">
    <w:name w:val="Header"/>
    <w:basedOn w:val="625"/>
    <w:link w:val="43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3">
    <w:name w:val="Header Char"/>
    <w:basedOn w:val="627"/>
    <w:link w:val="42"/>
    <w:uiPriority w:val="99"/>
    <w:pPr>
      <w:pBdr/>
      <w:spacing/>
      <w:ind/>
    </w:pPr>
  </w:style>
  <w:style w:type="paragraph" w:styleId="44">
    <w:name w:val="Footer"/>
    <w:basedOn w:val="625"/>
    <w:link w:val="47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45">
    <w:name w:val="Footer Char"/>
    <w:basedOn w:val="627"/>
    <w:link w:val="44"/>
    <w:uiPriority w:val="99"/>
    <w:pPr>
      <w:pBdr/>
      <w:spacing/>
      <w:ind/>
    </w:pPr>
  </w:style>
  <w:style w:type="paragraph" w:styleId="46">
    <w:name w:val="Caption"/>
    <w:basedOn w:val="625"/>
    <w:next w:val="625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  <w:pPr>
      <w:pBdr/>
      <w:spacing/>
      <w:ind/>
    </w:pPr>
  </w:style>
  <w:style w:type="table" w:styleId="49">
    <w:name w:val="Table Grid Light"/>
    <w:basedOn w:val="62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Plain Table 1"/>
    <w:basedOn w:val="62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Plain Table 2"/>
    <w:basedOn w:val="628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Plain Table 3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Plain Table 4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Plain Table 5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1 Light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1 Light - Accent 1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1 Light - Accent 2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1 Light - Accent 3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1 Light - Accent 4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1 Light - Accent 5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1 Light - Accent 6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2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2 - Accent 1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2 - Accent 2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2 - Accent 3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2 - Accent 4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2 - Accent 5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Grid Table 2 - Accent 6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Grid Table 3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Grid Table 3 - Accent 1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Grid Table 3 - Accent 2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Grid Table 3 - Accent 3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Grid Table 3 - Accent 4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Grid Table 3 - Accent 5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Grid Table 3 - Accent 6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Grid Table 4"/>
    <w:basedOn w:val="6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Grid Table 4 - Accent 1"/>
    <w:basedOn w:val="6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Grid Table 4 - Accent 2"/>
    <w:basedOn w:val="6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Grid Table 4 - Accent 3"/>
    <w:basedOn w:val="6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Grid Table 4 - Accent 4"/>
    <w:basedOn w:val="6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Grid Table 4 - Accent 5"/>
    <w:basedOn w:val="6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Grid Table 4 - Accent 6"/>
    <w:basedOn w:val="62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Grid Table 5 Dark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Grid Table 5 Dark- Accent 1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abfe3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abfe3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Grid Table 5 Dark - Accent 2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6c3a1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Grid Table 5 Dark - Accent 3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Grid Table 5 Dark- Accent 4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ee189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Grid Table 5 Dark - Accent 5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2eb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2eb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Grid Table 5 Dark - Accent 6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e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Grid Table 6 Colorful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Grid Table 6 Colorful - Accent 1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4a9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4a9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4a9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Grid Table 6 Colorful - Accent 2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Grid Table 6 Colorful - Accent 3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Grid Table 6 Colorful - Accent 4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Grid Table 6 Colorful - Accent 5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Grid Table 6 Colorful - Accent 6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d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Grid Table 7 Colorful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Grid Table 7 Colorful - Accent 1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2" w:themeFill="accent1" w:themeFillTint="34"/>
        <w:tcBorders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Grid Table 7 Colorful - Accent 2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Grid Table 7 Colorful - Accent 3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Grid Table 7 Colorful - Accent 4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Grid Table 7 Colorful - Accent 5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Horz">
      <w:rPr>
        <w:rFonts w:ascii="Arial" w:hAnsi="Arial"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Grid Table 7 Colorful - Accent 6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Horz">
      <w:rPr>
        <w:rFonts w:ascii="Arial" w:hAnsi="Arial"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1 Light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1 Light - Accent 1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1 Light - Accent 2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1 Light - Accent 3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1 Light - Accent 4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1 Light - Accent 5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1 Light - Accent 6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2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2 - Accent 1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2 - Accent 2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2 - Accent 3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2 - Accent 4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2 - Accent 5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st Table 2 - Accent 6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st Table 3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st Table 3 - Accent 1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st Table 3 - Accent 2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st Table 3 - Accent 3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st Table 3 - Accent 4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st Table 3 - Accent 5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List Table 3 - Accent 6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List Table 4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List Table 4 - Accent 1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List Table 4 - Accent 2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List Table 4 - Accent 3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List Table 4 - Accent 4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List Table 4 - Accent 5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List Table 4 - Accent 6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List Table 5 Dark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List Table 5 Dark - Accent 1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List Table 5 Dark - Accent 2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List Table 5 Dark - Accent 3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List Table 5 Dark - Accent 4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List Table 5 Dark - Accent 5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8">
    <w:name w:val="List Table 5 Dark - Accent 6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39">
    <w:name w:val="List Table 6 Colorful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0">
    <w:name w:val="List Table 6 Colorful - Accent 1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374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374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374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1">
    <w:name w:val="List Table 6 Colorful - Accent 2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57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2">
    <w:name w:val="List Table 6 Colorful - Accent 3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3">
    <w:name w:val="List Table 6 Colorful - Accent 4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d96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4">
    <w:name w:val="List Table 6 Colorful - Accent 5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8b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8b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8b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5">
    <w:name w:val="List Table 6 Colorful - Accent 6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f8f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6">
    <w:name w:val="List Table 7 Colorful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7">
    <w:name w:val="List Table 7 Colorful - Accent 1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cfdcf0" w:themeFill="accent1" w:themeFillTint="40"/>
        <w:tcBorders/>
      </w:tcPr>
    </w:tblStylePr>
    <w:tblStylePr w:type="band2Horz">
      <w:rPr>
        <w:rFonts w:ascii="Arial" w:hAnsi="Arial"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374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8">
    <w:name w:val="List Table 7 Colorful - Accent 2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49">
    <w:name w:val="List Table 7 Colorful - Accent 3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0">
    <w:name w:val="List Table 7 Colorful - Accent 4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1">
    <w:name w:val="List Table 7 Colorful - Accent 5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5e6f4" w:themeFill="accent5" w:themeFillTint="40"/>
        <w:tcBorders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2">
    <w:name w:val="List Table 7 Colorful - Accent 6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bd0" w:themeFill="accent6" w:themeFillTint="40"/>
        <w:tcBorders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53">
    <w:name w:val="Lined - Accent"/>
    <w:basedOn w:val="6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4">
    <w:name w:val="Lined - Accent 1"/>
    <w:basedOn w:val="6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3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3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5">
    <w:name w:val="Lined - Accent 2"/>
    <w:basedOn w:val="6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6">
    <w:name w:val="Lined - Accent 3"/>
    <w:basedOn w:val="6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7">
    <w:name w:val="Lined - Accent 4"/>
    <w:basedOn w:val="6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8">
    <w:name w:val="Lined - Accent 5"/>
    <w:basedOn w:val="6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9">
    <w:name w:val="Lined - Accent 6"/>
    <w:basedOn w:val="6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0">
    <w:name w:val="Bordered &amp; Lined - Accent"/>
    <w:basedOn w:val="6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1">
    <w:name w:val="Bordered &amp; Lined - Accent 1"/>
    <w:basedOn w:val="6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3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3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f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2">
    <w:name w:val="Bordered &amp; Lined - Accent 2"/>
    <w:basedOn w:val="6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1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3">
    <w:name w:val="Bordered &amp; Lined - Accent 3"/>
    <w:basedOn w:val="6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4">
    <w:name w:val="Bordered &amp; Lined - Accent 4"/>
    <w:basedOn w:val="6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e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864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5">
    <w:name w:val="Bordered &amp; Lined - Accent 5"/>
    <w:basedOn w:val="6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d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6">
    <w:name w:val="Bordered &amp; Lined - Accent 6"/>
    <w:basedOn w:val="62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7">
    <w:name w:val="Bordered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8">
    <w:name w:val="Bordered - Accent 1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9">
    <w:name w:val="Bordered - Accent 2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0">
    <w:name w:val="Bordered - Accent 3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1">
    <w:name w:val="Bordered - Accent 4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2">
    <w:name w:val="Bordered - Accent 5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3">
    <w:name w:val="Bordered - Accent 6"/>
    <w:basedOn w:val="62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74">
    <w:name w:val="Hyperlink"/>
    <w:uiPriority w:val="99"/>
    <w:unhideWhenUsed/>
    <w:pPr>
      <w:pBdr/>
      <w:spacing/>
      <w:ind/>
    </w:pPr>
    <w:rPr>
      <w:color w:val="0000ff" w:themeColor="hyperlink"/>
      <w:u w:val="single"/>
    </w:rPr>
  </w:style>
  <w:style w:type="paragraph" w:styleId="175">
    <w:name w:val="footnote text"/>
    <w:basedOn w:val="625"/>
    <w:link w:val="176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176">
    <w:name w:val="Footnote Text Char"/>
    <w:link w:val="175"/>
    <w:uiPriority w:val="99"/>
    <w:pPr>
      <w:pBdr/>
      <w:spacing/>
      <w:ind/>
    </w:pPr>
    <w:rPr>
      <w:sz w:val="18"/>
    </w:rPr>
  </w:style>
  <w:style w:type="character" w:styleId="177">
    <w:name w:val="footnote reference"/>
    <w:basedOn w:val="627"/>
    <w:uiPriority w:val="99"/>
    <w:unhideWhenUsed/>
    <w:pPr>
      <w:pBdr/>
      <w:spacing/>
      <w:ind/>
    </w:pPr>
    <w:rPr>
      <w:vertAlign w:val="superscript"/>
    </w:rPr>
  </w:style>
  <w:style w:type="paragraph" w:styleId="178">
    <w:name w:val="endnote text"/>
    <w:basedOn w:val="625"/>
    <w:link w:val="179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179">
    <w:name w:val="Endnote Text Char"/>
    <w:link w:val="178"/>
    <w:uiPriority w:val="99"/>
    <w:pPr>
      <w:pBdr/>
      <w:spacing/>
      <w:ind/>
    </w:pPr>
    <w:rPr>
      <w:sz w:val="20"/>
    </w:rPr>
  </w:style>
  <w:style w:type="character" w:styleId="180">
    <w:name w:val="endnote reference"/>
    <w:basedOn w:val="627"/>
    <w:uiPriority w:val="99"/>
    <w:semiHidden/>
    <w:unhideWhenUsed/>
    <w:pPr>
      <w:pBdr/>
      <w:spacing/>
      <w:ind/>
    </w:pPr>
    <w:rPr>
      <w:vertAlign w:val="superscript"/>
    </w:rPr>
  </w:style>
  <w:style w:type="paragraph" w:styleId="181">
    <w:name w:val="toc 1"/>
    <w:basedOn w:val="625"/>
    <w:next w:val="625"/>
    <w:uiPriority w:val="39"/>
    <w:unhideWhenUsed/>
    <w:pPr>
      <w:pBdr/>
      <w:spacing w:after="57"/>
      <w:ind w:right="0" w:firstLine="0" w:left="0"/>
    </w:pPr>
  </w:style>
  <w:style w:type="paragraph" w:styleId="182">
    <w:name w:val="toc 2"/>
    <w:basedOn w:val="625"/>
    <w:next w:val="625"/>
    <w:uiPriority w:val="39"/>
    <w:unhideWhenUsed/>
    <w:pPr>
      <w:pBdr/>
      <w:spacing w:after="57"/>
      <w:ind w:right="0" w:firstLine="0" w:left="283"/>
    </w:pPr>
  </w:style>
  <w:style w:type="paragraph" w:styleId="183">
    <w:name w:val="toc 3"/>
    <w:basedOn w:val="625"/>
    <w:next w:val="625"/>
    <w:uiPriority w:val="39"/>
    <w:unhideWhenUsed/>
    <w:pPr>
      <w:pBdr/>
      <w:spacing w:after="57"/>
      <w:ind w:right="0" w:firstLine="0" w:left="567"/>
    </w:pPr>
  </w:style>
  <w:style w:type="paragraph" w:styleId="184">
    <w:name w:val="toc 4"/>
    <w:basedOn w:val="625"/>
    <w:next w:val="625"/>
    <w:uiPriority w:val="39"/>
    <w:unhideWhenUsed/>
    <w:pPr>
      <w:pBdr/>
      <w:spacing w:after="57"/>
      <w:ind w:right="0" w:firstLine="0" w:left="850"/>
    </w:pPr>
  </w:style>
  <w:style w:type="paragraph" w:styleId="185">
    <w:name w:val="toc 5"/>
    <w:basedOn w:val="625"/>
    <w:next w:val="625"/>
    <w:uiPriority w:val="39"/>
    <w:unhideWhenUsed/>
    <w:pPr>
      <w:pBdr/>
      <w:spacing w:after="57"/>
      <w:ind w:right="0" w:firstLine="0" w:left="1134"/>
    </w:pPr>
  </w:style>
  <w:style w:type="paragraph" w:styleId="186">
    <w:name w:val="toc 6"/>
    <w:basedOn w:val="625"/>
    <w:next w:val="625"/>
    <w:uiPriority w:val="39"/>
    <w:unhideWhenUsed/>
    <w:pPr>
      <w:pBdr/>
      <w:spacing w:after="57"/>
      <w:ind w:right="0" w:firstLine="0" w:left="1417"/>
    </w:pPr>
  </w:style>
  <w:style w:type="paragraph" w:styleId="187">
    <w:name w:val="toc 7"/>
    <w:basedOn w:val="625"/>
    <w:next w:val="625"/>
    <w:uiPriority w:val="39"/>
    <w:unhideWhenUsed/>
    <w:pPr>
      <w:pBdr/>
      <w:spacing w:after="57"/>
      <w:ind w:right="0" w:firstLine="0" w:left="1701"/>
    </w:pPr>
  </w:style>
  <w:style w:type="paragraph" w:styleId="188">
    <w:name w:val="toc 8"/>
    <w:basedOn w:val="625"/>
    <w:next w:val="625"/>
    <w:uiPriority w:val="39"/>
    <w:unhideWhenUsed/>
    <w:pPr>
      <w:pBdr/>
      <w:spacing w:after="57"/>
      <w:ind w:right="0" w:firstLine="0" w:left="1984"/>
    </w:pPr>
  </w:style>
  <w:style w:type="paragraph" w:styleId="189">
    <w:name w:val="toc 9"/>
    <w:basedOn w:val="625"/>
    <w:next w:val="625"/>
    <w:uiPriority w:val="39"/>
    <w:unhideWhenUsed/>
    <w:pPr>
      <w:pBdr/>
      <w:spacing w:after="57"/>
      <w:ind w:right="0" w:firstLine="0" w:left="2268"/>
    </w:pPr>
  </w:style>
  <w:style w:type="paragraph" w:styleId="190">
    <w:name w:val="TOC Heading"/>
    <w:uiPriority w:val="39"/>
    <w:unhideWhenUsed/>
    <w:pPr>
      <w:pBdr/>
      <w:spacing/>
      <w:ind/>
    </w:pPr>
  </w:style>
  <w:style w:type="paragraph" w:styleId="191">
    <w:name w:val="table of figures"/>
    <w:basedOn w:val="625"/>
    <w:next w:val="625"/>
    <w:uiPriority w:val="99"/>
    <w:unhideWhenUsed/>
    <w:pPr>
      <w:pBdr/>
      <w:spacing w:after="0" w:afterAutospacing="0"/>
      <w:ind/>
    </w:pPr>
  </w:style>
  <w:style w:type="paragraph" w:styleId="625" w:default="1">
    <w:name w:val="Normal"/>
    <w:qFormat/>
    <w:pPr>
      <w:pBdr/>
      <w:spacing/>
      <w:ind/>
    </w:pPr>
  </w:style>
  <w:style w:type="paragraph" w:styleId="626">
    <w:name w:val="Heading 1"/>
    <w:basedOn w:val="625"/>
    <w:next w:val="625"/>
    <w:link w:val="635"/>
    <w:uiPriority w:val="9"/>
    <w:qFormat/>
    <w:pPr>
      <w:keepNext w:val="true"/>
      <w:keepLines w:val="true"/>
      <w:pBdr/>
      <w:spacing w:after="0" w:before="240"/>
      <w:ind/>
      <w:outlineLvl w:val="0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627" w:default="1">
    <w:name w:val="Default Paragraph Font"/>
    <w:uiPriority w:val="1"/>
    <w:semiHidden/>
    <w:unhideWhenUsed/>
    <w:pPr>
      <w:pBdr/>
      <w:spacing/>
      <w:ind/>
    </w:pPr>
  </w:style>
  <w:style w:type="table" w:styleId="628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29" w:default="1">
    <w:name w:val="No List"/>
    <w:uiPriority w:val="99"/>
    <w:semiHidden/>
    <w:unhideWhenUsed/>
    <w:pPr>
      <w:pBdr/>
      <w:spacing/>
      <w:ind/>
    </w:pPr>
  </w:style>
  <w:style w:type="table" w:styleId="630">
    <w:name w:val="Table Grid"/>
    <w:basedOn w:val="628"/>
    <w:uiPriority w:val="3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1">
    <w:name w:val="Grid Table 4 Accent 1"/>
    <w:basedOn w:val="628"/>
    <w:uiPriority w:val="4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eaadb" w:themeColor="accent1" w:themeTint="99" w:sz="4" w:space="0"/>
        <w:left w:val="single" w:color="8eaadb" w:themeColor="accent1" w:themeTint="99" w:sz="4" w:space="0"/>
        <w:bottom w:val="single" w:color="8eaadb" w:themeColor="accent1" w:themeTint="99" w:sz="4" w:space="0"/>
        <w:right w:val="single" w:color="8eaadb" w:themeColor="accent1" w:themeTint="99" w:sz="4" w:space="0"/>
        <w:insideH w:val="single" w:color="8eaadb" w:themeColor="accent1" w:themeTint="99" w:sz="4" w:space="0"/>
        <w:insideV w:val="single" w:color="8eaadb" w:themeColor="accent1" w:themeTint="9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d9e2f3" w:themeFill="accent1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d9e2f3" w:themeFill="accent1" w:themeFillTint="3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4472c4" w:themeFill="accent1"/>
        <w:tcBorders>
          <w:top w:val="single" w:color="4472c4" w:themeColor="accent1" w:sz="4" w:space="0"/>
          <w:left w:val="single" w:color="4472c4" w:themeColor="accent1" w:sz="4" w:space="0"/>
          <w:bottom w:val="single" w:color="4472c4" w:themeColor="accent1" w:sz="4" w:space="0"/>
          <w:right w:val="single" w:color="4472c4" w:themeColor="accent1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32">
    <w:name w:val="List Paragraph"/>
    <w:basedOn w:val="625"/>
    <w:uiPriority w:val="34"/>
    <w:qFormat/>
    <w:pPr>
      <w:pBdr/>
      <w:spacing/>
      <w:ind w:left="720"/>
      <w:contextualSpacing w:val="true"/>
    </w:pPr>
  </w:style>
  <w:style w:type="table" w:styleId="633">
    <w:name w:val="Grid Table 4 Accent 2"/>
    <w:basedOn w:val="628"/>
    <w:uiPriority w:val="4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083" w:themeColor="accent2" w:themeTint="99" w:sz="4" w:space="0"/>
        <w:left w:val="single" w:color="f4b083" w:themeColor="accent2" w:themeTint="99" w:sz="4" w:space="0"/>
        <w:bottom w:val="single" w:color="f4b083" w:themeColor="accent2" w:themeTint="99" w:sz="4" w:space="0"/>
        <w:right w:val="single" w:color="f4b083" w:themeColor="accent2" w:themeTint="99" w:sz="4" w:space="0"/>
        <w:insideH w:val="single" w:color="f4b083" w:themeColor="accent2" w:themeTint="99" w:sz="4" w:space="0"/>
        <w:insideV w:val="single" w:color="f4b083" w:themeColor="accent2" w:themeTint="9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fbe4d5" w:themeFill="accent2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fbe4d5" w:themeFill="accent2" w:themeFillTint="3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ed7d31" w:themeFill="accent2"/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4">
    <w:name w:val="Grid Table 4 Accent 3"/>
    <w:basedOn w:val="628"/>
    <w:uiPriority w:val="4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uto" w:fill="ededed" w:themeFill="accent3" w:themeFillTint="33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uto" w:fill="ededed" w:themeFill="accent3" w:themeFillTint="33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bCs/>
        <w:color w:val="ffffff" w:themeColor="background1"/>
      </w:rPr>
      <w:pPr>
        <w:pBdr/>
        <w:spacing/>
        <w:ind/>
      </w:pPr>
      <w:tblPr>
        <w:tblBorders/>
      </w:tblPr>
      <w:tcPr>
        <w:shd w:val="clear" w:color="auto" w:fill="a5a5a5" w:themeFill="accent3"/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  <w:tblStylePr w:type="lastCol">
      <w:rPr>
        <w:b/>
        <w:bCs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bCs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635" w:customStyle="1">
    <w:name w:val="Heading 1 Char"/>
    <w:basedOn w:val="627"/>
    <w:link w:val="626"/>
    <w:uiPriority w:val="9"/>
    <w:pPr>
      <w:pBdr/>
      <w:spacing/>
      <w:ind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onlyoffice/7.5.0.125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SRR</dc:creator>
  <cp:keywords/>
  <dc:description/>
  <cp:lastModifiedBy>Apolitical Content</cp:lastModifiedBy>
  <cp:revision>2</cp:revision>
  <dcterms:created xsi:type="dcterms:W3CDTF">2023-12-12T09:33:00Z</dcterms:created>
  <dcterms:modified xsi:type="dcterms:W3CDTF">2024-01-23T14:27:33Z</dcterms:modified>
</cp:coreProperties>
</file>