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lineRule="auto"/>
        <w:rPr>
          <w:rFonts w:ascii="Helvetica Neue Light" w:cs="Helvetica Neue Light" w:eastAsia="Helvetica Neue Light" w:hAnsi="Helvetica Neue Light"/>
          <w:color w:val="151921"/>
          <w:sz w:val="20"/>
          <w:szCs w:val="20"/>
        </w:rPr>
      </w:pPr>
      <w:bookmarkStart w:colFirst="0" w:colLast="0" w:name="_wbvcil6erql1" w:id="0"/>
      <w:bookmarkEnd w:id="0"/>
      <w:r w:rsidDel="00000000" w:rsidR="00000000" w:rsidRPr="00000000">
        <w:rPr>
          <w:rFonts w:ascii="Impact" w:cs="Impact" w:eastAsia="Impact" w:hAnsi="Impact"/>
          <w:color w:val="776be0"/>
          <w:sz w:val="54"/>
          <w:szCs w:val="54"/>
          <w:rtl w:val="0"/>
        </w:rPr>
        <w:t xml:space="preserve">Kaufman's Model of Learning Evaluation: Post-training question template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300" w:lineRule="auto"/>
        <w:jc w:val="both"/>
        <w:rPr>
          <w:rFonts w:ascii="Helvetica Neue Light" w:cs="Helvetica Neue Light" w:eastAsia="Helvetica Neue Light" w:hAnsi="Helvetica Neue Light"/>
          <w:color w:val="151921"/>
        </w:rPr>
      </w:pPr>
      <w:r w:rsidDel="00000000" w:rsidR="00000000" w:rsidRPr="00000000">
        <w:rPr>
          <w:rFonts w:ascii="Helvetica Neue Light" w:cs="Helvetica Neue Light" w:eastAsia="Helvetica Neue Light" w:hAnsi="Helvetica Neue Light"/>
          <w:color w:val="151921"/>
          <w:rtl w:val="0"/>
        </w:rPr>
        <w:t xml:space="preserve">This document provides a short list of potential post-training survey questions, as part of step 5 of Kaufman's model of learning evaluation. </w:t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300" w:lineRule="auto"/>
        <w:jc w:val="both"/>
        <w:rPr>
          <w:rFonts w:ascii="Helvetica Neue Light" w:cs="Helvetica Neue Light" w:eastAsia="Helvetica Neue Light" w:hAnsi="Helvetica Neue Light"/>
          <w:color w:val="151921"/>
        </w:rPr>
      </w:pPr>
      <w:r w:rsidDel="00000000" w:rsidR="00000000" w:rsidRPr="00000000">
        <w:rPr>
          <w:rFonts w:ascii="Helvetica Neue Light" w:cs="Helvetica Neue Light" w:eastAsia="Helvetica Neue Light" w:hAnsi="Helvetica Neue Light"/>
          <w:color w:val="151921"/>
          <w:rtl w:val="0"/>
        </w:rPr>
        <w:t xml:space="preserve">Remember: You should ensure that any post-training questions align with those in the pre-training survey (in order to measure progress / changes to results). </w:t>
      </w: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249.337910740559"/>
        <w:gridCol w:w="7110.662089259441"/>
        <w:tblGridChange w:id="0">
          <w:tblGrid>
            <w:gridCol w:w="2249.337910740559"/>
            <w:gridCol w:w="7110.662089259441"/>
          </w:tblGrid>
        </w:tblGridChange>
      </w:tblGrid>
      <w:tr>
        <w:trPr>
          <w:cantSplit w:val="0"/>
          <w:trHeight w:val="615" w:hRule="atLeast"/>
          <w:tblHeader w:val="0"/>
        </w:trPr>
        <w:tc>
          <w:tcPr>
            <w:tcBorders>
              <w:top w:color="000000" w:space="0" w:sz="8" w:val="single"/>
              <w:left w:color="000000" w:space="0" w:sz="3" w:val="single"/>
              <w:bottom w:color="000000" w:space="0" w:sz="3" w:val="single"/>
              <w:right w:color="000000" w:space="0" w:sz="3" w:val="single"/>
            </w:tcBorders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b w:val="1"/>
                <w:color w:val="151921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color w:val="151921"/>
                <w:rtl w:val="0"/>
              </w:rPr>
              <w:t xml:space="preserve">Participants’ Background and Current Area of Work</w:t>
            </w:r>
          </w:p>
        </w:tc>
        <w:tc>
          <w:tcPr>
            <w:tcBorders>
              <w:top w:color="000000" w:space="0" w:sz="8" w:val="single"/>
              <w:left w:color="000000" w:space="0" w:sz="3" w:val="single"/>
              <w:bottom w:color="000000" w:space="0" w:sz="3" w:val="single"/>
              <w:right w:color="000000" w:space="0" w:sz="3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widowControl w:val="0"/>
              <w:numPr>
                <w:ilvl w:val="0"/>
                <w:numId w:val="2"/>
              </w:num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ind w:left="720" w:hanging="360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Sex/Gender: How do you identify? (Options: Male, Female, Non-Binary, Prefer not to say, Other: ____)</w:t>
            </w:r>
          </w:p>
          <w:p w:rsidR="00000000" w:rsidDel="00000000" w:rsidP="00000000" w:rsidRDefault="00000000" w:rsidRPr="00000000" w14:paraId="00000007">
            <w:pPr>
              <w:widowControl w:val="0"/>
              <w:numPr>
                <w:ilvl w:val="0"/>
                <w:numId w:val="2"/>
              </w:num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ind w:left="720" w:hanging="360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Department/Area of Work: In which department or area do you primarily work?</w:t>
            </w:r>
          </w:p>
          <w:p w:rsidR="00000000" w:rsidDel="00000000" w:rsidP="00000000" w:rsidRDefault="00000000" w:rsidRPr="00000000" w14:paraId="00000008">
            <w:pPr>
              <w:widowControl w:val="0"/>
              <w:numPr>
                <w:ilvl w:val="0"/>
                <w:numId w:val="2"/>
              </w:num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ind w:left="720" w:hanging="360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Professional Background: Briefly describe your professional background and areas of expertise.</w:t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3" w:val="single"/>
              <w:bottom w:color="000000" w:space="0" w:sz="3" w:val="single"/>
              <w:right w:color="000000" w:space="0" w:sz="3" w:val="single"/>
            </w:tcBorders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b w:val="1"/>
                <w:color w:val="151921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color w:val="151921"/>
                <w:rtl w:val="0"/>
              </w:rPr>
              <w:t xml:space="preserve">Participants’ Familiarity with key theories and concepts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3" w:val="single"/>
              <w:bottom w:color="000000" w:space="0" w:sz="3" w:val="single"/>
              <w:right w:color="000000" w:space="0" w:sz="3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On a scale from 1-5, how would you rate your understanding of *</w:t>
            </w:r>
            <w:r w:rsidDel="00000000" w:rsidR="00000000" w:rsidRPr="00000000">
              <w:rPr>
                <w:rFonts w:ascii="Helvetica Neue Light" w:cs="Helvetica Neue Light" w:eastAsia="Helvetica Neue Light" w:hAnsi="Helvetica Neue Light"/>
                <w:i w:val="1"/>
                <w:color w:val="151921"/>
                <w:rtl w:val="0"/>
              </w:rPr>
              <w:t xml:space="preserve">insert topic*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widowControl w:val="0"/>
              <w:numPr>
                <w:ilvl w:val="0"/>
                <w:numId w:val="1"/>
              </w:num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ind w:left="720" w:hanging="360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Familiar Concepts: Please list some key concepts or theories with which you are now familiar.</w:t>
            </w:r>
          </w:p>
          <w:p w:rsidR="00000000" w:rsidDel="00000000" w:rsidP="00000000" w:rsidRDefault="00000000" w:rsidRPr="00000000" w14:paraId="0000000C">
            <w:pPr>
              <w:widowControl w:val="0"/>
              <w:numPr>
                <w:ilvl w:val="0"/>
                <w:numId w:val="1"/>
              </w:num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ind w:left="720" w:hanging="360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Unfamiliar Concepts: Please list any key terms, theories or concepts that you still find confusing or would like to know more about.</w:t>
            </w:r>
          </w:p>
          <w:p w:rsidR="00000000" w:rsidDel="00000000" w:rsidP="00000000" w:rsidRDefault="00000000" w:rsidRPr="00000000" w14:paraId="0000000D">
            <w:pPr>
              <w:widowControl w:val="0"/>
              <w:numPr>
                <w:ilvl w:val="0"/>
                <w:numId w:val="1"/>
              </w:num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ind w:left="720" w:hanging="360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Can you name three strategies, lessons or tools you learned in the (</w:t>
            </w:r>
            <w:r w:rsidDel="00000000" w:rsidR="00000000" w:rsidRPr="00000000">
              <w:rPr>
                <w:rFonts w:ascii="Helvetica Neue Light" w:cs="Helvetica Neue Light" w:eastAsia="Helvetica Neue Light" w:hAnsi="Helvetica Neue Light"/>
                <w:i w:val="1"/>
                <w:color w:val="151921"/>
                <w:rtl w:val="0"/>
              </w:rPr>
              <w:t xml:space="preserve">insert training name)</w:t>
            </w: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 </w:t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3" w:val="single"/>
              <w:bottom w:color="000000" w:space="0" w:sz="3" w:val="single"/>
              <w:right w:color="000000" w:space="0" w:sz="3" w:val="single"/>
            </w:tcBorders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b w:val="1"/>
                <w:color w:val="1519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3" w:val="single"/>
              <w:bottom w:color="000000" w:space="0" w:sz="3" w:val="single"/>
              <w:right w:color="000000" w:space="0" w:sz="3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35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3" w:val="single"/>
              <w:bottom w:color="000000" w:space="0" w:sz="3" w:val="single"/>
              <w:right w:color="000000" w:space="0" w:sz="3" w:val="single"/>
            </w:tcBorders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b w:val="1"/>
                <w:color w:val="1519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3" w:val="single"/>
              <w:bottom w:color="000000" w:space="0" w:sz="3" w:val="single"/>
              <w:right w:color="000000" w:space="0" w:sz="3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Borders>
              <w:top w:color="000000" w:space="0" w:sz="3" w:val="single"/>
              <w:left w:color="000000" w:space="0" w:sz="3" w:val="single"/>
              <w:bottom w:color="000000" w:space="0" w:sz="3" w:val="single"/>
              <w:right w:color="000000" w:space="0" w:sz="3" w:val="single"/>
            </w:tcBorders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b w:val="1"/>
                <w:color w:val="1519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3" w:val="single"/>
              <w:left w:color="000000" w:space="0" w:sz="3" w:val="single"/>
              <w:bottom w:color="000000" w:space="0" w:sz="3" w:val="single"/>
              <w:right w:color="000000" w:space="0" w:sz="3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0" w:hRule="atLeast"/>
          <w:tblHeader w:val="0"/>
        </w:trPr>
        <w:tc>
          <w:tcPr>
            <w:vMerge w:val="restart"/>
            <w:tcBorders>
              <w:top w:color="000000" w:space="0" w:sz="3" w:val="single"/>
              <w:left w:color="000000" w:space="0" w:sz="3" w:val="single"/>
              <w:bottom w:color="000000" w:space="0" w:sz="3" w:val="single"/>
              <w:right w:color="000000" w:space="0" w:sz="3" w:val="single"/>
            </w:tcBorders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b w:val="1"/>
                <w:color w:val="151921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color w:val="151921"/>
                <w:rtl w:val="0"/>
              </w:rPr>
              <w:t xml:space="preserve">Attitude and Perception</w:t>
            </w:r>
          </w:p>
        </w:tc>
        <w:tc>
          <w:tcPr>
            <w:vMerge w:val="restart"/>
            <w:tcBorders>
              <w:top w:color="000000" w:space="0" w:sz="3" w:val="single"/>
              <w:left w:color="000000" w:space="0" w:sz="3" w:val="single"/>
              <w:bottom w:color="000000" w:space="0" w:sz="3" w:val="single"/>
              <w:right w:color="000000" w:space="0" w:sz="3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widowControl w:val="0"/>
              <w:numPr>
                <w:ilvl w:val="0"/>
                <w:numId w:val="3"/>
              </w:num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ind w:left="720" w:hanging="360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How important do you now think it is to incorporate what you’ve learnt into your work? (Scale from 1-5)</w:t>
            </w:r>
          </w:p>
          <w:p w:rsidR="00000000" w:rsidDel="00000000" w:rsidP="00000000" w:rsidRDefault="00000000" w:rsidRPr="00000000" w14:paraId="00000016">
            <w:pPr>
              <w:widowControl w:val="0"/>
              <w:numPr>
                <w:ilvl w:val="0"/>
                <w:numId w:val="3"/>
              </w:num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ind w:left="720" w:hanging="360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color w:val="151921"/>
                <w:rtl w:val="0"/>
              </w:rPr>
              <w:t xml:space="preserve">What do you perceive to be the most valuable takeaway from this training?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vMerge w:val="continue"/>
            <w:tcBorders>
              <w:top w:color="000000" w:space="0" w:sz="3" w:val="single"/>
              <w:left w:color="000000" w:space="0" w:sz="3" w:val="single"/>
              <w:bottom w:color="000000" w:space="0" w:sz="3" w:val="single"/>
              <w:right w:color="000000" w:space="0" w:sz="3" w:val="single"/>
            </w:tcBorders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b w:val="1"/>
                <w:color w:val="1519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3" w:val="single"/>
              <w:left w:color="000000" w:space="0" w:sz="3" w:val="single"/>
              <w:bottom w:color="000000" w:space="0" w:sz="3" w:val="single"/>
              <w:right w:color="000000" w:space="0" w:sz="3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vMerge w:val="continue"/>
            <w:tcBorders>
              <w:top w:color="000000" w:space="0" w:sz="3" w:val="single"/>
              <w:left w:color="000000" w:space="0" w:sz="3" w:val="single"/>
              <w:bottom w:color="000000" w:space="0" w:sz="3" w:val="single"/>
              <w:right w:color="000000" w:space="0" w:sz="3" w:val="single"/>
            </w:tcBorders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b w:val="1"/>
                <w:color w:val="1519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3" w:val="single"/>
              <w:left w:color="000000" w:space="0" w:sz="3" w:val="single"/>
              <w:bottom w:color="000000" w:space="0" w:sz="3" w:val="single"/>
              <w:right w:color="000000" w:space="0" w:sz="3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rFonts w:ascii="Helvetica Neue Light" w:cs="Helvetica Neue Light" w:eastAsia="Helvetica Neue Light" w:hAnsi="Helvetica Neue Light"/>
                <w:color w:val="1519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pStyle w:val="Heading3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ind w:right="3750"/>
        <w:jc w:val="both"/>
        <w:rPr>
          <w:rFonts w:ascii="Helvetica Neue" w:cs="Helvetica Neue" w:eastAsia="Helvetica Neue" w:hAnsi="Helvetica Neue"/>
          <w:b w:val="1"/>
          <w:color w:val="151921"/>
          <w:sz w:val="20"/>
          <w:szCs w:val="20"/>
        </w:rPr>
      </w:pPr>
      <w:bookmarkStart w:colFirst="0" w:colLast="0" w:name="_mkfxp6bqcgmf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3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ind w:right="3750"/>
        <w:jc w:val="both"/>
        <w:rPr/>
      </w:pPr>
      <w:bookmarkStart w:colFirst="0" w:colLast="0" w:name="_qqc7umsqumok" w:id="2"/>
      <w:bookmarkEnd w:id="2"/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Impact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Helvetica Neue Ligh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D">
    <w:pPr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</w:pBdr>
      <w:shd w:fill="ffffff" w:val="clear"/>
      <w:spacing w:after="200" w:before="200" w:line="240" w:lineRule="auto"/>
      <w:ind w:right="1080"/>
      <w:rPr/>
    </w:pPr>
    <w:r w:rsidDel="00000000" w:rsidR="00000000" w:rsidRPr="00000000">
      <w:rPr>
        <w:rFonts w:ascii="Impact" w:cs="Impact" w:eastAsia="Impact" w:hAnsi="Impact"/>
        <w:color w:val="776be0"/>
        <w:sz w:val="72"/>
        <w:szCs w:val="72"/>
      </w:rPr>
      <w:drawing>
        <wp:inline distB="114300" distT="114300" distL="114300" distR="114300">
          <wp:extent cx="735013" cy="735013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35013" cy="7350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cPr>
      <w:shd w:fill="f7f7f8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Relationship Id="rId5" Type="http://schemas.openxmlformats.org/officeDocument/2006/relationships/font" Target="fonts/HelveticaNeueLight-regular.ttf"/><Relationship Id="rId6" Type="http://schemas.openxmlformats.org/officeDocument/2006/relationships/font" Target="fonts/HelveticaNeueLight-bold.ttf"/><Relationship Id="rId7" Type="http://schemas.openxmlformats.org/officeDocument/2006/relationships/font" Target="fonts/HelveticaNeueLight-italic.ttf"/><Relationship Id="rId8" Type="http://schemas.openxmlformats.org/officeDocument/2006/relationships/font" Target="fonts/HelveticaNeueLight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