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PRICE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COMPANY NAME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CONTACT (PHONE / EMAIL / WEBSITE)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EFFECTIVE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PRICES VALID UNTIL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CURRENCY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PAYMENT TERMS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SKU / item no.</w:t>
            </w:r>
          </w:p>
        </w:tc>
        <w:tc>
          <w:tcPr>
            <w:tcW w:type="dxa" w:w="4195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Product description</w:t>
            </w:r>
          </w:p>
        </w:tc>
        <w:tc>
          <w:tcPr>
            <w:tcW w:type="dxa" w:w="90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List price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Wholesale price</w:t>
            </w:r>
          </w:p>
        </w:tc>
        <w:tc>
          <w:tcPr>
            <w:tcW w:type="dxa" w:w="113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Min. order qty</w:t>
            </w:r>
          </w:p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195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</w:tr>
    </w:tbl>
    <w:p>
      <w:pPr>
        <w:spacing w:before="80"/>
      </w:pPr>
      <w:r>
        <w:rPr>
          <w:b w:val="0"/>
          <w:i/>
          <w:sz w:val="16"/>
        </w:rPr>
        <w:t>Prices are subject to change without notice after the valid-until date. Taxes, duties and shipping are not included unless stated.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