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215B" w14:textId="4A72733B" w:rsidR="00557A5E" w:rsidRPr="00B84523" w:rsidRDefault="003A1B7B" w:rsidP="003A1B7B">
      <w:pPr>
        <w:jc w:val="center"/>
        <w:rPr>
          <w:b/>
          <w:bCs/>
          <w:lang w:val="en-US"/>
        </w:rPr>
      </w:pPr>
      <w:r w:rsidRPr="00B84523">
        <w:rPr>
          <w:b/>
          <w:bCs/>
          <w:lang w:val="en-US"/>
        </w:rPr>
        <w:t>TERM SHEET</w:t>
      </w:r>
    </w:p>
    <w:p w14:paraId="0D2BB65F" w14:textId="77777777" w:rsidR="003A1B7B" w:rsidRPr="00B84523" w:rsidRDefault="003A1B7B" w:rsidP="003A1B7B">
      <w:pPr>
        <w:jc w:val="center"/>
        <w:rPr>
          <w:b/>
          <w:bCs/>
          <w:lang w:val="en-US"/>
        </w:rPr>
      </w:pPr>
    </w:p>
    <w:p w14:paraId="18849074" w14:textId="61F826FE" w:rsidR="003A1B7B" w:rsidRPr="00B84523" w:rsidRDefault="003A1B7B" w:rsidP="003A1B7B">
      <w:pPr>
        <w:jc w:val="center"/>
        <w:rPr>
          <w:b/>
          <w:bCs/>
          <w:lang w:val="en-US"/>
        </w:rPr>
      </w:pPr>
      <w:r w:rsidRPr="00B84523">
        <w:rPr>
          <w:b/>
          <w:bCs/>
          <w:lang w:val="en-US"/>
        </w:rPr>
        <w:t xml:space="preserve">For </w:t>
      </w:r>
      <w:r w:rsidR="00B72D6C" w:rsidRPr="00B84523">
        <w:rPr>
          <w:b/>
          <w:bCs/>
          <w:lang w:val="en-US"/>
        </w:rPr>
        <w:t xml:space="preserve">Convertible </w:t>
      </w:r>
      <w:r w:rsidR="00465747" w:rsidRPr="00B84523">
        <w:rPr>
          <w:b/>
          <w:bCs/>
          <w:lang w:val="en-US"/>
        </w:rPr>
        <w:t>Note</w:t>
      </w:r>
      <w:r w:rsidR="00FC4755" w:rsidRPr="00B84523">
        <w:rPr>
          <w:b/>
          <w:bCs/>
          <w:lang w:val="en-US"/>
        </w:rPr>
        <w:t xml:space="preserve"> financing of</w:t>
      </w:r>
      <w:r w:rsidRPr="00B84523">
        <w:rPr>
          <w:b/>
          <w:bCs/>
          <w:lang w:val="en-US"/>
        </w:rPr>
        <w:t xml:space="preserve"> </w:t>
      </w:r>
      <w:r w:rsidR="004533E4" w:rsidRPr="00B84523">
        <w:rPr>
          <w:b/>
          <w:bCs/>
          <w:lang w:val="en-US"/>
        </w:rPr>
        <w:t>[</w:t>
      </w:r>
      <w:r w:rsidR="00DA7B83" w:rsidRPr="00B84523">
        <w:rPr>
          <w:b/>
          <w:bCs/>
          <w:lang w:val="en-US"/>
        </w:rPr>
        <w:t>x</w:t>
      </w:r>
      <w:r w:rsidR="004533E4" w:rsidRPr="00B84523">
        <w:rPr>
          <w:b/>
          <w:bCs/>
          <w:lang w:val="en-US"/>
        </w:rPr>
        <w:t>]</w:t>
      </w:r>
    </w:p>
    <w:p w14:paraId="211733AB" w14:textId="1225FDD1" w:rsidR="003A1B7B" w:rsidRPr="00B84523" w:rsidRDefault="003A1B7B" w:rsidP="003A1B7B">
      <w:pPr>
        <w:jc w:val="center"/>
        <w:rPr>
          <w:lang w:val="en-US"/>
        </w:rPr>
      </w:pPr>
    </w:p>
    <w:p w14:paraId="5686F478" w14:textId="23A36EBC" w:rsidR="003A1B7B" w:rsidRPr="00B84523" w:rsidRDefault="00261A59" w:rsidP="003A1B7B">
      <w:pPr>
        <w:jc w:val="center"/>
        <w:rPr>
          <w:lang w:val="en-US"/>
        </w:rPr>
      </w:pPr>
      <w:r w:rsidRPr="00B84523">
        <w:rPr>
          <w:lang w:val="en-US"/>
        </w:rPr>
        <w:t xml:space="preserve"> </w:t>
      </w:r>
      <w:r w:rsidR="00FC4755" w:rsidRPr="00B84523">
        <w:rPr>
          <w:lang w:val="en-US"/>
        </w:rPr>
        <w:t>[month year]</w:t>
      </w:r>
    </w:p>
    <w:p w14:paraId="6C91499D" w14:textId="1CC1F8E9" w:rsidR="003A1B7B" w:rsidRPr="00B84523" w:rsidRDefault="003A1B7B" w:rsidP="003A1B7B">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2415"/>
        <w:gridCol w:w="3818"/>
      </w:tblGrid>
      <w:tr w:rsidR="003A1B7B" w:rsidRPr="00B84523" w14:paraId="27985DF0" w14:textId="77777777" w:rsidTr="001470F4">
        <w:tc>
          <w:tcPr>
            <w:tcW w:w="9063" w:type="dxa"/>
            <w:gridSpan w:val="4"/>
          </w:tcPr>
          <w:p w14:paraId="32EC201A" w14:textId="6AB93762" w:rsidR="003A1B7B" w:rsidRPr="00B84523" w:rsidRDefault="00FC4755" w:rsidP="00D8594E">
            <w:pPr>
              <w:rPr>
                <w:lang w:val="en-US"/>
              </w:rPr>
            </w:pPr>
            <w:r w:rsidRPr="00B84523">
              <w:rPr>
                <w:lang w:val="en-US"/>
              </w:rPr>
              <w:t>This document (</w:t>
            </w:r>
            <w:r w:rsidRPr="00B84523">
              <w:rPr>
                <w:b/>
                <w:bCs/>
                <w:lang w:val="en-US"/>
              </w:rPr>
              <w:t>Term Sheet</w:t>
            </w:r>
            <w:r w:rsidRPr="00B84523">
              <w:rPr>
                <w:lang w:val="en-US"/>
              </w:rPr>
              <w:t xml:space="preserve">) summarises the principal terms of the proposed </w:t>
            </w:r>
            <w:r w:rsidR="00B72D6C" w:rsidRPr="00B84523">
              <w:rPr>
                <w:lang w:val="en-US"/>
              </w:rPr>
              <w:t xml:space="preserve">convertible </w:t>
            </w:r>
            <w:r w:rsidR="00465747" w:rsidRPr="00B84523">
              <w:rPr>
                <w:lang w:val="en-US"/>
              </w:rPr>
              <w:t>note</w:t>
            </w:r>
            <w:r w:rsidR="00815CBB" w:rsidRPr="00B84523">
              <w:rPr>
                <w:lang w:val="en-US"/>
              </w:rPr>
              <w:t xml:space="preserve"> </w:t>
            </w:r>
            <w:r w:rsidR="008C2602" w:rsidRPr="00B84523">
              <w:rPr>
                <w:lang w:val="en-US"/>
              </w:rPr>
              <w:t xml:space="preserve">financing </w:t>
            </w:r>
            <w:r w:rsidRPr="00B84523">
              <w:rPr>
                <w:lang w:val="en-US"/>
              </w:rPr>
              <w:t>(</w:t>
            </w:r>
            <w:r w:rsidR="00B72D6C" w:rsidRPr="00B84523">
              <w:rPr>
                <w:b/>
                <w:bCs/>
                <w:lang w:val="en-US"/>
              </w:rPr>
              <w:t xml:space="preserve">Convertible </w:t>
            </w:r>
            <w:r w:rsidR="00465747" w:rsidRPr="00B84523">
              <w:rPr>
                <w:b/>
                <w:bCs/>
                <w:lang w:val="en-US"/>
              </w:rPr>
              <w:t>Note</w:t>
            </w:r>
            <w:r w:rsidR="008C2602" w:rsidRPr="00B84523">
              <w:rPr>
                <w:b/>
                <w:bCs/>
                <w:lang w:val="en-US"/>
              </w:rPr>
              <w:t xml:space="preserve"> Round</w:t>
            </w:r>
            <w:r w:rsidRPr="00B84523">
              <w:rPr>
                <w:lang w:val="en-US"/>
              </w:rPr>
              <w:t xml:space="preserve">) of [x] Limited (the </w:t>
            </w:r>
            <w:r w:rsidRPr="00B84523">
              <w:rPr>
                <w:b/>
                <w:bCs/>
                <w:lang w:val="en-US"/>
              </w:rPr>
              <w:t>Company</w:t>
            </w:r>
            <w:r w:rsidRPr="00B84523">
              <w:rPr>
                <w:lang w:val="en-US"/>
              </w:rPr>
              <w:t xml:space="preserve">) by certain Investors. This </w:t>
            </w:r>
            <w:r w:rsidR="008C2602" w:rsidRPr="00B84523">
              <w:rPr>
                <w:lang w:val="en-US"/>
              </w:rPr>
              <w:t xml:space="preserve">Term Sheet </w:t>
            </w:r>
            <w:r w:rsidRPr="00B84523">
              <w:rPr>
                <w:lang w:val="en-US"/>
              </w:rPr>
              <w:t>is for discussion purposes only and</w:t>
            </w:r>
            <w:r w:rsidR="008C2602" w:rsidRPr="00B84523">
              <w:rPr>
                <w:lang w:val="en-US"/>
              </w:rPr>
              <w:t xml:space="preserve"> (subject to paragraph </w:t>
            </w:r>
            <w:r w:rsidR="008C2602" w:rsidRPr="00B84523">
              <w:rPr>
                <w:lang w:val="en-US"/>
              </w:rPr>
              <w:fldChar w:fldCharType="begin"/>
            </w:r>
            <w:r w:rsidR="008C2602" w:rsidRPr="00B84523">
              <w:rPr>
                <w:lang w:val="en-US"/>
              </w:rPr>
              <w:instrText xml:space="preserve"> REF _Ref46838224 \r \h </w:instrText>
            </w:r>
            <w:r w:rsidR="00B84523">
              <w:rPr>
                <w:lang w:val="en-US"/>
              </w:rPr>
              <w:instrText xml:space="preserve"> \* MERGEFORMAT </w:instrText>
            </w:r>
            <w:r w:rsidR="008C2602" w:rsidRPr="00B84523">
              <w:rPr>
                <w:lang w:val="en-US"/>
              </w:rPr>
            </w:r>
            <w:r w:rsidR="008C2602" w:rsidRPr="00B84523">
              <w:rPr>
                <w:lang w:val="en-US"/>
              </w:rPr>
              <w:fldChar w:fldCharType="separate"/>
            </w:r>
            <w:r w:rsidR="00AE19E7">
              <w:rPr>
                <w:lang w:val="en-US"/>
              </w:rPr>
              <w:t>23</w:t>
            </w:r>
            <w:r w:rsidR="008C2602" w:rsidRPr="00B84523">
              <w:rPr>
                <w:lang w:val="en-US"/>
              </w:rPr>
              <w:fldChar w:fldCharType="end"/>
            </w:r>
            <w:r w:rsidR="008C2602" w:rsidRPr="00B84523">
              <w:rPr>
                <w:lang w:val="en-US"/>
              </w:rPr>
              <w:t xml:space="preserve"> below)</w:t>
            </w:r>
            <w:r w:rsidRPr="00B84523">
              <w:rPr>
                <w:lang w:val="en-US"/>
              </w:rPr>
              <w:t xml:space="preserve"> is not binding on the Company or on any Investor, and there will be no obligation</w:t>
            </w:r>
            <w:r w:rsidR="008C2602" w:rsidRPr="00B84523">
              <w:rPr>
                <w:lang w:val="en-US"/>
              </w:rPr>
              <w:t xml:space="preserve"> on an Investor</w:t>
            </w:r>
            <w:r w:rsidRPr="00B84523">
              <w:rPr>
                <w:lang w:val="en-US"/>
              </w:rPr>
              <w:t xml:space="preserve"> to</w:t>
            </w:r>
            <w:r w:rsidR="00654CF2" w:rsidRPr="00B84523">
              <w:rPr>
                <w:lang w:val="en-US"/>
              </w:rPr>
              <w:t xml:space="preserve"> make any loan or</w:t>
            </w:r>
            <w:r w:rsidRPr="00B84523">
              <w:rPr>
                <w:lang w:val="en-US"/>
              </w:rPr>
              <w:t xml:space="preserve"> issue or subscribe for equity in the Company until a binding </w:t>
            </w:r>
            <w:r w:rsidR="00B72D6C" w:rsidRPr="00B84523">
              <w:rPr>
                <w:lang w:val="en-US"/>
              </w:rPr>
              <w:t xml:space="preserve">Convertible </w:t>
            </w:r>
            <w:r w:rsidR="00465747" w:rsidRPr="00B84523">
              <w:rPr>
                <w:lang w:val="en-US"/>
              </w:rPr>
              <w:t>Note</w:t>
            </w:r>
            <w:r w:rsidR="00B72D6C" w:rsidRPr="00B84523">
              <w:rPr>
                <w:lang w:val="en-US"/>
              </w:rPr>
              <w:t xml:space="preserve"> Agreement</w:t>
            </w:r>
            <w:r w:rsidRPr="00B84523">
              <w:rPr>
                <w:lang w:val="en-US"/>
              </w:rPr>
              <w:t xml:space="preserve"> has been agreed to and executed by the Company and th</w:t>
            </w:r>
            <w:r w:rsidR="008C2602" w:rsidRPr="00B84523">
              <w:rPr>
                <w:lang w:val="en-US"/>
              </w:rPr>
              <w:t>at I</w:t>
            </w:r>
            <w:r w:rsidRPr="00B84523">
              <w:rPr>
                <w:lang w:val="en-US"/>
              </w:rPr>
              <w:t>nvestor. Unless indicated otherwise, all reference</w:t>
            </w:r>
            <w:r w:rsidR="00E739DF" w:rsidRPr="00B84523">
              <w:rPr>
                <w:lang w:val="en-US"/>
              </w:rPr>
              <w:t>s</w:t>
            </w:r>
            <w:r w:rsidRPr="00B84523">
              <w:rPr>
                <w:lang w:val="en-US"/>
              </w:rPr>
              <w:t xml:space="preserve"> to money amounts in this </w:t>
            </w:r>
            <w:r w:rsidR="008C2602" w:rsidRPr="00B84523">
              <w:rPr>
                <w:lang w:val="en-US"/>
              </w:rPr>
              <w:t>Term Sheet</w:t>
            </w:r>
            <w:r w:rsidRPr="00B84523">
              <w:rPr>
                <w:lang w:val="en-US"/>
              </w:rPr>
              <w:t xml:space="preserve"> are </w:t>
            </w:r>
            <w:r w:rsidR="00E739DF" w:rsidRPr="00B84523">
              <w:rPr>
                <w:lang w:val="en-US"/>
              </w:rPr>
              <w:t>to</w:t>
            </w:r>
            <w:r w:rsidRPr="00B84523">
              <w:rPr>
                <w:lang w:val="en-US"/>
              </w:rPr>
              <w:t xml:space="preserve"> New Zealand dollars. This </w:t>
            </w:r>
            <w:r w:rsidR="00654CF2" w:rsidRPr="00B84523">
              <w:rPr>
                <w:lang w:val="en-US"/>
              </w:rPr>
              <w:t>T</w:t>
            </w:r>
            <w:r w:rsidRPr="00B84523">
              <w:rPr>
                <w:lang w:val="en-US"/>
              </w:rPr>
              <w:t xml:space="preserve">erm </w:t>
            </w:r>
            <w:r w:rsidR="00654CF2" w:rsidRPr="00B84523">
              <w:rPr>
                <w:lang w:val="en-US"/>
              </w:rPr>
              <w:t>S</w:t>
            </w:r>
            <w:r w:rsidRPr="00B84523">
              <w:rPr>
                <w:lang w:val="en-US"/>
              </w:rPr>
              <w:t>heet does not constitute either an offer to sell or an offer to purchase securities.</w:t>
            </w:r>
          </w:p>
        </w:tc>
      </w:tr>
      <w:tr w:rsidR="00CC613D" w:rsidRPr="00B84523" w14:paraId="7CFD4A6A" w14:textId="77777777" w:rsidTr="001D4D18">
        <w:tc>
          <w:tcPr>
            <w:tcW w:w="9063" w:type="dxa"/>
            <w:gridSpan w:val="4"/>
          </w:tcPr>
          <w:p w14:paraId="48338EE2" w14:textId="77777777" w:rsidR="00CC613D" w:rsidRPr="00B84523" w:rsidRDefault="00CC613D" w:rsidP="003A1B7B">
            <w:pPr>
              <w:jc w:val="left"/>
              <w:rPr>
                <w:lang w:val="en-US"/>
              </w:rPr>
            </w:pPr>
          </w:p>
        </w:tc>
      </w:tr>
      <w:tr w:rsidR="00FC4755" w:rsidRPr="00B84523" w14:paraId="221C0248" w14:textId="77777777" w:rsidTr="001D4D18">
        <w:tc>
          <w:tcPr>
            <w:tcW w:w="562" w:type="dxa"/>
          </w:tcPr>
          <w:p w14:paraId="7A2230F8" w14:textId="77777777" w:rsidR="00FC4755" w:rsidRPr="00B84523" w:rsidRDefault="00FC4755" w:rsidP="003A1B7B">
            <w:pPr>
              <w:pStyle w:val="ListParagraph"/>
              <w:numPr>
                <w:ilvl w:val="0"/>
                <w:numId w:val="2"/>
              </w:numPr>
              <w:ind w:left="316" w:hanging="284"/>
              <w:jc w:val="left"/>
              <w:rPr>
                <w:lang w:val="en-US"/>
              </w:rPr>
            </w:pPr>
          </w:p>
        </w:tc>
        <w:tc>
          <w:tcPr>
            <w:tcW w:w="2268" w:type="dxa"/>
          </w:tcPr>
          <w:p w14:paraId="0CBD81B9" w14:textId="238C149B" w:rsidR="00FC4755" w:rsidRPr="00B84523" w:rsidRDefault="008C2602" w:rsidP="003A1B7B">
            <w:pPr>
              <w:jc w:val="left"/>
              <w:rPr>
                <w:i/>
                <w:iCs/>
                <w:lang w:val="en-US"/>
              </w:rPr>
            </w:pPr>
            <w:r w:rsidRPr="00B84523">
              <w:rPr>
                <w:i/>
                <w:iCs/>
                <w:lang w:val="en-US"/>
              </w:rPr>
              <w:t>Company</w:t>
            </w:r>
          </w:p>
        </w:tc>
        <w:tc>
          <w:tcPr>
            <w:tcW w:w="6233" w:type="dxa"/>
            <w:gridSpan w:val="2"/>
          </w:tcPr>
          <w:p w14:paraId="5D2651C6" w14:textId="6A45D2E3" w:rsidR="00FC4755" w:rsidRPr="00B84523" w:rsidRDefault="00FC4755" w:rsidP="003A1B7B">
            <w:pPr>
              <w:jc w:val="left"/>
              <w:rPr>
                <w:lang w:val="en-US"/>
              </w:rPr>
            </w:pPr>
            <w:r w:rsidRPr="00B84523">
              <w:rPr>
                <w:lang w:val="en-US"/>
              </w:rPr>
              <w:t>[x] Limited</w:t>
            </w:r>
          </w:p>
        </w:tc>
      </w:tr>
      <w:tr w:rsidR="00FC4755" w:rsidRPr="00B84523" w14:paraId="78444BFC" w14:textId="77777777" w:rsidTr="001D4D18">
        <w:tc>
          <w:tcPr>
            <w:tcW w:w="562" w:type="dxa"/>
          </w:tcPr>
          <w:p w14:paraId="38087F75" w14:textId="77777777" w:rsidR="00FC4755" w:rsidRPr="00B84523" w:rsidRDefault="00FC4755" w:rsidP="00FC4755">
            <w:pPr>
              <w:pStyle w:val="ListParagraph"/>
              <w:ind w:left="316"/>
              <w:jc w:val="left"/>
              <w:rPr>
                <w:lang w:val="en-US"/>
              </w:rPr>
            </w:pPr>
          </w:p>
        </w:tc>
        <w:tc>
          <w:tcPr>
            <w:tcW w:w="2268" w:type="dxa"/>
          </w:tcPr>
          <w:p w14:paraId="390E6EB7" w14:textId="77777777" w:rsidR="00FC4755" w:rsidRPr="00B84523" w:rsidRDefault="00FC4755" w:rsidP="003A1B7B">
            <w:pPr>
              <w:jc w:val="left"/>
              <w:rPr>
                <w:i/>
                <w:iCs/>
                <w:lang w:val="en-US"/>
              </w:rPr>
            </w:pPr>
          </w:p>
        </w:tc>
        <w:tc>
          <w:tcPr>
            <w:tcW w:w="6233" w:type="dxa"/>
            <w:gridSpan w:val="2"/>
          </w:tcPr>
          <w:p w14:paraId="79BA39B2" w14:textId="77777777" w:rsidR="00FC4755" w:rsidRPr="00B84523" w:rsidRDefault="00FC4755" w:rsidP="003A1B7B">
            <w:pPr>
              <w:jc w:val="left"/>
              <w:rPr>
                <w:lang w:val="en-US"/>
              </w:rPr>
            </w:pPr>
          </w:p>
        </w:tc>
      </w:tr>
      <w:tr w:rsidR="00AE19E7" w:rsidRPr="00B84523" w14:paraId="4E84E666" w14:textId="77777777" w:rsidTr="00AE19E7">
        <w:tc>
          <w:tcPr>
            <w:tcW w:w="562" w:type="dxa"/>
          </w:tcPr>
          <w:p w14:paraId="0ED015F9" w14:textId="77777777" w:rsidR="00AE19E7" w:rsidRPr="00B84523" w:rsidRDefault="00AE19E7" w:rsidP="003A1B7B">
            <w:pPr>
              <w:pStyle w:val="ListParagraph"/>
              <w:numPr>
                <w:ilvl w:val="0"/>
                <w:numId w:val="2"/>
              </w:numPr>
              <w:ind w:left="316" w:hanging="284"/>
              <w:jc w:val="left"/>
              <w:rPr>
                <w:lang w:val="en-US"/>
              </w:rPr>
            </w:pPr>
          </w:p>
        </w:tc>
        <w:tc>
          <w:tcPr>
            <w:tcW w:w="2268" w:type="dxa"/>
          </w:tcPr>
          <w:p w14:paraId="5FE7BAEC" w14:textId="237A916C" w:rsidR="00AE19E7" w:rsidRPr="00B84523" w:rsidRDefault="00AE19E7" w:rsidP="003A1B7B">
            <w:pPr>
              <w:jc w:val="left"/>
              <w:rPr>
                <w:i/>
                <w:iCs/>
                <w:lang w:val="en-US"/>
              </w:rPr>
            </w:pPr>
            <w:r w:rsidRPr="00B84523">
              <w:rPr>
                <w:i/>
                <w:iCs/>
                <w:lang w:val="en-US"/>
              </w:rPr>
              <w:t>Founders</w:t>
            </w:r>
          </w:p>
        </w:tc>
        <w:tc>
          <w:tcPr>
            <w:tcW w:w="2415" w:type="dxa"/>
          </w:tcPr>
          <w:p w14:paraId="469F5578" w14:textId="77777777" w:rsidR="00AE19E7" w:rsidRDefault="00AE19E7" w:rsidP="00674E4B">
            <w:pPr>
              <w:jc w:val="left"/>
              <w:rPr>
                <w:lang w:val="en-US"/>
              </w:rPr>
            </w:pPr>
            <w:r w:rsidRPr="00B84523">
              <w:rPr>
                <w:lang w:val="en-US"/>
              </w:rPr>
              <w:t>[full names of founders]</w:t>
            </w:r>
          </w:p>
        </w:tc>
        <w:tc>
          <w:tcPr>
            <w:tcW w:w="3818" w:type="dxa"/>
          </w:tcPr>
          <w:p w14:paraId="57FAE08A" w14:textId="18350F79" w:rsidR="00AE19E7" w:rsidRPr="00B84523" w:rsidRDefault="00AE19E7" w:rsidP="00674E4B">
            <w:pPr>
              <w:jc w:val="left"/>
              <w:rPr>
                <w:lang w:val="en-US"/>
              </w:rPr>
            </w:pPr>
          </w:p>
        </w:tc>
      </w:tr>
      <w:tr w:rsidR="00CC613D" w:rsidRPr="00B84523" w14:paraId="57CA74C5" w14:textId="77777777" w:rsidTr="001D4D18">
        <w:tc>
          <w:tcPr>
            <w:tcW w:w="9063" w:type="dxa"/>
            <w:gridSpan w:val="4"/>
          </w:tcPr>
          <w:p w14:paraId="27EA04E4" w14:textId="77777777" w:rsidR="00CC613D" w:rsidRPr="00B84523" w:rsidRDefault="00CC613D" w:rsidP="003A1B7B">
            <w:pPr>
              <w:jc w:val="left"/>
              <w:rPr>
                <w:lang w:val="en-US"/>
              </w:rPr>
            </w:pPr>
          </w:p>
        </w:tc>
      </w:tr>
      <w:tr w:rsidR="00165217" w:rsidRPr="00B84523" w14:paraId="30B0D701" w14:textId="77777777" w:rsidTr="001D4D18">
        <w:tc>
          <w:tcPr>
            <w:tcW w:w="562" w:type="dxa"/>
          </w:tcPr>
          <w:p w14:paraId="3A93481A" w14:textId="77777777" w:rsidR="00165217" w:rsidRPr="00B84523" w:rsidRDefault="00165217" w:rsidP="00165217">
            <w:pPr>
              <w:pStyle w:val="ListParagraph"/>
              <w:numPr>
                <w:ilvl w:val="0"/>
                <w:numId w:val="2"/>
              </w:numPr>
              <w:ind w:left="316" w:hanging="284"/>
              <w:jc w:val="left"/>
              <w:rPr>
                <w:lang w:val="en-US"/>
              </w:rPr>
            </w:pPr>
          </w:p>
        </w:tc>
        <w:tc>
          <w:tcPr>
            <w:tcW w:w="2268" w:type="dxa"/>
          </w:tcPr>
          <w:p w14:paraId="3F41E3FD" w14:textId="4FFF5659" w:rsidR="00165217" w:rsidRPr="00B84523" w:rsidRDefault="008C2602" w:rsidP="0045465A">
            <w:pPr>
              <w:jc w:val="left"/>
              <w:rPr>
                <w:i/>
                <w:iCs/>
                <w:lang w:val="en-US"/>
              </w:rPr>
            </w:pPr>
            <w:r w:rsidRPr="00B84523">
              <w:rPr>
                <w:i/>
                <w:iCs/>
                <w:lang w:val="en-US"/>
              </w:rPr>
              <w:t>I</w:t>
            </w:r>
            <w:r w:rsidR="00165217" w:rsidRPr="00B84523">
              <w:rPr>
                <w:i/>
                <w:iCs/>
                <w:lang w:val="en-US"/>
              </w:rPr>
              <w:t>nvestor</w:t>
            </w:r>
            <w:r w:rsidR="00FC4755" w:rsidRPr="00B84523">
              <w:rPr>
                <w:i/>
                <w:iCs/>
                <w:lang w:val="en-US"/>
              </w:rPr>
              <w:t>(s)</w:t>
            </w:r>
          </w:p>
        </w:tc>
        <w:tc>
          <w:tcPr>
            <w:tcW w:w="6233" w:type="dxa"/>
            <w:gridSpan w:val="2"/>
          </w:tcPr>
          <w:p w14:paraId="65641D19" w14:textId="77777777" w:rsidR="008C2602" w:rsidRPr="00B84523" w:rsidRDefault="008C2602" w:rsidP="0045465A">
            <w:pPr>
              <w:jc w:val="left"/>
              <w:rPr>
                <w:lang w:val="en-US"/>
              </w:rPr>
            </w:pPr>
            <w:r w:rsidRPr="00B84523">
              <w:rPr>
                <w:lang w:val="en-US"/>
              </w:rPr>
              <w:t xml:space="preserve">[Lead Investor name] (the </w:t>
            </w:r>
            <w:r w:rsidRPr="00B84523">
              <w:rPr>
                <w:b/>
                <w:bCs/>
                <w:lang w:val="en-US"/>
              </w:rPr>
              <w:t>Lead Investor</w:t>
            </w:r>
            <w:r w:rsidRPr="00B84523">
              <w:rPr>
                <w:lang w:val="en-US"/>
              </w:rPr>
              <w:t>)</w:t>
            </w:r>
          </w:p>
          <w:p w14:paraId="6B23399C" w14:textId="77777777" w:rsidR="008C2602" w:rsidRPr="00B84523" w:rsidRDefault="008C2602" w:rsidP="0045465A">
            <w:pPr>
              <w:jc w:val="left"/>
              <w:rPr>
                <w:lang w:val="en-US"/>
              </w:rPr>
            </w:pPr>
          </w:p>
          <w:p w14:paraId="5DD432E1" w14:textId="6BC053D2" w:rsidR="00165217" w:rsidRPr="00B84523" w:rsidRDefault="00FC4755" w:rsidP="0045465A">
            <w:pPr>
              <w:jc w:val="left"/>
              <w:rPr>
                <w:lang w:val="en-US"/>
              </w:rPr>
            </w:pPr>
            <w:r w:rsidRPr="00B84523">
              <w:rPr>
                <w:lang w:val="en-US"/>
              </w:rPr>
              <w:t>The</w:t>
            </w:r>
            <w:r w:rsidR="008C2602" w:rsidRPr="00B84523">
              <w:rPr>
                <w:lang w:val="en-US"/>
              </w:rPr>
              <w:t xml:space="preserve"> other</w:t>
            </w:r>
            <w:r w:rsidRPr="00B84523">
              <w:rPr>
                <w:lang w:val="en-US"/>
              </w:rPr>
              <w:t xml:space="preserve"> investors</w:t>
            </w:r>
            <w:r w:rsidR="008C2602" w:rsidRPr="00B84523">
              <w:rPr>
                <w:lang w:val="en-US"/>
              </w:rPr>
              <w:t xml:space="preserve"> (if any)</w:t>
            </w:r>
            <w:r w:rsidRPr="00B84523">
              <w:rPr>
                <w:lang w:val="en-US"/>
              </w:rPr>
              <w:t xml:space="preserve"> entering into this Term Sheet (together</w:t>
            </w:r>
            <w:r w:rsidR="008C2602" w:rsidRPr="00B84523">
              <w:rPr>
                <w:lang w:val="en-US"/>
              </w:rPr>
              <w:t xml:space="preserve"> with the Lead Investor,</w:t>
            </w:r>
            <w:r w:rsidRPr="00B84523">
              <w:rPr>
                <w:lang w:val="en-US"/>
              </w:rPr>
              <w:t xml:space="preserve"> the </w:t>
            </w:r>
            <w:r w:rsidRPr="00B84523">
              <w:rPr>
                <w:b/>
                <w:bCs/>
                <w:lang w:val="en-US"/>
              </w:rPr>
              <w:t>Investor(s)</w:t>
            </w:r>
            <w:r w:rsidRPr="00B84523">
              <w:rPr>
                <w:lang w:val="en-US"/>
              </w:rPr>
              <w:t>)</w:t>
            </w:r>
          </w:p>
        </w:tc>
      </w:tr>
      <w:tr w:rsidR="00CC613D" w:rsidRPr="00B84523" w14:paraId="2FC5427B" w14:textId="77777777" w:rsidTr="001D4D18">
        <w:tc>
          <w:tcPr>
            <w:tcW w:w="9063" w:type="dxa"/>
            <w:gridSpan w:val="4"/>
          </w:tcPr>
          <w:p w14:paraId="0219B870" w14:textId="77777777" w:rsidR="00CC613D" w:rsidRPr="00B84523" w:rsidRDefault="00CC613D" w:rsidP="0045465A">
            <w:pPr>
              <w:jc w:val="left"/>
              <w:rPr>
                <w:lang w:val="en-US"/>
              </w:rPr>
            </w:pPr>
          </w:p>
        </w:tc>
      </w:tr>
      <w:tr w:rsidR="00FC4755" w:rsidRPr="00B84523" w14:paraId="2782CE0E" w14:textId="77777777" w:rsidTr="001D4D18">
        <w:tc>
          <w:tcPr>
            <w:tcW w:w="562" w:type="dxa"/>
          </w:tcPr>
          <w:p w14:paraId="38D9E0C8"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199129F5" w14:textId="1A6AAB1E" w:rsidR="00FC4755" w:rsidRPr="00B84523" w:rsidRDefault="00FC4755" w:rsidP="003A1B7B">
            <w:pPr>
              <w:jc w:val="left"/>
              <w:rPr>
                <w:i/>
                <w:iCs/>
                <w:lang w:val="en-US"/>
              </w:rPr>
            </w:pPr>
            <w:r w:rsidRPr="00B84523">
              <w:rPr>
                <w:i/>
                <w:iCs/>
                <w:lang w:val="en-US"/>
              </w:rPr>
              <w:t>Type of security</w:t>
            </w:r>
          </w:p>
        </w:tc>
        <w:tc>
          <w:tcPr>
            <w:tcW w:w="6233" w:type="dxa"/>
            <w:gridSpan w:val="2"/>
          </w:tcPr>
          <w:p w14:paraId="7103528D" w14:textId="18F8249F" w:rsidR="00FC4755" w:rsidRPr="00B84523" w:rsidRDefault="008C2602" w:rsidP="003A1B7B">
            <w:pPr>
              <w:jc w:val="left"/>
              <w:rPr>
                <w:lang w:val="en-US"/>
              </w:rPr>
            </w:pPr>
            <w:r w:rsidRPr="00B84523">
              <w:rPr>
                <w:lang w:val="en-US"/>
              </w:rPr>
              <w:t xml:space="preserve">Convertible note (each a </w:t>
            </w:r>
            <w:r w:rsidR="00654CF2" w:rsidRPr="00B84523">
              <w:rPr>
                <w:lang w:val="en-US"/>
              </w:rPr>
              <w:t xml:space="preserve">Convertible </w:t>
            </w:r>
            <w:r w:rsidR="00845250" w:rsidRPr="00B84523">
              <w:rPr>
                <w:lang w:val="en-US"/>
              </w:rPr>
              <w:t>Note</w:t>
            </w:r>
            <w:r w:rsidRPr="00B84523">
              <w:rPr>
                <w:lang w:val="en-US"/>
              </w:rPr>
              <w:t>)</w:t>
            </w:r>
          </w:p>
        </w:tc>
      </w:tr>
      <w:tr w:rsidR="00FC4755" w:rsidRPr="00B84523" w14:paraId="28D4D301" w14:textId="77777777" w:rsidTr="001D4D18">
        <w:tc>
          <w:tcPr>
            <w:tcW w:w="562" w:type="dxa"/>
          </w:tcPr>
          <w:p w14:paraId="24ABFABB" w14:textId="77777777" w:rsidR="00FC4755" w:rsidRPr="00B84523" w:rsidRDefault="00FC4755" w:rsidP="00FC4755">
            <w:pPr>
              <w:pStyle w:val="ListParagraph"/>
              <w:ind w:left="316"/>
              <w:jc w:val="left"/>
              <w:rPr>
                <w:lang w:val="en-US"/>
              </w:rPr>
            </w:pPr>
          </w:p>
        </w:tc>
        <w:tc>
          <w:tcPr>
            <w:tcW w:w="2268" w:type="dxa"/>
          </w:tcPr>
          <w:p w14:paraId="74BE9286" w14:textId="77777777" w:rsidR="00FC4755" w:rsidRPr="00B84523" w:rsidRDefault="00FC4755" w:rsidP="003A1B7B">
            <w:pPr>
              <w:jc w:val="left"/>
              <w:rPr>
                <w:i/>
                <w:iCs/>
                <w:lang w:val="en-US"/>
              </w:rPr>
            </w:pPr>
          </w:p>
        </w:tc>
        <w:tc>
          <w:tcPr>
            <w:tcW w:w="6233" w:type="dxa"/>
            <w:gridSpan w:val="2"/>
          </w:tcPr>
          <w:p w14:paraId="4E082088" w14:textId="77777777" w:rsidR="00FC4755" w:rsidRPr="00B84523" w:rsidRDefault="00FC4755" w:rsidP="003A1B7B">
            <w:pPr>
              <w:jc w:val="left"/>
              <w:rPr>
                <w:lang w:val="en-US"/>
              </w:rPr>
            </w:pPr>
          </w:p>
        </w:tc>
      </w:tr>
      <w:tr w:rsidR="00FC4755" w:rsidRPr="00B84523" w14:paraId="54E1599D" w14:textId="77777777" w:rsidTr="001D4D18">
        <w:tc>
          <w:tcPr>
            <w:tcW w:w="562" w:type="dxa"/>
          </w:tcPr>
          <w:p w14:paraId="36BE795E"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4442CCEF" w14:textId="6FDE875A" w:rsidR="00FC4755" w:rsidRPr="00B84523" w:rsidRDefault="00FC4755" w:rsidP="003A1B7B">
            <w:pPr>
              <w:jc w:val="left"/>
              <w:rPr>
                <w:i/>
                <w:iCs/>
                <w:lang w:val="en-US"/>
              </w:rPr>
            </w:pPr>
            <w:r w:rsidRPr="00B84523">
              <w:rPr>
                <w:i/>
                <w:iCs/>
                <w:lang w:val="en-US"/>
              </w:rPr>
              <w:t xml:space="preserve">Amount of financing </w:t>
            </w:r>
          </w:p>
        </w:tc>
        <w:tc>
          <w:tcPr>
            <w:tcW w:w="6233" w:type="dxa"/>
            <w:gridSpan w:val="2"/>
          </w:tcPr>
          <w:p w14:paraId="05282703" w14:textId="328EB8CB" w:rsidR="00E36C76" w:rsidRPr="00B84523" w:rsidRDefault="00E36C76" w:rsidP="003A1B7B">
            <w:pPr>
              <w:jc w:val="left"/>
              <w:rPr>
                <w:lang w:val="en-US"/>
              </w:rPr>
            </w:pPr>
            <w:r w:rsidRPr="00B84523">
              <w:rPr>
                <w:lang w:val="en-US"/>
              </w:rPr>
              <w:t>$[x] by the Lead Investor</w:t>
            </w:r>
          </w:p>
          <w:p w14:paraId="1A707BAA" w14:textId="77777777" w:rsidR="00FC4755" w:rsidRPr="00B84523" w:rsidRDefault="00FC4755" w:rsidP="003A1B7B">
            <w:pPr>
              <w:jc w:val="left"/>
              <w:rPr>
                <w:lang w:val="en-US"/>
              </w:rPr>
            </w:pPr>
            <w:r w:rsidRPr="00B84523">
              <w:rPr>
                <w:lang w:val="en-US"/>
              </w:rPr>
              <w:t>Up to an aggregate amount of $[x]</w:t>
            </w:r>
            <w:r w:rsidR="00E36C76" w:rsidRPr="00B84523">
              <w:rPr>
                <w:lang w:val="en-US"/>
              </w:rPr>
              <w:t xml:space="preserve"> from all Investors (including the Lead Investor)</w:t>
            </w:r>
          </w:p>
          <w:p w14:paraId="51BCD918" w14:textId="7BA00925" w:rsidR="008C2602" w:rsidRPr="00B84523" w:rsidRDefault="008C2602" w:rsidP="003A1B7B">
            <w:pPr>
              <w:jc w:val="left"/>
              <w:rPr>
                <w:lang w:val="en-US"/>
              </w:rPr>
            </w:pPr>
            <w:r w:rsidRPr="00B84523">
              <w:rPr>
                <w:lang w:val="en-US"/>
              </w:rPr>
              <w:t xml:space="preserve">(each Investor’s aggregate amount of financing being that Investor’s </w:t>
            </w:r>
            <w:r w:rsidRPr="00B84523">
              <w:rPr>
                <w:b/>
                <w:bCs/>
                <w:lang w:val="en-US"/>
              </w:rPr>
              <w:t>Purchase Amount</w:t>
            </w:r>
            <w:r w:rsidRPr="00B84523">
              <w:rPr>
                <w:lang w:val="en-US"/>
              </w:rPr>
              <w:t>)</w:t>
            </w:r>
          </w:p>
        </w:tc>
      </w:tr>
      <w:tr w:rsidR="00815CBB" w:rsidRPr="00B84523" w14:paraId="30E465D6" w14:textId="77777777" w:rsidTr="001D4D18">
        <w:tc>
          <w:tcPr>
            <w:tcW w:w="562" w:type="dxa"/>
          </w:tcPr>
          <w:p w14:paraId="2730C76D" w14:textId="77777777" w:rsidR="00815CBB" w:rsidRPr="00B84523" w:rsidRDefault="00815CBB" w:rsidP="00815CBB">
            <w:pPr>
              <w:pStyle w:val="ListParagraph"/>
              <w:ind w:left="316"/>
              <w:jc w:val="left"/>
              <w:rPr>
                <w:lang w:val="en-US"/>
              </w:rPr>
            </w:pPr>
          </w:p>
        </w:tc>
        <w:tc>
          <w:tcPr>
            <w:tcW w:w="2268" w:type="dxa"/>
          </w:tcPr>
          <w:p w14:paraId="155F6D67" w14:textId="77777777" w:rsidR="00815CBB" w:rsidRPr="00B84523" w:rsidRDefault="00815CBB" w:rsidP="003A1B7B">
            <w:pPr>
              <w:jc w:val="left"/>
              <w:rPr>
                <w:i/>
                <w:iCs/>
                <w:lang w:val="en-US"/>
              </w:rPr>
            </w:pPr>
          </w:p>
        </w:tc>
        <w:tc>
          <w:tcPr>
            <w:tcW w:w="6233" w:type="dxa"/>
            <w:gridSpan w:val="2"/>
          </w:tcPr>
          <w:p w14:paraId="08F4C2DE" w14:textId="77777777" w:rsidR="00815CBB" w:rsidRPr="00B84523" w:rsidRDefault="00815CBB" w:rsidP="003A1B7B">
            <w:pPr>
              <w:jc w:val="left"/>
              <w:rPr>
                <w:lang w:val="en-US"/>
              </w:rPr>
            </w:pPr>
          </w:p>
        </w:tc>
      </w:tr>
      <w:tr w:rsidR="00815CBB" w:rsidRPr="00B84523" w14:paraId="07C76649" w14:textId="77777777" w:rsidTr="001D4D18">
        <w:tc>
          <w:tcPr>
            <w:tcW w:w="562" w:type="dxa"/>
          </w:tcPr>
          <w:p w14:paraId="2D7875FA" w14:textId="77777777" w:rsidR="00815CBB" w:rsidRPr="00B84523" w:rsidRDefault="00815CBB" w:rsidP="00165217">
            <w:pPr>
              <w:pStyle w:val="ListParagraph"/>
              <w:numPr>
                <w:ilvl w:val="0"/>
                <w:numId w:val="2"/>
              </w:numPr>
              <w:ind w:left="316" w:hanging="284"/>
              <w:jc w:val="left"/>
              <w:rPr>
                <w:lang w:val="en-US"/>
              </w:rPr>
            </w:pPr>
          </w:p>
        </w:tc>
        <w:tc>
          <w:tcPr>
            <w:tcW w:w="2268" w:type="dxa"/>
          </w:tcPr>
          <w:p w14:paraId="0152CA52" w14:textId="3EE436FB" w:rsidR="00815CBB" w:rsidRPr="00B84523" w:rsidRDefault="00815CBB" w:rsidP="003A1B7B">
            <w:pPr>
              <w:jc w:val="left"/>
              <w:rPr>
                <w:i/>
                <w:iCs/>
                <w:lang w:val="en-US"/>
              </w:rPr>
            </w:pPr>
            <w:r w:rsidRPr="00B84523">
              <w:rPr>
                <w:i/>
                <w:iCs/>
                <w:lang w:val="en-US"/>
              </w:rPr>
              <w:t>Maturity date</w:t>
            </w:r>
          </w:p>
        </w:tc>
        <w:tc>
          <w:tcPr>
            <w:tcW w:w="6233" w:type="dxa"/>
            <w:gridSpan w:val="2"/>
          </w:tcPr>
          <w:p w14:paraId="60285EBD" w14:textId="2E236BF5" w:rsidR="00815CBB" w:rsidRPr="00B84523" w:rsidRDefault="00674E4B" w:rsidP="003A1B7B">
            <w:pPr>
              <w:jc w:val="left"/>
              <w:rPr>
                <w:lang w:val="en-US"/>
              </w:rPr>
            </w:pPr>
            <w:r>
              <w:rPr>
                <w:lang w:val="en-US"/>
              </w:rPr>
              <w:t>Two years from the date of this term sheet</w:t>
            </w:r>
            <w:r w:rsidR="008C2602" w:rsidRPr="00B84523">
              <w:rPr>
                <w:lang w:val="en-US"/>
              </w:rPr>
              <w:t xml:space="preserve"> (the </w:t>
            </w:r>
            <w:r w:rsidR="008C2602" w:rsidRPr="00B84523">
              <w:rPr>
                <w:b/>
                <w:bCs/>
                <w:lang w:val="en-US"/>
              </w:rPr>
              <w:t>Maturity Date</w:t>
            </w:r>
            <w:r w:rsidR="008C2602" w:rsidRPr="00B84523">
              <w:rPr>
                <w:lang w:val="en-US"/>
              </w:rPr>
              <w:t>)</w:t>
            </w:r>
          </w:p>
        </w:tc>
      </w:tr>
      <w:tr w:rsidR="00815CBB" w:rsidRPr="00B84523" w14:paraId="159CB518" w14:textId="77777777" w:rsidTr="001D4D18">
        <w:tc>
          <w:tcPr>
            <w:tcW w:w="562" w:type="dxa"/>
          </w:tcPr>
          <w:p w14:paraId="0AE88DE3" w14:textId="77777777" w:rsidR="00815CBB" w:rsidRPr="00B84523" w:rsidRDefault="00815CBB" w:rsidP="00815CBB">
            <w:pPr>
              <w:pStyle w:val="ListParagraph"/>
              <w:ind w:left="316"/>
              <w:jc w:val="left"/>
              <w:rPr>
                <w:lang w:val="en-US"/>
              </w:rPr>
            </w:pPr>
          </w:p>
        </w:tc>
        <w:tc>
          <w:tcPr>
            <w:tcW w:w="2268" w:type="dxa"/>
          </w:tcPr>
          <w:p w14:paraId="1697E75A" w14:textId="77777777" w:rsidR="00815CBB" w:rsidRPr="00B84523" w:rsidRDefault="00815CBB" w:rsidP="003A1B7B">
            <w:pPr>
              <w:jc w:val="left"/>
              <w:rPr>
                <w:i/>
                <w:iCs/>
                <w:lang w:val="en-US"/>
              </w:rPr>
            </w:pPr>
          </w:p>
        </w:tc>
        <w:tc>
          <w:tcPr>
            <w:tcW w:w="6233" w:type="dxa"/>
            <w:gridSpan w:val="2"/>
          </w:tcPr>
          <w:p w14:paraId="5C932FC6" w14:textId="77777777" w:rsidR="00815CBB" w:rsidRPr="00B84523" w:rsidRDefault="00815CBB" w:rsidP="003A1B7B">
            <w:pPr>
              <w:jc w:val="left"/>
              <w:rPr>
                <w:lang w:val="en-US"/>
              </w:rPr>
            </w:pPr>
          </w:p>
        </w:tc>
      </w:tr>
      <w:tr w:rsidR="00815CBB" w:rsidRPr="00B84523" w14:paraId="23D28CAC" w14:textId="77777777" w:rsidTr="001D4D18">
        <w:tc>
          <w:tcPr>
            <w:tcW w:w="562" w:type="dxa"/>
          </w:tcPr>
          <w:p w14:paraId="54A51D8A" w14:textId="77777777" w:rsidR="00815CBB" w:rsidRPr="00B84523" w:rsidRDefault="00815CBB" w:rsidP="00165217">
            <w:pPr>
              <w:pStyle w:val="ListParagraph"/>
              <w:numPr>
                <w:ilvl w:val="0"/>
                <w:numId w:val="2"/>
              </w:numPr>
              <w:ind w:left="316" w:hanging="284"/>
              <w:jc w:val="left"/>
              <w:rPr>
                <w:lang w:val="en-US"/>
              </w:rPr>
            </w:pPr>
          </w:p>
        </w:tc>
        <w:tc>
          <w:tcPr>
            <w:tcW w:w="2268" w:type="dxa"/>
          </w:tcPr>
          <w:p w14:paraId="5D6B0A9A" w14:textId="0CA6F19E" w:rsidR="00815CBB" w:rsidRPr="00B84523" w:rsidRDefault="00815CBB" w:rsidP="003A1B7B">
            <w:pPr>
              <w:jc w:val="left"/>
              <w:rPr>
                <w:i/>
                <w:iCs/>
                <w:lang w:val="en-US"/>
              </w:rPr>
            </w:pPr>
            <w:r w:rsidRPr="00B84523">
              <w:rPr>
                <w:i/>
                <w:iCs/>
                <w:lang w:val="en-US"/>
              </w:rPr>
              <w:t>Interest rate</w:t>
            </w:r>
          </w:p>
        </w:tc>
        <w:tc>
          <w:tcPr>
            <w:tcW w:w="6233" w:type="dxa"/>
            <w:gridSpan w:val="2"/>
          </w:tcPr>
          <w:p w14:paraId="6E829D1E" w14:textId="0BEF480F" w:rsidR="00815CBB" w:rsidRPr="00B84523" w:rsidRDefault="00815CBB" w:rsidP="003A1B7B">
            <w:pPr>
              <w:jc w:val="left"/>
              <w:rPr>
                <w:lang w:val="en-US"/>
              </w:rPr>
            </w:pPr>
            <w:r w:rsidRPr="00B84523">
              <w:rPr>
                <w:lang w:val="en-US"/>
              </w:rPr>
              <w:t xml:space="preserve">5% </w:t>
            </w:r>
          </w:p>
        </w:tc>
      </w:tr>
      <w:tr w:rsidR="00845250" w:rsidRPr="00B84523" w14:paraId="4167568B" w14:textId="77777777" w:rsidTr="00674E4B">
        <w:tc>
          <w:tcPr>
            <w:tcW w:w="562" w:type="dxa"/>
          </w:tcPr>
          <w:p w14:paraId="1FCFEA72" w14:textId="77777777" w:rsidR="00845250" w:rsidRPr="00B84523" w:rsidRDefault="00845250" w:rsidP="00845250">
            <w:pPr>
              <w:ind w:left="360"/>
              <w:jc w:val="left"/>
              <w:rPr>
                <w:lang w:val="en-US"/>
              </w:rPr>
            </w:pPr>
          </w:p>
        </w:tc>
        <w:tc>
          <w:tcPr>
            <w:tcW w:w="2268" w:type="dxa"/>
          </w:tcPr>
          <w:p w14:paraId="0661E1BF" w14:textId="77777777" w:rsidR="00845250" w:rsidRPr="00B84523" w:rsidRDefault="00845250" w:rsidP="003A1B7B">
            <w:pPr>
              <w:jc w:val="left"/>
              <w:rPr>
                <w:i/>
                <w:iCs/>
                <w:lang w:val="en-US"/>
              </w:rPr>
            </w:pPr>
          </w:p>
        </w:tc>
        <w:tc>
          <w:tcPr>
            <w:tcW w:w="6233" w:type="dxa"/>
            <w:gridSpan w:val="2"/>
          </w:tcPr>
          <w:p w14:paraId="741E170D" w14:textId="77777777" w:rsidR="00845250" w:rsidRPr="00B84523" w:rsidRDefault="00845250" w:rsidP="003A1B7B">
            <w:pPr>
              <w:jc w:val="left"/>
              <w:rPr>
                <w:lang w:val="en-US"/>
              </w:rPr>
            </w:pPr>
          </w:p>
        </w:tc>
      </w:tr>
      <w:tr w:rsidR="00845250" w:rsidRPr="00B84523" w14:paraId="3C5A93EE" w14:textId="77777777" w:rsidTr="00674E4B">
        <w:tc>
          <w:tcPr>
            <w:tcW w:w="562" w:type="dxa"/>
          </w:tcPr>
          <w:p w14:paraId="2C2983F0" w14:textId="77777777" w:rsidR="00845250" w:rsidRPr="00B84523" w:rsidRDefault="00845250" w:rsidP="00165217">
            <w:pPr>
              <w:pStyle w:val="ListParagraph"/>
              <w:numPr>
                <w:ilvl w:val="0"/>
                <w:numId w:val="2"/>
              </w:numPr>
              <w:ind w:left="316" w:hanging="284"/>
              <w:jc w:val="left"/>
              <w:rPr>
                <w:lang w:val="en-US"/>
              </w:rPr>
            </w:pPr>
          </w:p>
        </w:tc>
        <w:tc>
          <w:tcPr>
            <w:tcW w:w="2268" w:type="dxa"/>
          </w:tcPr>
          <w:p w14:paraId="4FB76388" w14:textId="12E2B12E" w:rsidR="00845250" w:rsidRPr="00B84523" w:rsidRDefault="00845250" w:rsidP="003A1B7B">
            <w:pPr>
              <w:jc w:val="left"/>
              <w:rPr>
                <w:i/>
                <w:iCs/>
                <w:lang w:val="en-US"/>
              </w:rPr>
            </w:pPr>
            <w:r w:rsidRPr="00B84523">
              <w:rPr>
                <w:i/>
                <w:iCs/>
                <w:lang w:val="en-US"/>
              </w:rPr>
              <w:t>Investment in one lump sum</w:t>
            </w:r>
          </w:p>
        </w:tc>
        <w:tc>
          <w:tcPr>
            <w:tcW w:w="6233" w:type="dxa"/>
            <w:gridSpan w:val="2"/>
          </w:tcPr>
          <w:p w14:paraId="115A9D22" w14:textId="3BCC1F44" w:rsidR="00845250" w:rsidRPr="00B84523" w:rsidRDefault="006F24DA" w:rsidP="003A1B7B">
            <w:pPr>
              <w:jc w:val="left"/>
              <w:rPr>
                <w:lang w:val="en-US"/>
              </w:rPr>
            </w:pPr>
            <w:r w:rsidRPr="00B84523">
              <w:rPr>
                <w:lang w:val="en-US"/>
              </w:rPr>
              <w:t xml:space="preserve">The Convertible </w:t>
            </w:r>
            <w:r w:rsidR="00465747" w:rsidRPr="00B84523">
              <w:rPr>
                <w:lang w:val="en-US"/>
              </w:rPr>
              <w:t>Note</w:t>
            </w:r>
            <w:r w:rsidRPr="00B84523">
              <w:rPr>
                <w:lang w:val="en-US"/>
              </w:rPr>
              <w:t xml:space="preserve"> will be drawn down in one lump sum following execution of the Convertible </w:t>
            </w:r>
            <w:r w:rsidR="00465747" w:rsidRPr="00B84523">
              <w:rPr>
                <w:lang w:val="en-US"/>
              </w:rPr>
              <w:t>Note</w:t>
            </w:r>
            <w:r w:rsidRPr="00B84523">
              <w:rPr>
                <w:lang w:val="en-US"/>
              </w:rPr>
              <w:t xml:space="preserve"> Agreement.</w:t>
            </w:r>
          </w:p>
          <w:p w14:paraId="49722DF9" w14:textId="470692D1" w:rsidR="006F24DA" w:rsidRPr="00B84523" w:rsidRDefault="006F24DA" w:rsidP="00674E4B">
            <w:pPr>
              <w:jc w:val="left"/>
              <w:rPr>
                <w:lang w:val="en-US"/>
              </w:rPr>
            </w:pPr>
          </w:p>
        </w:tc>
      </w:tr>
      <w:tr w:rsidR="00FC4755" w:rsidRPr="00B84523" w14:paraId="48704C5A" w14:textId="77777777" w:rsidTr="00674E4B">
        <w:tc>
          <w:tcPr>
            <w:tcW w:w="562" w:type="dxa"/>
          </w:tcPr>
          <w:p w14:paraId="783537F6" w14:textId="77777777" w:rsidR="00FC4755" w:rsidRPr="00B84523" w:rsidRDefault="00FC4755" w:rsidP="00FC4755">
            <w:pPr>
              <w:pStyle w:val="ListParagraph"/>
              <w:ind w:left="316"/>
              <w:jc w:val="left"/>
              <w:rPr>
                <w:lang w:val="en-US"/>
              </w:rPr>
            </w:pPr>
          </w:p>
        </w:tc>
        <w:tc>
          <w:tcPr>
            <w:tcW w:w="2268" w:type="dxa"/>
          </w:tcPr>
          <w:p w14:paraId="2CB0CA1C" w14:textId="77777777" w:rsidR="00FC4755" w:rsidRPr="00B84523" w:rsidRDefault="00FC4755" w:rsidP="003A1B7B">
            <w:pPr>
              <w:jc w:val="left"/>
              <w:rPr>
                <w:i/>
                <w:iCs/>
                <w:lang w:val="en-US"/>
              </w:rPr>
            </w:pPr>
          </w:p>
        </w:tc>
        <w:tc>
          <w:tcPr>
            <w:tcW w:w="6233" w:type="dxa"/>
            <w:gridSpan w:val="2"/>
          </w:tcPr>
          <w:p w14:paraId="154663D3" w14:textId="77777777" w:rsidR="00FC4755" w:rsidRPr="00B84523" w:rsidRDefault="00FC4755" w:rsidP="003A1B7B">
            <w:pPr>
              <w:jc w:val="left"/>
              <w:rPr>
                <w:lang w:val="en-US"/>
              </w:rPr>
            </w:pPr>
          </w:p>
        </w:tc>
      </w:tr>
      <w:tr w:rsidR="00165217" w:rsidRPr="00B84523" w14:paraId="1FFCAEB4" w14:textId="77777777" w:rsidTr="001D4D18">
        <w:tc>
          <w:tcPr>
            <w:tcW w:w="562" w:type="dxa"/>
          </w:tcPr>
          <w:p w14:paraId="08CC871E" w14:textId="77777777" w:rsidR="00165217" w:rsidRPr="00B84523" w:rsidRDefault="00165217" w:rsidP="00165217">
            <w:pPr>
              <w:pStyle w:val="ListParagraph"/>
              <w:numPr>
                <w:ilvl w:val="0"/>
                <w:numId w:val="2"/>
              </w:numPr>
              <w:ind w:left="316" w:hanging="284"/>
              <w:jc w:val="left"/>
              <w:rPr>
                <w:lang w:val="en-US"/>
              </w:rPr>
            </w:pPr>
          </w:p>
        </w:tc>
        <w:tc>
          <w:tcPr>
            <w:tcW w:w="2268" w:type="dxa"/>
          </w:tcPr>
          <w:p w14:paraId="29683DC0" w14:textId="1BA5B918" w:rsidR="00165217" w:rsidRPr="00B84523" w:rsidRDefault="00845250" w:rsidP="003A1B7B">
            <w:pPr>
              <w:jc w:val="left"/>
              <w:rPr>
                <w:i/>
                <w:iCs/>
                <w:lang w:val="en-US"/>
              </w:rPr>
            </w:pPr>
            <w:r w:rsidRPr="00B84523">
              <w:rPr>
                <w:i/>
                <w:iCs/>
                <w:lang w:val="en-US"/>
              </w:rPr>
              <w:t>Conversion</w:t>
            </w:r>
          </w:p>
        </w:tc>
        <w:tc>
          <w:tcPr>
            <w:tcW w:w="6233" w:type="dxa"/>
            <w:gridSpan w:val="2"/>
          </w:tcPr>
          <w:p w14:paraId="1F15BCE7" w14:textId="1F32EE8F" w:rsidR="00165217" w:rsidRPr="00AF771A" w:rsidRDefault="00815CBB" w:rsidP="00AF771A">
            <w:pPr>
              <w:jc w:val="left"/>
              <w:rPr>
                <w:lang w:val="en-US"/>
              </w:rPr>
            </w:pPr>
            <w:r w:rsidRPr="00AF771A">
              <w:rPr>
                <w:i/>
                <w:iCs/>
                <w:lang w:val="en-US"/>
              </w:rPr>
              <w:t>Conversion on equity financing:</w:t>
            </w:r>
            <w:r w:rsidRPr="00AF771A">
              <w:rPr>
                <w:lang w:val="en-US"/>
              </w:rPr>
              <w:t xml:space="preserve">  </w:t>
            </w:r>
            <w:r w:rsidR="00FC4755" w:rsidRPr="00AF771A">
              <w:rPr>
                <w:lang w:val="en-US"/>
              </w:rPr>
              <w:t xml:space="preserve">In the event of an equity financing by the Company where the Company issues preference shares of any class (a </w:t>
            </w:r>
            <w:r w:rsidR="00FC4755" w:rsidRPr="00AF771A">
              <w:rPr>
                <w:b/>
                <w:bCs/>
                <w:lang w:val="en-US"/>
              </w:rPr>
              <w:t>Qualified Financing</w:t>
            </w:r>
            <w:r w:rsidR="00FC4755" w:rsidRPr="00AF771A">
              <w:rPr>
                <w:lang w:val="en-US"/>
              </w:rPr>
              <w:t xml:space="preserve">), the Company will </w:t>
            </w:r>
            <w:r w:rsidR="00845250" w:rsidRPr="00AF771A">
              <w:rPr>
                <w:lang w:val="en-US"/>
              </w:rPr>
              <w:t>on request from the holder of the Convertible Note</w:t>
            </w:r>
            <w:r w:rsidR="008C2602" w:rsidRPr="00AF771A">
              <w:rPr>
                <w:lang w:val="en-US"/>
              </w:rPr>
              <w:t xml:space="preserve"> (</w:t>
            </w:r>
            <w:r w:rsidR="008C2602" w:rsidRPr="00AF771A">
              <w:rPr>
                <w:b/>
                <w:bCs/>
                <w:lang w:val="en-US"/>
              </w:rPr>
              <w:t>Noteholder</w:t>
            </w:r>
            <w:r w:rsidR="008C2602" w:rsidRPr="00AF771A">
              <w:rPr>
                <w:lang w:val="en-US"/>
              </w:rPr>
              <w:t>)</w:t>
            </w:r>
            <w:r w:rsidR="00845250" w:rsidRPr="00AF771A">
              <w:rPr>
                <w:lang w:val="en-US"/>
              </w:rPr>
              <w:t xml:space="preserve"> </w:t>
            </w:r>
            <w:r w:rsidR="00FC4755" w:rsidRPr="00AF771A">
              <w:rPr>
                <w:lang w:val="en-US"/>
              </w:rPr>
              <w:t xml:space="preserve">issue to the </w:t>
            </w:r>
            <w:r w:rsidR="008C2602" w:rsidRPr="00AF771A">
              <w:rPr>
                <w:lang w:val="en-US"/>
              </w:rPr>
              <w:t>Noteholder</w:t>
            </w:r>
            <w:r w:rsidR="00845250" w:rsidRPr="00AF771A">
              <w:rPr>
                <w:lang w:val="en-US"/>
              </w:rPr>
              <w:t xml:space="preserve"> </w:t>
            </w:r>
            <w:r w:rsidR="00FC4755" w:rsidRPr="00AF771A">
              <w:rPr>
                <w:lang w:val="en-US"/>
              </w:rPr>
              <w:t xml:space="preserve">a number of preference shares in the Company </w:t>
            </w:r>
            <w:r w:rsidR="008C2602" w:rsidRPr="00AF771A">
              <w:rPr>
                <w:lang w:val="en-US"/>
              </w:rPr>
              <w:t xml:space="preserve">(the same class as the preference shares issued to the investors </w:t>
            </w:r>
            <w:r w:rsidR="00FC4755" w:rsidRPr="00AF771A">
              <w:rPr>
                <w:lang w:val="en-US"/>
              </w:rPr>
              <w:t>investing new money in the Company in connection with the Qualified Financing</w:t>
            </w:r>
            <w:r w:rsidR="008C2602" w:rsidRPr="00AF771A">
              <w:rPr>
                <w:lang w:val="en-US"/>
              </w:rPr>
              <w:t xml:space="preserve">) (the </w:t>
            </w:r>
            <w:r w:rsidR="008C2602" w:rsidRPr="00AF771A">
              <w:rPr>
                <w:b/>
                <w:bCs/>
                <w:lang w:val="en-US"/>
              </w:rPr>
              <w:t>New Preference Shares</w:t>
            </w:r>
            <w:r w:rsidR="008C2602" w:rsidRPr="00AF771A">
              <w:rPr>
                <w:lang w:val="en-US"/>
              </w:rPr>
              <w:t>)</w:t>
            </w:r>
            <w:r w:rsidR="00FC4755" w:rsidRPr="00AF771A">
              <w:rPr>
                <w:lang w:val="en-US"/>
              </w:rPr>
              <w:t xml:space="preserve"> </w:t>
            </w:r>
            <w:r w:rsidR="008C2602" w:rsidRPr="00AF771A">
              <w:rPr>
                <w:lang w:val="en-US"/>
              </w:rPr>
              <w:t xml:space="preserve">equal to that Noteholder’s Purchase Amount (plus accrued interest) divided by either: (1) the price per share equal </w:t>
            </w:r>
            <w:r w:rsidR="00A21D7E" w:rsidRPr="00AF771A">
              <w:rPr>
                <w:lang w:val="en-US"/>
              </w:rPr>
              <w:t xml:space="preserve">to [$valuation cap] (the Valuation Cap) divided by the issued share capital of the Company immediately prior to the Qualified Financing; or (2) the product of </w:t>
            </w:r>
            <w:r w:rsidR="00A21D7E" w:rsidRPr="00AF771A">
              <w:rPr>
                <w:lang w:val="en-US"/>
              </w:rPr>
              <w:lastRenderedPageBreak/>
              <w:t xml:space="preserve">the price per share of the New Preference Shares </w:t>
            </w:r>
            <w:r w:rsidR="00FC4755" w:rsidRPr="00AF771A">
              <w:rPr>
                <w:lang w:val="en-US"/>
              </w:rPr>
              <w:t xml:space="preserve">multiplied by </w:t>
            </w:r>
            <w:r w:rsidR="00A21D7E" w:rsidRPr="00AF771A">
              <w:rPr>
                <w:lang w:val="en-US"/>
              </w:rPr>
              <w:t>[80</w:t>
            </w:r>
            <w:r w:rsidR="00FC4755" w:rsidRPr="00AF771A">
              <w:rPr>
                <w:lang w:val="en-US"/>
              </w:rPr>
              <w:t>%</w:t>
            </w:r>
            <w:r w:rsidR="00A21D7E" w:rsidRPr="00AF771A">
              <w:rPr>
                <w:lang w:val="en-US"/>
              </w:rPr>
              <w:t>]</w:t>
            </w:r>
            <w:r w:rsidR="00FC4755" w:rsidRPr="00AF771A">
              <w:rPr>
                <w:lang w:val="en-US"/>
              </w:rPr>
              <w:t>, whichever calculation results in a greater number of preference shares</w:t>
            </w:r>
            <w:r w:rsidR="00845250" w:rsidRPr="00AF771A">
              <w:rPr>
                <w:lang w:val="en-US"/>
              </w:rPr>
              <w:t xml:space="preserve"> being issued to the </w:t>
            </w:r>
            <w:r w:rsidR="00A21D7E" w:rsidRPr="00AF771A">
              <w:rPr>
                <w:lang w:val="en-US"/>
              </w:rPr>
              <w:t>Noteholder</w:t>
            </w:r>
            <w:r w:rsidR="00FC4755" w:rsidRPr="00AF771A">
              <w:rPr>
                <w:lang w:val="en-US"/>
              </w:rPr>
              <w:t xml:space="preserve">. The preference shares </w:t>
            </w:r>
            <w:r w:rsidR="00A21D7E" w:rsidRPr="00AF771A">
              <w:rPr>
                <w:lang w:val="en-US"/>
              </w:rPr>
              <w:t xml:space="preserve">issued to the Noteholder </w:t>
            </w:r>
            <w:r w:rsidR="00FC4755" w:rsidRPr="00AF771A">
              <w:rPr>
                <w:lang w:val="en-US"/>
              </w:rPr>
              <w:t xml:space="preserve">must be issued on the same terms and conditions as the </w:t>
            </w:r>
            <w:r w:rsidR="00A21D7E" w:rsidRPr="00AF771A">
              <w:rPr>
                <w:lang w:val="en-US"/>
              </w:rPr>
              <w:t>New Preference Shares</w:t>
            </w:r>
            <w:r w:rsidR="00FC4755" w:rsidRPr="00AF771A">
              <w:rPr>
                <w:lang w:val="en-US"/>
              </w:rPr>
              <w:t xml:space="preserve"> (including the terms in any agreement between the new investors and the Company or any shareholders in the Company).</w:t>
            </w:r>
          </w:p>
        </w:tc>
      </w:tr>
      <w:tr w:rsidR="00E36C76" w:rsidRPr="00B84523" w14:paraId="75584BE8" w14:textId="77777777" w:rsidTr="001D4D18">
        <w:tc>
          <w:tcPr>
            <w:tcW w:w="562" w:type="dxa"/>
          </w:tcPr>
          <w:p w14:paraId="23E4C0FA" w14:textId="77777777" w:rsidR="00E36C76" w:rsidRPr="00B84523" w:rsidRDefault="00E36C76" w:rsidP="00E36C76">
            <w:pPr>
              <w:pStyle w:val="ListParagraph"/>
              <w:ind w:left="316"/>
              <w:jc w:val="left"/>
              <w:rPr>
                <w:lang w:val="en-US"/>
              </w:rPr>
            </w:pPr>
          </w:p>
        </w:tc>
        <w:tc>
          <w:tcPr>
            <w:tcW w:w="2268" w:type="dxa"/>
          </w:tcPr>
          <w:p w14:paraId="19CBF038" w14:textId="77777777" w:rsidR="00E36C76" w:rsidRPr="00B84523" w:rsidRDefault="00E36C76" w:rsidP="003A1B7B">
            <w:pPr>
              <w:jc w:val="left"/>
              <w:rPr>
                <w:i/>
                <w:iCs/>
                <w:lang w:val="en-US"/>
              </w:rPr>
            </w:pPr>
          </w:p>
        </w:tc>
        <w:tc>
          <w:tcPr>
            <w:tcW w:w="6233" w:type="dxa"/>
            <w:gridSpan w:val="2"/>
          </w:tcPr>
          <w:p w14:paraId="3FCB4D11" w14:textId="77777777" w:rsidR="00E36C76" w:rsidRPr="00B84523" w:rsidRDefault="00E36C76" w:rsidP="00E36C76">
            <w:pPr>
              <w:pStyle w:val="ListParagraph"/>
              <w:ind w:left="321"/>
              <w:jc w:val="left"/>
              <w:rPr>
                <w:i/>
                <w:iCs/>
                <w:lang w:val="en-US"/>
              </w:rPr>
            </w:pPr>
          </w:p>
        </w:tc>
      </w:tr>
      <w:tr w:rsidR="00E36C76" w:rsidRPr="00B84523" w14:paraId="1ADD5E8E" w14:textId="77777777" w:rsidTr="001D4D18">
        <w:tc>
          <w:tcPr>
            <w:tcW w:w="562" w:type="dxa"/>
          </w:tcPr>
          <w:p w14:paraId="136A65C2" w14:textId="77777777" w:rsidR="00E36C76" w:rsidRPr="00B84523" w:rsidRDefault="00E36C76" w:rsidP="00165217">
            <w:pPr>
              <w:pStyle w:val="ListParagraph"/>
              <w:numPr>
                <w:ilvl w:val="0"/>
                <w:numId w:val="2"/>
              </w:numPr>
              <w:ind w:left="316" w:hanging="284"/>
              <w:jc w:val="left"/>
              <w:rPr>
                <w:lang w:val="en-US"/>
              </w:rPr>
            </w:pPr>
          </w:p>
        </w:tc>
        <w:tc>
          <w:tcPr>
            <w:tcW w:w="2268" w:type="dxa"/>
          </w:tcPr>
          <w:p w14:paraId="73CE8496" w14:textId="0A4F41DE" w:rsidR="00E36C76" w:rsidRPr="00B84523" w:rsidRDefault="00E36C76" w:rsidP="003A1B7B">
            <w:pPr>
              <w:jc w:val="left"/>
              <w:rPr>
                <w:i/>
                <w:iCs/>
                <w:lang w:val="en-US"/>
              </w:rPr>
            </w:pPr>
            <w:r w:rsidRPr="00B84523">
              <w:rPr>
                <w:i/>
                <w:iCs/>
                <w:lang w:val="en-US"/>
              </w:rPr>
              <w:t>Prepayment</w:t>
            </w:r>
          </w:p>
        </w:tc>
        <w:tc>
          <w:tcPr>
            <w:tcW w:w="6233" w:type="dxa"/>
            <w:gridSpan w:val="2"/>
          </w:tcPr>
          <w:p w14:paraId="54C168C6" w14:textId="3DE10B8E" w:rsidR="00E36C76" w:rsidRPr="00B84523" w:rsidRDefault="00E36C76" w:rsidP="00E36C76">
            <w:pPr>
              <w:jc w:val="left"/>
              <w:rPr>
                <w:lang w:val="en-US"/>
              </w:rPr>
            </w:pPr>
            <w:r w:rsidRPr="00B84523">
              <w:rPr>
                <w:lang w:val="en-US"/>
              </w:rPr>
              <w:t xml:space="preserve">At any time prior to </w:t>
            </w:r>
            <w:r w:rsidR="00B3215E" w:rsidRPr="00B84523">
              <w:rPr>
                <w:lang w:val="en-US"/>
              </w:rPr>
              <w:t>Conversion the Company may prepay the financing together with a payment equivalent to [x]% interest per annum on the amount of the financing.</w:t>
            </w:r>
          </w:p>
        </w:tc>
      </w:tr>
      <w:tr w:rsidR="00EA637C" w:rsidRPr="00B84523" w14:paraId="3A7D3732" w14:textId="77777777" w:rsidTr="001D4D18">
        <w:tc>
          <w:tcPr>
            <w:tcW w:w="9063" w:type="dxa"/>
            <w:gridSpan w:val="4"/>
          </w:tcPr>
          <w:p w14:paraId="54BEE5A8" w14:textId="77777777" w:rsidR="00EA637C" w:rsidRPr="00B84523" w:rsidRDefault="00EA637C" w:rsidP="003A1B7B">
            <w:pPr>
              <w:jc w:val="left"/>
              <w:rPr>
                <w:lang w:val="en-US"/>
              </w:rPr>
            </w:pPr>
          </w:p>
        </w:tc>
      </w:tr>
      <w:tr w:rsidR="00FC4755" w:rsidRPr="00B84523" w14:paraId="4AD35412" w14:textId="77777777" w:rsidTr="001D4D18">
        <w:tc>
          <w:tcPr>
            <w:tcW w:w="562" w:type="dxa"/>
          </w:tcPr>
          <w:p w14:paraId="38F63E97"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59CC0530" w14:textId="6B00719B" w:rsidR="00FC4755" w:rsidRPr="00B84523" w:rsidRDefault="00FC4755" w:rsidP="003A1B7B">
            <w:pPr>
              <w:jc w:val="left"/>
              <w:rPr>
                <w:i/>
                <w:iCs/>
                <w:lang w:val="en-US"/>
              </w:rPr>
            </w:pPr>
            <w:r w:rsidRPr="00B84523">
              <w:rPr>
                <w:i/>
                <w:iCs/>
                <w:lang w:val="en-US"/>
              </w:rPr>
              <w:t>Liquidity Event</w:t>
            </w:r>
          </w:p>
        </w:tc>
        <w:tc>
          <w:tcPr>
            <w:tcW w:w="6233" w:type="dxa"/>
            <w:gridSpan w:val="2"/>
          </w:tcPr>
          <w:p w14:paraId="02EFF695" w14:textId="0D14E577" w:rsidR="00FC4755" w:rsidRPr="00B84523" w:rsidRDefault="00FC4755" w:rsidP="00312D26">
            <w:pPr>
              <w:jc w:val="left"/>
              <w:rPr>
                <w:lang w:val="en-US"/>
              </w:rPr>
            </w:pPr>
            <w:r w:rsidRPr="00B84523">
              <w:rPr>
                <w:lang w:val="en-US"/>
              </w:rPr>
              <w:t xml:space="preserve">If there is a change of control of the Company or the Company’s initial public offering of ordinary shares in its capital (a </w:t>
            </w:r>
            <w:r w:rsidRPr="00B84523">
              <w:rPr>
                <w:b/>
                <w:bCs/>
                <w:lang w:val="en-US"/>
              </w:rPr>
              <w:t>Liquidity Event</w:t>
            </w:r>
            <w:r w:rsidRPr="00B84523">
              <w:rPr>
                <w:lang w:val="en-US"/>
              </w:rPr>
              <w:t xml:space="preserve">), the </w:t>
            </w:r>
            <w:r w:rsidR="00A21D7E" w:rsidRPr="00B84523">
              <w:rPr>
                <w:lang w:val="en-US"/>
              </w:rPr>
              <w:t>Noteholder</w:t>
            </w:r>
            <w:r w:rsidRPr="00B84523">
              <w:rPr>
                <w:lang w:val="en-US"/>
              </w:rPr>
              <w:t xml:space="preserve"> </w:t>
            </w:r>
            <w:r w:rsidR="0028046F" w:rsidRPr="00B84523">
              <w:rPr>
                <w:lang w:val="en-US"/>
              </w:rPr>
              <w:t>may</w:t>
            </w:r>
            <w:r w:rsidRPr="00B84523">
              <w:rPr>
                <w:lang w:val="en-US"/>
              </w:rPr>
              <w:t xml:space="preserve">, at its option, </w:t>
            </w:r>
            <w:r w:rsidR="0028046F" w:rsidRPr="00B84523">
              <w:rPr>
                <w:lang w:val="en-US"/>
              </w:rPr>
              <w:t xml:space="preserve">bring forward the </w:t>
            </w:r>
            <w:r w:rsidR="00A21D7E" w:rsidRPr="00B84523">
              <w:rPr>
                <w:lang w:val="en-US"/>
              </w:rPr>
              <w:t>Maturity D</w:t>
            </w:r>
            <w:r w:rsidR="0028046F" w:rsidRPr="00B84523">
              <w:rPr>
                <w:lang w:val="en-US"/>
              </w:rPr>
              <w:t>ate to a date no</w:t>
            </w:r>
            <w:r w:rsidR="00A21D7E" w:rsidRPr="00B84523">
              <w:rPr>
                <w:lang w:val="en-US"/>
              </w:rPr>
              <w:t xml:space="preserve"> more than five, and no</w:t>
            </w:r>
            <w:r w:rsidR="0028046F" w:rsidRPr="00B84523">
              <w:rPr>
                <w:lang w:val="en-US"/>
              </w:rPr>
              <w:t xml:space="preserve"> less than two business days before the change of control or IPO</w:t>
            </w:r>
            <w:r w:rsidR="00A21D7E" w:rsidRPr="00B84523">
              <w:rPr>
                <w:lang w:val="en-US"/>
              </w:rPr>
              <w:t xml:space="preserve">, in which event such Noteholder will be deemed to have elected to convert their Convertible Notes to ordinary shares in accordance with paragraph </w:t>
            </w:r>
            <w:r w:rsidR="003D35F6" w:rsidRPr="00B84523">
              <w:rPr>
                <w:lang w:val="en-US"/>
              </w:rPr>
              <w:t>9</w:t>
            </w:r>
            <w:r w:rsidR="00A21D7E" w:rsidRPr="00B84523">
              <w:rPr>
                <w:lang w:val="en-US"/>
              </w:rPr>
              <w:t xml:space="preserve"> above.  If a Noteholder</w:t>
            </w:r>
            <w:r w:rsidRPr="00B84523">
              <w:rPr>
                <w:lang w:val="en-US"/>
              </w:rPr>
              <w:t xml:space="preserve"> fails to </w:t>
            </w:r>
            <w:r w:rsidR="00A21D7E" w:rsidRPr="00B84523">
              <w:rPr>
                <w:lang w:val="en-US"/>
              </w:rPr>
              <w:t>exercise such option immediately prior to completion of the Liquidity Event it shall</w:t>
            </w:r>
            <w:r w:rsidRPr="00B84523">
              <w:rPr>
                <w:lang w:val="en-US"/>
              </w:rPr>
              <w:t xml:space="preserve"> automatically receive from the Company a number of Ordinary Shares equal to two (2) times </w:t>
            </w:r>
            <w:r w:rsidR="00A21D7E" w:rsidRPr="00B84523">
              <w:rPr>
                <w:lang w:val="en-US"/>
              </w:rPr>
              <w:t xml:space="preserve">its </w:t>
            </w:r>
            <w:r w:rsidRPr="00B84523">
              <w:rPr>
                <w:lang w:val="en-US"/>
              </w:rPr>
              <w:t>Purchase Amount divided by the price per Ordinary Share established by the Liquidity Event.</w:t>
            </w:r>
          </w:p>
        </w:tc>
      </w:tr>
      <w:tr w:rsidR="00FC4755" w:rsidRPr="00B84523" w14:paraId="7C35CEBB" w14:textId="77777777" w:rsidTr="001D4D18">
        <w:tc>
          <w:tcPr>
            <w:tcW w:w="562" w:type="dxa"/>
          </w:tcPr>
          <w:p w14:paraId="207671D6" w14:textId="77777777" w:rsidR="00FC4755" w:rsidRPr="00B84523" w:rsidRDefault="00FC4755" w:rsidP="00FC4755">
            <w:pPr>
              <w:pStyle w:val="ListParagraph"/>
              <w:ind w:left="316"/>
              <w:jc w:val="left"/>
              <w:rPr>
                <w:lang w:val="en-US"/>
              </w:rPr>
            </w:pPr>
          </w:p>
        </w:tc>
        <w:tc>
          <w:tcPr>
            <w:tcW w:w="2268" w:type="dxa"/>
          </w:tcPr>
          <w:p w14:paraId="7AF9F49B" w14:textId="77777777" w:rsidR="00FC4755" w:rsidRPr="00B84523" w:rsidRDefault="00FC4755" w:rsidP="003A1B7B">
            <w:pPr>
              <w:jc w:val="left"/>
              <w:rPr>
                <w:i/>
                <w:iCs/>
                <w:lang w:val="en-US"/>
              </w:rPr>
            </w:pPr>
          </w:p>
        </w:tc>
        <w:tc>
          <w:tcPr>
            <w:tcW w:w="6233" w:type="dxa"/>
            <w:gridSpan w:val="2"/>
          </w:tcPr>
          <w:p w14:paraId="6229E4A7" w14:textId="77777777" w:rsidR="00FC4755" w:rsidRPr="00B84523" w:rsidRDefault="00FC4755" w:rsidP="00312D26">
            <w:pPr>
              <w:jc w:val="left"/>
              <w:rPr>
                <w:lang w:val="en-US"/>
              </w:rPr>
            </w:pPr>
          </w:p>
        </w:tc>
      </w:tr>
      <w:tr w:rsidR="00FC4755" w:rsidRPr="00B84523" w14:paraId="252E76B9" w14:textId="77777777" w:rsidTr="001D4D18">
        <w:tc>
          <w:tcPr>
            <w:tcW w:w="562" w:type="dxa"/>
          </w:tcPr>
          <w:p w14:paraId="5F2D0E72"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5E9001F4" w14:textId="0B7E49AF" w:rsidR="00FC4755" w:rsidRPr="00B84523" w:rsidRDefault="00FC4755" w:rsidP="003A1B7B">
            <w:pPr>
              <w:jc w:val="left"/>
              <w:rPr>
                <w:i/>
                <w:iCs/>
                <w:lang w:val="en-US"/>
              </w:rPr>
            </w:pPr>
            <w:r w:rsidRPr="00B84523">
              <w:rPr>
                <w:i/>
                <w:iCs/>
                <w:lang w:val="en-US"/>
              </w:rPr>
              <w:t>Dissolution Event</w:t>
            </w:r>
          </w:p>
        </w:tc>
        <w:tc>
          <w:tcPr>
            <w:tcW w:w="6233" w:type="dxa"/>
            <w:gridSpan w:val="2"/>
          </w:tcPr>
          <w:p w14:paraId="55A7E5F9" w14:textId="66BDF7E0" w:rsidR="00FC4755" w:rsidRPr="00B84523" w:rsidRDefault="00A21D7E" w:rsidP="00312D26">
            <w:pPr>
              <w:jc w:val="left"/>
              <w:rPr>
                <w:lang w:val="en-US"/>
              </w:rPr>
            </w:pPr>
            <w:r w:rsidRPr="00B84523">
              <w:t>If there is a (i) voluntary termination of operations; (ii) a general assignment for the benefit of the Company’s creditors; or (iii) any other liquidation, dissolution or winding up of the Company (excluding a Liquidity Event), whether voluntary or involuntary, the Maturity Date will be deemed to be brought forward to the date of such termination of operations, assignment, or other winding up event, and the Purchase Amounts of all Investors (plus accrued interest) will be paid (pro rata among all Investors on a non-participating basis) prior and in preference to any distribution of any of the assets of the Company to the shareholders of the Company.</w:t>
            </w:r>
          </w:p>
        </w:tc>
      </w:tr>
      <w:tr w:rsidR="00FC4755" w:rsidRPr="00B84523" w14:paraId="492268F1" w14:textId="77777777" w:rsidTr="001D4D18">
        <w:tc>
          <w:tcPr>
            <w:tcW w:w="562" w:type="dxa"/>
          </w:tcPr>
          <w:p w14:paraId="55FE387E" w14:textId="77777777" w:rsidR="00FC4755" w:rsidRPr="00B84523" w:rsidRDefault="00FC4755" w:rsidP="00FC4755">
            <w:pPr>
              <w:pStyle w:val="ListParagraph"/>
              <w:ind w:left="316"/>
              <w:jc w:val="left"/>
              <w:rPr>
                <w:lang w:val="en-US"/>
              </w:rPr>
            </w:pPr>
          </w:p>
        </w:tc>
        <w:tc>
          <w:tcPr>
            <w:tcW w:w="2268" w:type="dxa"/>
          </w:tcPr>
          <w:p w14:paraId="14CA1471" w14:textId="77777777" w:rsidR="00FC4755" w:rsidRPr="00B84523" w:rsidRDefault="00FC4755" w:rsidP="003A1B7B">
            <w:pPr>
              <w:jc w:val="left"/>
              <w:rPr>
                <w:i/>
                <w:iCs/>
                <w:lang w:val="en-US"/>
              </w:rPr>
            </w:pPr>
          </w:p>
        </w:tc>
        <w:tc>
          <w:tcPr>
            <w:tcW w:w="6233" w:type="dxa"/>
            <w:gridSpan w:val="2"/>
          </w:tcPr>
          <w:p w14:paraId="277EDE49" w14:textId="77777777" w:rsidR="00FC4755" w:rsidRPr="00B84523" w:rsidRDefault="00FC4755" w:rsidP="00312D26">
            <w:pPr>
              <w:jc w:val="left"/>
              <w:rPr>
                <w:lang w:val="en-US"/>
              </w:rPr>
            </w:pPr>
          </w:p>
        </w:tc>
      </w:tr>
      <w:tr w:rsidR="00FC4755" w:rsidRPr="00B84523" w14:paraId="1748F3B2" w14:textId="77777777" w:rsidTr="001D4D18">
        <w:tc>
          <w:tcPr>
            <w:tcW w:w="562" w:type="dxa"/>
          </w:tcPr>
          <w:p w14:paraId="12278195"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10A2F7B7" w14:textId="5A20B75A" w:rsidR="00FC4755" w:rsidRPr="00B84523" w:rsidRDefault="00FC4755" w:rsidP="003A1B7B">
            <w:pPr>
              <w:jc w:val="left"/>
              <w:rPr>
                <w:i/>
                <w:iCs/>
                <w:lang w:val="en-US"/>
              </w:rPr>
            </w:pPr>
            <w:r w:rsidRPr="00B84523">
              <w:rPr>
                <w:i/>
                <w:iCs/>
                <w:lang w:val="en-US"/>
              </w:rPr>
              <w:t>Pro rata right to invest</w:t>
            </w:r>
          </w:p>
        </w:tc>
        <w:tc>
          <w:tcPr>
            <w:tcW w:w="6233" w:type="dxa"/>
            <w:gridSpan w:val="2"/>
          </w:tcPr>
          <w:p w14:paraId="5705DF00" w14:textId="20DB3A12" w:rsidR="00FC4755" w:rsidRPr="00B84523" w:rsidRDefault="00A21D7E" w:rsidP="00312D26">
            <w:pPr>
              <w:jc w:val="left"/>
              <w:rPr>
                <w:lang w:val="en-US"/>
              </w:rPr>
            </w:pPr>
            <w:r w:rsidRPr="00B84523">
              <w:t>Prior to conversion of their Convertible Notes, the Investors will be entitled to participate pro-rata (on a fully-diluted basis) in any future issues of shares of any class.</w:t>
            </w:r>
          </w:p>
        </w:tc>
      </w:tr>
      <w:tr w:rsidR="00FC4755" w:rsidRPr="00B84523" w14:paraId="4EF2332A" w14:textId="77777777" w:rsidTr="001D4D18">
        <w:tc>
          <w:tcPr>
            <w:tcW w:w="562" w:type="dxa"/>
          </w:tcPr>
          <w:p w14:paraId="11C13149" w14:textId="77777777" w:rsidR="00FC4755" w:rsidRPr="00B84523" w:rsidRDefault="00FC4755" w:rsidP="00FC4755">
            <w:pPr>
              <w:pStyle w:val="ListParagraph"/>
              <w:ind w:left="316"/>
              <w:jc w:val="left"/>
              <w:rPr>
                <w:lang w:val="en-US"/>
              </w:rPr>
            </w:pPr>
          </w:p>
        </w:tc>
        <w:tc>
          <w:tcPr>
            <w:tcW w:w="2268" w:type="dxa"/>
          </w:tcPr>
          <w:p w14:paraId="3B8C6AC7" w14:textId="77777777" w:rsidR="00FC4755" w:rsidRPr="00B84523" w:rsidRDefault="00FC4755" w:rsidP="003A1B7B">
            <w:pPr>
              <w:jc w:val="left"/>
              <w:rPr>
                <w:i/>
                <w:iCs/>
                <w:lang w:val="en-US"/>
              </w:rPr>
            </w:pPr>
          </w:p>
        </w:tc>
        <w:tc>
          <w:tcPr>
            <w:tcW w:w="6233" w:type="dxa"/>
            <w:gridSpan w:val="2"/>
          </w:tcPr>
          <w:p w14:paraId="14E9230C" w14:textId="77777777" w:rsidR="00FC4755" w:rsidRPr="00B84523" w:rsidRDefault="00FC4755" w:rsidP="00312D26">
            <w:pPr>
              <w:jc w:val="left"/>
              <w:rPr>
                <w:lang w:val="en-US"/>
              </w:rPr>
            </w:pPr>
          </w:p>
        </w:tc>
      </w:tr>
      <w:tr w:rsidR="00FC4755" w:rsidRPr="00B84523" w14:paraId="0401C4D4" w14:textId="77777777" w:rsidTr="001D4D18">
        <w:tc>
          <w:tcPr>
            <w:tcW w:w="562" w:type="dxa"/>
          </w:tcPr>
          <w:p w14:paraId="7CE250AB"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113DA3F7" w14:textId="154F9B62" w:rsidR="00FC4755" w:rsidRPr="00B84523" w:rsidRDefault="00A21D7E" w:rsidP="003A1B7B">
            <w:pPr>
              <w:jc w:val="left"/>
              <w:rPr>
                <w:i/>
                <w:iCs/>
                <w:lang w:val="en-US"/>
              </w:rPr>
            </w:pPr>
            <w:r w:rsidRPr="00B84523">
              <w:rPr>
                <w:i/>
                <w:iCs/>
                <w:lang w:val="en-US"/>
              </w:rPr>
              <w:t>Observer Rights</w:t>
            </w:r>
          </w:p>
        </w:tc>
        <w:tc>
          <w:tcPr>
            <w:tcW w:w="6233" w:type="dxa"/>
            <w:gridSpan w:val="2"/>
          </w:tcPr>
          <w:p w14:paraId="04C7E751" w14:textId="2DA3F869" w:rsidR="00FC4755" w:rsidRPr="00B84523" w:rsidRDefault="00A21D7E" w:rsidP="00312D26">
            <w:pPr>
              <w:jc w:val="left"/>
              <w:rPr>
                <w:lang w:val="en-US"/>
              </w:rPr>
            </w:pPr>
            <w:r w:rsidRPr="00B84523">
              <w:t>The Lead Investor will be entitled to receive notice of (and the papers relating to) all board meetings and to attend such meetings as an observer, but not to vote at such meetings.</w:t>
            </w:r>
          </w:p>
        </w:tc>
      </w:tr>
      <w:tr w:rsidR="00FC4755" w:rsidRPr="00B84523" w14:paraId="29469369" w14:textId="77777777" w:rsidTr="001D4D18">
        <w:tc>
          <w:tcPr>
            <w:tcW w:w="562" w:type="dxa"/>
          </w:tcPr>
          <w:p w14:paraId="67B2B440" w14:textId="77777777" w:rsidR="00FC4755" w:rsidRPr="00B84523" w:rsidRDefault="00FC4755" w:rsidP="00FC4755">
            <w:pPr>
              <w:pStyle w:val="ListParagraph"/>
              <w:ind w:left="316"/>
              <w:jc w:val="left"/>
              <w:rPr>
                <w:lang w:val="en-US"/>
              </w:rPr>
            </w:pPr>
          </w:p>
        </w:tc>
        <w:tc>
          <w:tcPr>
            <w:tcW w:w="2268" w:type="dxa"/>
          </w:tcPr>
          <w:p w14:paraId="4DB9DFBA" w14:textId="77777777" w:rsidR="00FC4755" w:rsidRPr="00B84523" w:rsidRDefault="00FC4755" w:rsidP="003A1B7B">
            <w:pPr>
              <w:jc w:val="left"/>
              <w:rPr>
                <w:i/>
                <w:iCs/>
                <w:lang w:val="en-US"/>
              </w:rPr>
            </w:pPr>
          </w:p>
        </w:tc>
        <w:tc>
          <w:tcPr>
            <w:tcW w:w="6233" w:type="dxa"/>
            <w:gridSpan w:val="2"/>
          </w:tcPr>
          <w:p w14:paraId="6EC8D2A9" w14:textId="77777777" w:rsidR="00FC4755" w:rsidRPr="00B84523" w:rsidRDefault="00FC4755" w:rsidP="00312D26">
            <w:pPr>
              <w:jc w:val="left"/>
              <w:rPr>
                <w:lang w:val="en-US"/>
              </w:rPr>
            </w:pPr>
          </w:p>
        </w:tc>
      </w:tr>
      <w:tr w:rsidR="00FC4755" w:rsidRPr="00B84523" w14:paraId="6CA7BE79" w14:textId="77777777" w:rsidTr="00344F11">
        <w:tc>
          <w:tcPr>
            <w:tcW w:w="562" w:type="dxa"/>
          </w:tcPr>
          <w:p w14:paraId="2AB1F547" w14:textId="77777777" w:rsidR="00FC4755" w:rsidRPr="00B84523" w:rsidRDefault="00FC4755" w:rsidP="00344F11">
            <w:pPr>
              <w:pStyle w:val="ListParagraph"/>
              <w:numPr>
                <w:ilvl w:val="0"/>
                <w:numId w:val="2"/>
              </w:numPr>
              <w:ind w:left="316" w:hanging="284"/>
              <w:jc w:val="left"/>
              <w:rPr>
                <w:lang w:val="en-US"/>
              </w:rPr>
            </w:pPr>
          </w:p>
        </w:tc>
        <w:tc>
          <w:tcPr>
            <w:tcW w:w="2268" w:type="dxa"/>
          </w:tcPr>
          <w:p w14:paraId="081B5D38" w14:textId="77777777" w:rsidR="00FC4755" w:rsidRPr="00B84523" w:rsidRDefault="00FC4755" w:rsidP="00344F11">
            <w:pPr>
              <w:jc w:val="left"/>
              <w:rPr>
                <w:i/>
                <w:iCs/>
                <w:lang w:val="en-US"/>
              </w:rPr>
            </w:pPr>
            <w:r w:rsidRPr="00B84523">
              <w:rPr>
                <w:i/>
                <w:iCs/>
                <w:lang w:val="en-US"/>
              </w:rPr>
              <w:t>Investor protections</w:t>
            </w:r>
          </w:p>
        </w:tc>
        <w:tc>
          <w:tcPr>
            <w:tcW w:w="6233" w:type="dxa"/>
            <w:gridSpan w:val="2"/>
          </w:tcPr>
          <w:p w14:paraId="38D99F62" w14:textId="76DF813B" w:rsidR="00674E4B" w:rsidRDefault="00FC4755" w:rsidP="00674E4B">
            <w:pPr>
              <w:jc w:val="left"/>
              <w:rPr>
                <w:lang w:val="en-US"/>
              </w:rPr>
            </w:pPr>
            <w:r w:rsidRPr="00B84523">
              <w:rPr>
                <w:lang w:val="en-US"/>
              </w:rPr>
              <w:t>The written consent of the Investor(s) will be required to approve</w:t>
            </w:r>
            <w:r w:rsidR="00674E4B">
              <w:rPr>
                <w:lang w:val="en-US"/>
              </w:rPr>
              <w:t xml:space="preserve"> certain</w:t>
            </w:r>
            <w:r w:rsidRPr="00B84523">
              <w:rPr>
                <w:lang w:val="en-US"/>
              </w:rPr>
              <w:t xml:space="preserve"> </w:t>
            </w:r>
            <w:r w:rsidR="00674E4B">
              <w:rPr>
                <w:lang w:val="en-US"/>
              </w:rPr>
              <w:t xml:space="preserve">actions including (without limitation): </w:t>
            </w:r>
          </w:p>
          <w:p w14:paraId="0FC44C98" w14:textId="77777777" w:rsidR="00674E4B" w:rsidRDefault="00674E4B" w:rsidP="00674E4B">
            <w:pPr>
              <w:jc w:val="left"/>
              <w:rPr>
                <w:lang w:val="en-US"/>
              </w:rPr>
            </w:pPr>
          </w:p>
          <w:p w14:paraId="78BB1C76" w14:textId="77777777" w:rsidR="00674E4B" w:rsidRDefault="00674E4B" w:rsidP="00674E4B">
            <w:pPr>
              <w:pStyle w:val="ListParagraph"/>
              <w:numPr>
                <w:ilvl w:val="0"/>
                <w:numId w:val="10"/>
              </w:numPr>
              <w:ind w:left="323" w:hanging="284"/>
              <w:jc w:val="left"/>
              <w:rPr>
                <w:lang w:val="en-US"/>
              </w:rPr>
            </w:pPr>
            <w:r>
              <w:rPr>
                <w:lang w:val="en-US"/>
              </w:rPr>
              <w:t>any amendment to the constitution of the Company;</w:t>
            </w:r>
          </w:p>
          <w:p w14:paraId="3D3FD261" w14:textId="77777777" w:rsidR="00674E4B" w:rsidRDefault="00674E4B" w:rsidP="00674E4B">
            <w:pPr>
              <w:pStyle w:val="ListParagraph"/>
              <w:ind w:left="323"/>
              <w:jc w:val="left"/>
              <w:rPr>
                <w:lang w:val="en-US"/>
              </w:rPr>
            </w:pPr>
          </w:p>
          <w:p w14:paraId="5476A249" w14:textId="77777777" w:rsidR="00674E4B" w:rsidRDefault="00674E4B" w:rsidP="00674E4B">
            <w:pPr>
              <w:pStyle w:val="ListParagraph"/>
              <w:numPr>
                <w:ilvl w:val="0"/>
                <w:numId w:val="10"/>
              </w:numPr>
              <w:ind w:left="321" w:hanging="284"/>
              <w:jc w:val="left"/>
              <w:rPr>
                <w:lang w:val="en-US"/>
              </w:rPr>
            </w:pPr>
            <w:r>
              <w:rPr>
                <w:lang w:val="en-US"/>
              </w:rPr>
              <w:t>the issue of new shares, options, or convertible securities;</w:t>
            </w:r>
          </w:p>
          <w:p w14:paraId="663CBC8F" w14:textId="77777777" w:rsidR="00674E4B" w:rsidRDefault="00674E4B" w:rsidP="00674E4B">
            <w:pPr>
              <w:pStyle w:val="ListParagraph"/>
              <w:ind w:left="321"/>
              <w:jc w:val="left"/>
              <w:rPr>
                <w:lang w:val="en-US"/>
              </w:rPr>
            </w:pPr>
          </w:p>
          <w:p w14:paraId="431AA552" w14:textId="77777777" w:rsidR="00674E4B" w:rsidRDefault="00674E4B" w:rsidP="00674E4B">
            <w:pPr>
              <w:pStyle w:val="ListParagraph"/>
              <w:numPr>
                <w:ilvl w:val="0"/>
                <w:numId w:val="10"/>
              </w:numPr>
              <w:ind w:left="321" w:hanging="284"/>
              <w:jc w:val="left"/>
              <w:rPr>
                <w:lang w:val="en-US"/>
              </w:rPr>
            </w:pPr>
            <w:r>
              <w:rPr>
                <w:lang w:val="en-US"/>
              </w:rPr>
              <w:lastRenderedPageBreak/>
              <w:t>the approval of any material change to the budget or business plan;</w:t>
            </w:r>
          </w:p>
          <w:p w14:paraId="70451FCA" w14:textId="77777777" w:rsidR="00674E4B" w:rsidRDefault="00674E4B" w:rsidP="00674E4B">
            <w:pPr>
              <w:pStyle w:val="ListParagraph"/>
              <w:ind w:left="321"/>
              <w:jc w:val="left"/>
              <w:rPr>
                <w:lang w:val="en-US"/>
              </w:rPr>
            </w:pPr>
          </w:p>
          <w:p w14:paraId="26E182E4" w14:textId="77777777" w:rsidR="00674E4B" w:rsidRDefault="00674E4B" w:rsidP="00674E4B">
            <w:pPr>
              <w:pStyle w:val="ListParagraph"/>
              <w:numPr>
                <w:ilvl w:val="0"/>
                <w:numId w:val="10"/>
              </w:numPr>
              <w:ind w:left="321" w:hanging="284"/>
              <w:jc w:val="left"/>
              <w:rPr>
                <w:lang w:val="en-US"/>
              </w:rPr>
            </w:pPr>
            <w:r>
              <w:rPr>
                <w:lang w:val="en-US"/>
              </w:rPr>
              <w:t>the acquisition or disposal of any material asset outside the ordinary course of business.</w:t>
            </w:r>
          </w:p>
          <w:p w14:paraId="7DF64AFD" w14:textId="067D9363" w:rsidR="006F24DA" w:rsidRPr="00B84523" w:rsidRDefault="006F24DA" w:rsidP="00AF771A">
            <w:pPr>
              <w:jc w:val="left"/>
              <w:rPr>
                <w:lang w:val="en-US"/>
              </w:rPr>
            </w:pPr>
          </w:p>
        </w:tc>
      </w:tr>
      <w:tr w:rsidR="00FC4755" w:rsidRPr="00B84523" w14:paraId="4F076AFB" w14:textId="77777777" w:rsidTr="001D4D18">
        <w:tc>
          <w:tcPr>
            <w:tcW w:w="562" w:type="dxa"/>
          </w:tcPr>
          <w:p w14:paraId="34FB06D5" w14:textId="77777777" w:rsidR="00FC4755" w:rsidRPr="00B84523" w:rsidRDefault="00FC4755" w:rsidP="00FC4755">
            <w:pPr>
              <w:pStyle w:val="ListParagraph"/>
              <w:ind w:left="316"/>
              <w:jc w:val="left"/>
              <w:rPr>
                <w:lang w:val="en-US"/>
              </w:rPr>
            </w:pPr>
          </w:p>
        </w:tc>
        <w:tc>
          <w:tcPr>
            <w:tcW w:w="2268" w:type="dxa"/>
          </w:tcPr>
          <w:p w14:paraId="1D41EFB3" w14:textId="77777777" w:rsidR="00FC4755" w:rsidRPr="00B84523" w:rsidRDefault="00FC4755" w:rsidP="003A1B7B">
            <w:pPr>
              <w:jc w:val="left"/>
              <w:rPr>
                <w:i/>
                <w:iCs/>
                <w:lang w:val="en-US"/>
              </w:rPr>
            </w:pPr>
          </w:p>
        </w:tc>
        <w:tc>
          <w:tcPr>
            <w:tcW w:w="6233" w:type="dxa"/>
            <w:gridSpan w:val="2"/>
          </w:tcPr>
          <w:p w14:paraId="05956319" w14:textId="77777777" w:rsidR="00FC4755" w:rsidRPr="00B84523" w:rsidRDefault="00FC4755" w:rsidP="00312D26">
            <w:pPr>
              <w:jc w:val="left"/>
              <w:rPr>
                <w:lang w:val="en-US"/>
              </w:rPr>
            </w:pPr>
          </w:p>
        </w:tc>
      </w:tr>
      <w:tr w:rsidR="00FC4755" w:rsidRPr="00B84523" w14:paraId="2453E8A6" w14:textId="77777777" w:rsidTr="001D4D18">
        <w:tc>
          <w:tcPr>
            <w:tcW w:w="562" w:type="dxa"/>
          </w:tcPr>
          <w:p w14:paraId="0639B06C"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6E31D388" w14:textId="19F1052D" w:rsidR="00FC4755" w:rsidRPr="00B84523" w:rsidRDefault="00FC4755" w:rsidP="003A1B7B">
            <w:pPr>
              <w:jc w:val="left"/>
              <w:rPr>
                <w:i/>
                <w:iCs/>
                <w:lang w:val="en-US"/>
              </w:rPr>
            </w:pPr>
            <w:r w:rsidRPr="00B84523">
              <w:rPr>
                <w:i/>
                <w:iCs/>
                <w:lang w:val="en-US"/>
              </w:rPr>
              <w:t>Not a shareholder</w:t>
            </w:r>
          </w:p>
        </w:tc>
        <w:tc>
          <w:tcPr>
            <w:tcW w:w="6233" w:type="dxa"/>
            <w:gridSpan w:val="2"/>
          </w:tcPr>
          <w:p w14:paraId="088D005F" w14:textId="26354A52" w:rsidR="00FC4755" w:rsidRPr="00B84523" w:rsidRDefault="00A21D7E" w:rsidP="00312D26">
            <w:pPr>
              <w:jc w:val="left"/>
              <w:rPr>
                <w:lang w:val="en-US"/>
              </w:rPr>
            </w:pPr>
            <w:r w:rsidRPr="00B84523">
              <w:t>Until their Convertible Notes have converted to equity in accordance with their terms, the Noteholders will not be treated as shareholders of the Company.</w:t>
            </w:r>
          </w:p>
        </w:tc>
      </w:tr>
      <w:tr w:rsidR="00FC4755" w:rsidRPr="00B84523" w14:paraId="7949B941" w14:textId="77777777" w:rsidTr="001D4D18">
        <w:tc>
          <w:tcPr>
            <w:tcW w:w="562" w:type="dxa"/>
          </w:tcPr>
          <w:p w14:paraId="4ED7BE16" w14:textId="77777777" w:rsidR="00FC4755" w:rsidRPr="00B84523" w:rsidRDefault="00FC4755" w:rsidP="00FC4755">
            <w:pPr>
              <w:pStyle w:val="ListParagraph"/>
              <w:ind w:left="316"/>
              <w:jc w:val="left"/>
              <w:rPr>
                <w:lang w:val="en-US"/>
              </w:rPr>
            </w:pPr>
          </w:p>
        </w:tc>
        <w:tc>
          <w:tcPr>
            <w:tcW w:w="2268" w:type="dxa"/>
          </w:tcPr>
          <w:p w14:paraId="45A431E6" w14:textId="77777777" w:rsidR="00FC4755" w:rsidRPr="00B84523" w:rsidRDefault="00FC4755" w:rsidP="003A1B7B">
            <w:pPr>
              <w:jc w:val="left"/>
              <w:rPr>
                <w:i/>
                <w:iCs/>
                <w:lang w:val="en-US"/>
              </w:rPr>
            </w:pPr>
          </w:p>
        </w:tc>
        <w:tc>
          <w:tcPr>
            <w:tcW w:w="6233" w:type="dxa"/>
            <w:gridSpan w:val="2"/>
          </w:tcPr>
          <w:p w14:paraId="471B3193" w14:textId="77777777" w:rsidR="00FC4755" w:rsidRPr="00B84523" w:rsidRDefault="00FC4755" w:rsidP="00312D26">
            <w:pPr>
              <w:jc w:val="left"/>
              <w:rPr>
                <w:lang w:val="en-US"/>
              </w:rPr>
            </w:pPr>
          </w:p>
        </w:tc>
      </w:tr>
      <w:tr w:rsidR="00FC4755" w:rsidRPr="00B84523" w14:paraId="20B549D2" w14:textId="77777777" w:rsidTr="001D4D18">
        <w:tc>
          <w:tcPr>
            <w:tcW w:w="562" w:type="dxa"/>
          </w:tcPr>
          <w:p w14:paraId="06275C42" w14:textId="77777777" w:rsidR="00FC4755" w:rsidRPr="00B84523" w:rsidRDefault="00FC4755" w:rsidP="00165217">
            <w:pPr>
              <w:pStyle w:val="ListParagraph"/>
              <w:numPr>
                <w:ilvl w:val="0"/>
                <w:numId w:val="2"/>
              </w:numPr>
              <w:ind w:left="316" w:hanging="284"/>
              <w:jc w:val="left"/>
              <w:rPr>
                <w:lang w:val="en-US"/>
              </w:rPr>
            </w:pPr>
          </w:p>
        </w:tc>
        <w:tc>
          <w:tcPr>
            <w:tcW w:w="2268" w:type="dxa"/>
          </w:tcPr>
          <w:p w14:paraId="2F0B1091" w14:textId="77CED1AB" w:rsidR="00FC4755" w:rsidRPr="00B84523" w:rsidRDefault="00FC4755" w:rsidP="003A1B7B">
            <w:pPr>
              <w:jc w:val="left"/>
              <w:rPr>
                <w:i/>
                <w:iCs/>
                <w:lang w:val="en-US"/>
              </w:rPr>
            </w:pPr>
            <w:r w:rsidRPr="00B84523">
              <w:rPr>
                <w:i/>
                <w:iCs/>
                <w:lang w:val="en-US"/>
              </w:rPr>
              <w:t>Non-transferable</w:t>
            </w:r>
          </w:p>
        </w:tc>
        <w:tc>
          <w:tcPr>
            <w:tcW w:w="6233" w:type="dxa"/>
            <w:gridSpan w:val="2"/>
          </w:tcPr>
          <w:p w14:paraId="5687542E" w14:textId="14633E7C" w:rsidR="00FC4755" w:rsidRPr="00B84523" w:rsidRDefault="00A21D7E" w:rsidP="00312D26">
            <w:pPr>
              <w:jc w:val="left"/>
              <w:rPr>
                <w:lang w:val="en-US"/>
              </w:rPr>
            </w:pPr>
            <w:r w:rsidRPr="00B84523">
              <w:t>The Convertible Notes are not transferable without the prior written consent of the Company; provided however that the rights of the Noteholder may be assigned to an affiliated entity on prior written notice to the Company.</w:t>
            </w:r>
          </w:p>
        </w:tc>
      </w:tr>
      <w:tr w:rsidR="00FC4755" w:rsidRPr="00B84523" w14:paraId="4743599F" w14:textId="77777777" w:rsidTr="001D4D18">
        <w:tc>
          <w:tcPr>
            <w:tcW w:w="562" w:type="dxa"/>
          </w:tcPr>
          <w:p w14:paraId="6FF9F5DA" w14:textId="77777777" w:rsidR="00FC4755" w:rsidRPr="00B84523" w:rsidRDefault="00FC4755" w:rsidP="00FC4755">
            <w:pPr>
              <w:pStyle w:val="ListParagraph"/>
              <w:ind w:left="316"/>
              <w:jc w:val="left"/>
              <w:rPr>
                <w:lang w:val="en-US"/>
              </w:rPr>
            </w:pPr>
          </w:p>
        </w:tc>
        <w:tc>
          <w:tcPr>
            <w:tcW w:w="2268" w:type="dxa"/>
          </w:tcPr>
          <w:p w14:paraId="6359A906" w14:textId="77777777" w:rsidR="00FC4755" w:rsidRPr="00B84523" w:rsidRDefault="00FC4755" w:rsidP="003A1B7B">
            <w:pPr>
              <w:jc w:val="left"/>
              <w:rPr>
                <w:i/>
                <w:iCs/>
                <w:lang w:val="en-US"/>
              </w:rPr>
            </w:pPr>
          </w:p>
        </w:tc>
        <w:tc>
          <w:tcPr>
            <w:tcW w:w="6233" w:type="dxa"/>
            <w:gridSpan w:val="2"/>
          </w:tcPr>
          <w:p w14:paraId="01B63CB3" w14:textId="77777777" w:rsidR="00FC4755" w:rsidRPr="00B84523" w:rsidRDefault="00FC4755" w:rsidP="00312D26">
            <w:pPr>
              <w:jc w:val="left"/>
              <w:rPr>
                <w:lang w:val="en-US"/>
              </w:rPr>
            </w:pPr>
          </w:p>
        </w:tc>
      </w:tr>
      <w:tr w:rsidR="00FC4755" w:rsidRPr="00B84523" w14:paraId="294DA9EC" w14:textId="77777777" w:rsidTr="001D4D18">
        <w:tc>
          <w:tcPr>
            <w:tcW w:w="562" w:type="dxa"/>
          </w:tcPr>
          <w:p w14:paraId="3070E998" w14:textId="77777777" w:rsidR="00FC4755" w:rsidRPr="00B84523" w:rsidRDefault="00FC4755" w:rsidP="00165217">
            <w:pPr>
              <w:pStyle w:val="ListParagraph"/>
              <w:numPr>
                <w:ilvl w:val="0"/>
                <w:numId w:val="2"/>
              </w:numPr>
              <w:ind w:left="316" w:hanging="284"/>
              <w:jc w:val="left"/>
              <w:rPr>
                <w:lang w:val="en-US"/>
              </w:rPr>
            </w:pPr>
            <w:bookmarkStart w:id="0" w:name="_Ref57723622"/>
          </w:p>
        </w:tc>
        <w:bookmarkEnd w:id="0"/>
        <w:tc>
          <w:tcPr>
            <w:tcW w:w="2268" w:type="dxa"/>
          </w:tcPr>
          <w:p w14:paraId="76BE36D8" w14:textId="3D0FED8C" w:rsidR="00FC4755" w:rsidRPr="00B84523" w:rsidRDefault="00FC4755" w:rsidP="003A1B7B">
            <w:pPr>
              <w:jc w:val="left"/>
              <w:rPr>
                <w:i/>
                <w:iCs/>
                <w:lang w:val="en-US"/>
              </w:rPr>
            </w:pPr>
            <w:r w:rsidRPr="00B84523">
              <w:rPr>
                <w:i/>
                <w:iCs/>
                <w:lang w:val="en-US"/>
              </w:rPr>
              <w:t>Exclusivity</w:t>
            </w:r>
          </w:p>
        </w:tc>
        <w:tc>
          <w:tcPr>
            <w:tcW w:w="6233" w:type="dxa"/>
            <w:gridSpan w:val="2"/>
          </w:tcPr>
          <w:p w14:paraId="7A4AF95F" w14:textId="01A09A39" w:rsidR="00FC4755" w:rsidRPr="00B84523" w:rsidRDefault="00A21D7E" w:rsidP="00312D26">
            <w:pPr>
              <w:jc w:val="left"/>
              <w:rPr>
                <w:lang w:val="en-US"/>
              </w:rPr>
            </w:pPr>
            <w:r w:rsidRPr="00B84523">
              <w:t xml:space="preserve">The Lead Investor will have the exclusive right to be the lead investor in the Convertible Note Round until [date] (the </w:t>
            </w:r>
            <w:r w:rsidRPr="00B84523">
              <w:rPr>
                <w:b/>
              </w:rPr>
              <w:t>Exclusivity Period</w:t>
            </w:r>
            <w:r w:rsidRPr="00B84523">
              <w:t>) and the Company and Founders will consult in good faith with the Lead Investor before entering into discussions during the Exclusivity Period with any other potential investor with a view to that potential investor becoming the lead investor in the Convertible Note Round.</w:t>
            </w:r>
          </w:p>
        </w:tc>
      </w:tr>
      <w:tr w:rsidR="00FC4755" w:rsidRPr="00B84523" w14:paraId="42036044" w14:textId="77777777" w:rsidTr="001D4D18">
        <w:tc>
          <w:tcPr>
            <w:tcW w:w="562" w:type="dxa"/>
          </w:tcPr>
          <w:p w14:paraId="7A7EB848" w14:textId="77777777" w:rsidR="00FC4755" w:rsidRPr="00B84523" w:rsidRDefault="00FC4755" w:rsidP="002670A5">
            <w:pPr>
              <w:pStyle w:val="ListParagraph"/>
              <w:ind w:left="316"/>
              <w:jc w:val="left"/>
              <w:rPr>
                <w:lang w:val="en-US"/>
              </w:rPr>
            </w:pPr>
          </w:p>
        </w:tc>
        <w:tc>
          <w:tcPr>
            <w:tcW w:w="2268" w:type="dxa"/>
          </w:tcPr>
          <w:p w14:paraId="6A7097CB" w14:textId="77777777" w:rsidR="00FC4755" w:rsidRPr="00B84523" w:rsidRDefault="00FC4755" w:rsidP="003A1B7B">
            <w:pPr>
              <w:jc w:val="left"/>
              <w:rPr>
                <w:i/>
                <w:iCs/>
                <w:lang w:val="en-US"/>
              </w:rPr>
            </w:pPr>
          </w:p>
        </w:tc>
        <w:tc>
          <w:tcPr>
            <w:tcW w:w="6233" w:type="dxa"/>
            <w:gridSpan w:val="2"/>
          </w:tcPr>
          <w:p w14:paraId="7C7C277A" w14:textId="77777777" w:rsidR="00FC4755" w:rsidRPr="00B84523" w:rsidRDefault="00FC4755" w:rsidP="00312D26">
            <w:pPr>
              <w:jc w:val="left"/>
              <w:rPr>
                <w:lang w:val="en-US"/>
              </w:rPr>
            </w:pPr>
          </w:p>
        </w:tc>
      </w:tr>
      <w:tr w:rsidR="00142AE3" w:rsidRPr="00B84523" w14:paraId="17D9741E" w14:textId="77777777" w:rsidTr="001D4D18">
        <w:tc>
          <w:tcPr>
            <w:tcW w:w="562" w:type="dxa"/>
          </w:tcPr>
          <w:p w14:paraId="6AFF3439" w14:textId="77777777" w:rsidR="00142AE3" w:rsidRPr="00B84523" w:rsidRDefault="00142AE3" w:rsidP="00165217">
            <w:pPr>
              <w:pStyle w:val="ListParagraph"/>
              <w:numPr>
                <w:ilvl w:val="0"/>
                <w:numId w:val="2"/>
              </w:numPr>
              <w:ind w:left="316" w:hanging="284"/>
              <w:jc w:val="left"/>
              <w:rPr>
                <w:lang w:val="en-US"/>
              </w:rPr>
            </w:pPr>
          </w:p>
        </w:tc>
        <w:tc>
          <w:tcPr>
            <w:tcW w:w="2268" w:type="dxa"/>
          </w:tcPr>
          <w:p w14:paraId="5B836039" w14:textId="0CA0BA01" w:rsidR="00142AE3" w:rsidRPr="00B84523" w:rsidRDefault="00142AE3" w:rsidP="003A1B7B">
            <w:pPr>
              <w:jc w:val="left"/>
              <w:rPr>
                <w:i/>
                <w:iCs/>
                <w:lang w:val="en-US"/>
              </w:rPr>
            </w:pPr>
            <w:r w:rsidRPr="00B84523">
              <w:rPr>
                <w:i/>
                <w:iCs/>
                <w:lang w:val="en-US"/>
              </w:rPr>
              <w:t>Conditions</w:t>
            </w:r>
          </w:p>
        </w:tc>
        <w:tc>
          <w:tcPr>
            <w:tcW w:w="6233" w:type="dxa"/>
            <w:gridSpan w:val="2"/>
          </w:tcPr>
          <w:p w14:paraId="7E7A6D9A" w14:textId="72C469FD" w:rsidR="004533E4" w:rsidRPr="00B84523" w:rsidRDefault="00142AE3" w:rsidP="00312D26">
            <w:pPr>
              <w:jc w:val="left"/>
              <w:rPr>
                <w:lang w:val="en-US"/>
              </w:rPr>
            </w:pPr>
            <w:r w:rsidRPr="00B84523">
              <w:rPr>
                <w:lang w:val="en-US"/>
              </w:rPr>
              <w:t>The investment is conditional on</w:t>
            </w:r>
            <w:r w:rsidR="004533E4" w:rsidRPr="00B84523">
              <w:rPr>
                <w:lang w:val="en-US"/>
              </w:rPr>
              <w:t>:</w:t>
            </w:r>
            <w:r w:rsidR="000A7892" w:rsidRPr="00B84523">
              <w:rPr>
                <w:lang w:val="en-US"/>
              </w:rPr>
              <w:t xml:space="preserve"> </w:t>
            </w:r>
          </w:p>
          <w:p w14:paraId="6E43E937" w14:textId="77777777" w:rsidR="00B3215E" w:rsidRPr="00B84523" w:rsidRDefault="00B3215E" w:rsidP="00312D26">
            <w:pPr>
              <w:jc w:val="left"/>
              <w:rPr>
                <w:lang w:val="en-US"/>
              </w:rPr>
            </w:pPr>
          </w:p>
          <w:p w14:paraId="3223C5E1" w14:textId="5959DAC5" w:rsidR="00142AE3" w:rsidRPr="00AF771A" w:rsidRDefault="00AE2DA6" w:rsidP="00AF771A">
            <w:pPr>
              <w:jc w:val="left"/>
              <w:rPr>
                <w:lang w:val="en-US"/>
              </w:rPr>
            </w:pPr>
            <w:r w:rsidRPr="00AF771A">
              <w:rPr>
                <w:lang w:val="en-US"/>
              </w:rPr>
              <w:t xml:space="preserve">The Lead Investor </w:t>
            </w:r>
            <w:r w:rsidR="00142AE3" w:rsidRPr="00AF771A">
              <w:rPr>
                <w:lang w:val="en-US"/>
              </w:rPr>
              <w:t xml:space="preserve">being reasonably satisfied with the outcome of its due diligence investigations of the Company </w:t>
            </w:r>
            <w:r w:rsidR="00B916CF" w:rsidRPr="00AF771A">
              <w:rPr>
                <w:lang w:val="en-US"/>
              </w:rPr>
              <w:t>within [5 days] of the date of this Term Sheet</w:t>
            </w:r>
            <w:r w:rsidR="00312D26" w:rsidRPr="00AF771A">
              <w:rPr>
                <w:lang w:val="en-US"/>
              </w:rPr>
              <w:t>.</w:t>
            </w:r>
          </w:p>
          <w:p w14:paraId="0E89C8D2" w14:textId="77777777" w:rsidR="00B3215E" w:rsidRPr="00B84523" w:rsidRDefault="00B3215E" w:rsidP="00B3215E">
            <w:pPr>
              <w:jc w:val="left"/>
              <w:rPr>
                <w:lang w:val="en-US"/>
              </w:rPr>
            </w:pPr>
          </w:p>
          <w:p w14:paraId="2E53F1AD" w14:textId="385B3BF5" w:rsidR="00AE2DA6" w:rsidRPr="00AF771A" w:rsidRDefault="00AE2DA6" w:rsidP="00AF771A">
            <w:pPr>
              <w:jc w:val="left"/>
              <w:rPr>
                <w:lang w:val="en-US"/>
              </w:rPr>
            </w:pPr>
            <w:r w:rsidRPr="00AF771A">
              <w:rPr>
                <w:lang w:val="en-US"/>
              </w:rPr>
              <w:t xml:space="preserve">The Company holding at least 10% of its post-money shares in an unallocated employee share option plan (ESOP). </w:t>
            </w:r>
          </w:p>
          <w:p w14:paraId="7A69E549" w14:textId="77777777" w:rsidR="00B3215E" w:rsidRPr="00B84523" w:rsidRDefault="00B3215E" w:rsidP="00B3215E">
            <w:pPr>
              <w:pStyle w:val="ListParagraph"/>
              <w:ind w:left="315"/>
              <w:jc w:val="left"/>
              <w:rPr>
                <w:lang w:val="en-US"/>
              </w:rPr>
            </w:pPr>
          </w:p>
          <w:p w14:paraId="5A0F4BBD" w14:textId="6411A96D" w:rsidR="00142AE3" w:rsidRPr="00AF771A" w:rsidRDefault="00AE2DA6" w:rsidP="00AF771A">
            <w:pPr>
              <w:jc w:val="left"/>
              <w:rPr>
                <w:lang w:val="en-US"/>
              </w:rPr>
            </w:pPr>
            <w:r w:rsidRPr="00AF771A">
              <w:rPr>
                <w:lang w:val="en-US"/>
              </w:rPr>
              <w:t>The Lead Investor providing evidence reasonably satisfactory to the Company that the Lead Investor is a “wholesale investor” for the purposes of the Financial Markets Conduct Act 2013.</w:t>
            </w:r>
          </w:p>
        </w:tc>
      </w:tr>
      <w:tr w:rsidR="00CC613D" w:rsidRPr="00B84523" w14:paraId="7B531CA7" w14:textId="77777777" w:rsidTr="001D4D18">
        <w:tc>
          <w:tcPr>
            <w:tcW w:w="9063" w:type="dxa"/>
            <w:gridSpan w:val="4"/>
          </w:tcPr>
          <w:p w14:paraId="3D943F74" w14:textId="77777777" w:rsidR="00CC613D" w:rsidRPr="00B84523" w:rsidRDefault="00CC613D" w:rsidP="0045465A">
            <w:pPr>
              <w:jc w:val="left"/>
              <w:rPr>
                <w:lang w:val="en-US"/>
              </w:rPr>
            </w:pPr>
          </w:p>
        </w:tc>
      </w:tr>
      <w:tr w:rsidR="002670A5" w:rsidRPr="00B84523" w14:paraId="1818B67A" w14:textId="77777777" w:rsidTr="001D4D18">
        <w:tc>
          <w:tcPr>
            <w:tcW w:w="562" w:type="dxa"/>
          </w:tcPr>
          <w:p w14:paraId="0F882D1B" w14:textId="77777777" w:rsidR="002670A5" w:rsidRPr="00B84523" w:rsidRDefault="002670A5" w:rsidP="00165217">
            <w:pPr>
              <w:pStyle w:val="ListParagraph"/>
              <w:numPr>
                <w:ilvl w:val="0"/>
                <w:numId w:val="2"/>
              </w:numPr>
              <w:ind w:left="316" w:hanging="284"/>
              <w:jc w:val="left"/>
              <w:rPr>
                <w:lang w:val="en-US"/>
              </w:rPr>
            </w:pPr>
          </w:p>
        </w:tc>
        <w:tc>
          <w:tcPr>
            <w:tcW w:w="2268" w:type="dxa"/>
          </w:tcPr>
          <w:p w14:paraId="76372C10" w14:textId="6883A1CA" w:rsidR="002670A5" w:rsidRPr="00B84523" w:rsidRDefault="002670A5" w:rsidP="003A1B7B">
            <w:pPr>
              <w:jc w:val="left"/>
              <w:rPr>
                <w:i/>
                <w:iCs/>
                <w:lang w:val="en-US"/>
              </w:rPr>
            </w:pPr>
            <w:r w:rsidRPr="00B84523">
              <w:rPr>
                <w:i/>
                <w:iCs/>
                <w:lang w:val="en-US"/>
              </w:rPr>
              <w:t>Closing date</w:t>
            </w:r>
          </w:p>
        </w:tc>
        <w:tc>
          <w:tcPr>
            <w:tcW w:w="6233" w:type="dxa"/>
            <w:gridSpan w:val="2"/>
          </w:tcPr>
          <w:p w14:paraId="3DA2580D" w14:textId="09255FF2" w:rsidR="002670A5" w:rsidRPr="00B84523" w:rsidRDefault="00B916CF" w:rsidP="003A1B7B">
            <w:pPr>
              <w:jc w:val="left"/>
              <w:rPr>
                <w:lang w:val="en-US"/>
              </w:rPr>
            </w:pPr>
            <w:r w:rsidRPr="00B84523">
              <w:t xml:space="preserve">The parties agree to work towards the closing of the Lead Investor's investment in the Convertible Note Round occurring on or before </w:t>
            </w:r>
            <w:r w:rsidR="00674E4B">
              <w:t>15 working days following the date of this term sheet.</w:t>
            </w:r>
          </w:p>
        </w:tc>
      </w:tr>
      <w:tr w:rsidR="002670A5" w:rsidRPr="00B84523" w14:paraId="04452108" w14:textId="77777777" w:rsidTr="001D4D18">
        <w:tc>
          <w:tcPr>
            <w:tcW w:w="562" w:type="dxa"/>
          </w:tcPr>
          <w:p w14:paraId="6CE6E5B5" w14:textId="77777777" w:rsidR="002670A5" w:rsidRPr="00B84523" w:rsidRDefault="002670A5" w:rsidP="002670A5">
            <w:pPr>
              <w:pStyle w:val="ListParagraph"/>
              <w:ind w:left="316"/>
              <w:jc w:val="left"/>
              <w:rPr>
                <w:lang w:val="en-US"/>
              </w:rPr>
            </w:pPr>
          </w:p>
        </w:tc>
        <w:tc>
          <w:tcPr>
            <w:tcW w:w="2268" w:type="dxa"/>
          </w:tcPr>
          <w:p w14:paraId="71073D19" w14:textId="77777777" w:rsidR="002670A5" w:rsidRPr="00B84523" w:rsidRDefault="002670A5" w:rsidP="003A1B7B">
            <w:pPr>
              <w:jc w:val="left"/>
              <w:rPr>
                <w:i/>
                <w:iCs/>
                <w:lang w:val="en-US"/>
              </w:rPr>
            </w:pPr>
          </w:p>
        </w:tc>
        <w:tc>
          <w:tcPr>
            <w:tcW w:w="6233" w:type="dxa"/>
            <w:gridSpan w:val="2"/>
          </w:tcPr>
          <w:p w14:paraId="3DBFDB19" w14:textId="77777777" w:rsidR="002670A5" w:rsidRPr="00B84523" w:rsidRDefault="002670A5" w:rsidP="003A1B7B">
            <w:pPr>
              <w:jc w:val="left"/>
              <w:rPr>
                <w:lang w:val="en-US"/>
              </w:rPr>
            </w:pPr>
          </w:p>
        </w:tc>
      </w:tr>
      <w:tr w:rsidR="002670A5" w:rsidRPr="00B84523" w14:paraId="609A7DE5" w14:textId="77777777" w:rsidTr="001D4D18">
        <w:tc>
          <w:tcPr>
            <w:tcW w:w="562" w:type="dxa"/>
          </w:tcPr>
          <w:p w14:paraId="727B6F56" w14:textId="77777777" w:rsidR="002670A5" w:rsidRPr="00B84523" w:rsidRDefault="002670A5" w:rsidP="00165217">
            <w:pPr>
              <w:pStyle w:val="ListParagraph"/>
              <w:numPr>
                <w:ilvl w:val="0"/>
                <w:numId w:val="2"/>
              </w:numPr>
              <w:ind w:left="316" w:hanging="284"/>
              <w:jc w:val="left"/>
              <w:rPr>
                <w:lang w:val="en-US"/>
              </w:rPr>
            </w:pPr>
            <w:bookmarkStart w:id="1" w:name="_Ref52358197"/>
          </w:p>
        </w:tc>
        <w:bookmarkEnd w:id="1"/>
        <w:tc>
          <w:tcPr>
            <w:tcW w:w="2268" w:type="dxa"/>
          </w:tcPr>
          <w:p w14:paraId="046B1E06" w14:textId="1C5D1580" w:rsidR="002670A5" w:rsidRPr="00B84523" w:rsidRDefault="002670A5" w:rsidP="003A1B7B">
            <w:pPr>
              <w:jc w:val="left"/>
              <w:rPr>
                <w:i/>
                <w:iCs/>
                <w:lang w:val="en-US"/>
              </w:rPr>
            </w:pPr>
            <w:r w:rsidRPr="00B84523">
              <w:rPr>
                <w:i/>
                <w:iCs/>
                <w:lang w:val="en-US"/>
              </w:rPr>
              <w:t>Legal fees and expenses</w:t>
            </w:r>
          </w:p>
        </w:tc>
        <w:tc>
          <w:tcPr>
            <w:tcW w:w="6233" w:type="dxa"/>
            <w:gridSpan w:val="2"/>
          </w:tcPr>
          <w:p w14:paraId="1C6B6F53" w14:textId="64B43AE6" w:rsidR="002670A5" w:rsidRPr="00B84523" w:rsidRDefault="00B916CF" w:rsidP="003A1B7B">
            <w:pPr>
              <w:jc w:val="left"/>
              <w:rPr>
                <w:lang w:val="en-US"/>
              </w:rPr>
            </w:pPr>
            <w:r w:rsidRPr="00B84523">
              <w:t>Subject to the Lead Investor becoming a Noteholder, the Company will bear all reasonable out of pocket costs incurred by the Investors associated with the Convertible Note Round (including all legal costs associated with the review of the transaction documents, and all reasonable third party out of pocket expenses incurred by the Lead Investor associated with due diligence) up to a maximum aggregate amount for all Investors of $10,000 plus GST.</w:t>
            </w:r>
          </w:p>
        </w:tc>
      </w:tr>
      <w:tr w:rsidR="002670A5" w:rsidRPr="00B84523" w14:paraId="6D41B0B5" w14:textId="77777777" w:rsidTr="00344F11">
        <w:tc>
          <w:tcPr>
            <w:tcW w:w="562" w:type="dxa"/>
          </w:tcPr>
          <w:p w14:paraId="0DCD61E0" w14:textId="77777777" w:rsidR="002670A5" w:rsidRPr="00B84523" w:rsidRDefault="002670A5" w:rsidP="00344F11">
            <w:pPr>
              <w:pStyle w:val="ListParagraph"/>
              <w:ind w:left="316"/>
              <w:jc w:val="left"/>
              <w:rPr>
                <w:lang w:val="en-US"/>
              </w:rPr>
            </w:pPr>
          </w:p>
        </w:tc>
        <w:tc>
          <w:tcPr>
            <w:tcW w:w="2268" w:type="dxa"/>
          </w:tcPr>
          <w:p w14:paraId="1B308214" w14:textId="77777777" w:rsidR="002670A5" w:rsidRPr="00B84523" w:rsidRDefault="002670A5" w:rsidP="00344F11">
            <w:pPr>
              <w:jc w:val="left"/>
              <w:rPr>
                <w:i/>
                <w:iCs/>
                <w:lang w:val="en-US"/>
              </w:rPr>
            </w:pPr>
          </w:p>
        </w:tc>
        <w:tc>
          <w:tcPr>
            <w:tcW w:w="6233" w:type="dxa"/>
            <w:gridSpan w:val="2"/>
          </w:tcPr>
          <w:p w14:paraId="2EFAF97B" w14:textId="77777777" w:rsidR="002670A5" w:rsidRPr="00B84523" w:rsidRDefault="002670A5" w:rsidP="00344F11">
            <w:pPr>
              <w:jc w:val="left"/>
              <w:rPr>
                <w:lang w:val="en-US"/>
              </w:rPr>
            </w:pPr>
          </w:p>
        </w:tc>
      </w:tr>
      <w:tr w:rsidR="002670A5" w:rsidRPr="00B84523" w14:paraId="3FB0A15C" w14:textId="77777777" w:rsidTr="00344F11">
        <w:tc>
          <w:tcPr>
            <w:tcW w:w="562" w:type="dxa"/>
          </w:tcPr>
          <w:p w14:paraId="458DF5D8" w14:textId="77777777" w:rsidR="002670A5" w:rsidRPr="00B84523" w:rsidRDefault="002670A5" w:rsidP="002670A5">
            <w:pPr>
              <w:pStyle w:val="ListParagraph"/>
              <w:numPr>
                <w:ilvl w:val="0"/>
                <w:numId w:val="2"/>
              </w:numPr>
              <w:ind w:left="316" w:hanging="284"/>
              <w:jc w:val="left"/>
              <w:rPr>
                <w:lang w:val="en-US"/>
              </w:rPr>
            </w:pPr>
          </w:p>
        </w:tc>
        <w:tc>
          <w:tcPr>
            <w:tcW w:w="2268" w:type="dxa"/>
          </w:tcPr>
          <w:p w14:paraId="721D2899" w14:textId="6D08B806" w:rsidR="002670A5" w:rsidRPr="00B84523" w:rsidRDefault="002670A5" w:rsidP="00344F11">
            <w:pPr>
              <w:jc w:val="left"/>
              <w:rPr>
                <w:i/>
                <w:iCs/>
                <w:lang w:val="en-US"/>
              </w:rPr>
            </w:pPr>
            <w:r w:rsidRPr="00B84523">
              <w:rPr>
                <w:i/>
                <w:iCs/>
                <w:lang w:val="en-US"/>
              </w:rPr>
              <w:t>Confidentiality and announcements</w:t>
            </w:r>
          </w:p>
        </w:tc>
        <w:tc>
          <w:tcPr>
            <w:tcW w:w="6233" w:type="dxa"/>
            <w:gridSpan w:val="2"/>
          </w:tcPr>
          <w:p w14:paraId="1DBA8C05" w14:textId="77777777" w:rsidR="00B916CF" w:rsidRPr="00B84523" w:rsidRDefault="00B916CF" w:rsidP="00B916CF">
            <w:pPr>
              <w:jc w:val="left"/>
            </w:pPr>
            <w:r w:rsidRPr="00B84523">
              <w:t xml:space="preserve">No party will disclose (a) this Term Sheet or any details regarding the proposed investment in the Company by the Lead Investor or </w:t>
            </w:r>
            <w:r w:rsidRPr="00B84523">
              <w:lastRenderedPageBreak/>
              <w:t>(b) any confidential information of the Company which comes into its possession in connection with an Investor's proposed investment in the Company as contemplated in this Term Sheet, to any third party without the written consent of the relevant Investor (for disclosures by the Company) or the Company (for disclosures by an Investor) in respect of such disclosure.</w:t>
            </w:r>
          </w:p>
          <w:p w14:paraId="189A5C55" w14:textId="77777777" w:rsidR="00B916CF" w:rsidRPr="00B84523" w:rsidRDefault="00B916CF" w:rsidP="00B916CF">
            <w:pPr>
              <w:jc w:val="left"/>
            </w:pPr>
          </w:p>
          <w:p w14:paraId="74D4EB6A" w14:textId="77777777" w:rsidR="00B916CF" w:rsidRPr="00B84523" w:rsidRDefault="00B916CF" w:rsidP="00B916CF">
            <w:pPr>
              <w:jc w:val="left"/>
            </w:pPr>
            <w:r w:rsidRPr="00B84523">
              <w:t>The Investors hereby consent to the Company and/or the Founders disclosing this Term Sheet to:</w:t>
            </w:r>
          </w:p>
          <w:p w14:paraId="275826BD" w14:textId="77777777" w:rsidR="00B916CF" w:rsidRPr="00B84523" w:rsidRDefault="00B916CF" w:rsidP="00B916CF">
            <w:pPr>
              <w:jc w:val="left"/>
            </w:pPr>
          </w:p>
          <w:p w14:paraId="7BD2E36B" w14:textId="77777777" w:rsidR="00B916CF" w:rsidRPr="00B84523" w:rsidRDefault="00B916CF" w:rsidP="00B916CF">
            <w:pPr>
              <w:pStyle w:val="ListParagraph"/>
              <w:numPr>
                <w:ilvl w:val="0"/>
                <w:numId w:val="11"/>
              </w:numPr>
              <w:ind w:left="357" w:hanging="357"/>
              <w:jc w:val="left"/>
            </w:pPr>
            <w:r w:rsidRPr="00B84523">
              <w:t>the proposed members of the Company's advisory board; and</w:t>
            </w:r>
          </w:p>
          <w:p w14:paraId="646B7A01" w14:textId="77777777" w:rsidR="00B916CF" w:rsidRPr="00B84523" w:rsidRDefault="00B916CF" w:rsidP="00B916CF">
            <w:pPr>
              <w:pStyle w:val="ListParagraph"/>
              <w:numPr>
                <w:ilvl w:val="0"/>
                <w:numId w:val="11"/>
              </w:numPr>
              <w:ind w:left="357" w:hanging="357"/>
              <w:jc w:val="left"/>
            </w:pPr>
            <w:r w:rsidRPr="00B84523">
              <w:t>the Company's legal, tax and other professional advisors.</w:t>
            </w:r>
          </w:p>
          <w:p w14:paraId="0A345534" w14:textId="77777777" w:rsidR="00B916CF" w:rsidRPr="00B84523" w:rsidRDefault="00B916CF" w:rsidP="00B916CF">
            <w:pPr>
              <w:jc w:val="left"/>
            </w:pPr>
          </w:p>
          <w:p w14:paraId="63AB5A35" w14:textId="5A3F9623" w:rsidR="002670A5" w:rsidRPr="00B84523" w:rsidRDefault="00B916CF" w:rsidP="00B916CF">
            <w:pPr>
              <w:jc w:val="left"/>
              <w:rPr>
                <w:lang w:val="en-US"/>
              </w:rPr>
            </w:pPr>
            <w:r w:rsidRPr="00B84523">
              <w:t>The Lead Investor further consents to the Company and/or the Founders disclosing this Term Sheet (with the Lead Investor's identity redacted) to other potential Investors in the Convertible Note Round.</w:t>
            </w:r>
          </w:p>
        </w:tc>
      </w:tr>
      <w:tr w:rsidR="00CC613D" w:rsidRPr="00B84523" w14:paraId="379B1E14" w14:textId="77777777" w:rsidTr="001D4D18">
        <w:tc>
          <w:tcPr>
            <w:tcW w:w="9063" w:type="dxa"/>
            <w:gridSpan w:val="4"/>
          </w:tcPr>
          <w:p w14:paraId="69A69B27" w14:textId="77777777" w:rsidR="00CC613D" w:rsidRPr="00B84523" w:rsidRDefault="00CC613D" w:rsidP="0045465A">
            <w:pPr>
              <w:jc w:val="left"/>
              <w:rPr>
                <w:lang w:val="en-US"/>
              </w:rPr>
            </w:pPr>
          </w:p>
        </w:tc>
      </w:tr>
      <w:tr w:rsidR="003A1B7B" w:rsidRPr="00B84523" w14:paraId="2FAE65BB" w14:textId="77777777" w:rsidTr="001D4D18">
        <w:tc>
          <w:tcPr>
            <w:tcW w:w="562" w:type="dxa"/>
          </w:tcPr>
          <w:p w14:paraId="1FD2BADE" w14:textId="77777777" w:rsidR="003A1B7B" w:rsidRPr="00B84523" w:rsidRDefault="003A1B7B" w:rsidP="00165217">
            <w:pPr>
              <w:pStyle w:val="ListParagraph"/>
              <w:numPr>
                <w:ilvl w:val="0"/>
                <w:numId w:val="2"/>
              </w:numPr>
              <w:ind w:left="316" w:hanging="284"/>
              <w:jc w:val="left"/>
              <w:rPr>
                <w:lang w:val="en-US"/>
              </w:rPr>
            </w:pPr>
            <w:bookmarkStart w:id="2" w:name="_Ref46838224"/>
          </w:p>
        </w:tc>
        <w:bookmarkEnd w:id="2"/>
        <w:tc>
          <w:tcPr>
            <w:tcW w:w="2268" w:type="dxa"/>
          </w:tcPr>
          <w:p w14:paraId="7257A459" w14:textId="78F511F2" w:rsidR="003A1B7B" w:rsidRPr="00B84523" w:rsidRDefault="00740BEA" w:rsidP="0045465A">
            <w:pPr>
              <w:jc w:val="left"/>
              <w:rPr>
                <w:lang w:val="en-US"/>
              </w:rPr>
            </w:pPr>
            <w:r w:rsidRPr="00B84523">
              <w:rPr>
                <w:lang w:val="en-US"/>
              </w:rPr>
              <w:t>Non-binding</w:t>
            </w:r>
          </w:p>
        </w:tc>
        <w:tc>
          <w:tcPr>
            <w:tcW w:w="6233" w:type="dxa"/>
            <w:gridSpan w:val="2"/>
          </w:tcPr>
          <w:p w14:paraId="2748D209" w14:textId="4268460A" w:rsidR="003A1B7B" w:rsidRPr="00B84523" w:rsidRDefault="00740BEA" w:rsidP="0045465A">
            <w:pPr>
              <w:jc w:val="left"/>
              <w:rPr>
                <w:lang w:val="en-US"/>
              </w:rPr>
            </w:pPr>
            <w:r w:rsidRPr="00B84523">
              <w:rPr>
                <w:lang w:val="en-US"/>
              </w:rPr>
              <w:t>Paragraphs</w:t>
            </w:r>
            <w:r w:rsidR="00B916CF" w:rsidRPr="00B84523">
              <w:rPr>
                <w:lang w:val="en-US"/>
              </w:rPr>
              <w:t xml:space="preserve"> </w:t>
            </w:r>
            <w:r w:rsidR="00B916CF" w:rsidRPr="00B84523">
              <w:rPr>
                <w:lang w:val="en-US"/>
              </w:rPr>
              <w:fldChar w:fldCharType="begin"/>
            </w:r>
            <w:r w:rsidR="00B916CF" w:rsidRPr="00B84523">
              <w:rPr>
                <w:lang w:val="en-US"/>
              </w:rPr>
              <w:instrText xml:space="preserve"> REF _Ref57723622 \r \h </w:instrText>
            </w:r>
            <w:r w:rsidR="00B84523">
              <w:rPr>
                <w:lang w:val="en-US"/>
              </w:rPr>
              <w:instrText xml:space="preserve"> \* MERGEFORMAT </w:instrText>
            </w:r>
            <w:r w:rsidR="00B916CF" w:rsidRPr="00B84523">
              <w:rPr>
                <w:lang w:val="en-US"/>
              </w:rPr>
            </w:r>
            <w:r w:rsidR="00B916CF" w:rsidRPr="00B84523">
              <w:rPr>
                <w:lang w:val="en-US"/>
              </w:rPr>
              <w:fldChar w:fldCharType="separate"/>
            </w:r>
            <w:r w:rsidR="00AE19E7">
              <w:rPr>
                <w:lang w:val="en-US"/>
              </w:rPr>
              <w:t>18</w:t>
            </w:r>
            <w:r w:rsidR="00B916CF" w:rsidRPr="00B84523">
              <w:rPr>
                <w:lang w:val="en-US"/>
              </w:rPr>
              <w:fldChar w:fldCharType="end"/>
            </w:r>
            <w:r w:rsidR="00B916CF" w:rsidRPr="00B84523">
              <w:rPr>
                <w:lang w:val="en-US"/>
              </w:rPr>
              <w:t xml:space="preserve"> and</w:t>
            </w:r>
            <w:r w:rsidRPr="00B84523">
              <w:rPr>
                <w:lang w:val="en-US"/>
              </w:rPr>
              <w:t xml:space="preserve"> </w:t>
            </w:r>
            <w:r w:rsidR="002670A5" w:rsidRPr="00B84523">
              <w:rPr>
                <w:lang w:val="en-US"/>
              </w:rPr>
              <w:fldChar w:fldCharType="begin"/>
            </w:r>
            <w:r w:rsidR="002670A5" w:rsidRPr="00B84523">
              <w:rPr>
                <w:lang w:val="en-US"/>
              </w:rPr>
              <w:instrText xml:space="preserve"> REF _Ref52358197 \r \h </w:instrText>
            </w:r>
            <w:r w:rsidR="00B84523">
              <w:rPr>
                <w:lang w:val="en-US"/>
              </w:rPr>
              <w:instrText xml:space="preserve"> \* MERGEFORMAT </w:instrText>
            </w:r>
            <w:r w:rsidR="002670A5" w:rsidRPr="00B84523">
              <w:rPr>
                <w:lang w:val="en-US"/>
              </w:rPr>
            </w:r>
            <w:r w:rsidR="002670A5" w:rsidRPr="00B84523">
              <w:rPr>
                <w:lang w:val="en-US"/>
              </w:rPr>
              <w:fldChar w:fldCharType="separate"/>
            </w:r>
            <w:r w:rsidR="00AE19E7">
              <w:rPr>
                <w:lang w:val="en-US"/>
              </w:rPr>
              <w:t>21</w:t>
            </w:r>
            <w:r w:rsidR="002670A5" w:rsidRPr="00B84523">
              <w:rPr>
                <w:lang w:val="en-US"/>
              </w:rPr>
              <w:fldChar w:fldCharType="end"/>
            </w:r>
            <w:r w:rsidR="006F3AAB" w:rsidRPr="00B84523">
              <w:rPr>
                <w:lang w:val="en-US"/>
              </w:rPr>
              <w:t xml:space="preserve"> to </w:t>
            </w:r>
            <w:r w:rsidR="002670A5" w:rsidRPr="00B84523">
              <w:rPr>
                <w:lang w:val="en-US"/>
              </w:rPr>
              <w:fldChar w:fldCharType="begin"/>
            </w:r>
            <w:r w:rsidR="002670A5" w:rsidRPr="00B84523">
              <w:rPr>
                <w:lang w:val="en-US"/>
              </w:rPr>
              <w:instrText xml:space="preserve"> REF _Ref46838224 \r \h </w:instrText>
            </w:r>
            <w:r w:rsidR="00B84523">
              <w:rPr>
                <w:lang w:val="en-US"/>
              </w:rPr>
              <w:instrText xml:space="preserve"> \* MERGEFORMAT </w:instrText>
            </w:r>
            <w:r w:rsidR="002670A5" w:rsidRPr="00B84523">
              <w:rPr>
                <w:lang w:val="en-US"/>
              </w:rPr>
            </w:r>
            <w:r w:rsidR="002670A5" w:rsidRPr="00B84523">
              <w:rPr>
                <w:lang w:val="en-US"/>
              </w:rPr>
              <w:fldChar w:fldCharType="separate"/>
            </w:r>
            <w:r w:rsidR="00AE19E7">
              <w:rPr>
                <w:lang w:val="en-US"/>
              </w:rPr>
              <w:t>23</w:t>
            </w:r>
            <w:r w:rsidR="002670A5" w:rsidRPr="00B84523">
              <w:rPr>
                <w:lang w:val="en-US"/>
              </w:rPr>
              <w:fldChar w:fldCharType="end"/>
            </w:r>
            <w:r w:rsidRPr="00B84523">
              <w:rPr>
                <w:lang w:val="en-US"/>
              </w:rPr>
              <w:t xml:space="preserve"> of this Term Sheet are binding on the parties.  All other parts of this Term Sheet are non-binding and subject to the parties entering into formal documentation.</w:t>
            </w:r>
          </w:p>
        </w:tc>
      </w:tr>
    </w:tbl>
    <w:p w14:paraId="5876B346" w14:textId="52269AC1" w:rsidR="003A1B7B" w:rsidRPr="00B84523" w:rsidRDefault="003A1B7B" w:rsidP="003A1B7B">
      <w:pPr>
        <w:jc w:val="left"/>
        <w:rPr>
          <w:lang w:val="en-US"/>
        </w:rPr>
      </w:pPr>
    </w:p>
    <w:p w14:paraId="2E0BB0B0" w14:textId="3B438CB4" w:rsidR="00586C22" w:rsidRPr="00B84523" w:rsidRDefault="00586C22" w:rsidP="003A1B7B">
      <w:pPr>
        <w:jc w:val="lef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4480"/>
      </w:tblGrid>
      <w:tr w:rsidR="00782B7B" w:rsidRPr="00B84523" w14:paraId="0097DDA5" w14:textId="77777777" w:rsidTr="00B916CF">
        <w:tc>
          <w:tcPr>
            <w:tcW w:w="4111" w:type="dxa"/>
          </w:tcPr>
          <w:p w14:paraId="4C53E9C1" w14:textId="7430B8CB" w:rsidR="00782B7B" w:rsidRPr="00B84523" w:rsidRDefault="00782B7B" w:rsidP="004674BE">
            <w:r w:rsidRPr="00B84523">
              <w:rPr>
                <w:b/>
                <w:bCs/>
              </w:rPr>
              <w:t>Signed</w:t>
            </w:r>
            <w:r w:rsidRPr="00B84523">
              <w:t xml:space="preserve"> for and on behalf of </w:t>
            </w:r>
            <w:r w:rsidR="008022CD" w:rsidRPr="00B84523">
              <w:rPr>
                <w:b/>
                <w:bCs/>
                <w:lang w:val="en-US"/>
              </w:rPr>
              <w:t>[Lead Investor]</w:t>
            </w:r>
            <w:r w:rsidRPr="00B84523">
              <w:t>:</w:t>
            </w:r>
          </w:p>
        </w:tc>
        <w:tc>
          <w:tcPr>
            <w:tcW w:w="425" w:type="dxa"/>
          </w:tcPr>
          <w:p w14:paraId="4A3B6E40" w14:textId="77777777" w:rsidR="00782B7B" w:rsidRPr="00B84523" w:rsidRDefault="00782B7B" w:rsidP="004674BE"/>
        </w:tc>
        <w:tc>
          <w:tcPr>
            <w:tcW w:w="4480" w:type="dxa"/>
          </w:tcPr>
          <w:p w14:paraId="65015E9F" w14:textId="417A37C8" w:rsidR="00782B7B" w:rsidRPr="00B84523" w:rsidRDefault="00782B7B" w:rsidP="004674BE"/>
        </w:tc>
      </w:tr>
      <w:tr w:rsidR="00782B7B" w:rsidRPr="00B84523" w14:paraId="1154BFE6" w14:textId="77777777" w:rsidTr="00B916CF">
        <w:tc>
          <w:tcPr>
            <w:tcW w:w="4111" w:type="dxa"/>
            <w:tcBorders>
              <w:bottom w:val="single" w:sz="4" w:space="0" w:color="auto"/>
            </w:tcBorders>
          </w:tcPr>
          <w:p w14:paraId="5D1EBB49" w14:textId="77777777" w:rsidR="00782B7B" w:rsidRPr="00B84523" w:rsidRDefault="00782B7B" w:rsidP="004674BE"/>
          <w:p w14:paraId="7F03D022" w14:textId="77777777" w:rsidR="00782B7B" w:rsidRPr="00B84523" w:rsidRDefault="00782B7B" w:rsidP="004674BE"/>
          <w:p w14:paraId="5054B43E" w14:textId="77777777" w:rsidR="00782B7B" w:rsidRPr="00B84523" w:rsidRDefault="00782B7B" w:rsidP="004674BE"/>
        </w:tc>
        <w:tc>
          <w:tcPr>
            <w:tcW w:w="425" w:type="dxa"/>
          </w:tcPr>
          <w:p w14:paraId="5C938D28" w14:textId="77777777" w:rsidR="00782B7B" w:rsidRPr="00B84523" w:rsidRDefault="00782B7B" w:rsidP="004674BE"/>
        </w:tc>
        <w:tc>
          <w:tcPr>
            <w:tcW w:w="4480" w:type="dxa"/>
          </w:tcPr>
          <w:p w14:paraId="239B212F" w14:textId="77777777" w:rsidR="00782B7B" w:rsidRPr="00B84523" w:rsidRDefault="00782B7B" w:rsidP="004674BE"/>
        </w:tc>
      </w:tr>
      <w:tr w:rsidR="00782B7B" w:rsidRPr="00B84523" w14:paraId="670B0347" w14:textId="77777777" w:rsidTr="00B916CF">
        <w:tc>
          <w:tcPr>
            <w:tcW w:w="4111" w:type="dxa"/>
            <w:tcBorders>
              <w:top w:val="single" w:sz="4" w:space="0" w:color="auto"/>
            </w:tcBorders>
          </w:tcPr>
          <w:p w14:paraId="7B529A64" w14:textId="77777777" w:rsidR="00782B7B" w:rsidRPr="00B84523" w:rsidRDefault="00782B7B" w:rsidP="004674BE">
            <w:pPr>
              <w:rPr>
                <w:i/>
                <w:iCs/>
              </w:rPr>
            </w:pPr>
            <w:r w:rsidRPr="00B84523">
              <w:rPr>
                <w:i/>
                <w:iCs/>
              </w:rPr>
              <w:t>Signed</w:t>
            </w:r>
          </w:p>
          <w:p w14:paraId="2AF9E53E" w14:textId="77777777" w:rsidR="00782B7B" w:rsidRPr="00B84523" w:rsidRDefault="00782B7B" w:rsidP="004674BE">
            <w:r w:rsidRPr="00B84523">
              <w:t>Name:</w:t>
            </w:r>
          </w:p>
          <w:p w14:paraId="4FDC3930" w14:textId="77777777" w:rsidR="00782B7B" w:rsidRPr="00B84523" w:rsidRDefault="00782B7B" w:rsidP="004674BE">
            <w:r w:rsidRPr="00B84523">
              <w:t>Position:</w:t>
            </w:r>
          </w:p>
        </w:tc>
        <w:tc>
          <w:tcPr>
            <w:tcW w:w="425" w:type="dxa"/>
          </w:tcPr>
          <w:p w14:paraId="4E8AD315" w14:textId="77777777" w:rsidR="00782B7B" w:rsidRPr="00B84523" w:rsidRDefault="00782B7B" w:rsidP="004674BE"/>
        </w:tc>
        <w:tc>
          <w:tcPr>
            <w:tcW w:w="4480" w:type="dxa"/>
          </w:tcPr>
          <w:p w14:paraId="4F7217E1" w14:textId="7134CB8C" w:rsidR="00782B7B" w:rsidRPr="00B84523" w:rsidRDefault="00782B7B" w:rsidP="004674BE"/>
        </w:tc>
      </w:tr>
      <w:tr w:rsidR="006F3AAB" w:rsidRPr="00B84523" w14:paraId="5F516CDC" w14:textId="77777777" w:rsidTr="00BC3E9B">
        <w:tc>
          <w:tcPr>
            <w:tcW w:w="4111" w:type="dxa"/>
          </w:tcPr>
          <w:p w14:paraId="32DF05DA" w14:textId="77777777" w:rsidR="006F3AAB" w:rsidRPr="00B84523" w:rsidRDefault="006F3AAB" w:rsidP="00BC3E9B">
            <w:pPr>
              <w:rPr>
                <w:b/>
                <w:bCs/>
              </w:rPr>
            </w:pPr>
          </w:p>
          <w:p w14:paraId="00FEB887" w14:textId="77777777" w:rsidR="006F3AAB" w:rsidRPr="00B84523" w:rsidRDefault="006F3AAB" w:rsidP="00BC3E9B">
            <w:pPr>
              <w:rPr>
                <w:b/>
                <w:bCs/>
              </w:rPr>
            </w:pPr>
          </w:p>
          <w:p w14:paraId="1CF40437" w14:textId="07BC1CC8" w:rsidR="006F3AAB" w:rsidRPr="00B84523" w:rsidRDefault="006F3AAB" w:rsidP="00BC3E9B">
            <w:r w:rsidRPr="00B84523">
              <w:rPr>
                <w:b/>
                <w:bCs/>
              </w:rPr>
              <w:t>Signed</w:t>
            </w:r>
            <w:r w:rsidRPr="00B84523">
              <w:t xml:space="preserve"> by </w:t>
            </w:r>
            <w:r w:rsidR="008022CD" w:rsidRPr="00B84523">
              <w:rPr>
                <w:b/>
                <w:bCs/>
              </w:rPr>
              <w:t>[Founder]</w:t>
            </w:r>
            <w:r w:rsidRPr="00B84523">
              <w:t>:</w:t>
            </w:r>
          </w:p>
        </w:tc>
        <w:tc>
          <w:tcPr>
            <w:tcW w:w="425" w:type="dxa"/>
          </w:tcPr>
          <w:p w14:paraId="58526142" w14:textId="77777777" w:rsidR="006F3AAB" w:rsidRPr="00B84523" w:rsidRDefault="006F3AAB" w:rsidP="00BC3E9B"/>
        </w:tc>
        <w:tc>
          <w:tcPr>
            <w:tcW w:w="4480" w:type="dxa"/>
          </w:tcPr>
          <w:p w14:paraId="351E8225" w14:textId="77777777" w:rsidR="006F3AAB" w:rsidRPr="00B84523" w:rsidRDefault="006F3AAB" w:rsidP="00BC3E9B">
            <w:pPr>
              <w:rPr>
                <w:b/>
                <w:bCs/>
              </w:rPr>
            </w:pPr>
          </w:p>
          <w:p w14:paraId="5B143093" w14:textId="77777777" w:rsidR="006F3AAB" w:rsidRPr="00B84523" w:rsidRDefault="006F3AAB" w:rsidP="00BC3E9B">
            <w:pPr>
              <w:rPr>
                <w:b/>
                <w:bCs/>
              </w:rPr>
            </w:pPr>
          </w:p>
          <w:p w14:paraId="6B6A126A" w14:textId="053DD2FD" w:rsidR="006F3AAB" w:rsidRPr="00B84523" w:rsidRDefault="006F3AAB" w:rsidP="00BC3E9B">
            <w:r w:rsidRPr="00B84523">
              <w:rPr>
                <w:b/>
                <w:bCs/>
              </w:rPr>
              <w:t>Signed</w:t>
            </w:r>
            <w:r w:rsidRPr="00B84523">
              <w:t xml:space="preserve"> by </w:t>
            </w:r>
            <w:r w:rsidR="008022CD" w:rsidRPr="00B84523">
              <w:rPr>
                <w:b/>
                <w:bCs/>
              </w:rPr>
              <w:t>[Founder]</w:t>
            </w:r>
            <w:r w:rsidRPr="00B84523">
              <w:t>:</w:t>
            </w:r>
          </w:p>
        </w:tc>
      </w:tr>
      <w:tr w:rsidR="006F3AAB" w:rsidRPr="00B84523" w14:paraId="6438493C" w14:textId="77777777" w:rsidTr="00BC3E9B">
        <w:tc>
          <w:tcPr>
            <w:tcW w:w="4111" w:type="dxa"/>
            <w:tcBorders>
              <w:bottom w:val="single" w:sz="4" w:space="0" w:color="auto"/>
            </w:tcBorders>
          </w:tcPr>
          <w:p w14:paraId="51CA139B" w14:textId="77777777" w:rsidR="006F3AAB" w:rsidRPr="00B84523" w:rsidRDefault="006F3AAB" w:rsidP="00BC3E9B"/>
          <w:p w14:paraId="505EF96C" w14:textId="77777777" w:rsidR="006F3AAB" w:rsidRPr="00B84523" w:rsidRDefault="006F3AAB" w:rsidP="00BC3E9B"/>
          <w:p w14:paraId="66939573" w14:textId="77777777" w:rsidR="006F3AAB" w:rsidRPr="00B84523" w:rsidRDefault="006F3AAB" w:rsidP="00BC3E9B"/>
        </w:tc>
        <w:tc>
          <w:tcPr>
            <w:tcW w:w="425" w:type="dxa"/>
          </w:tcPr>
          <w:p w14:paraId="46D94839" w14:textId="77777777" w:rsidR="006F3AAB" w:rsidRPr="00B84523" w:rsidRDefault="006F3AAB" w:rsidP="00BC3E9B"/>
        </w:tc>
        <w:tc>
          <w:tcPr>
            <w:tcW w:w="4480" w:type="dxa"/>
            <w:tcBorders>
              <w:bottom w:val="single" w:sz="4" w:space="0" w:color="auto"/>
            </w:tcBorders>
          </w:tcPr>
          <w:p w14:paraId="18B49EAE" w14:textId="77777777" w:rsidR="006F3AAB" w:rsidRPr="00B84523" w:rsidRDefault="006F3AAB" w:rsidP="00BC3E9B"/>
        </w:tc>
      </w:tr>
      <w:tr w:rsidR="006F3AAB" w:rsidRPr="00B84523" w14:paraId="76856015" w14:textId="77777777" w:rsidTr="006F3AAB">
        <w:tc>
          <w:tcPr>
            <w:tcW w:w="4111" w:type="dxa"/>
            <w:tcBorders>
              <w:top w:val="single" w:sz="4" w:space="0" w:color="auto"/>
            </w:tcBorders>
          </w:tcPr>
          <w:p w14:paraId="2BD2F84B" w14:textId="2F4147DA" w:rsidR="006F3AAB" w:rsidRPr="00B84523" w:rsidRDefault="006F3AAB" w:rsidP="00BC3E9B">
            <w:pPr>
              <w:rPr>
                <w:i/>
                <w:iCs/>
              </w:rPr>
            </w:pPr>
            <w:r w:rsidRPr="00B84523">
              <w:rPr>
                <w:i/>
                <w:iCs/>
              </w:rPr>
              <w:t>Signed</w:t>
            </w:r>
          </w:p>
        </w:tc>
        <w:tc>
          <w:tcPr>
            <w:tcW w:w="425" w:type="dxa"/>
          </w:tcPr>
          <w:p w14:paraId="578C21F9" w14:textId="77777777" w:rsidR="006F3AAB" w:rsidRPr="00B84523" w:rsidRDefault="006F3AAB" w:rsidP="00BC3E9B"/>
        </w:tc>
        <w:tc>
          <w:tcPr>
            <w:tcW w:w="4480" w:type="dxa"/>
            <w:tcBorders>
              <w:top w:val="single" w:sz="4" w:space="0" w:color="auto"/>
            </w:tcBorders>
          </w:tcPr>
          <w:p w14:paraId="3600274C" w14:textId="77777777" w:rsidR="006F3AAB" w:rsidRPr="00B84523" w:rsidRDefault="006F3AAB" w:rsidP="00BC3E9B">
            <w:pPr>
              <w:rPr>
                <w:i/>
                <w:iCs/>
              </w:rPr>
            </w:pPr>
            <w:r w:rsidRPr="00B84523">
              <w:rPr>
                <w:i/>
                <w:iCs/>
              </w:rPr>
              <w:t>Signed</w:t>
            </w:r>
          </w:p>
          <w:p w14:paraId="26AA838C" w14:textId="24ACC139" w:rsidR="006F3AAB" w:rsidRPr="00B84523" w:rsidRDefault="006F3AAB" w:rsidP="00BC3E9B"/>
        </w:tc>
      </w:tr>
      <w:tr w:rsidR="006F3AAB" w:rsidRPr="00B84523" w14:paraId="61CCFA56" w14:textId="77777777" w:rsidTr="006F3AAB">
        <w:tc>
          <w:tcPr>
            <w:tcW w:w="4111" w:type="dxa"/>
          </w:tcPr>
          <w:p w14:paraId="60D4ED69" w14:textId="77777777" w:rsidR="006F3AAB" w:rsidRPr="00B84523" w:rsidRDefault="006F3AAB" w:rsidP="004674BE">
            <w:pPr>
              <w:rPr>
                <w:i/>
                <w:iCs/>
              </w:rPr>
            </w:pPr>
          </w:p>
        </w:tc>
        <w:tc>
          <w:tcPr>
            <w:tcW w:w="425" w:type="dxa"/>
          </w:tcPr>
          <w:p w14:paraId="63A4C3D0" w14:textId="77777777" w:rsidR="006F3AAB" w:rsidRPr="00B84523" w:rsidRDefault="006F3AAB" w:rsidP="004674BE"/>
        </w:tc>
        <w:tc>
          <w:tcPr>
            <w:tcW w:w="4480" w:type="dxa"/>
          </w:tcPr>
          <w:p w14:paraId="42F8E744" w14:textId="77777777" w:rsidR="006F3AAB" w:rsidRPr="00B84523" w:rsidRDefault="006F3AAB" w:rsidP="004674BE">
            <w:pPr>
              <w:rPr>
                <w:i/>
                <w:iCs/>
              </w:rPr>
            </w:pPr>
          </w:p>
        </w:tc>
      </w:tr>
    </w:tbl>
    <w:p w14:paraId="4F20A7E1" w14:textId="068A6DD4" w:rsidR="00034A1C" w:rsidRDefault="00034A1C" w:rsidP="003A1B7B">
      <w:pPr>
        <w:jc w:val="left"/>
        <w:rPr>
          <w:lang w:val="en-US"/>
        </w:rPr>
      </w:pPr>
    </w:p>
    <w:p w14:paraId="07A41B76" w14:textId="3DBE2F3F" w:rsidR="00ED7CB4" w:rsidRDefault="00ED7CB4" w:rsidP="003A1B7B">
      <w:pPr>
        <w:jc w:val="left"/>
        <w:rPr>
          <w:lang w:val="en-US"/>
        </w:rPr>
      </w:pPr>
    </w:p>
    <w:p w14:paraId="44275243" w14:textId="338BAE08" w:rsidR="00ED7CB4" w:rsidRDefault="00ED7CB4">
      <w:pPr>
        <w:rPr>
          <w:lang w:val="en-US"/>
        </w:rPr>
      </w:pPr>
      <w:r>
        <w:rPr>
          <w:lang w:val="en-US"/>
        </w:rPr>
        <w:br w:type="page"/>
      </w:r>
    </w:p>
    <w:p w14:paraId="6BDD7135" w14:textId="77777777" w:rsidR="00ED7CB4" w:rsidRPr="00AE1AE0" w:rsidRDefault="00ED7CB4" w:rsidP="00ED7CB4">
      <w:pPr>
        <w:jc w:val="center"/>
        <w:rPr>
          <w:b/>
          <w:bCs/>
          <w:lang w:val="en-US"/>
        </w:rPr>
      </w:pPr>
      <w:r w:rsidRPr="00AE1AE0">
        <w:rPr>
          <w:b/>
          <w:bCs/>
          <w:lang w:val="en-US"/>
        </w:rPr>
        <w:lastRenderedPageBreak/>
        <w:t>FREQUENTLY ASKED QUESTIONS</w:t>
      </w:r>
    </w:p>
    <w:p w14:paraId="294CF218" w14:textId="77777777" w:rsidR="00ED7CB4" w:rsidRDefault="00ED7CB4" w:rsidP="00ED7CB4">
      <w:pPr>
        <w:jc w:val="center"/>
        <w:rPr>
          <w:lang w:val="en-US"/>
        </w:rPr>
      </w:pPr>
    </w:p>
    <w:p w14:paraId="07F055AB" w14:textId="77777777" w:rsidR="00ED7CB4" w:rsidRDefault="00ED7CB4" w:rsidP="00ED7CB4">
      <w:pPr>
        <w:jc w:val="center"/>
        <w:rPr>
          <w:lang w:val="en-US"/>
        </w:rPr>
      </w:pPr>
    </w:p>
    <w:p w14:paraId="2A133785" w14:textId="77777777" w:rsidR="00ED7CB4" w:rsidRDefault="00ED7CB4" w:rsidP="00ED7CB4">
      <w:pPr>
        <w:pStyle w:val="ListParagraph"/>
        <w:numPr>
          <w:ilvl w:val="0"/>
          <w:numId w:val="12"/>
        </w:numPr>
        <w:jc w:val="left"/>
        <w:rPr>
          <w:b/>
          <w:bCs/>
          <w:lang w:val="en-US"/>
        </w:rPr>
      </w:pPr>
      <w:r w:rsidRPr="00F93144">
        <w:rPr>
          <w:b/>
          <w:bCs/>
          <w:lang w:val="en-US"/>
        </w:rPr>
        <w:t>What round of investment is this term sheet designed for?</w:t>
      </w:r>
    </w:p>
    <w:p w14:paraId="3E45BE36" w14:textId="77777777" w:rsidR="00ED7CB4" w:rsidRDefault="00ED7CB4" w:rsidP="00ED7CB4">
      <w:pPr>
        <w:jc w:val="left"/>
        <w:rPr>
          <w:b/>
          <w:bCs/>
          <w:lang w:val="en-US"/>
        </w:rPr>
      </w:pPr>
    </w:p>
    <w:p w14:paraId="149EEFBE" w14:textId="471FF591" w:rsidR="00ED7CB4" w:rsidRDefault="00ED7CB4" w:rsidP="00ED7CB4">
      <w:pPr>
        <w:jc w:val="left"/>
        <w:rPr>
          <w:lang w:val="en-US"/>
        </w:rPr>
      </w:pPr>
      <w:r>
        <w:rPr>
          <w:lang w:val="en-US"/>
        </w:rPr>
        <w:t xml:space="preserve">This is designed for the angel/pre-seed round. See the following link for a fuller description of that stage:  </w:t>
      </w:r>
      <w:hyperlink r:id="rId8" w:history="1">
        <w:r w:rsidRPr="00BA3A9E">
          <w:rPr>
            <w:rStyle w:val="Hyperlink"/>
            <w:lang w:val="en-US"/>
          </w:rPr>
          <w:t>https://hillfarrance.com/bringing-parity/</w:t>
        </w:r>
      </w:hyperlink>
    </w:p>
    <w:p w14:paraId="3060027F" w14:textId="77777777" w:rsidR="00ED7CB4" w:rsidRDefault="00ED7CB4" w:rsidP="00ED7CB4">
      <w:pPr>
        <w:jc w:val="left"/>
        <w:rPr>
          <w:lang w:val="en-US"/>
        </w:rPr>
      </w:pPr>
    </w:p>
    <w:p w14:paraId="6E4C9DFF" w14:textId="77777777" w:rsidR="00ED7CB4" w:rsidRDefault="00ED7CB4" w:rsidP="00ED7CB4">
      <w:pPr>
        <w:pStyle w:val="ListParagraph"/>
        <w:numPr>
          <w:ilvl w:val="0"/>
          <w:numId w:val="12"/>
        </w:numPr>
        <w:jc w:val="left"/>
        <w:rPr>
          <w:b/>
          <w:bCs/>
          <w:lang w:val="en-US"/>
        </w:rPr>
      </w:pPr>
      <w:r>
        <w:rPr>
          <w:b/>
          <w:bCs/>
          <w:lang w:val="en-US"/>
        </w:rPr>
        <w:t>What is the nature of the investment?</w:t>
      </w:r>
    </w:p>
    <w:p w14:paraId="0C563401" w14:textId="77777777" w:rsidR="00ED7CB4" w:rsidRDefault="00ED7CB4" w:rsidP="00ED7CB4">
      <w:pPr>
        <w:jc w:val="left"/>
        <w:rPr>
          <w:b/>
          <w:bCs/>
          <w:lang w:val="en-US"/>
        </w:rPr>
      </w:pPr>
    </w:p>
    <w:p w14:paraId="6215C149" w14:textId="59B624DC" w:rsidR="00ED7CB4" w:rsidRDefault="00ED7CB4" w:rsidP="00ED7CB4">
      <w:pPr>
        <w:jc w:val="left"/>
        <w:rPr>
          <w:lang w:val="en-US"/>
        </w:rPr>
      </w:pPr>
      <w:r>
        <w:rPr>
          <w:lang w:val="en-US"/>
        </w:rPr>
        <w:t>This term sheet anticipates the investment will be by way of convertible note in a New Zealand limited liability company under the Companies Act 1993. This is a debt instrument which converts into preference shares in the company on a certain event – most notably an equity round.</w:t>
      </w:r>
    </w:p>
    <w:p w14:paraId="77A4ECD3" w14:textId="77777777" w:rsidR="00ED7CB4" w:rsidRDefault="00ED7CB4" w:rsidP="00ED7CB4">
      <w:pPr>
        <w:jc w:val="left"/>
        <w:rPr>
          <w:lang w:val="en-US"/>
        </w:rPr>
      </w:pPr>
    </w:p>
    <w:p w14:paraId="0D1E5CA8" w14:textId="77777777" w:rsidR="00ED7CB4" w:rsidRDefault="00ED7CB4" w:rsidP="00ED7CB4">
      <w:pPr>
        <w:jc w:val="left"/>
        <w:rPr>
          <w:lang w:val="en-US"/>
        </w:rPr>
      </w:pPr>
      <w:r>
        <w:rPr>
          <w:lang w:val="en-US"/>
        </w:rPr>
        <w:t>Ordinary shares typically carry a right to:</w:t>
      </w:r>
    </w:p>
    <w:p w14:paraId="60D55233" w14:textId="77777777" w:rsidR="00ED7CB4" w:rsidRDefault="00ED7CB4" w:rsidP="00ED7CB4">
      <w:pPr>
        <w:jc w:val="left"/>
        <w:rPr>
          <w:lang w:val="en-US"/>
        </w:rPr>
      </w:pPr>
    </w:p>
    <w:p w14:paraId="72BF5F11" w14:textId="77777777" w:rsidR="00ED7CB4" w:rsidRDefault="00ED7CB4" w:rsidP="00ED7CB4">
      <w:pPr>
        <w:pStyle w:val="ListParagraph"/>
        <w:numPr>
          <w:ilvl w:val="0"/>
          <w:numId w:val="13"/>
        </w:numPr>
        <w:jc w:val="left"/>
        <w:rPr>
          <w:lang w:val="en-US"/>
        </w:rPr>
      </w:pPr>
      <w:r>
        <w:rPr>
          <w:lang w:val="en-US"/>
        </w:rPr>
        <w:t>Vote;</w:t>
      </w:r>
    </w:p>
    <w:p w14:paraId="32AF08A3" w14:textId="77777777" w:rsidR="00ED7CB4" w:rsidRDefault="00ED7CB4" w:rsidP="00ED7CB4">
      <w:pPr>
        <w:pStyle w:val="ListParagraph"/>
        <w:numPr>
          <w:ilvl w:val="0"/>
          <w:numId w:val="13"/>
        </w:numPr>
        <w:jc w:val="left"/>
        <w:rPr>
          <w:lang w:val="en-US"/>
        </w:rPr>
      </w:pPr>
      <w:r>
        <w:rPr>
          <w:lang w:val="en-US"/>
        </w:rPr>
        <w:t>A dividend;</w:t>
      </w:r>
    </w:p>
    <w:p w14:paraId="7FEB199F" w14:textId="77777777" w:rsidR="00ED7CB4" w:rsidRDefault="00ED7CB4" w:rsidP="00ED7CB4">
      <w:pPr>
        <w:pStyle w:val="ListParagraph"/>
        <w:numPr>
          <w:ilvl w:val="0"/>
          <w:numId w:val="13"/>
        </w:numPr>
        <w:jc w:val="left"/>
        <w:rPr>
          <w:lang w:val="en-US"/>
        </w:rPr>
      </w:pPr>
      <w:r>
        <w:rPr>
          <w:lang w:val="en-US"/>
        </w:rPr>
        <w:t>A share in the surplus assets of the company in a liquidation.</w:t>
      </w:r>
    </w:p>
    <w:p w14:paraId="7942E2BE" w14:textId="77777777" w:rsidR="00ED7CB4" w:rsidRDefault="00ED7CB4" w:rsidP="00ED7CB4">
      <w:pPr>
        <w:jc w:val="left"/>
        <w:rPr>
          <w:lang w:val="en-US"/>
        </w:rPr>
      </w:pPr>
    </w:p>
    <w:p w14:paraId="16018824" w14:textId="77777777" w:rsidR="00ED7CB4" w:rsidRPr="00E56D94" w:rsidRDefault="00ED7CB4" w:rsidP="00ED7CB4">
      <w:pPr>
        <w:jc w:val="left"/>
        <w:rPr>
          <w:lang w:val="en-US"/>
        </w:rPr>
      </w:pPr>
      <w:r>
        <w:rPr>
          <w:lang w:val="en-US"/>
        </w:rPr>
        <w:t>Preference shares typically carry all the rights of ordinary shares and a preferred right over ordinary shares to surplus assets of the company in a liquidation.</w:t>
      </w:r>
    </w:p>
    <w:p w14:paraId="53D07CF5" w14:textId="77777777" w:rsidR="00ED7CB4" w:rsidRPr="00E56D94" w:rsidRDefault="00ED7CB4" w:rsidP="00ED7CB4">
      <w:pPr>
        <w:jc w:val="left"/>
        <w:rPr>
          <w:b/>
          <w:bCs/>
          <w:lang w:val="en-US"/>
        </w:rPr>
      </w:pPr>
    </w:p>
    <w:p w14:paraId="00569F78" w14:textId="77777777" w:rsidR="00ED7CB4" w:rsidRDefault="00ED7CB4" w:rsidP="00ED7CB4">
      <w:pPr>
        <w:pStyle w:val="ListParagraph"/>
        <w:numPr>
          <w:ilvl w:val="0"/>
          <w:numId w:val="12"/>
        </w:numPr>
        <w:jc w:val="left"/>
        <w:rPr>
          <w:b/>
          <w:bCs/>
          <w:lang w:val="en-US"/>
        </w:rPr>
      </w:pPr>
      <w:r w:rsidRPr="00F93144">
        <w:rPr>
          <w:b/>
          <w:bCs/>
          <w:lang w:val="en-US"/>
        </w:rPr>
        <w:t>What does a lead investor do?</w:t>
      </w:r>
    </w:p>
    <w:p w14:paraId="1630779E" w14:textId="77777777" w:rsidR="00ED7CB4" w:rsidRDefault="00ED7CB4" w:rsidP="00ED7CB4">
      <w:pPr>
        <w:jc w:val="left"/>
        <w:rPr>
          <w:b/>
          <w:bCs/>
          <w:lang w:val="en-US"/>
        </w:rPr>
      </w:pPr>
    </w:p>
    <w:p w14:paraId="5C69A4A4" w14:textId="77777777" w:rsidR="00ED7CB4" w:rsidRDefault="00ED7CB4" w:rsidP="00ED7CB4">
      <w:pPr>
        <w:jc w:val="left"/>
        <w:rPr>
          <w:lang w:val="en-US"/>
        </w:rPr>
      </w:pPr>
      <w:r w:rsidRPr="00EA270B">
        <w:rPr>
          <w:lang w:val="en-US"/>
        </w:rPr>
        <w:t xml:space="preserve">The lead investor is the first and often the largest investor in the round. The lead investor will lead the recruitment and selection of other investors into that round. </w:t>
      </w:r>
      <w:r>
        <w:rPr>
          <w:lang w:val="en-US"/>
        </w:rPr>
        <w:t>Typically the lead investor will be the most involved investor in your business in its early stages.</w:t>
      </w:r>
    </w:p>
    <w:p w14:paraId="5BDE1148" w14:textId="77777777" w:rsidR="00ED7CB4" w:rsidRDefault="00ED7CB4" w:rsidP="00ED7CB4">
      <w:pPr>
        <w:jc w:val="left"/>
        <w:rPr>
          <w:lang w:val="en-US"/>
        </w:rPr>
      </w:pPr>
    </w:p>
    <w:p w14:paraId="7149E42D" w14:textId="77777777" w:rsidR="00ED7CB4" w:rsidRDefault="00ED7CB4" w:rsidP="00ED7CB4">
      <w:pPr>
        <w:pStyle w:val="ListParagraph"/>
        <w:numPr>
          <w:ilvl w:val="0"/>
          <w:numId w:val="12"/>
        </w:numPr>
        <w:jc w:val="left"/>
        <w:rPr>
          <w:b/>
          <w:bCs/>
          <w:lang w:val="en-US"/>
        </w:rPr>
      </w:pPr>
      <w:r w:rsidRPr="00EA270B">
        <w:rPr>
          <w:b/>
          <w:bCs/>
          <w:lang w:val="en-US"/>
        </w:rPr>
        <w:t>Is this term sheet suitable for a Investor 1 Resident Visa Acceptable Investments</w:t>
      </w:r>
      <w:r>
        <w:rPr>
          <w:b/>
          <w:bCs/>
          <w:lang w:val="en-US"/>
        </w:rPr>
        <w:t xml:space="preserve"> as at 1 March 2021</w:t>
      </w:r>
      <w:r w:rsidRPr="00EA270B">
        <w:rPr>
          <w:b/>
          <w:bCs/>
          <w:lang w:val="en-US"/>
        </w:rPr>
        <w:t>?</w:t>
      </w:r>
    </w:p>
    <w:p w14:paraId="3AC37734" w14:textId="77777777" w:rsidR="00ED7CB4" w:rsidRDefault="00ED7CB4" w:rsidP="00ED7CB4">
      <w:pPr>
        <w:jc w:val="left"/>
        <w:rPr>
          <w:b/>
          <w:bCs/>
          <w:lang w:val="en-US"/>
        </w:rPr>
      </w:pPr>
    </w:p>
    <w:p w14:paraId="77C0CC3F" w14:textId="5B71737E" w:rsidR="00ED7CB4" w:rsidRPr="00EA270B" w:rsidRDefault="00ED7CB4" w:rsidP="00ED7CB4">
      <w:pPr>
        <w:jc w:val="left"/>
        <w:rPr>
          <w:lang w:val="en-US"/>
        </w:rPr>
      </w:pPr>
      <w:r>
        <w:rPr>
          <w:lang w:val="en-US"/>
        </w:rPr>
        <w:t xml:space="preserve">No – as this term sheet is for debt in a New Zealand company it will not qualify as an “acceptable investment” for the purposes of the Investor 1 </w:t>
      </w:r>
      <w:r w:rsidR="00473CCA">
        <w:rPr>
          <w:lang w:val="en-US"/>
        </w:rPr>
        <w:t xml:space="preserve">or 2 </w:t>
      </w:r>
      <w:r>
        <w:rPr>
          <w:lang w:val="en-US"/>
        </w:rPr>
        <w:t>Resident Visa.</w:t>
      </w:r>
    </w:p>
    <w:p w14:paraId="10A02CA5" w14:textId="77777777" w:rsidR="00ED7CB4" w:rsidRPr="003A1B7B" w:rsidRDefault="00ED7CB4" w:rsidP="003A1B7B">
      <w:pPr>
        <w:jc w:val="left"/>
        <w:rPr>
          <w:lang w:val="en-US"/>
        </w:rPr>
      </w:pPr>
    </w:p>
    <w:sectPr w:rsidR="00ED7CB4" w:rsidRPr="003A1B7B" w:rsidSect="00204E0A">
      <w:headerReference w:type="even" r:id="rId9"/>
      <w:headerReference w:type="default" r:id="rId10"/>
      <w:footerReference w:type="even" r:id="rId11"/>
      <w:footerReference w:type="default" r:id="rId12"/>
      <w:headerReference w:type="first" r:id="rId13"/>
      <w:footerReference w:type="first" r:id="rId14"/>
      <w:pgSz w:w="11909" w:h="16834" w:code="9"/>
      <w:pgMar w:top="1418" w:right="1418" w:bottom="1418" w:left="1418" w:header="567" w:footer="567" w:gutter="0"/>
      <w:paperSrc w:first="1" w:other="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9BC7" w14:textId="77777777" w:rsidR="00B4499E" w:rsidRDefault="00B4499E">
      <w:r>
        <w:separator/>
      </w:r>
    </w:p>
  </w:endnote>
  <w:endnote w:type="continuationSeparator" w:id="0">
    <w:p w14:paraId="498EA729" w14:textId="77777777" w:rsidR="00B4499E" w:rsidRDefault="00B4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1EC8" w14:textId="77777777" w:rsidR="00AE19E7" w:rsidRDefault="00AE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B507" w14:textId="77777777" w:rsidR="00AE19E7" w:rsidRDefault="00AE1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4D61" w14:textId="77777777" w:rsidR="00AE19E7" w:rsidRDefault="00AE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618B" w14:textId="77777777" w:rsidR="00B4499E" w:rsidRDefault="00B4499E">
      <w:r>
        <w:separator/>
      </w:r>
    </w:p>
  </w:footnote>
  <w:footnote w:type="continuationSeparator" w:id="0">
    <w:p w14:paraId="23E56F22" w14:textId="77777777" w:rsidR="00B4499E" w:rsidRDefault="00B4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3452" w14:textId="77777777" w:rsidR="00AE19E7" w:rsidRDefault="00AE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2762" w14:textId="77777777" w:rsidR="00557A5E" w:rsidRDefault="006A7954">
    <w:pPr>
      <w:pStyle w:val="Header"/>
      <w:jc w:val="center"/>
    </w:pPr>
    <w:r>
      <w:t xml:space="preserve">- </w:t>
    </w:r>
    <w:r w:rsidR="006A05F2">
      <w:fldChar w:fldCharType="begin"/>
    </w:r>
    <w:r>
      <w:instrText xml:space="preserve"> PAGE </w:instrText>
    </w:r>
    <w:r w:rsidR="006A05F2">
      <w:fldChar w:fldCharType="separate"/>
    </w:r>
    <w:r w:rsidR="00F54714">
      <w:rPr>
        <w:noProof/>
      </w:rPr>
      <w:t>2</w:t>
    </w:r>
    <w:r w:rsidR="006A05F2">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6EA6" w14:textId="301EA2B2" w:rsidR="00E12DD6" w:rsidRDefault="001E07E3">
    <w:pPr>
      <w:pStyle w:val="Header"/>
    </w:pPr>
    <w:r w:rsidRPr="00464A43">
      <w:rPr>
        <w:noProof/>
      </w:rPr>
      <w:drawing>
        <wp:anchor distT="0" distB="0" distL="114300" distR="114300" simplePos="0" relativeHeight="251659264" behindDoc="0" locked="0" layoutInCell="1" allowOverlap="1" wp14:anchorId="75D6049F" wp14:editId="2254556A">
          <wp:simplePos x="0" y="0"/>
          <wp:positionH relativeFrom="margin">
            <wp:align>left</wp:align>
          </wp:positionH>
          <wp:positionV relativeFrom="paragraph">
            <wp:posOffset>22225</wp:posOffset>
          </wp:positionV>
          <wp:extent cx="1708220" cy="312913"/>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8220" cy="312913"/>
                  </a:xfrm>
                  <a:prstGeom prst="rect">
                    <a:avLst/>
                  </a:prstGeom>
                </pic:spPr>
              </pic:pic>
            </a:graphicData>
          </a:graphic>
        </wp:anchor>
      </w:drawing>
    </w:r>
    <w:r w:rsidRPr="00464A43">
      <w:rPr>
        <w:noProof/>
      </w:rPr>
      <w:drawing>
        <wp:anchor distT="0" distB="0" distL="114300" distR="114300" simplePos="0" relativeHeight="251661312" behindDoc="0" locked="0" layoutInCell="1" allowOverlap="1" wp14:anchorId="56A52E40" wp14:editId="54EBCBF8">
          <wp:simplePos x="0" y="0"/>
          <wp:positionH relativeFrom="margin">
            <wp:posOffset>3573780</wp:posOffset>
          </wp:positionH>
          <wp:positionV relativeFrom="paragraph">
            <wp:posOffset>-127000</wp:posOffset>
          </wp:positionV>
          <wp:extent cx="2193925" cy="461645"/>
          <wp:effectExtent l="0" t="0" r="0"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93925" cy="461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A1CCEB8"/>
    <w:lvl w:ilvl="0">
      <w:start w:val="1"/>
      <w:numFmt w:val="decimal"/>
      <w:pStyle w:val="Heading1"/>
      <w:lvlText w:val="%1."/>
      <w:lvlJc w:val="left"/>
      <w:pPr>
        <w:tabs>
          <w:tab w:val="num" w:pos="720"/>
        </w:tabs>
        <w:ind w:left="720" w:hanging="720"/>
      </w:pPr>
      <w:rPr>
        <w:rFonts w:ascii="Calibri" w:hAnsi="Calibri" w:cs="Calibri" w:hint="default"/>
        <w:b w:val="0"/>
        <w:i w:val="0"/>
        <w:color w:val="auto"/>
      </w:rPr>
    </w:lvl>
    <w:lvl w:ilvl="1">
      <w:start w:val="1"/>
      <w:numFmt w:val="lowerLetter"/>
      <w:pStyle w:val="Heading2"/>
      <w:lvlText w:val="(%2)"/>
      <w:lvlJc w:val="left"/>
      <w:pPr>
        <w:tabs>
          <w:tab w:val="num" w:pos="1440"/>
        </w:tabs>
        <w:ind w:left="1440" w:hanging="720"/>
      </w:pPr>
      <w:rPr>
        <w:rFonts w:ascii="Calibri" w:hAnsi="Calibri" w:cs="Calibri" w:hint="default"/>
        <w:b w:val="0"/>
        <w:i w:val="0"/>
        <w:color w:val="auto"/>
      </w:rPr>
    </w:lvl>
    <w:lvl w:ilvl="2">
      <w:start w:val="1"/>
      <w:numFmt w:val="lowerRoman"/>
      <w:pStyle w:val="Heading3"/>
      <w:lvlText w:val="(%3)"/>
      <w:lvlJc w:val="left"/>
      <w:pPr>
        <w:tabs>
          <w:tab w:val="num" w:pos="2160"/>
        </w:tabs>
        <w:ind w:left="2160" w:hanging="720"/>
      </w:pPr>
      <w:rPr>
        <w:rFonts w:ascii="Calibri" w:hAnsi="Calibri" w:cs="Calibri" w:hint="default"/>
        <w:b w:val="0"/>
        <w:i w:val="0"/>
        <w:color w:val="auto"/>
      </w:rPr>
    </w:lvl>
    <w:lvl w:ilvl="3">
      <w:start w:val="1"/>
      <w:numFmt w:val="upperLetter"/>
      <w:pStyle w:val="Heading4"/>
      <w:lvlText w:val="(%4)"/>
      <w:lvlJc w:val="left"/>
      <w:pPr>
        <w:tabs>
          <w:tab w:val="num" w:pos="2869"/>
        </w:tabs>
        <w:ind w:left="2869" w:hanging="709"/>
      </w:pPr>
      <w:rPr>
        <w:rFonts w:ascii="Calibri" w:hAnsi="Calibri" w:cs="Calibri" w:hint="default"/>
        <w:color w:val="auto"/>
      </w:rPr>
    </w:lvl>
    <w:lvl w:ilvl="4">
      <w:start w:val="1"/>
      <w:numFmt w:val="none"/>
      <w:pStyle w:val="Heading5"/>
      <w:suff w:val="nothing"/>
      <w:lvlText w:val=""/>
      <w:lvlJc w:val="left"/>
      <w:pPr>
        <w:ind w:left="3578" w:hanging="709"/>
      </w:pPr>
      <w:rPr>
        <w:rFonts w:ascii="Calibri" w:hAnsi="Calibri" w:cs="Calibri" w:hint="default"/>
        <w:color w:val="auto"/>
      </w:rPr>
    </w:lvl>
    <w:lvl w:ilvl="5">
      <w:start w:val="1"/>
      <w:numFmt w:val="none"/>
      <w:pStyle w:val="Heading6"/>
      <w:suff w:val="nothing"/>
      <w:lvlText w:val=""/>
      <w:lvlJc w:val="left"/>
      <w:pPr>
        <w:ind w:left="4287" w:hanging="709"/>
      </w:pPr>
      <w:rPr>
        <w:rFonts w:ascii="Calibri" w:hAnsi="Calibri" w:cs="Calibri" w:hint="default"/>
        <w:color w:val="auto"/>
      </w:rPr>
    </w:lvl>
    <w:lvl w:ilvl="6">
      <w:start w:val="1"/>
      <w:numFmt w:val="none"/>
      <w:pStyle w:val="Heading7"/>
      <w:suff w:val="nothing"/>
      <w:lvlText w:val=""/>
      <w:lvlJc w:val="left"/>
      <w:pPr>
        <w:ind w:left="4996" w:hanging="709"/>
      </w:pPr>
      <w:rPr>
        <w:rFonts w:ascii="Calibri" w:hAnsi="Calibri" w:cs="Calibri" w:hint="default"/>
        <w:color w:val="auto"/>
      </w:rPr>
    </w:lvl>
    <w:lvl w:ilvl="7">
      <w:start w:val="1"/>
      <w:numFmt w:val="none"/>
      <w:pStyle w:val="Heading8"/>
      <w:suff w:val="nothing"/>
      <w:lvlText w:val=""/>
      <w:lvlJc w:val="left"/>
      <w:pPr>
        <w:ind w:left="5705" w:hanging="709"/>
      </w:pPr>
      <w:rPr>
        <w:rFonts w:ascii="Calibri" w:hAnsi="Calibri" w:cs="Calibri" w:hint="default"/>
        <w:color w:val="auto"/>
      </w:rPr>
    </w:lvl>
    <w:lvl w:ilvl="8">
      <w:start w:val="1"/>
      <w:numFmt w:val="none"/>
      <w:pStyle w:val="Heading9"/>
      <w:suff w:val="nothing"/>
      <w:lvlText w:val=""/>
      <w:lvlJc w:val="left"/>
      <w:pPr>
        <w:ind w:left="6414" w:hanging="709"/>
      </w:pPr>
      <w:rPr>
        <w:rFonts w:ascii="Calibri" w:hAnsi="Calibri" w:cs="Calibri" w:hint="default"/>
        <w:color w:val="auto"/>
      </w:rPr>
    </w:lvl>
  </w:abstractNum>
  <w:abstractNum w:abstractNumId="1" w15:restartNumberingAfterBreak="0">
    <w:nsid w:val="01386394"/>
    <w:multiLevelType w:val="hybridMultilevel"/>
    <w:tmpl w:val="082240B0"/>
    <w:lvl w:ilvl="0" w:tplc="DBA62D6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4F3E38"/>
    <w:multiLevelType w:val="hybridMultilevel"/>
    <w:tmpl w:val="148228B4"/>
    <w:lvl w:ilvl="0" w:tplc="2C96C838">
      <w:start w:val="1"/>
      <w:numFmt w:val="decimal"/>
      <w:lvlText w:val="%1."/>
      <w:lvlJc w:val="left"/>
      <w:pPr>
        <w:ind w:left="720" w:hanging="360"/>
      </w:pPr>
      <w:rPr>
        <w:rFonts w:hint="default"/>
        <w:color w:val="auto"/>
      </w:rPr>
    </w:lvl>
    <w:lvl w:ilvl="1" w:tplc="5C0E08E0" w:tentative="1">
      <w:start w:val="1"/>
      <w:numFmt w:val="lowerLetter"/>
      <w:lvlText w:val="%2."/>
      <w:lvlJc w:val="left"/>
      <w:pPr>
        <w:ind w:left="1440" w:hanging="360"/>
      </w:pPr>
      <w:rPr>
        <w:color w:val="auto"/>
      </w:rPr>
    </w:lvl>
    <w:lvl w:ilvl="2" w:tplc="4FCA67A2" w:tentative="1">
      <w:start w:val="1"/>
      <w:numFmt w:val="lowerRoman"/>
      <w:lvlText w:val="%3."/>
      <w:lvlJc w:val="right"/>
      <w:pPr>
        <w:ind w:left="2160" w:hanging="180"/>
      </w:pPr>
      <w:rPr>
        <w:color w:val="auto"/>
      </w:rPr>
    </w:lvl>
    <w:lvl w:ilvl="3" w:tplc="30F0B8D0" w:tentative="1">
      <w:start w:val="1"/>
      <w:numFmt w:val="decimal"/>
      <w:lvlText w:val="%4."/>
      <w:lvlJc w:val="left"/>
      <w:pPr>
        <w:ind w:left="2880" w:hanging="360"/>
      </w:pPr>
      <w:rPr>
        <w:color w:val="auto"/>
      </w:rPr>
    </w:lvl>
    <w:lvl w:ilvl="4" w:tplc="E30271C2" w:tentative="1">
      <w:start w:val="1"/>
      <w:numFmt w:val="lowerLetter"/>
      <w:lvlText w:val="%5."/>
      <w:lvlJc w:val="left"/>
      <w:pPr>
        <w:ind w:left="3600" w:hanging="360"/>
      </w:pPr>
      <w:rPr>
        <w:color w:val="auto"/>
      </w:rPr>
    </w:lvl>
    <w:lvl w:ilvl="5" w:tplc="E43C529A" w:tentative="1">
      <w:start w:val="1"/>
      <w:numFmt w:val="lowerRoman"/>
      <w:lvlText w:val="%6."/>
      <w:lvlJc w:val="right"/>
      <w:pPr>
        <w:ind w:left="4320" w:hanging="180"/>
      </w:pPr>
      <w:rPr>
        <w:color w:val="auto"/>
      </w:rPr>
    </w:lvl>
    <w:lvl w:ilvl="6" w:tplc="B590C2A4" w:tentative="1">
      <w:start w:val="1"/>
      <w:numFmt w:val="decimal"/>
      <w:lvlText w:val="%7."/>
      <w:lvlJc w:val="left"/>
      <w:pPr>
        <w:ind w:left="5040" w:hanging="360"/>
      </w:pPr>
      <w:rPr>
        <w:color w:val="auto"/>
      </w:rPr>
    </w:lvl>
    <w:lvl w:ilvl="7" w:tplc="F2D696C8" w:tentative="1">
      <w:start w:val="1"/>
      <w:numFmt w:val="lowerLetter"/>
      <w:lvlText w:val="%8."/>
      <w:lvlJc w:val="left"/>
      <w:pPr>
        <w:ind w:left="5760" w:hanging="360"/>
      </w:pPr>
      <w:rPr>
        <w:color w:val="auto"/>
      </w:rPr>
    </w:lvl>
    <w:lvl w:ilvl="8" w:tplc="036453CE" w:tentative="1">
      <w:start w:val="1"/>
      <w:numFmt w:val="lowerRoman"/>
      <w:lvlText w:val="%9."/>
      <w:lvlJc w:val="right"/>
      <w:pPr>
        <w:ind w:left="6480" w:hanging="180"/>
      </w:pPr>
      <w:rPr>
        <w:color w:val="auto"/>
      </w:rPr>
    </w:lvl>
  </w:abstractNum>
  <w:abstractNum w:abstractNumId="3" w15:restartNumberingAfterBreak="0">
    <w:nsid w:val="056D4F16"/>
    <w:multiLevelType w:val="hybridMultilevel"/>
    <w:tmpl w:val="2C74A5F2"/>
    <w:lvl w:ilvl="0" w:tplc="2C24E634">
      <w:start w:val="1"/>
      <w:numFmt w:val="decimal"/>
      <w:lvlText w:val="%1."/>
      <w:lvlJc w:val="left"/>
      <w:pPr>
        <w:ind w:left="720" w:hanging="360"/>
      </w:pPr>
      <w:rPr>
        <w:rFonts w:hint="default"/>
        <w:color w:val="auto"/>
      </w:rPr>
    </w:lvl>
    <w:lvl w:ilvl="1" w:tplc="3716B5B4" w:tentative="1">
      <w:start w:val="1"/>
      <w:numFmt w:val="lowerLetter"/>
      <w:lvlText w:val="%2."/>
      <w:lvlJc w:val="left"/>
      <w:pPr>
        <w:ind w:left="1440" w:hanging="360"/>
      </w:pPr>
      <w:rPr>
        <w:color w:val="auto"/>
      </w:rPr>
    </w:lvl>
    <w:lvl w:ilvl="2" w:tplc="9580C930" w:tentative="1">
      <w:start w:val="1"/>
      <w:numFmt w:val="lowerRoman"/>
      <w:lvlText w:val="%3."/>
      <w:lvlJc w:val="right"/>
      <w:pPr>
        <w:ind w:left="2160" w:hanging="180"/>
      </w:pPr>
      <w:rPr>
        <w:color w:val="auto"/>
      </w:rPr>
    </w:lvl>
    <w:lvl w:ilvl="3" w:tplc="FBB011EE" w:tentative="1">
      <w:start w:val="1"/>
      <w:numFmt w:val="decimal"/>
      <w:lvlText w:val="%4."/>
      <w:lvlJc w:val="left"/>
      <w:pPr>
        <w:ind w:left="2880" w:hanging="360"/>
      </w:pPr>
      <w:rPr>
        <w:color w:val="auto"/>
      </w:rPr>
    </w:lvl>
    <w:lvl w:ilvl="4" w:tplc="C254C83E" w:tentative="1">
      <w:start w:val="1"/>
      <w:numFmt w:val="lowerLetter"/>
      <w:lvlText w:val="%5."/>
      <w:lvlJc w:val="left"/>
      <w:pPr>
        <w:ind w:left="3600" w:hanging="360"/>
      </w:pPr>
      <w:rPr>
        <w:color w:val="auto"/>
      </w:rPr>
    </w:lvl>
    <w:lvl w:ilvl="5" w:tplc="9E68840E" w:tentative="1">
      <w:start w:val="1"/>
      <w:numFmt w:val="lowerRoman"/>
      <w:lvlText w:val="%6."/>
      <w:lvlJc w:val="right"/>
      <w:pPr>
        <w:ind w:left="4320" w:hanging="180"/>
      </w:pPr>
      <w:rPr>
        <w:color w:val="auto"/>
      </w:rPr>
    </w:lvl>
    <w:lvl w:ilvl="6" w:tplc="E3083F34" w:tentative="1">
      <w:start w:val="1"/>
      <w:numFmt w:val="decimal"/>
      <w:lvlText w:val="%7."/>
      <w:lvlJc w:val="left"/>
      <w:pPr>
        <w:ind w:left="5040" w:hanging="360"/>
      </w:pPr>
      <w:rPr>
        <w:color w:val="auto"/>
      </w:rPr>
    </w:lvl>
    <w:lvl w:ilvl="7" w:tplc="C4207AA2" w:tentative="1">
      <w:start w:val="1"/>
      <w:numFmt w:val="lowerLetter"/>
      <w:lvlText w:val="%8."/>
      <w:lvlJc w:val="left"/>
      <w:pPr>
        <w:ind w:left="5760" w:hanging="360"/>
      </w:pPr>
      <w:rPr>
        <w:color w:val="auto"/>
      </w:rPr>
    </w:lvl>
    <w:lvl w:ilvl="8" w:tplc="C1847FAC" w:tentative="1">
      <w:start w:val="1"/>
      <w:numFmt w:val="lowerRoman"/>
      <w:lvlText w:val="%9."/>
      <w:lvlJc w:val="right"/>
      <w:pPr>
        <w:ind w:left="6480" w:hanging="180"/>
      </w:pPr>
      <w:rPr>
        <w:color w:val="auto"/>
      </w:rPr>
    </w:lvl>
  </w:abstractNum>
  <w:abstractNum w:abstractNumId="4" w15:restartNumberingAfterBreak="0">
    <w:nsid w:val="0AD23BD7"/>
    <w:multiLevelType w:val="hybridMultilevel"/>
    <w:tmpl w:val="9CF61898"/>
    <w:lvl w:ilvl="0" w:tplc="94226EEE">
      <w:start w:val="1"/>
      <w:numFmt w:val="decimal"/>
      <w:lvlText w:val="%1."/>
      <w:lvlJc w:val="left"/>
      <w:pPr>
        <w:ind w:left="720" w:hanging="360"/>
      </w:pPr>
      <w:rPr>
        <w:rFonts w:hint="default"/>
        <w:color w:val="auto"/>
      </w:rPr>
    </w:lvl>
    <w:lvl w:ilvl="1" w:tplc="3EB65BF4" w:tentative="1">
      <w:start w:val="1"/>
      <w:numFmt w:val="lowerLetter"/>
      <w:lvlText w:val="%2."/>
      <w:lvlJc w:val="left"/>
      <w:pPr>
        <w:ind w:left="1440" w:hanging="360"/>
      </w:pPr>
      <w:rPr>
        <w:color w:val="auto"/>
      </w:rPr>
    </w:lvl>
    <w:lvl w:ilvl="2" w:tplc="F494819C" w:tentative="1">
      <w:start w:val="1"/>
      <w:numFmt w:val="lowerRoman"/>
      <w:lvlText w:val="%3."/>
      <w:lvlJc w:val="right"/>
      <w:pPr>
        <w:ind w:left="2160" w:hanging="180"/>
      </w:pPr>
      <w:rPr>
        <w:color w:val="auto"/>
      </w:rPr>
    </w:lvl>
    <w:lvl w:ilvl="3" w:tplc="034E29D8" w:tentative="1">
      <w:start w:val="1"/>
      <w:numFmt w:val="decimal"/>
      <w:lvlText w:val="%4."/>
      <w:lvlJc w:val="left"/>
      <w:pPr>
        <w:ind w:left="2880" w:hanging="360"/>
      </w:pPr>
      <w:rPr>
        <w:color w:val="auto"/>
      </w:rPr>
    </w:lvl>
    <w:lvl w:ilvl="4" w:tplc="F1C48268" w:tentative="1">
      <w:start w:val="1"/>
      <w:numFmt w:val="lowerLetter"/>
      <w:lvlText w:val="%5."/>
      <w:lvlJc w:val="left"/>
      <w:pPr>
        <w:ind w:left="3600" w:hanging="360"/>
      </w:pPr>
      <w:rPr>
        <w:color w:val="auto"/>
      </w:rPr>
    </w:lvl>
    <w:lvl w:ilvl="5" w:tplc="24067A8E" w:tentative="1">
      <w:start w:val="1"/>
      <w:numFmt w:val="lowerRoman"/>
      <w:lvlText w:val="%6."/>
      <w:lvlJc w:val="right"/>
      <w:pPr>
        <w:ind w:left="4320" w:hanging="180"/>
      </w:pPr>
      <w:rPr>
        <w:color w:val="auto"/>
      </w:rPr>
    </w:lvl>
    <w:lvl w:ilvl="6" w:tplc="77B2696E" w:tentative="1">
      <w:start w:val="1"/>
      <w:numFmt w:val="decimal"/>
      <w:lvlText w:val="%7."/>
      <w:lvlJc w:val="left"/>
      <w:pPr>
        <w:ind w:left="5040" w:hanging="360"/>
      </w:pPr>
      <w:rPr>
        <w:color w:val="auto"/>
      </w:rPr>
    </w:lvl>
    <w:lvl w:ilvl="7" w:tplc="7B82C07A" w:tentative="1">
      <w:start w:val="1"/>
      <w:numFmt w:val="lowerLetter"/>
      <w:lvlText w:val="%8."/>
      <w:lvlJc w:val="left"/>
      <w:pPr>
        <w:ind w:left="5760" w:hanging="360"/>
      </w:pPr>
      <w:rPr>
        <w:color w:val="auto"/>
      </w:rPr>
    </w:lvl>
    <w:lvl w:ilvl="8" w:tplc="D8E2D1E0" w:tentative="1">
      <w:start w:val="1"/>
      <w:numFmt w:val="lowerRoman"/>
      <w:lvlText w:val="%9."/>
      <w:lvlJc w:val="right"/>
      <w:pPr>
        <w:ind w:left="6480" w:hanging="180"/>
      </w:pPr>
      <w:rPr>
        <w:color w:val="auto"/>
      </w:rPr>
    </w:lvl>
  </w:abstractNum>
  <w:abstractNum w:abstractNumId="5" w15:restartNumberingAfterBreak="0">
    <w:nsid w:val="169E60B8"/>
    <w:multiLevelType w:val="hybridMultilevel"/>
    <w:tmpl w:val="8B666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21289"/>
    <w:multiLevelType w:val="hybridMultilevel"/>
    <w:tmpl w:val="C3DA1EAE"/>
    <w:lvl w:ilvl="0" w:tplc="DDBE8610">
      <w:start w:val="1"/>
      <w:numFmt w:val="decimal"/>
      <w:lvlText w:val="%1."/>
      <w:lvlJc w:val="left"/>
      <w:pPr>
        <w:ind w:left="720" w:hanging="360"/>
      </w:pPr>
      <w:rPr>
        <w:rFonts w:hint="default"/>
        <w:color w:val="auto"/>
      </w:rPr>
    </w:lvl>
    <w:lvl w:ilvl="1" w:tplc="45505CA4" w:tentative="1">
      <w:start w:val="1"/>
      <w:numFmt w:val="lowerLetter"/>
      <w:lvlText w:val="%2."/>
      <w:lvlJc w:val="left"/>
      <w:pPr>
        <w:ind w:left="1440" w:hanging="360"/>
      </w:pPr>
      <w:rPr>
        <w:color w:val="auto"/>
      </w:rPr>
    </w:lvl>
    <w:lvl w:ilvl="2" w:tplc="1B6AF2C2" w:tentative="1">
      <w:start w:val="1"/>
      <w:numFmt w:val="lowerRoman"/>
      <w:lvlText w:val="%3."/>
      <w:lvlJc w:val="right"/>
      <w:pPr>
        <w:ind w:left="2160" w:hanging="180"/>
      </w:pPr>
      <w:rPr>
        <w:color w:val="auto"/>
      </w:rPr>
    </w:lvl>
    <w:lvl w:ilvl="3" w:tplc="97EA5AFE" w:tentative="1">
      <w:start w:val="1"/>
      <w:numFmt w:val="decimal"/>
      <w:lvlText w:val="%4."/>
      <w:lvlJc w:val="left"/>
      <w:pPr>
        <w:ind w:left="2880" w:hanging="360"/>
      </w:pPr>
      <w:rPr>
        <w:color w:val="auto"/>
      </w:rPr>
    </w:lvl>
    <w:lvl w:ilvl="4" w:tplc="0910F574" w:tentative="1">
      <w:start w:val="1"/>
      <w:numFmt w:val="lowerLetter"/>
      <w:lvlText w:val="%5."/>
      <w:lvlJc w:val="left"/>
      <w:pPr>
        <w:ind w:left="3600" w:hanging="360"/>
      </w:pPr>
      <w:rPr>
        <w:color w:val="auto"/>
      </w:rPr>
    </w:lvl>
    <w:lvl w:ilvl="5" w:tplc="D6CAA120" w:tentative="1">
      <w:start w:val="1"/>
      <w:numFmt w:val="lowerRoman"/>
      <w:lvlText w:val="%6."/>
      <w:lvlJc w:val="right"/>
      <w:pPr>
        <w:ind w:left="4320" w:hanging="180"/>
      </w:pPr>
      <w:rPr>
        <w:color w:val="auto"/>
      </w:rPr>
    </w:lvl>
    <w:lvl w:ilvl="6" w:tplc="A668536C" w:tentative="1">
      <w:start w:val="1"/>
      <w:numFmt w:val="decimal"/>
      <w:lvlText w:val="%7."/>
      <w:lvlJc w:val="left"/>
      <w:pPr>
        <w:ind w:left="5040" w:hanging="360"/>
      </w:pPr>
      <w:rPr>
        <w:color w:val="auto"/>
      </w:rPr>
    </w:lvl>
    <w:lvl w:ilvl="7" w:tplc="A82C4C12" w:tentative="1">
      <w:start w:val="1"/>
      <w:numFmt w:val="lowerLetter"/>
      <w:lvlText w:val="%8."/>
      <w:lvlJc w:val="left"/>
      <w:pPr>
        <w:ind w:left="5760" w:hanging="360"/>
      </w:pPr>
      <w:rPr>
        <w:color w:val="auto"/>
      </w:rPr>
    </w:lvl>
    <w:lvl w:ilvl="8" w:tplc="5818E5A4" w:tentative="1">
      <w:start w:val="1"/>
      <w:numFmt w:val="lowerRoman"/>
      <w:lvlText w:val="%9."/>
      <w:lvlJc w:val="right"/>
      <w:pPr>
        <w:ind w:left="6480" w:hanging="180"/>
      </w:pPr>
      <w:rPr>
        <w:color w:val="auto"/>
      </w:rPr>
    </w:lvl>
  </w:abstractNum>
  <w:abstractNum w:abstractNumId="7" w15:restartNumberingAfterBreak="0">
    <w:nsid w:val="1FB21939"/>
    <w:multiLevelType w:val="hybridMultilevel"/>
    <w:tmpl w:val="241A585C"/>
    <w:lvl w:ilvl="0" w:tplc="1EE6CBCE">
      <w:numFmt w:val="bullet"/>
      <w:lvlText w:val=""/>
      <w:lvlJc w:val="left"/>
      <w:pPr>
        <w:ind w:left="720" w:hanging="360"/>
      </w:pPr>
      <w:rPr>
        <w:rFonts w:ascii="Symbol" w:eastAsia="Times New Roman" w:hAnsi="Symbol" w:cs="Times New Roman" w:hint="default"/>
        <w:color w:val="auto"/>
      </w:rPr>
    </w:lvl>
    <w:lvl w:ilvl="1" w:tplc="E384D0AC" w:tentative="1">
      <w:start w:val="1"/>
      <w:numFmt w:val="bullet"/>
      <w:lvlText w:val="o"/>
      <w:lvlJc w:val="left"/>
      <w:pPr>
        <w:ind w:left="1440" w:hanging="360"/>
      </w:pPr>
      <w:rPr>
        <w:rFonts w:ascii="Courier New" w:hAnsi="Courier New" w:cs="Courier New" w:hint="default"/>
        <w:color w:val="auto"/>
      </w:rPr>
    </w:lvl>
    <w:lvl w:ilvl="2" w:tplc="80A6C6CE" w:tentative="1">
      <w:start w:val="1"/>
      <w:numFmt w:val="bullet"/>
      <w:lvlText w:val=""/>
      <w:lvlJc w:val="left"/>
      <w:pPr>
        <w:ind w:left="2160" w:hanging="360"/>
      </w:pPr>
      <w:rPr>
        <w:rFonts w:ascii="Wingdings" w:hAnsi="Wingdings" w:hint="default"/>
        <w:color w:val="auto"/>
      </w:rPr>
    </w:lvl>
    <w:lvl w:ilvl="3" w:tplc="BEEA903E" w:tentative="1">
      <w:start w:val="1"/>
      <w:numFmt w:val="bullet"/>
      <w:lvlText w:val=""/>
      <w:lvlJc w:val="left"/>
      <w:pPr>
        <w:ind w:left="2880" w:hanging="360"/>
      </w:pPr>
      <w:rPr>
        <w:rFonts w:ascii="Symbol" w:hAnsi="Symbol" w:hint="default"/>
        <w:color w:val="auto"/>
      </w:rPr>
    </w:lvl>
    <w:lvl w:ilvl="4" w:tplc="7666B428" w:tentative="1">
      <w:start w:val="1"/>
      <w:numFmt w:val="bullet"/>
      <w:lvlText w:val="o"/>
      <w:lvlJc w:val="left"/>
      <w:pPr>
        <w:ind w:left="3600" w:hanging="360"/>
      </w:pPr>
      <w:rPr>
        <w:rFonts w:ascii="Courier New" w:hAnsi="Courier New" w:cs="Courier New" w:hint="default"/>
        <w:color w:val="auto"/>
      </w:rPr>
    </w:lvl>
    <w:lvl w:ilvl="5" w:tplc="8618CB9E" w:tentative="1">
      <w:start w:val="1"/>
      <w:numFmt w:val="bullet"/>
      <w:lvlText w:val=""/>
      <w:lvlJc w:val="left"/>
      <w:pPr>
        <w:ind w:left="4320" w:hanging="360"/>
      </w:pPr>
      <w:rPr>
        <w:rFonts w:ascii="Wingdings" w:hAnsi="Wingdings" w:hint="default"/>
        <w:color w:val="auto"/>
      </w:rPr>
    </w:lvl>
    <w:lvl w:ilvl="6" w:tplc="EAD0D784" w:tentative="1">
      <w:start w:val="1"/>
      <w:numFmt w:val="bullet"/>
      <w:lvlText w:val=""/>
      <w:lvlJc w:val="left"/>
      <w:pPr>
        <w:ind w:left="5040" w:hanging="360"/>
      </w:pPr>
      <w:rPr>
        <w:rFonts w:ascii="Symbol" w:hAnsi="Symbol" w:hint="default"/>
        <w:color w:val="auto"/>
      </w:rPr>
    </w:lvl>
    <w:lvl w:ilvl="7" w:tplc="EE70E260" w:tentative="1">
      <w:start w:val="1"/>
      <w:numFmt w:val="bullet"/>
      <w:lvlText w:val="o"/>
      <w:lvlJc w:val="left"/>
      <w:pPr>
        <w:ind w:left="5760" w:hanging="360"/>
      </w:pPr>
      <w:rPr>
        <w:rFonts w:ascii="Courier New" w:hAnsi="Courier New" w:cs="Courier New" w:hint="default"/>
        <w:color w:val="auto"/>
      </w:rPr>
    </w:lvl>
    <w:lvl w:ilvl="8" w:tplc="33941DAE" w:tentative="1">
      <w:start w:val="1"/>
      <w:numFmt w:val="bullet"/>
      <w:lvlText w:val=""/>
      <w:lvlJc w:val="left"/>
      <w:pPr>
        <w:ind w:left="6480" w:hanging="360"/>
      </w:pPr>
      <w:rPr>
        <w:rFonts w:ascii="Wingdings" w:hAnsi="Wingdings" w:hint="default"/>
        <w:color w:val="auto"/>
      </w:rPr>
    </w:lvl>
  </w:abstractNum>
  <w:abstractNum w:abstractNumId="8" w15:restartNumberingAfterBreak="0">
    <w:nsid w:val="200B0253"/>
    <w:multiLevelType w:val="hybridMultilevel"/>
    <w:tmpl w:val="73589BFE"/>
    <w:lvl w:ilvl="0" w:tplc="101EBBFE">
      <w:numFmt w:val="bullet"/>
      <w:lvlText w:val=""/>
      <w:lvlJc w:val="left"/>
      <w:pPr>
        <w:ind w:left="720" w:hanging="360"/>
      </w:pPr>
      <w:rPr>
        <w:rFonts w:ascii="Symbol" w:eastAsia="Times New Roman" w:hAnsi="Symbol" w:cs="Times New Roman" w:hint="default"/>
        <w:color w:val="auto"/>
      </w:rPr>
    </w:lvl>
    <w:lvl w:ilvl="1" w:tplc="A582E7D4" w:tentative="1">
      <w:start w:val="1"/>
      <w:numFmt w:val="bullet"/>
      <w:lvlText w:val="o"/>
      <w:lvlJc w:val="left"/>
      <w:pPr>
        <w:ind w:left="1440" w:hanging="360"/>
      </w:pPr>
      <w:rPr>
        <w:rFonts w:ascii="Courier New" w:hAnsi="Courier New" w:cs="Courier New" w:hint="default"/>
        <w:color w:val="auto"/>
      </w:rPr>
    </w:lvl>
    <w:lvl w:ilvl="2" w:tplc="C8A88078" w:tentative="1">
      <w:start w:val="1"/>
      <w:numFmt w:val="bullet"/>
      <w:lvlText w:val=""/>
      <w:lvlJc w:val="left"/>
      <w:pPr>
        <w:ind w:left="2160" w:hanging="360"/>
      </w:pPr>
      <w:rPr>
        <w:rFonts w:ascii="Wingdings" w:hAnsi="Wingdings" w:hint="default"/>
        <w:color w:val="auto"/>
      </w:rPr>
    </w:lvl>
    <w:lvl w:ilvl="3" w:tplc="E8DE1348" w:tentative="1">
      <w:start w:val="1"/>
      <w:numFmt w:val="bullet"/>
      <w:lvlText w:val=""/>
      <w:lvlJc w:val="left"/>
      <w:pPr>
        <w:ind w:left="2880" w:hanging="360"/>
      </w:pPr>
      <w:rPr>
        <w:rFonts w:ascii="Symbol" w:hAnsi="Symbol" w:hint="default"/>
        <w:color w:val="auto"/>
      </w:rPr>
    </w:lvl>
    <w:lvl w:ilvl="4" w:tplc="F7366096" w:tentative="1">
      <w:start w:val="1"/>
      <w:numFmt w:val="bullet"/>
      <w:lvlText w:val="o"/>
      <w:lvlJc w:val="left"/>
      <w:pPr>
        <w:ind w:left="3600" w:hanging="360"/>
      </w:pPr>
      <w:rPr>
        <w:rFonts w:ascii="Courier New" w:hAnsi="Courier New" w:cs="Courier New" w:hint="default"/>
        <w:color w:val="auto"/>
      </w:rPr>
    </w:lvl>
    <w:lvl w:ilvl="5" w:tplc="B4CA6092" w:tentative="1">
      <w:start w:val="1"/>
      <w:numFmt w:val="bullet"/>
      <w:lvlText w:val=""/>
      <w:lvlJc w:val="left"/>
      <w:pPr>
        <w:ind w:left="4320" w:hanging="360"/>
      </w:pPr>
      <w:rPr>
        <w:rFonts w:ascii="Wingdings" w:hAnsi="Wingdings" w:hint="default"/>
        <w:color w:val="auto"/>
      </w:rPr>
    </w:lvl>
    <w:lvl w:ilvl="6" w:tplc="0512F8A4" w:tentative="1">
      <w:start w:val="1"/>
      <w:numFmt w:val="bullet"/>
      <w:lvlText w:val=""/>
      <w:lvlJc w:val="left"/>
      <w:pPr>
        <w:ind w:left="5040" w:hanging="360"/>
      </w:pPr>
      <w:rPr>
        <w:rFonts w:ascii="Symbol" w:hAnsi="Symbol" w:hint="default"/>
        <w:color w:val="auto"/>
      </w:rPr>
    </w:lvl>
    <w:lvl w:ilvl="7" w:tplc="AC5CCF84" w:tentative="1">
      <w:start w:val="1"/>
      <w:numFmt w:val="bullet"/>
      <w:lvlText w:val="o"/>
      <w:lvlJc w:val="left"/>
      <w:pPr>
        <w:ind w:left="5760" w:hanging="360"/>
      </w:pPr>
      <w:rPr>
        <w:rFonts w:ascii="Courier New" w:hAnsi="Courier New" w:cs="Courier New" w:hint="default"/>
        <w:color w:val="auto"/>
      </w:rPr>
    </w:lvl>
    <w:lvl w:ilvl="8" w:tplc="EF4E124C" w:tentative="1">
      <w:start w:val="1"/>
      <w:numFmt w:val="bullet"/>
      <w:lvlText w:val=""/>
      <w:lvlJc w:val="left"/>
      <w:pPr>
        <w:ind w:left="6480" w:hanging="360"/>
      </w:pPr>
      <w:rPr>
        <w:rFonts w:ascii="Wingdings" w:hAnsi="Wingdings" w:hint="default"/>
        <w:color w:val="auto"/>
      </w:rPr>
    </w:lvl>
  </w:abstractNum>
  <w:abstractNum w:abstractNumId="9" w15:restartNumberingAfterBreak="0">
    <w:nsid w:val="20C01113"/>
    <w:multiLevelType w:val="hybridMultilevel"/>
    <w:tmpl w:val="9CF61898"/>
    <w:lvl w:ilvl="0" w:tplc="94226EEE">
      <w:start w:val="1"/>
      <w:numFmt w:val="decimal"/>
      <w:lvlText w:val="%1."/>
      <w:lvlJc w:val="left"/>
      <w:pPr>
        <w:ind w:left="720" w:hanging="360"/>
      </w:pPr>
      <w:rPr>
        <w:rFonts w:hint="default"/>
        <w:color w:val="auto"/>
      </w:rPr>
    </w:lvl>
    <w:lvl w:ilvl="1" w:tplc="3EB65BF4" w:tentative="1">
      <w:start w:val="1"/>
      <w:numFmt w:val="lowerLetter"/>
      <w:lvlText w:val="%2."/>
      <w:lvlJc w:val="left"/>
      <w:pPr>
        <w:ind w:left="1440" w:hanging="360"/>
      </w:pPr>
      <w:rPr>
        <w:color w:val="auto"/>
      </w:rPr>
    </w:lvl>
    <w:lvl w:ilvl="2" w:tplc="F494819C" w:tentative="1">
      <w:start w:val="1"/>
      <w:numFmt w:val="lowerRoman"/>
      <w:lvlText w:val="%3."/>
      <w:lvlJc w:val="right"/>
      <w:pPr>
        <w:ind w:left="2160" w:hanging="180"/>
      </w:pPr>
      <w:rPr>
        <w:color w:val="auto"/>
      </w:rPr>
    </w:lvl>
    <w:lvl w:ilvl="3" w:tplc="034E29D8" w:tentative="1">
      <w:start w:val="1"/>
      <w:numFmt w:val="decimal"/>
      <w:lvlText w:val="%4."/>
      <w:lvlJc w:val="left"/>
      <w:pPr>
        <w:ind w:left="2880" w:hanging="360"/>
      </w:pPr>
      <w:rPr>
        <w:color w:val="auto"/>
      </w:rPr>
    </w:lvl>
    <w:lvl w:ilvl="4" w:tplc="F1C48268" w:tentative="1">
      <w:start w:val="1"/>
      <w:numFmt w:val="lowerLetter"/>
      <w:lvlText w:val="%5."/>
      <w:lvlJc w:val="left"/>
      <w:pPr>
        <w:ind w:left="3600" w:hanging="360"/>
      </w:pPr>
      <w:rPr>
        <w:color w:val="auto"/>
      </w:rPr>
    </w:lvl>
    <w:lvl w:ilvl="5" w:tplc="24067A8E" w:tentative="1">
      <w:start w:val="1"/>
      <w:numFmt w:val="lowerRoman"/>
      <w:lvlText w:val="%6."/>
      <w:lvlJc w:val="right"/>
      <w:pPr>
        <w:ind w:left="4320" w:hanging="180"/>
      </w:pPr>
      <w:rPr>
        <w:color w:val="auto"/>
      </w:rPr>
    </w:lvl>
    <w:lvl w:ilvl="6" w:tplc="77B2696E" w:tentative="1">
      <w:start w:val="1"/>
      <w:numFmt w:val="decimal"/>
      <w:lvlText w:val="%7."/>
      <w:lvlJc w:val="left"/>
      <w:pPr>
        <w:ind w:left="5040" w:hanging="360"/>
      </w:pPr>
      <w:rPr>
        <w:color w:val="auto"/>
      </w:rPr>
    </w:lvl>
    <w:lvl w:ilvl="7" w:tplc="7B82C07A" w:tentative="1">
      <w:start w:val="1"/>
      <w:numFmt w:val="lowerLetter"/>
      <w:lvlText w:val="%8."/>
      <w:lvlJc w:val="left"/>
      <w:pPr>
        <w:ind w:left="5760" w:hanging="360"/>
      </w:pPr>
      <w:rPr>
        <w:color w:val="auto"/>
      </w:rPr>
    </w:lvl>
    <w:lvl w:ilvl="8" w:tplc="D8E2D1E0" w:tentative="1">
      <w:start w:val="1"/>
      <w:numFmt w:val="lowerRoman"/>
      <w:lvlText w:val="%9."/>
      <w:lvlJc w:val="right"/>
      <w:pPr>
        <w:ind w:left="6480" w:hanging="180"/>
      </w:pPr>
      <w:rPr>
        <w:color w:val="auto"/>
      </w:rPr>
    </w:lvl>
  </w:abstractNum>
  <w:abstractNum w:abstractNumId="10" w15:restartNumberingAfterBreak="0">
    <w:nsid w:val="221A72B5"/>
    <w:multiLevelType w:val="hybridMultilevel"/>
    <w:tmpl w:val="9CF61898"/>
    <w:lvl w:ilvl="0" w:tplc="94226EEE">
      <w:start w:val="1"/>
      <w:numFmt w:val="decimal"/>
      <w:lvlText w:val="%1."/>
      <w:lvlJc w:val="left"/>
      <w:pPr>
        <w:ind w:left="720" w:hanging="360"/>
      </w:pPr>
      <w:rPr>
        <w:rFonts w:hint="default"/>
        <w:color w:val="auto"/>
      </w:rPr>
    </w:lvl>
    <w:lvl w:ilvl="1" w:tplc="3EB65BF4" w:tentative="1">
      <w:start w:val="1"/>
      <w:numFmt w:val="lowerLetter"/>
      <w:lvlText w:val="%2."/>
      <w:lvlJc w:val="left"/>
      <w:pPr>
        <w:ind w:left="1440" w:hanging="360"/>
      </w:pPr>
      <w:rPr>
        <w:color w:val="auto"/>
      </w:rPr>
    </w:lvl>
    <w:lvl w:ilvl="2" w:tplc="F494819C" w:tentative="1">
      <w:start w:val="1"/>
      <w:numFmt w:val="lowerRoman"/>
      <w:lvlText w:val="%3."/>
      <w:lvlJc w:val="right"/>
      <w:pPr>
        <w:ind w:left="2160" w:hanging="180"/>
      </w:pPr>
      <w:rPr>
        <w:color w:val="auto"/>
      </w:rPr>
    </w:lvl>
    <w:lvl w:ilvl="3" w:tplc="034E29D8" w:tentative="1">
      <w:start w:val="1"/>
      <w:numFmt w:val="decimal"/>
      <w:lvlText w:val="%4."/>
      <w:lvlJc w:val="left"/>
      <w:pPr>
        <w:ind w:left="2880" w:hanging="360"/>
      </w:pPr>
      <w:rPr>
        <w:color w:val="auto"/>
      </w:rPr>
    </w:lvl>
    <w:lvl w:ilvl="4" w:tplc="F1C48268" w:tentative="1">
      <w:start w:val="1"/>
      <w:numFmt w:val="lowerLetter"/>
      <w:lvlText w:val="%5."/>
      <w:lvlJc w:val="left"/>
      <w:pPr>
        <w:ind w:left="3600" w:hanging="360"/>
      </w:pPr>
      <w:rPr>
        <w:color w:val="auto"/>
      </w:rPr>
    </w:lvl>
    <w:lvl w:ilvl="5" w:tplc="24067A8E" w:tentative="1">
      <w:start w:val="1"/>
      <w:numFmt w:val="lowerRoman"/>
      <w:lvlText w:val="%6."/>
      <w:lvlJc w:val="right"/>
      <w:pPr>
        <w:ind w:left="4320" w:hanging="180"/>
      </w:pPr>
      <w:rPr>
        <w:color w:val="auto"/>
      </w:rPr>
    </w:lvl>
    <w:lvl w:ilvl="6" w:tplc="77B2696E" w:tentative="1">
      <w:start w:val="1"/>
      <w:numFmt w:val="decimal"/>
      <w:lvlText w:val="%7."/>
      <w:lvlJc w:val="left"/>
      <w:pPr>
        <w:ind w:left="5040" w:hanging="360"/>
      </w:pPr>
      <w:rPr>
        <w:color w:val="auto"/>
      </w:rPr>
    </w:lvl>
    <w:lvl w:ilvl="7" w:tplc="7B82C07A" w:tentative="1">
      <w:start w:val="1"/>
      <w:numFmt w:val="lowerLetter"/>
      <w:lvlText w:val="%8."/>
      <w:lvlJc w:val="left"/>
      <w:pPr>
        <w:ind w:left="5760" w:hanging="360"/>
      </w:pPr>
      <w:rPr>
        <w:color w:val="auto"/>
      </w:rPr>
    </w:lvl>
    <w:lvl w:ilvl="8" w:tplc="D8E2D1E0" w:tentative="1">
      <w:start w:val="1"/>
      <w:numFmt w:val="lowerRoman"/>
      <w:lvlText w:val="%9."/>
      <w:lvlJc w:val="right"/>
      <w:pPr>
        <w:ind w:left="6480" w:hanging="180"/>
      </w:pPr>
      <w:rPr>
        <w:color w:val="auto"/>
      </w:rPr>
    </w:lvl>
  </w:abstractNum>
  <w:abstractNum w:abstractNumId="11" w15:restartNumberingAfterBreak="0">
    <w:nsid w:val="29C11CAA"/>
    <w:multiLevelType w:val="hybridMultilevel"/>
    <w:tmpl w:val="2C74A5F2"/>
    <w:lvl w:ilvl="0" w:tplc="2C24E634">
      <w:start w:val="1"/>
      <w:numFmt w:val="decimal"/>
      <w:lvlText w:val="%1."/>
      <w:lvlJc w:val="left"/>
      <w:pPr>
        <w:ind w:left="720" w:hanging="360"/>
      </w:pPr>
      <w:rPr>
        <w:rFonts w:hint="default"/>
        <w:color w:val="auto"/>
      </w:rPr>
    </w:lvl>
    <w:lvl w:ilvl="1" w:tplc="3716B5B4" w:tentative="1">
      <w:start w:val="1"/>
      <w:numFmt w:val="lowerLetter"/>
      <w:lvlText w:val="%2."/>
      <w:lvlJc w:val="left"/>
      <w:pPr>
        <w:ind w:left="1440" w:hanging="360"/>
      </w:pPr>
      <w:rPr>
        <w:color w:val="auto"/>
      </w:rPr>
    </w:lvl>
    <w:lvl w:ilvl="2" w:tplc="9580C930" w:tentative="1">
      <w:start w:val="1"/>
      <w:numFmt w:val="lowerRoman"/>
      <w:lvlText w:val="%3."/>
      <w:lvlJc w:val="right"/>
      <w:pPr>
        <w:ind w:left="2160" w:hanging="180"/>
      </w:pPr>
      <w:rPr>
        <w:color w:val="auto"/>
      </w:rPr>
    </w:lvl>
    <w:lvl w:ilvl="3" w:tplc="FBB011EE" w:tentative="1">
      <w:start w:val="1"/>
      <w:numFmt w:val="decimal"/>
      <w:lvlText w:val="%4."/>
      <w:lvlJc w:val="left"/>
      <w:pPr>
        <w:ind w:left="2880" w:hanging="360"/>
      </w:pPr>
      <w:rPr>
        <w:color w:val="auto"/>
      </w:rPr>
    </w:lvl>
    <w:lvl w:ilvl="4" w:tplc="C254C83E" w:tentative="1">
      <w:start w:val="1"/>
      <w:numFmt w:val="lowerLetter"/>
      <w:lvlText w:val="%5."/>
      <w:lvlJc w:val="left"/>
      <w:pPr>
        <w:ind w:left="3600" w:hanging="360"/>
      </w:pPr>
      <w:rPr>
        <w:color w:val="auto"/>
      </w:rPr>
    </w:lvl>
    <w:lvl w:ilvl="5" w:tplc="9E68840E" w:tentative="1">
      <w:start w:val="1"/>
      <w:numFmt w:val="lowerRoman"/>
      <w:lvlText w:val="%6."/>
      <w:lvlJc w:val="right"/>
      <w:pPr>
        <w:ind w:left="4320" w:hanging="180"/>
      </w:pPr>
      <w:rPr>
        <w:color w:val="auto"/>
      </w:rPr>
    </w:lvl>
    <w:lvl w:ilvl="6" w:tplc="E3083F34" w:tentative="1">
      <w:start w:val="1"/>
      <w:numFmt w:val="decimal"/>
      <w:lvlText w:val="%7."/>
      <w:lvlJc w:val="left"/>
      <w:pPr>
        <w:ind w:left="5040" w:hanging="360"/>
      </w:pPr>
      <w:rPr>
        <w:color w:val="auto"/>
      </w:rPr>
    </w:lvl>
    <w:lvl w:ilvl="7" w:tplc="C4207AA2" w:tentative="1">
      <w:start w:val="1"/>
      <w:numFmt w:val="lowerLetter"/>
      <w:lvlText w:val="%8."/>
      <w:lvlJc w:val="left"/>
      <w:pPr>
        <w:ind w:left="5760" w:hanging="360"/>
      </w:pPr>
      <w:rPr>
        <w:color w:val="auto"/>
      </w:rPr>
    </w:lvl>
    <w:lvl w:ilvl="8" w:tplc="C1847FAC" w:tentative="1">
      <w:start w:val="1"/>
      <w:numFmt w:val="lowerRoman"/>
      <w:lvlText w:val="%9."/>
      <w:lvlJc w:val="right"/>
      <w:pPr>
        <w:ind w:left="6480" w:hanging="180"/>
      </w:pPr>
      <w:rPr>
        <w:color w:val="auto"/>
      </w:rPr>
    </w:lvl>
  </w:abstractNum>
  <w:abstractNum w:abstractNumId="12" w15:restartNumberingAfterBreak="0">
    <w:nsid w:val="644F66B9"/>
    <w:multiLevelType w:val="hybridMultilevel"/>
    <w:tmpl w:val="E4A42EAA"/>
    <w:lvl w:ilvl="0" w:tplc="5A7A97E0">
      <w:start w:val="1"/>
      <w:numFmt w:val="decimal"/>
      <w:lvlText w:val="%1."/>
      <w:lvlJc w:val="left"/>
      <w:pPr>
        <w:ind w:left="720" w:hanging="360"/>
      </w:pPr>
      <w:rPr>
        <w:rFonts w:hint="default"/>
        <w:color w:val="auto"/>
      </w:rPr>
    </w:lvl>
    <w:lvl w:ilvl="1" w:tplc="6248E410" w:tentative="1">
      <w:start w:val="1"/>
      <w:numFmt w:val="lowerLetter"/>
      <w:lvlText w:val="%2."/>
      <w:lvlJc w:val="left"/>
      <w:pPr>
        <w:ind w:left="1440" w:hanging="360"/>
      </w:pPr>
      <w:rPr>
        <w:color w:val="auto"/>
      </w:rPr>
    </w:lvl>
    <w:lvl w:ilvl="2" w:tplc="C0A05E6C" w:tentative="1">
      <w:start w:val="1"/>
      <w:numFmt w:val="lowerRoman"/>
      <w:lvlText w:val="%3."/>
      <w:lvlJc w:val="right"/>
      <w:pPr>
        <w:ind w:left="2160" w:hanging="180"/>
      </w:pPr>
      <w:rPr>
        <w:color w:val="auto"/>
      </w:rPr>
    </w:lvl>
    <w:lvl w:ilvl="3" w:tplc="6720AF3E" w:tentative="1">
      <w:start w:val="1"/>
      <w:numFmt w:val="decimal"/>
      <w:lvlText w:val="%4."/>
      <w:lvlJc w:val="left"/>
      <w:pPr>
        <w:ind w:left="2880" w:hanging="360"/>
      </w:pPr>
      <w:rPr>
        <w:color w:val="auto"/>
      </w:rPr>
    </w:lvl>
    <w:lvl w:ilvl="4" w:tplc="F2903460" w:tentative="1">
      <w:start w:val="1"/>
      <w:numFmt w:val="lowerLetter"/>
      <w:lvlText w:val="%5."/>
      <w:lvlJc w:val="left"/>
      <w:pPr>
        <w:ind w:left="3600" w:hanging="360"/>
      </w:pPr>
      <w:rPr>
        <w:color w:val="auto"/>
      </w:rPr>
    </w:lvl>
    <w:lvl w:ilvl="5" w:tplc="0652E1AA" w:tentative="1">
      <w:start w:val="1"/>
      <w:numFmt w:val="lowerRoman"/>
      <w:lvlText w:val="%6."/>
      <w:lvlJc w:val="right"/>
      <w:pPr>
        <w:ind w:left="4320" w:hanging="180"/>
      </w:pPr>
      <w:rPr>
        <w:color w:val="auto"/>
      </w:rPr>
    </w:lvl>
    <w:lvl w:ilvl="6" w:tplc="475E6C64" w:tentative="1">
      <w:start w:val="1"/>
      <w:numFmt w:val="decimal"/>
      <w:lvlText w:val="%7."/>
      <w:lvlJc w:val="left"/>
      <w:pPr>
        <w:ind w:left="5040" w:hanging="360"/>
      </w:pPr>
      <w:rPr>
        <w:color w:val="auto"/>
      </w:rPr>
    </w:lvl>
    <w:lvl w:ilvl="7" w:tplc="EA123D16" w:tentative="1">
      <w:start w:val="1"/>
      <w:numFmt w:val="lowerLetter"/>
      <w:lvlText w:val="%8."/>
      <w:lvlJc w:val="left"/>
      <w:pPr>
        <w:ind w:left="5760" w:hanging="360"/>
      </w:pPr>
      <w:rPr>
        <w:color w:val="auto"/>
      </w:rPr>
    </w:lvl>
    <w:lvl w:ilvl="8" w:tplc="BF98E2A2" w:tentative="1">
      <w:start w:val="1"/>
      <w:numFmt w:val="lowerRoman"/>
      <w:lvlText w:val="%9."/>
      <w:lvlJc w:val="right"/>
      <w:pPr>
        <w:ind w:left="6480" w:hanging="180"/>
      </w:pPr>
      <w:rPr>
        <w:color w:val="auto"/>
      </w:rPr>
    </w:lvl>
  </w:abstractNum>
  <w:num w:numId="1">
    <w:abstractNumId w:val="0"/>
  </w:num>
  <w:num w:numId="2">
    <w:abstractNumId w:val="12"/>
  </w:num>
  <w:num w:numId="3">
    <w:abstractNumId w:val="6"/>
  </w:num>
  <w:num w:numId="4">
    <w:abstractNumId w:val="9"/>
  </w:num>
  <w:num w:numId="5">
    <w:abstractNumId w:val="3"/>
  </w:num>
  <w:num w:numId="6">
    <w:abstractNumId w:val="2"/>
  </w:num>
  <w:num w:numId="7">
    <w:abstractNumId w:val="7"/>
  </w:num>
  <w:num w:numId="8">
    <w:abstractNumId w:val="4"/>
  </w:num>
  <w:num w:numId="9">
    <w:abstractNumId w:val="8"/>
  </w:num>
  <w:num w:numId="10">
    <w:abstractNumId w:val="11"/>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ctiveWritingStyle w:appName="MSWord" w:lang="en-NZ" w:vendorID="8" w:dllVersion="513"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258761"/>
    <w:docVar w:name="DocID" w:val="{A0F2CB77-3E36-460A-BE0E-FD757CF74A90}"/>
    <w:docVar w:name="DocumentNumber" w:val="5"/>
    <w:docVar w:name="DocumentType" w:val="12"/>
    <w:docVar w:name="FeeEarner" w:val="JKS"/>
    <w:docVar w:name="LibCatalogID" w:val="0"/>
    <w:docVar w:name="MatterDescription" w:val="Seed Investment Documentation"/>
    <w:docVar w:name="MatterNumber" w:val="128"/>
    <w:docVar w:name="NoFooter" w:val="-1"/>
    <w:docVar w:name="Numtype" w:val="Letter"/>
    <w:docVar w:name="VersionID" w:val="6044837E-1E9B-4324-A83B-59FC629B6FBF"/>
    <w:docVar w:name="WordOperator" w:val="JKS"/>
  </w:docVars>
  <w:rsids>
    <w:rsidRoot w:val="003A1B7B"/>
    <w:rsid w:val="00034A1C"/>
    <w:rsid w:val="00035F89"/>
    <w:rsid w:val="00070329"/>
    <w:rsid w:val="00071F9E"/>
    <w:rsid w:val="000A7892"/>
    <w:rsid w:val="000B063C"/>
    <w:rsid w:val="00102AB3"/>
    <w:rsid w:val="00142AE3"/>
    <w:rsid w:val="001470F4"/>
    <w:rsid w:val="00165217"/>
    <w:rsid w:val="0017243B"/>
    <w:rsid w:val="00191F86"/>
    <w:rsid w:val="00197F55"/>
    <w:rsid w:val="001A74FB"/>
    <w:rsid w:val="001D4D18"/>
    <w:rsid w:val="001E07E3"/>
    <w:rsid w:val="00204E0A"/>
    <w:rsid w:val="00214D84"/>
    <w:rsid w:val="00235D4D"/>
    <w:rsid w:val="002503C5"/>
    <w:rsid w:val="00261A59"/>
    <w:rsid w:val="002670A5"/>
    <w:rsid w:val="00273836"/>
    <w:rsid w:val="0028046F"/>
    <w:rsid w:val="00281689"/>
    <w:rsid w:val="002B3FE4"/>
    <w:rsid w:val="00300600"/>
    <w:rsid w:val="00312D26"/>
    <w:rsid w:val="003257B6"/>
    <w:rsid w:val="00334B01"/>
    <w:rsid w:val="003A1B7B"/>
    <w:rsid w:val="003A25C3"/>
    <w:rsid w:val="003D12AB"/>
    <w:rsid w:val="003D35F6"/>
    <w:rsid w:val="003E7B2F"/>
    <w:rsid w:val="003F6DFE"/>
    <w:rsid w:val="004533E4"/>
    <w:rsid w:val="0046190B"/>
    <w:rsid w:val="00465747"/>
    <w:rsid w:val="00473CCA"/>
    <w:rsid w:val="00493736"/>
    <w:rsid w:val="004D1A65"/>
    <w:rsid w:val="004E2B1F"/>
    <w:rsid w:val="00506521"/>
    <w:rsid w:val="00515FAD"/>
    <w:rsid w:val="005269AE"/>
    <w:rsid w:val="00535DDA"/>
    <w:rsid w:val="00557A5E"/>
    <w:rsid w:val="005725C3"/>
    <w:rsid w:val="00572D2C"/>
    <w:rsid w:val="00586C22"/>
    <w:rsid w:val="005D0A93"/>
    <w:rsid w:val="00616E76"/>
    <w:rsid w:val="00625A08"/>
    <w:rsid w:val="00654CF2"/>
    <w:rsid w:val="00674E4B"/>
    <w:rsid w:val="00684A19"/>
    <w:rsid w:val="006A05F2"/>
    <w:rsid w:val="006A2A65"/>
    <w:rsid w:val="006A7954"/>
    <w:rsid w:val="006B730C"/>
    <w:rsid w:val="006D4FDF"/>
    <w:rsid w:val="006F24DA"/>
    <w:rsid w:val="006F3AAB"/>
    <w:rsid w:val="007042C1"/>
    <w:rsid w:val="007107A4"/>
    <w:rsid w:val="00740BEA"/>
    <w:rsid w:val="00742531"/>
    <w:rsid w:val="00782B7B"/>
    <w:rsid w:val="007948AD"/>
    <w:rsid w:val="007B05E2"/>
    <w:rsid w:val="007C4D18"/>
    <w:rsid w:val="007C7EB0"/>
    <w:rsid w:val="007D3001"/>
    <w:rsid w:val="008022CD"/>
    <w:rsid w:val="00804294"/>
    <w:rsid w:val="00815CBB"/>
    <w:rsid w:val="00836F1F"/>
    <w:rsid w:val="00845195"/>
    <w:rsid w:val="00845250"/>
    <w:rsid w:val="008A133F"/>
    <w:rsid w:val="008C2602"/>
    <w:rsid w:val="008C3AF1"/>
    <w:rsid w:val="008D1543"/>
    <w:rsid w:val="00954E5B"/>
    <w:rsid w:val="009A190A"/>
    <w:rsid w:val="009A7A84"/>
    <w:rsid w:val="009D340A"/>
    <w:rsid w:val="009D3AF1"/>
    <w:rsid w:val="009D5609"/>
    <w:rsid w:val="009E5512"/>
    <w:rsid w:val="00A21D7E"/>
    <w:rsid w:val="00A2331F"/>
    <w:rsid w:val="00A31D71"/>
    <w:rsid w:val="00AD68CA"/>
    <w:rsid w:val="00AE19E7"/>
    <w:rsid w:val="00AE2DA6"/>
    <w:rsid w:val="00AF771A"/>
    <w:rsid w:val="00B26722"/>
    <w:rsid w:val="00B3215E"/>
    <w:rsid w:val="00B4499E"/>
    <w:rsid w:val="00B72D6C"/>
    <w:rsid w:val="00B84523"/>
    <w:rsid w:val="00B85A7D"/>
    <w:rsid w:val="00B916CF"/>
    <w:rsid w:val="00B960A4"/>
    <w:rsid w:val="00BB76C4"/>
    <w:rsid w:val="00BD19D0"/>
    <w:rsid w:val="00BE246F"/>
    <w:rsid w:val="00C31965"/>
    <w:rsid w:val="00C36F97"/>
    <w:rsid w:val="00C551F1"/>
    <w:rsid w:val="00C66ED1"/>
    <w:rsid w:val="00C716E7"/>
    <w:rsid w:val="00C86BE7"/>
    <w:rsid w:val="00CC29E1"/>
    <w:rsid w:val="00CC50E2"/>
    <w:rsid w:val="00CC5E5A"/>
    <w:rsid w:val="00CC613D"/>
    <w:rsid w:val="00CE3E74"/>
    <w:rsid w:val="00CF25C0"/>
    <w:rsid w:val="00D10590"/>
    <w:rsid w:val="00D8594E"/>
    <w:rsid w:val="00DA4D72"/>
    <w:rsid w:val="00DA7B83"/>
    <w:rsid w:val="00DD3489"/>
    <w:rsid w:val="00DF0CD5"/>
    <w:rsid w:val="00DF1EE7"/>
    <w:rsid w:val="00E12DD6"/>
    <w:rsid w:val="00E36C76"/>
    <w:rsid w:val="00E7357B"/>
    <w:rsid w:val="00E739DF"/>
    <w:rsid w:val="00E8026C"/>
    <w:rsid w:val="00EA637C"/>
    <w:rsid w:val="00ED7CB4"/>
    <w:rsid w:val="00EE738B"/>
    <w:rsid w:val="00F01C03"/>
    <w:rsid w:val="00F02427"/>
    <w:rsid w:val="00F1024B"/>
    <w:rsid w:val="00F23098"/>
    <w:rsid w:val="00F54714"/>
    <w:rsid w:val="00FC4755"/>
    <w:rsid w:val="00FF0471"/>
    <w:rsid w:val="00FF6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DF1AD"/>
  <w15:docId w15:val="{E7900425-2FA3-4104-90DC-2D49EAC6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NZ" w:eastAsia="en-NZ"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D84"/>
  </w:style>
  <w:style w:type="paragraph" w:styleId="Heading1">
    <w:name w:val="heading 1"/>
    <w:basedOn w:val="Normal"/>
    <w:next w:val="Normal"/>
    <w:qFormat/>
    <w:rsid w:val="004E2B1F"/>
    <w:pPr>
      <w:numPr>
        <w:numId w:val="1"/>
      </w:numPr>
      <w:outlineLvl w:val="0"/>
    </w:pPr>
  </w:style>
  <w:style w:type="paragraph" w:styleId="Heading2">
    <w:name w:val="heading 2"/>
    <w:basedOn w:val="Normal"/>
    <w:next w:val="Normal"/>
    <w:qFormat/>
    <w:rsid w:val="004E2B1F"/>
    <w:pPr>
      <w:numPr>
        <w:ilvl w:val="1"/>
        <w:numId w:val="1"/>
      </w:numPr>
      <w:outlineLvl w:val="1"/>
    </w:pPr>
  </w:style>
  <w:style w:type="paragraph" w:styleId="Heading3">
    <w:name w:val="heading 3"/>
    <w:basedOn w:val="Normal"/>
    <w:next w:val="Normal"/>
    <w:qFormat/>
    <w:rsid w:val="004E2B1F"/>
    <w:pPr>
      <w:numPr>
        <w:ilvl w:val="2"/>
        <w:numId w:val="1"/>
      </w:numPr>
      <w:outlineLvl w:val="2"/>
    </w:pPr>
  </w:style>
  <w:style w:type="paragraph" w:styleId="Heading4">
    <w:name w:val="heading 4"/>
    <w:basedOn w:val="Normal"/>
    <w:next w:val="Normal"/>
    <w:qFormat/>
    <w:rsid w:val="004E2B1F"/>
    <w:pPr>
      <w:numPr>
        <w:ilvl w:val="3"/>
        <w:numId w:val="1"/>
      </w:numPr>
      <w:outlineLvl w:val="3"/>
    </w:pPr>
  </w:style>
  <w:style w:type="paragraph" w:styleId="Heading5">
    <w:name w:val="heading 5"/>
    <w:basedOn w:val="Normal"/>
    <w:next w:val="Normal"/>
    <w:unhideWhenUsed/>
    <w:rsid w:val="004E2B1F"/>
    <w:pPr>
      <w:numPr>
        <w:ilvl w:val="4"/>
        <w:numId w:val="1"/>
      </w:numPr>
      <w:outlineLvl w:val="4"/>
    </w:pPr>
  </w:style>
  <w:style w:type="paragraph" w:styleId="Heading6">
    <w:name w:val="heading 6"/>
    <w:basedOn w:val="Normal"/>
    <w:next w:val="Normal"/>
    <w:unhideWhenUsed/>
    <w:rsid w:val="004E2B1F"/>
    <w:pPr>
      <w:numPr>
        <w:ilvl w:val="5"/>
        <w:numId w:val="1"/>
      </w:numPr>
      <w:tabs>
        <w:tab w:val="left" w:pos="851"/>
        <w:tab w:val="left" w:pos="1701"/>
        <w:tab w:val="left" w:pos="2552"/>
      </w:tabs>
      <w:spacing w:line="360" w:lineRule="auto"/>
      <w:outlineLvl w:val="5"/>
    </w:pPr>
  </w:style>
  <w:style w:type="paragraph" w:styleId="Heading7">
    <w:name w:val="heading 7"/>
    <w:basedOn w:val="Normal"/>
    <w:next w:val="Normal"/>
    <w:unhideWhenUsed/>
    <w:rsid w:val="004E2B1F"/>
    <w:pPr>
      <w:numPr>
        <w:ilvl w:val="6"/>
        <w:numId w:val="1"/>
      </w:numPr>
      <w:tabs>
        <w:tab w:val="left" w:pos="851"/>
        <w:tab w:val="left" w:pos="1701"/>
        <w:tab w:val="left" w:pos="2552"/>
      </w:tabs>
      <w:spacing w:line="360" w:lineRule="auto"/>
      <w:outlineLvl w:val="6"/>
    </w:pPr>
  </w:style>
  <w:style w:type="paragraph" w:styleId="Heading8">
    <w:name w:val="heading 8"/>
    <w:basedOn w:val="Normal"/>
    <w:next w:val="Normal"/>
    <w:unhideWhenUsed/>
    <w:rsid w:val="004E2B1F"/>
    <w:pPr>
      <w:numPr>
        <w:ilvl w:val="7"/>
        <w:numId w:val="1"/>
      </w:numPr>
      <w:tabs>
        <w:tab w:val="left" w:pos="851"/>
        <w:tab w:val="left" w:pos="1701"/>
        <w:tab w:val="left" w:pos="2552"/>
      </w:tabs>
      <w:spacing w:line="360" w:lineRule="auto"/>
      <w:outlineLvl w:val="7"/>
    </w:pPr>
  </w:style>
  <w:style w:type="paragraph" w:styleId="Heading9">
    <w:name w:val="heading 9"/>
    <w:basedOn w:val="Normal"/>
    <w:next w:val="Normal"/>
    <w:unhideWhenUsed/>
    <w:rsid w:val="004E2B1F"/>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557A5E"/>
    <w:pPr>
      <w:tabs>
        <w:tab w:val="left" w:pos="480"/>
        <w:tab w:val="left" w:pos="960"/>
        <w:tab w:val="left" w:pos="1440"/>
        <w:tab w:val="left" w:pos="1920"/>
        <w:tab w:val="left" w:pos="2400"/>
        <w:tab w:val="left" w:pos="2880"/>
        <w:tab w:val="left" w:pos="3360"/>
        <w:tab w:val="left" w:pos="3840"/>
        <w:tab w:val="left" w:pos="4320"/>
      </w:tabs>
    </w:pPr>
    <w:rPr>
      <w:lang w:val="en-AU" w:eastAsia="en-US"/>
    </w:rPr>
  </w:style>
  <w:style w:type="paragraph" w:styleId="Footer">
    <w:name w:val="footer"/>
    <w:basedOn w:val="Normal"/>
    <w:rsid w:val="009D5609"/>
    <w:pPr>
      <w:tabs>
        <w:tab w:val="center" w:pos="4320"/>
        <w:tab w:val="right" w:pos="8640"/>
      </w:tabs>
    </w:pPr>
    <w:rPr>
      <w:sz w:val="16"/>
    </w:rPr>
  </w:style>
  <w:style w:type="paragraph" w:styleId="Header">
    <w:name w:val="header"/>
    <w:basedOn w:val="Normal"/>
    <w:rsid w:val="00557A5E"/>
    <w:pPr>
      <w:tabs>
        <w:tab w:val="center" w:pos="4320"/>
        <w:tab w:val="right" w:pos="8640"/>
      </w:tabs>
    </w:pPr>
  </w:style>
  <w:style w:type="paragraph" w:customStyle="1" w:styleId="NoNum">
    <w:name w:val="NoNum"/>
    <w:basedOn w:val="Normal"/>
    <w:qFormat/>
    <w:rsid w:val="004E2B1F"/>
  </w:style>
  <w:style w:type="paragraph" w:styleId="TOC1">
    <w:name w:val="toc 1"/>
    <w:basedOn w:val="Normal"/>
    <w:next w:val="Normal"/>
    <w:semiHidden/>
    <w:rsid w:val="00557A5E"/>
    <w:pPr>
      <w:tabs>
        <w:tab w:val="right" w:leader="dot" w:pos="9027"/>
      </w:tabs>
      <w:ind w:left="851" w:hanging="851"/>
    </w:pPr>
  </w:style>
  <w:style w:type="paragraph" w:styleId="Quote">
    <w:name w:val="Quote"/>
    <w:basedOn w:val="Normal"/>
    <w:link w:val="QuoteChar"/>
    <w:qFormat/>
    <w:rsid w:val="003A1B7B"/>
    <w:pPr>
      <w:ind w:left="1440" w:right="720"/>
    </w:pPr>
    <w:rPr>
      <w:sz w:val="20"/>
    </w:rPr>
  </w:style>
  <w:style w:type="character" w:customStyle="1" w:styleId="QuoteChar">
    <w:name w:val="Quote Char"/>
    <w:basedOn w:val="DefaultParagraphFont"/>
    <w:link w:val="Quote"/>
    <w:rsid w:val="003A1B7B"/>
    <w:rPr>
      <w:sz w:val="20"/>
    </w:rPr>
  </w:style>
  <w:style w:type="table" w:styleId="TableGrid">
    <w:name w:val="Table Grid"/>
    <w:basedOn w:val="TableNormal"/>
    <w:uiPriority w:val="39"/>
    <w:rsid w:val="003A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A1B7B"/>
    <w:pPr>
      <w:ind w:left="720"/>
      <w:contextualSpacing/>
    </w:pPr>
  </w:style>
  <w:style w:type="paragraph" w:styleId="BalloonText">
    <w:name w:val="Balloon Text"/>
    <w:basedOn w:val="Normal"/>
    <w:link w:val="BalloonTextChar"/>
    <w:semiHidden/>
    <w:unhideWhenUsed/>
    <w:rsid w:val="00A31D71"/>
    <w:rPr>
      <w:rFonts w:ascii="Segoe UI" w:hAnsi="Segoe UI" w:cs="Segoe UI"/>
      <w:sz w:val="18"/>
      <w:szCs w:val="18"/>
    </w:rPr>
  </w:style>
  <w:style w:type="character" w:customStyle="1" w:styleId="BalloonTextChar">
    <w:name w:val="Balloon Text Char"/>
    <w:basedOn w:val="DefaultParagraphFont"/>
    <w:link w:val="BalloonText"/>
    <w:semiHidden/>
    <w:rsid w:val="00A31D71"/>
    <w:rPr>
      <w:rFonts w:ascii="Segoe UI" w:hAnsi="Segoe UI" w:cs="Segoe UI"/>
      <w:sz w:val="18"/>
      <w:szCs w:val="18"/>
    </w:rPr>
  </w:style>
  <w:style w:type="character" w:styleId="CommentReference">
    <w:name w:val="annotation reference"/>
    <w:basedOn w:val="DefaultParagraphFont"/>
    <w:semiHidden/>
    <w:unhideWhenUsed/>
    <w:rsid w:val="003E7B2F"/>
    <w:rPr>
      <w:sz w:val="16"/>
      <w:szCs w:val="16"/>
    </w:rPr>
  </w:style>
  <w:style w:type="paragraph" w:styleId="CommentText">
    <w:name w:val="annotation text"/>
    <w:basedOn w:val="Normal"/>
    <w:link w:val="CommentTextChar"/>
    <w:semiHidden/>
    <w:unhideWhenUsed/>
    <w:rsid w:val="003E7B2F"/>
    <w:rPr>
      <w:sz w:val="20"/>
      <w:szCs w:val="20"/>
    </w:rPr>
  </w:style>
  <w:style w:type="character" w:customStyle="1" w:styleId="CommentTextChar">
    <w:name w:val="Comment Text Char"/>
    <w:basedOn w:val="DefaultParagraphFont"/>
    <w:link w:val="CommentText"/>
    <w:semiHidden/>
    <w:rsid w:val="003E7B2F"/>
    <w:rPr>
      <w:sz w:val="20"/>
      <w:szCs w:val="20"/>
    </w:rPr>
  </w:style>
  <w:style w:type="paragraph" w:styleId="CommentSubject">
    <w:name w:val="annotation subject"/>
    <w:basedOn w:val="CommentText"/>
    <w:next w:val="CommentText"/>
    <w:link w:val="CommentSubjectChar"/>
    <w:semiHidden/>
    <w:unhideWhenUsed/>
    <w:rsid w:val="003E7B2F"/>
    <w:rPr>
      <w:b/>
      <w:bCs/>
    </w:rPr>
  </w:style>
  <w:style w:type="character" w:customStyle="1" w:styleId="CommentSubjectChar">
    <w:name w:val="Comment Subject Char"/>
    <w:basedOn w:val="CommentTextChar"/>
    <w:link w:val="CommentSubject"/>
    <w:semiHidden/>
    <w:rsid w:val="003E7B2F"/>
    <w:rPr>
      <w:b/>
      <w:bCs/>
      <w:sz w:val="20"/>
      <w:szCs w:val="20"/>
    </w:rPr>
  </w:style>
  <w:style w:type="character" w:styleId="Hyperlink">
    <w:name w:val="Hyperlink"/>
    <w:basedOn w:val="DefaultParagraphFont"/>
    <w:unhideWhenUsed/>
    <w:rsid w:val="00ED7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llfarrance.com/bringing-par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W-File\Users\PBT\TW%20Templates\Workgroup\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FDF2-8C1F-4FBF-87F0-229BA3F8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TW-File\Users\PBT\TW Templates\Workgroup\Plain.dotm</Template>
  <TotalTime>1</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Tompkins Wake</Company>
  <LinksUpToDate>false</LinksUpToDate>
  <CharactersWithSpaces>10253</CharactersWithSpaces>
  <SharedDoc>false</SharedDoc>
  <HyperlinkBase>JKS-258761-128-5-V1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Term Sheet</dc:subject>
  <dc:creator>Juliet Short</dc:creator>
  <cp:keywords/>
  <dc:description>Draft Term Sheet convertible note</dc:description>
  <cp:lastModifiedBy>Rob Vickery</cp:lastModifiedBy>
  <cp:revision>2</cp:revision>
  <cp:lastPrinted>2020-11-26T02:40:00Z</cp:lastPrinted>
  <dcterms:created xsi:type="dcterms:W3CDTF">2021-03-02T09:24:00Z</dcterms:created>
  <dcterms:modified xsi:type="dcterms:W3CDTF">2021-03-02T09:24:00Z</dcterms:modified>
  <cp:category>JKS-258761-128-5-V1</cp:category>
</cp:coreProperties>
</file>