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color w:val="002b45"/>
          <w:sz w:val="22"/>
          <w:szCs w:val="22"/>
          <w:u w:val="single"/>
        </w:rPr>
      </w:pPr>
      <w:r w:rsidDel="00000000" w:rsidR="00000000" w:rsidRPr="00000000">
        <w:rPr>
          <w:rFonts w:ascii="Arial" w:cs="Arial" w:eastAsia="Arial" w:hAnsi="Arial"/>
          <w:b w:val="1"/>
          <w:bCs w:val="1"/>
          <w:color w:val="002b45"/>
          <w:sz w:val="22"/>
          <w:szCs w:val="22"/>
          <w:u w:val="single"/>
          <w:rtl w:val="0"/>
        </w:rPr>
        <w:t xml:space="preserve">ISO 14001:2015 Çevre Yönetim Sistemi Politikası;</w:t>
      </w:r>
    </w:p>
    <w:p w:rsidR="00000000" w:rsidDel="00000000" w:rsidP="00000000" w:rsidRDefault="00000000" w:rsidRPr="00000000" w14:paraId="00000002">
      <w:pPr>
        <w:rPr>
          <w:rFonts w:ascii="Arial" w:cs="Arial" w:eastAsia="Arial" w:hAnsi="Arial"/>
          <w:color w:val="002b45"/>
          <w:sz w:val="22"/>
          <w:szCs w:val="22"/>
          <w:u w:val="single"/>
        </w:rPr>
      </w:pPr>
      <w:bookmarkStart w:colFirst="0" w:colLast="0" w:name="_lsgmm53k2zg" w:id="0"/>
      <w:bookmarkEnd w:id="0"/>
      <w:r w:rsidDel="00000000" w:rsidR="00000000" w:rsidRPr="00000000">
        <w:rPr>
          <w:rtl w:val="0"/>
        </w:rPr>
      </w:r>
    </w:p>
    <w:p w:rsidR="00000000" w:rsidDel="00000000" w:rsidP="00000000" w:rsidRDefault="00000000" w:rsidRPr="00000000" w14:paraId="00000003">
      <w:pPr>
        <w:widowControl w:val="0"/>
        <w:spacing w:after="100" w:line="276" w:lineRule="auto"/>
        <w:rPr>
          <w:rFonts w:ascii="Arial" w:cs="Arial" w:eastAsia="Arial" w:hAnsi="Arial"/>
          <w:color w:val="002b45"/>
          <w:sz w:val="22"/>
          <w:szCs w:val="22"/>
          <w:u w:val="single"/>
        </w:rPr>
      </w:pPr>
      <w:r w:rsidDel="00000000" w:rsidR="00000000" w:rsidRPr="00000000">
        <w:rPr>
          <w:rFonts w:ascii="Arial" w:cs="Arial" w:eastAsia="Arial" w:hAnsi="Arial"/>
          <w:color w:val="002b45"/>
          <w:sz w:val="22"/>
          <w:szCs w:val="22"/>
          <w:rtl w:val="0"/>
        </w:rPr>
        <w:t xml:space="preserve">DFDS, çevreyi korumak, doğal kaynakları azami tasarruf ve verimle kullanmak, kirliliği önleyerek gelecek nesillere daha temiz, daha yaşanabilir bir ortam bırakmak hedefiyle çevre politikası kapsamında;</w:t>
      </w:r>
      <w:r w:rsidDel="00000000" w:rsidR="00000000" w:rsidRPr="00000000">
        <w:rPr>
          <w:rtl w:val="0"/>
        </w:rPr>
      </w:r>
    </w:p>
    <w:p w:rsidR="00000000" w:rsidDel="00000000" w:rsidP="00000000" w:rsidRDefault="00000000" w:rsidRPr="00000000" w14:paraId="00000004">
      <w:pPr>
        <w:rPr>
          <w:rFonts w:ascii="Arial" w:cs="Arial" w:eastAsia="Arial" w:hAnsi="Arial"/>
          <w:color w:val="002b45"/>
          <w:sz w:val="22"/>
          <w:szCs w:val="22"/>
          <w:u w:val="single"/>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Bakanlık birimleri, üniversiteler, dernek yönetimleri gibi kurum ve kuruluşlarla birlikte, uzun vadede lojistik sektörü için iyileştirme çalışmalarına öncülük etmek, kurumlar arasında işbirliği oluşturmak ve kurumlar arasında diyalog kurmayı,</w:t>
      </w:r>
    </w:p>
    <w:p w:rsidR="00000000" w:rsidDel="00000000" w:rsidP="00000000" w:rsidRDefault="00000000" w:rsidRPr="00000000" w14:paraId="00000006">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DFDS olarak sürdürülebilir lojistik yönetim sistemini benimseyerek bunun için tüm birimlerimiz arasında koordinasyonu ve entegrasyonu sağlamayı, </w:t>
      </w:r>
    </w:p>
    <w:p w:rsidR="00000000" w:rsidDel="00000000" w:rsidP="00000000" w:rsidRDefault="00000000" w:rsidRPr="00000000" w14:paraId="00000007">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Üst yönetimden en alt birime kadar tüm çalışanlarına çevre ilgili eğitimler vererek, ortak sorumluluk bilinciyle, çevreye duyarlı çalışmalarda aktif rol oynanmasını teşvik etmeyi,</w:t>
      </w:r>
    </w:p>
    <w:p w:rsidR="00000000" w:rsidDel="00000000" w:rsidP="00000000" w:rsidRDefault="00000000" w:rsidRPr="00000000" w14:paraId="00000008">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Faaliyetleri sırasında meydana gelebilecek çevresel riskleri kaynağında tespit ederek, yasal mevzuatlara uygun olarak geri kazanımını veya bertarafını gerçekleştirmeyi sağlayan ve sürekli geliştiren sistematiği oluşturmayı,</w:t>
      </w:r>
    </w:p>
    <w:p w:rsidR="00000000" w:rsidDel="00000000" w:rsidP="00000000" w:rsidRDefault="00000000" w:rsidRPr="00000000" w14:paraId="00000009">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Tesislerimizde ve lokasyonlarımızda, tehlikeli ve tehlikesiz atıkların, 14001 yönetim sistemi ve sıfır atık uygulamaları kapsamında uygun ekipmanlarda toplanmasını ve geçici depolama alanlarında tutulmasını, atıkların bertaraf ya da geri dönüşümünün sağlanmasını,</w:t>
      </w:r>
    </w:p>
    <w:p w:rsidR="00000000" w:rsidDel="00000000" w:rsidP="00000000" w:rsidRDefault="00000000" w:rsidRPr="00000000" w14:paraId="0000000A">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Kurumsal karbon ayak izinin kabul görmüş standartlara göre hesaplanmasını ve emisyon azaltımı kapsamında her zaman yüksek teknoloji ile operasyonel mükemmelliği hedeflemeyi,</w:t>
      </w:r>
    </w:p>
    <w:p w:rsidR="00000000" w:rsidDel="00000000" w:rsidP="00000000" w:rsidRDefault="00000000" w:rsidRPr="00000000" w14:paraId="0000000B">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Karbon emisyonu ve fosil kaynaklı yakıt kullanımının azaltımı kapsamında filo yatırımlarını güncellemeyi,</w:t>
      </w:r>
    </w:p>
    <w:p w:rsidR="00000000" w:rsidDel="00000000" w:rsidP="00000000" w:rsidRDefault="00000000" w:rsidRPr="00000000" w14:paraId="0000000C">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2030 yılına kadar 2022 baz yılı karbon emisyonlarına kıyasla; kuyudan tekerleğe (WTW) toplam emisyon yoğunluğunu %75 azaltmayı, 2050 yılına kadar karbon nötr olmayı,</w:t>
      </w:r>
    </w:p>
    <w:p w:rsidR="00000000" w:rsidDel="00000000" w:rsidP="00000000" w:rsidRDefault="00000000" w:rsidRPr="00000000" w14:paraId="0000000D">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Önceliklendirilmiş Sürdürülebilir Kalkınma Amaçları’nı kapsayan önemli çevre boyutlarını (geri dönüşüme giden atık yüzdesinin arttırılması, sıfır atık kapsamının genişletilmesi, elektrik tüketiminde enerji verimliliğinin ve yenilenebilir enerji % payının arttırılması, su tüketiminde verimliliğin arttırılması vb.) hedef odaklı takip etmeyi,</w:t>
      </w:r>
    </w:p>
    <w:p w:rsidR="00000000" w:rsidDel="00000000" w:rsidP="00000000" w:rsidRDefault="00000000" w:rsidRPr="00000000" w14:paraId="0000000E">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Çevre performanslarının sürekli arttırılması ve iyileştirmesi ile birlikte, iç ve dış paydaşlarının çevre hedeflerine yönelik beklentilerini karşılamayı, alt tedarikçilerimizin çevresel performanslarının arttırılması için sürdürülebilirlik, atık yönetimi gibi çalışmalarını takip ederek birlikte işbirliği yürütmeyi,</w:t>
      </w:r>
    </w:p>
    <w:p w:rsidR="00000000" w:rsidDel="00000000" w:rsidP="00000000" w:rsidRDefault="00000000" w:rsidRPr="00000000" w14:paraId="0000000F">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Sürdürülebilir kalkınma yaklaşımıyla, yaşam döngüsü bakış açısı ile uyumlu olarak doğal kaynakları ve diğer kaynakları kapsayan bir kaynak yönetimi uygulamayı,</w:t>
      </w:r>
    </w:p>
    <w:p w:rsidR="00000000" w:rsidDel="00000000" w:rsidP="00000000" w:rsidRDefault="00000000" w:rsidRPr="00000000" w14:paraId="00000010">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Tedarik ettiği mal ve hizmetlerin çevresel etkilerini en aza indirmek üzere tedarikçi değerlendirmelerini gerçekleştirmeyi,</w:t>
      </w:r>
    </w:p>
    <w:p w:rsidR="00000000" w:rsidDel="00000000" w:rsidP="00000000" w:rsidRDefault="00000000" w:rsidRPr="00000000" w14:paraId="00000011">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Çevreyle ilgili olarak yürürlükte bulunan her türlü yasal mevzuatı minimum kabul edip üzerinde uyumu sağlamayı, </w:t>
      </w:r>
    </w:p>
    <w:p w:rsidR="00000000" w:rsidDel="00000000" w:rsidP="00000000" w:rsidRDefault="00000000" w:rsidRPr="00000000" w14:paraId="00000012">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Faaliyetler sırasında oluşabilecek atıkların çevreyi kirletmesi engellenecek ve kirliliğin önlenmesi için çalışmalarda bulunulacak düzeltici ve önleyici faaliyetler kayıt altına alarak ilgili yasal süreçlerin takibinin ve beyanının  yapılmasını,</w:t>
      </w:r>
    </w:p>
    <w:p w:rsidR="00000000" w:rsidDel="00000000" w:rsidP="00000000" w:rsidRDefault="00000000" w:rsidRPr="00000000" w14:paraId="00000013">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Büyük inşaat yatırımları ve iyileştirmelerinde, çevresel boyutlar göz önünde bulundurarak, satınalma süreçleri ve buna bağlı çalışmaların yapılması,</w:t>
      </w:r>
    </w:p>
    <w:p w:rsidR="00000000" w:rsidDel="00000000" w:rsidP="00000000" w:rsidRDefault="00000000" w:rsidRPr="00000000" w14:paraId="00000014">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Belirlenen amaç ve hedefler doğrultusunda ISO 14001 çevre yönetim sistemi uygun bir yönetim sistemi anlayışı ile uygulamaların sürekliliğini ve gelişmesini sağlamayı,</w:t>
      </w:r>
    </w:p>
    <w:p w:rsidR="00000000" w:rsidDel="00000000" w:rsidP="00000000" w:rsidRDefault="00000000" w:rsidRPr="00000000" w14:paraId="00000015">
      <w:pPr>
        <w:numPr>
          <w:ilvl w:val="0"/>
          <w:numId w:val="1"/>
        </w:numPr>
        <w:spacing w:line="276" w:lineRule="auto"/>
        <w:ind w:left="720" w:hanging="360"/>
        <w:rPr>
          <w:rFonts w:ascii="Arial" w:cs="Arial" w:eastAsia="Arial" w:hAnsi="Arial"/>
          <w:color w:val="002b45"/>
          <w:sz w:val="22"/>
          <w:szCs w:val="22"/>
        </w:rPr>
      </w:pPr>
      <w:r w:rsidDel="00000000" w:rsidR="00000000" w:rsidRPr="00000000">
        <w:rPr>
          <w:rFonts w:ascii="Arial" w:cs="Arial" w:eastAsia="Arial" w:hAnsi="Arial"/>
          <w:color w:val="002b45"/>
          <w:sz w:val="22"/>
          <w:szCs w:val="22"/>
          <w:rtl w:val="0"/>
        </w:rPr>
        <w:t xml:space="preserve">Politika kapsamı ve KPI verileri yılda bir kere üst yönetim tarafından YGG toplantısı ile gözden geçirilmesini taahhüt eder.</w:t>
      </w:r>
    </w:p>
    <w:p w:rsidR="00000000" w:rsidDel="00000000" w:rsidP="00000000" w:rsidRDefault="00000000" w:rsidRPr="00000000" w14:paraId="00000016">
      <w:pPr>
        <w:spacing w:line="276" w:lineRule="auto"/>
        <w:rPr>
          <w:rFonts w:ascii="Arial" w:cs="Arial" w:eastAsia="Arial" w:hAnsi="Arial"/>
          <w:color w:val="002b45"/>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color w:val="002b45"/>
          <w:sz w:val="22"/>
          <w:szCs w:val="22"/>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color w:val="002b45"/>
          <w:sz w:val="22"/>
          <w:szCs w:val="22"/>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b w:val="1"/>
          <w:bCs w:val="1"/>
          <w:color w:val="002b45"/>
          <w:sz w:val="22"/>
          <w:szCs w:val="22"/>
        </w:rPr>
      </w:pPr>
      <w:r w:rsidDel="00000000" w:rsidR="00000000" w:rsidRPr="00000000">
        <w:rPr>
          <w:rFonts w:ascii="Arial" w:cs="Arial" w:eastAsia="Arial" w:hAnsi="Arial"/>
          <w:b w:val="1"/>
          <w:bCs w:val="1"/>
          <w:color w:val="222222"/>
          <w:sz w:val="22"/>
          <w:szCs w:val="22"/>
          <w:highlight w:val="white"/>
          <w:rtl w:val="0"/>
        </w:rPr>
        <w:t xml:space="preserve">DFDS Türkiye Logistik</w:t>
      </w:r>
      <w:r w:rsidDel="00000000" w:rsidR="00000000" w:rsidRPr="00000000">
        <w:rPr>
          <w:rtl w:val="0"/>
        </w:rPr>
      </w:r>
    </w:p>
    <w:p w:rsidR="00000000" w:rsidDel="00000000" w:rsidP="00000000" w:rsidRDefault="00000000" w:rsidRPr="00000000" w14:paraId="0000001A">
      <w:pPr>
        <w:spacing w:line="276" w:lineRule="auto"/>
        <w:ind w:left="720" w:firstLine="0"/>
        <w:rPr>
          <w:rFonts w:ascii="Arial" w:cs="Arial" w:eastAsia="Arial" w:hAnsi="Arial"/>
          <w:color w:val="002b45"/>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002b45"/>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iCs w:val="0"/>
          <w:smallCaps w:val="0"/>
          <w:strike w:val="0"/>
          <w:color w:val="002b45"/>
          <w:sz w:val="22"/>
          <w:szCs w:val="22"/>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418" w:top="1096" w:left="902" w:right="386"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line="259" w:lineRule="auto"/>
      <w:rPr>
        <w:rFonts w:ascii="Arial" w:cs="Arial" w:eastAsia="Arial" w:hAnsi="Arial"/>
        <w:color w:val="002b45"/>
        <w:sz w:val="16"/>
        <w:szCs w:val="16"/>
      </w:rPr>
    </w:pPr>
    <w:r w:rsidDel="00000000" w:rsidR="00000000" w:rsidRPr="00000000">
      <w:rPr>
        <w:rFonts w:ascii="Arial" w:cs="Arial" w:eastAsia="Arial" w:hAnsi="Arial"/>
        <w:color w:val="002b45"/>
        <w:sz w:val="16"/>
        <w:szCs w:val="16"/>
        <w:rtl w:val="0"/>
      </w:rPr>
      <w:t xml:space="preserve">Bu politikada DFDS Grubu'na ait olan DFDS Lojistik A.Ş., DFDS Taşımacılık Hizmetleri Ltd. Şti. ve Ekol Gümrük Müşavirliği Tic. LTD. ŞTİ.. şirketlerini kapsamaktadır.</w:t>
    </w:r>
  </w:p>
  <w:p w:rsidR="00000000" w:rsidDel="00000000" w:rsidP="00000000" w:rsidRDefault="00000000" w:rsidRPr="00000000" w14:paraId="0000003B">
    <w:pPr>
      <w:tabs>
        <w:tab w:val="center" w:leader="none" w:pos="4536"/>
        <w:tab w:val="right" w:leader="none" w:pos="9072"/>
      </w:tabs>
      <w:rPr>
        <w:rFonts w:ascii="Arial" w:cs="Arial" w:eastAsia="Arial" w:hAnsi="Arial"/>
        <w:color w:val="002b45"/>
        <w:sz w:val="16"/>
        <w:szCs w:val="16"/>
      </w:rPr>
    </w:pPr>
    <w:r w:rsidDel="00000000" w:rsidR="00000000" w:rsidRPr="00000000">
      <w:rPr>
        <w:rtl w:val="0"/>
      </w:rPr>
    </w:r>
  </w:p>
  <w:p w:rsidR="00000000" w:rsidDel="00000000" w:rsidP="00000000" w:rsidRDefault="00000000" w:rsidRPr="00000000" w14:paraId="0000003C">
    <w:pPr>
      <w:tabs>
        <w:tab w:val="center" w:leader="none" w:pos="4819"/>
        <w:tab w:val="right" w:leader="none" w:pos="9638"/>
      </w:tabs>
      <w:spacing w:line="276" w:lineRule="auto"/>
      <w:rPr>
        <w:rFonts w:ascii="Arial" w:cs="Arial" w:eastAsia="Arial" w:hAnsi="Arial"/>
        <w:color w:val="002b45"/>
        <w:sz w:val="16"/>
        <w:szCs w:val="16"/>
      </w:rPr>
    </w:pPr>
    <w:r w:rsidDel="00000000" w:rsidR="00000000" w:rsidRPr="00000000">
      <w:rPr>
        <w:rFonts w:ascii="Arial" w:cs="Arial" w:eastAsia="Arial" w:hAnsi="Arial"/>
        <w:color w:val="002b45"/>
        <w:sz w:val="16"/>
        <w:szCs w:val="16"/>
        <w:rtl w:val="0"/>
      </w:rPr>
      <w:t xml:space="preserve">PL.3 RV.0</w:t>
    </w:r>
  </w:p>
  <w:p w:rsidR="00000000" w:rsidDel="00000000" w:rsidP="00000000" w:rsidRDefault="00000000" w:rsidRPr="00000000" w14:paraId="0000003D">
    <w:pPr>
      <w:tabs>
        <w:tab w:val="center" w:leader="none" w:pos="4536"/>
        <w:tab w:val="right" w:leader="none" w:pos="9072"/>
      </w:tabs>
      <w:rPr>
        <w:rFonts w:ascii="Century Gothic" w:cs="Century Gothic" w:eastAsia="Century Gothic" w:hAnsi="Century Gothic"/>
        <w:color w:val="ff0000"/>
        <w:sz w:val="18"/>
        <w:szCs w:val="18"/>
      </w:rPr>
    </w:pPr>
    <w:r w:rsidDel="00000000" w:rsidR="00000000" w:rsidRPr="00000000">
      <w:rPr>
        <w:rFonts w:ascii="Arial" w:cs="Arial" w:eastAsia="Arial" w:hAnsi="Arial"/>
        <w:color w:val="4baaff"/>
        <w:sz w:val="16"/>
        <w:szCs w:val="16"/>
        <w:rtl w:val="0"/>
      </w:rPr>
      <w:t xml:space="preserve">UYARI :  Entegre Yönetimleri dokümanları çıktı alındıktan sonra </w:t>
    </w:r>
    <w:r w:rsidDel="00000000" w:rsidR="00000000" w:rsidRPr="00000000">
      <w:rPr>
        <w:rFonts w:ascii="Arial" w:cs="Arial" w:eastAsia="Arial" w:hAnsi="Arial"/>
        <w:b w:val="1"/>
        <w:bCs w:val="1"/>
        <w:color w:val="4baaff"/>
        <w:sz w:val="16"/>
        <w:szCs w:val="16"/>
        <w:rtl w:val="0"/>
      </w:rPr>
      <w:t xml:space="preserve">kontrolsüz kopya</w:t>
    </w:r>
    <w:r w:rsidDel="00000000" w:rsidR="00000000" w:rsidRPr="00000000">
      <w:rPr>
        <w:rFonts w:ascii="Arial" w:cs="Arial" w:eastAsia="Arial" w:hAnsi="Arial"/>
        <w:color w:val="4baaff"/>
        <w:sz w:val="16"/>
        <w:szCs w:val="16"/>
        <w:rtl w:val="0"/>
      </w:rPr>
      <w:t xml:space="preserve"> muamelesi görür. Her zaman en güncel dokümantasyon</w:t>
    </w:r>
    <w:r w:rsidDel="00000000" w:rsidR="00000000" w:rsidRPr="00000000">
      <w:rPr>
        <w:rFonts w:ascii="Arial" w:cs="Arial" w:eastAsia="Arial" w:hAnsi="Arial"/>
        <w:b w:val="1"/>
        <w:bCs w:val="1"/>
        <w:color w:val="4baaff"/>
        <w:sz w:val="16"/>
        <w:szCs w:val="16"/>
        <w:rtl w:val="0"/>
      </w:rPr>
      <w:t xml:space="preserve"> DFDS EYS Platformu</w:t>
    </w:r>
    <w:r w:rsidDel="00000000" w:rsidR="00000000" w:rsidRPr="00000000">
      <w:rPr>
        <w:rFonts w:ascii="Arial" w:cs="Arial" w:eastAsia="Arial" w:hAnsi="Arial"/>
        <w:color w:val="4baaff"/>
        <w:sz w:val="16"/>
        <w:szCs w:val="16"/>
        <w:rtl w:val="0"/>
      </w:rPr>
      <w:t xml:space="preserve"> altında yer alır.   </w:t>
    </w:r>
    <w:r w:rsidDel="00000000" w:rsidR="00000000" w:rsidRPr="00000000">
      <w:rPr>
        <w:rFonts w:ascii="Arial" w:cs="Arial" w:eastAsia="Arial" w:hAnsi="Arial"/>
        <w:color w:val="a6b3bb"/>
        <w:sz w:val="16"/>
        <w:szCs w:val="16"/>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line="259" w:lineRule="auto"/>
      <w:rPr>
        <w:rFonts w:ascii="Arial" w:cs="Arial" w:eastAsia="Arial" w:hAnsi="Arial"/>
        <w:color w:val="002b45"/>
        <w:sz w:val="16"/>
        <w:szCs w:val="16"/>
      </w:rPr>
    </w:pPr>
    <w:r w:rsidDel="00000000" w:rsidR="00000000" w:rsidRPr="00000000">
      <w:rPr>
        <w:rFonts w:ascii="Arial" w:cs="Arial" w:eastAsia="Arial" w:hAnsi="Arial"/>
        <w:color w:val="002b45"/>
        <w:sz w:val="16"/>
        <w:szCs w:val="16"/>
        <w:rtl w:val="0"/>
      </w:rPr>
      <w:t xml:space="preserve">Bu politikada DFDS Grubu'na ait olan DFDS Lojistik A.Ş., DFDS Taşımacılık Hizmetleri Ltd. Şti. ve Ekol Gümrük Müşavirliği Tic. LTD. ŞTİ.. şirketlerini kapsamaktadır.</w:t>
    </w:r>
  </w:p>
  <w:p w:rsidR="00000000" w:rsidDel="00000000" w:rsidP="00000000" w:rsidRDefault="00000000" w:rsidRPr="00000000" w14:paraId="00000041">
    <w:pPr>
      <w:tabs>
        <w:tab w:val="center" w:leader="none" w:pos="4536"/>
        <w:tab w:val="right" w:leader="none" w:pos="9072"/>
      </w:tabs>
      <w:rPr>
        <w:rFonts w:ascii="Arial" w:cs="Arial" w:eastAsia="Arial" w:hAnsi="Arial"/>
        <w:color w:val="002b45"/>
        <w:sz w:val="16"/>
        <w:szCs w:val="16"/>
      </w:rPr>
    </w:pPr>
    <w:r w:rsidDel="00000000" w:rsidR="00000000" w:rsidRPr="00000000">
      <w:rPr>
        <w:rtl w:val="0"/>
      </w:rPr>
    </w:r>
  </w:p>
  <w:p w:rsidR="00000000" w:rsidDel="00000000" w:rsidP="00000000" w:rsidRDefault="00000000" w:rsidRPr="00000000" w14:paraId="00000042">
    <w:pPr>
      <w:tabs>
        <w:tab w:val="center" w:leader="none" w:pos="4819"/>
        <w:tab w:val="right" w:leader="none" w:pos="9638"/>
      </w:tabs>
      <w:spacing w:line="276" w:lineRule="auto"/>
      <w:rPr>
        <w:rFonts w:ascii="Arial" w:cs="Arial" w:eastAsia="Arial" w:hAnsi="Arial"/>
        <w:color w:val="002b45"/>
        <w:sz w:val="16"/>
        <w:szCs w:val="16"/>
      </w:rPr>
    </w:pPr>
    <w:r w:rsidDel="00000000" w:rsidR="00000000" w:rsidRPr="00000000">
      <w:rPr>
        <w:rFonts w:ascii="Arial" w:cs="Arial" w:eastAsia="Arial" w:hAnsi="Arial"/>
        <w:color w:val="002b45"/>
        <w:sz w:val="16"/>
        <w:szCs w:val="16"/>
        <w:rtl w:val="0"/>
      </w:rPr>
      <w:t xml:space="preserve">PL.3 RV.0</w:t>
    </w:r>
  </w:p>
  <w:p w:rsidR="00000000" w:rsidDel="00000000" w:rsidP="00000000" w:rsidRDefault="00000000" w:rsidRPr="00000000" w14:paraId="00000043">
    <w:pPr>
      <w:tabs>
        <w:tab w:val="center" w:leader="none" w:pos="4536"/>
        <w:tab w:val="right" w:leader="none" w:pos="9072"/>
      </w:tabs>
      <w:rPr>
        <w:rFonts w:ascii="Century Gothic" w:cs="Century Gothic" w:eastAsia="Century Gothic" w:hAnsi="Century Gothic"/>
        <w:color w:val="ff0000"/>
        <w:sz w:val="18"/>
        <w:szCs w:val="18"/>
      </w:rPr>
    </w:pPr>
    <w:r w:rsidDel="00000000" w:rsidR="00000000" w:rsidRPr="00000000">
      <w:rPr>
        <w:rFonts w:ascii="Arial" w:cs="Arial" w:eastAsia="Arial" w:hAnsi="Arial"/>
        <w:color w:val="4baaff"/>
        <w:sz w:val="16"/>
        <w:szCs w:val="16"/>
        <w:rtl w:val="0"/>
      </w:rPr>
      <w:t xml:space="preserve">UYARI :  Entegre Yönetimleri dokümanları çıktı alındıktan sonra </w:t>
    </w:r>
    <w:r w:rsidDel="00000000" w:rsidR="00000000" w:rsidRPr="00000000">
      <w:rPr>
        <w:rFonts w:ascii="Arial" w:cs="Arial" w:eastAsia="Arial" w:hAnsi="Arial"/>
        <w:b w:val="1"/>
        <w:bCs w:val="1"/>
        <w:color w:val="4baaff"/>
        <w:sz w:val="16"/>
        <w:szCs w:val="16"/>
        <w:rtl w:val="0"/>
      </w:rPr>
      <w:t xml:space="preserve">kontrolsüz kopya</w:t>
    </w:r>
    <w:r w:rsidDel="00000000" w:rsidR="00000000" w:rsidRPr="00000000">
      <w:rPr>
        <w:rFonts w:ascii="Arial" w:cs="Arial" w:eastAsia="Arial" w:hAnsi="Arial"/>
        <w:color w:val="4baaff"/>
        <w:sz w:val="16"/>
        <w:szCs w:val="16"/>
        <w:rtl w:val="0"/>
      </w:rPr>
      <w:t xml:space="preserve"> muamelesi görür. Her zaman en güncel dokümantasyon</w:t>
    </w:r>
    <w:r w:rsidDel="00000000" w:rsidR="00000000" w:rsidRPr="00000000">
      <w:rPr>
        <w:rFonts w:ascii="Arial" w:cs="Arial" w:eastAsia="Arial" w:hAnsi="Arial"/>
        <w:b w:val="1"/>
        <w:bCs w:val="1"/>
        <w:color w:val="4baaff"/>
        <w:sz w:val="16"/>
        <w:szCs w:val="16"/>
        <w:rtl w:val="0"/>
      </w:rPr>
      <w:t xml:space="preserve"> DFDS EYS Platformu</w:t>
    </w:r>
    <w:r w:rsidDel="00000000" w:rsidR="00000000" w:rsidRPr="00000000">
      <w:rPr>
        <w:rFonts w:ascii="Arial" w:cs="Arial" w:eastAsia="Arial" w:hAnsi="Arial"/>
        <w:color w:val="4baaff"/>
        <w:sz w:val="16"/>
        <w:szCs w:val="16"/>
        <w:rtl w:val="0"/>
      </w:rPr>
      <w:t xml:space="preserve"> altında yer alır.   </w:t>
    </w:r>
    <w:r w:rsidDel="00000000" w:rsidR="00000000" w:rsidRPr="00000000">
      <w:rPr>
        <w:rFonts w:ascii="Arial" w:cs="Arial" w:eastAsia="Arial" w:hAnsi="Arial"/>
        <w:color w:val="a6b3bb"/>
        <w:sz w:val="16"/>
        <w:szCs w:val="16"/>
        <w:rtl w:val="0"/>
      </w:rPr>
      <w:t xml:space="preserve">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sz w:val="2"/>
        <w:szCs w:val="2"/>
      </w:rPr>
      <w:drawing>
        <wp:anchor allowOverlap="1" behindDoc="0" distB="114300" distT="114300" distL="114300" distR="114300" hidden="0" layoutInCell="1" locked="0" relativeHeight="0" simplePos="0">
          <wp:simplePos x="0" y="0"/>
          <wp:positionH relativeFrom="page">
            <wp:posOffset>5916295</wp:posOffset>
          </wp:positionH>
          <wp:positionV relativeFrom="page">
            <wp:posOffset>142875</wp:posOffset>
          </wp:positionV>
          <wp:extent cx="1051243" cy="4943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1243" cy="49433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spacing w:line="276" w:lineRule="auto"/>
      <w:rPr>
        <w:rFonts w:ascii="Arial" w:cs="Arial" w:eastAsia="Arial" w:hAnsi="Arial"/>
        <w:color w:val="002b45"/>
        <w:sz w:val="22"/>
        <w:szCs w:val="22"/>
      </w:rPr>
    </w:pPr>
    <w:r w:rsidDel="00000000" w:rsidR="00000000" w:rsidRPr="00000000">
      <w:rPr>
        <w:rFonts w:ascii="Century Gothic" w:cs="Century Gothic" w:eastAsia="Century Gothic" w:hAnsi="Century Gothic"/>
        <w:sz w:val="22"/>
        <w:szCs w:val="22"/>
      </w:rPr>
      <w:drawing>
        <wp:anchor allowOverlap="1" behindDoc="1" distB="0" distT="0" distL="0" distR="0" hidden="0" layoutInCell="1" locked="0" relativeHeight="0" simplePos="0">
          <wp:simplePos x="0" y="0"/>
          <wp:positionH relativeFrom="page">
            <wp:posOffset>6097270</wp:posOffset>
          </wp:positionH>
          <wp:positionV relativeFrom="page">
            <wp:posOffset>210401</wp:posOffset>
          </wp:positionV>
          <wp:extent cx="1051243" cy="4943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1243" cy="494334"/>
                  </a:xfrm>
                  <a:prstGeom prst="rect"/>
                  <a:ln/>
                </pic:spPr>
              </pic:pic>
            </a:graphicData>
          </a:graphic>
        </wp:anchor>
      </w:drawing>
    </w:r>
    <w:r w:rsidDel="00000000" w:rsidR="00000000" w:rsidRPr="00000000">
      <w:rPr>
        <w:rtl w:val="0"/>
      </w:rPr>
    </w:r>
  </w:p>
  <w:tbl>
    <w:tblPr>
      <w:tblStyle w:val="Table1"/>
      <w:tblW w:w="10803.000000000002" w:type="dxa"/>
      <w:jc w:val="left"/>
      <w:tblLayout w:type="fixed"/>
      <w:tblLook w:val="0000"/>
    </w:tblPr>
    <w:tblGrid>
      <w:gridCol w:w="2505"/>
      <w:gridCol w:w="4697"/>
      <w:gridCol w:w="3601"/>
      <w:tblGridChange w:id="0">
        <w:tblGrid>
          <w:gridCol w:w="2505"/>
          <w:gridCol w:w="4697"/>
          <w:gridCol w:w="3601"/>
        </w:tblGrid>
      </w:tblGridChange>
    </w:tblGrid>
    <w:tr>
      <w:trPr>
        <w:cantSplit w:val="0"/>
        <w:trHeight w:val="579" w:hRule="atLeast"/>
        <w:tblHeader w:val="0"/>
      </w:trPr>
      <w:tc>
        <w:tcPr>
          <w:shd w:fill="auto" w:val="clear"/>
        </w:tcPr>
        <w:p w:rsidR="00000000" w:rsidDel="00000000" w:rsidP="00000000" w:rsidRDefault="00000000" w:rsidRPr="00000000" w14:paraId="0000001F">
          <w:pPr>
            <w:widowControl w:val="0"/>
            <w:tabs>
              <w:tab w:val="center" w:leader="none" w:pos="4536"/>
              <w:tab w:val="right" w:leader="none" w:pos="9072"/>
            </w:tabs>
            <w:rPr>
              <w:rFonts w:ascii="Arial" w:cs="Arial" w:eastAsia="Arial" w:hAnsi="Arial"/>
              <w:color w:val="002b45"/>
              <w:sz w:val="28"/>
              <w:szCs w:val="28"/>
            </w:rPr>
          </w:pPr>
          <w:r w:rsidDel="00000000" w:rsidR="00000000" w:rsidRPr="00000000">
            <w:rPr>
              <w:rFonts w:ascii="Arial" w:cs="Arial" w:eastAsia="Arial" w:hAnsi="Arial"/>
              <w:b w:val="1"/>
              <w:bCs w:val="1"/>
              <w:color w:val="002b45"/>
              <w:sz w:val="28"/>
              <w:szCs w:val="28"/>
              <w:rtl w:val="0"/>
            </w:rPr>
            <w:t xml:space="preserve">DAHİLİ/ INTERNAL</w:t>
          </w:r>
          <w:r w:rsidDel="00000000" w:rsidR="00000000" w:rsidRPr="00000000">
            <w:rPr>
              <w:rtl w:val="0"/>
            </w:rPr>
          </w:r>
        </w:p>
      </w:tc>
      <w:tc>
        <w:tcPr>
          <w:shd w:fill="auto" w:val="clear"/>
        </w:tcPr>
        <w:p w:rsidR="00000000" w:rsidDel="00000000" w:rsidP="00000000" w:rsidRDefault="00000000" w:rsidRPr="00000000" w14:paraId="00000020">
          <w:pPr>
            <w:pStyle w:val="Heading1"/>
            <w:widowControl w:val="0"/>
            <w:numPr>
              <w:ilvl w:val="0"/>
              <w:numId w:val="2"/>
            </w:numPr>
            <w:ind w:left="0" w:firstLine="0"/>
            <w:rPr>
              <w:rFonts w:ascii="Arial" w:cs="Arial" w:eastAsia="Arial" w:hAnsi="Arial"/>
              <w:color w:val="002b45"/>
              <w:sz w:val="28"/>
              <w:szCs w:val="28"/>
            </w:rPr>
          </w:pPr>
          <w:r w:rsidDel="00000000" w:rsidR="00000000" w:rsidRPr="00000000">
            <w:rPr>
              <w:rtl w:val="0"/>
            </w:rPr>
          </w:r>
        </w:p>
        <w:p w:rsidR="00000000" w:rsidDel="00000000" w:rsidP="00000000" w:rsidRDefault="00000000" w:rsidRPr="00000000" w14:paraId="00000021">
          <w:pPr>
            <w:pStyle w:val="Heading1"/>
            <w:widowControl w:val="0"/>
            <w:numPr>
              <w:ilvl w:val="0"/>
              <w:numId w:val="2"/>
            </w:numPr>
            <w:ind w:left="0" w:firstLine="0"/>
            <w:rPr>
              <w:rFonts w:ascii="Arial" w:cs="Arial" w:eastAsia="Arial" w:hAnsi="Arial"/>
              <w:color w:val="002b45"/>
              <w:sz w:val="28"/>
              <w:szCs w:val="28"/>
            </w:rPr>
          </w:pPr>
          <w:bookmarkStart w:colFirst="0" w:colLast="0" w:name="_avze1d1iq0xf" w:id="1"/>
          <w:bookmarkEnd w:id="1"/>
          <w:r w:rsidDel="00000000" w:rsidR="00000000" w:rsidRPr="00000000">
            <w:rPr>
              <w:rFonts w:ascii="Arial" w:cs="Arial" w:eastAsia="Arial" w:hAnsi="Arial"/>
              <w:color w:val="002b45"/>
              <w:sz w:val="28"/>
              <w:szCs w:val="28"/>
              <w:rtl w:val="0"/>
            </w:rPr>
            <w:t xml:space="preserve">ENTEGRE YÖNETİM SİSTEMLERİ</w:t>
          </w:r>
        </w:p>
      </w:tc>
      <w:tc>
        <w:tcPr>
          <w:shd w:fill="auto" w:val="clear"/>
        </w:tcPr>
        <w:p w:rsidR="00000000" w:rsidDel="00000000" w:rsidP="00000000" w:rsidRDefault="00000000" w:rsidRPr="00000000" w14:paraId="00000022">
          <w:pPr>
            <w:widowControl w:val="0"/>
            <w:tabs>
              <w:tab w:val="center" w:leader="none" w:pos="4536"/>
              <w:tab w:val="right" w:leader="none" w:pos="9072"/>
            </w:tabs>
            <w:jc w:val="center"/>
            <w:rPr>
              <w:rFonts w:ascii="Arial" w:cs="Arial" w:eastAsia="Arial" w:hAnsi="Arial"/>
              <w:color w:val="002b45"/>
            </w:rPr>
          </w:pPr>
          <w:r w:rsidDel="00000000" w:rsidR="00000000" w:rsidRPr="00000000">
            <w:rPr>
              <w:rtl w:val="0"/>
            </w:rPr>
          </w:r>
        </w:p>
      </w:tc>
    </w:tr>
  </w:tbl>
  <w:p w:rsidR="00000000" w:rsidDel="00000000" w:rsidP="00000000" w:rsidRDefault="00000000" w:rsidRPr="00000000" w14:paraId="00000023">
    <w:pPr>
      <w:tabs>
        <w:tab w:val="center" w:leader="none" w:pos="4536"/>
        <w:tab w:val="right" w:leader="none" w:pos="9072"/>
      </w:tabs>
      <w:rPr>
        <w:rFonts w:ascii="Arial" w:cs="Arial" w:eastAsia="Arial" w:hAnsi="Arial"/>
        <w:color w:val="002b45"/>
        <w:sz w:val="2"/>
        <w:szCs w:val="2"/>
      </w:rPr>
    </w:pPr>
    <w:r w:rsidDel="00000000" w:rsidR="00000000" w:rsidRPr="00000000">
      <w:rPr>
        <w:rtl w:val="0"/>
      </w:rPr>
    </w:r>
  </w:p>
  <w:tbl>
    <w:tblPr>
      <w:tblStyle w:val="Table2"/>
      <w:tblW w:w="10450.0" w:type="dxa"/>
      <w:jc w:val="left"/>
      <w:tblInd w:w="-5.0" w:type="dxa"/>
      <w:tblLayout w:type="fixed"/>
      <w:tblLook w:val="0000"/>
    </w:tblPr>
    <w:tblGrid>
      <w:gridCol w:w="1870"/>
      <w:gridCol w:w="2270"/>
      <w:gridCol w:w="2160"/>
      <w:gridCol w:w="2160"/>
      <w:gridCol w:w="1990"/>
      <w:tblGridChange w:id="0">
        <w:tblGrid>
          <w:gridCol w:w="1870"/>
          <w:gridCol w:w="2270"/>
          <w:gridCol w:w="2160"/>
          <w:gridCol w:w="2160"/>
          <w:gridCol w:w="1990"/>
        </w:tblGrid>
      </w:tblGridChange>
    </w:tblGrid>
    <w:tr>
      <w:trPr>
        <w:cantSplit w:val="0"/>
        <w:trHeight w:val="49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Arial" w:cs="Arial" w:eastAsia="Arial" w:hAnsi="Arial"/>
              <w:b w:val="1"/>
              <w:bCs w:val="1"/>
              <w:color w:val="002b45"/>
              <w:sz w:val="26"/>
              <w:szCs w:val="26"/>
            </w:rPr>
          </w:pPr>
          <w:r w:rsidDel="00000000" w:rsidR="00000000" w:rsidRPr="00000000">
            <w:rPr>
              <w:rFonts w:ascii="Arial" w:cs="Arial" w:eastAsia="Arial" w:hAnsi="Arial"/>
              <w:b w:val="1"/>
              <w:bCs w:val="1"/>
              <w:color w:val="002b45"/>
              <w:sz w:val="26"/>
              <w:szCs w:val="26"/>
              <w:rtl w:val="0"/>
            </w:rPr>
            <w:t xml:space="preserve">Çevre Politikası</w:t>
          </w:r>
        </w:p>
      </w:tc>
    </w:tr>
    <w:tr>
      <w:trPr>
        <w:cantSplit w:val="0"/>
        <w:trHeight w:val="8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Arial" w:cs="Arial" w:eastAsia="Arial" w:hAnsi="Arial"/>
              <w:b w:val="1"/>
              <w:bCs w:val="1"/>
              <w:color w:val="002b45"/>
              <w:sz w:val="20"/>
              <w:szCs w:val="20"/>
            </w:rPr>
          </w:pPr>
          <w:r w:rsidDel="00000000" w:rsidR="00000000" w:rsidRPr="00000000">
            <w:rPr>
              <w:rFonts w:ascii="Arial" w:cs="Arial" w:eastAsia="Arial" w:hAnsi="Arial"/>
              <w:b w:val="1"/>
              <w:bCs w:val="1"/>
              <w:color w:val="002b45"/>
              <w:sz w:val="20"/>
              <w:szCs w:val="20"/>
              <w:rtl w:val="0"/>
            </w:rPr>
            <w:t xml:space="preserve">Doküman No :</w:t>
          </w:r>
        </w:p>
        <w:p w:rsidR="00000000" w:rsidDel="00000000" w:rsidP="00000000" w:rsidRDefault="00000000" w:rsidRPr="00000000" w14:paraId="0000002A">
          <w:pPr>
            <w:jc w:val="center"/>
            <w:rPr>
              <w:rFonts w:ascii="Arial" w:cs="Arial" w:eastAsia="Arial" w:hAnsi="Arial"/>
              <w:b w:val="1"/>
              <w:bCs w:val="1"/>
              <w:color w:val="002b45"/>
              <w:sz w:val="20"/>
              <w:szCs w:val="2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PL.3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060"/>
            </w:tabs>
            <w:jc w:val="center"/>
            <w:rPr>
              <w:rFonts w:ascii="Arial" w:cs="Arial" w:eastAsia="Arial" w:hAnsi="Arial"/>
              <w:b w:val="1"/>
              <w:bCs w:val="1"/>
              <w:color w:val="002b45"/>
              <w:sz w:val="20"/>
              <w:szCs w:val="20"/>
            </w:rPr>
          </w:pPr>
          <w:r w:rsidDel="00000000" w:rsidR="00000000" w:rsidRPr="00000000">
            <w:rPr>
              <w:rFonts w:ascii="Arial" w:cs="Arial" w:eastAsia="Arial" w:hAnsi="Arial"/>
              <w:b w:val="1"/>
              <w:bCs w:val="1"/>
              <w:color w:val="002b45"/>
              <w:sz w:val="20"/>
              <w:szCs w:val="20"/>
              <w:rtl w:val="0"/>
            </w:rPr>
            <w:t xml:space="preserve">Yayın Tarihi :</w:t>
          </w:r>
        </w:p>
        <w:p w:rsidR="00000000" w:rsidDel="00000000" w:rsidP="00000000" w:rsidRDefault="00000000" w:rsidRPr="00000000" w14:paraId="0000002D">
          <w:pPr>
            <w:ind w:left="376" w:firstLine="0"/>
            <w:jc w:val="center"/>
            <w:rPr>
              <w:rFonts w:ascii="Arial" w:cs="Arial" w:eastAsia="Arial" w:hAnsi="Arial"/>
              <w:b w:val="1"/>
              <w:bCs w:val="1"/>
              <w:color w:val="002b45"/>
              <w:sz w:val="20"/>
              <w:szCs w:val="20"/>
            </w:rPr>
          </w:pPr>
          <w:r w:rsidDel="00000000" w:rsidR="00000000" w:rsidRPr="00000000">
            <w:rPr>
              <w:rtl w:val="0"/>
            </w:rPr>
          </w:r>
        </w:p>
        <w:p w:rsidR="00000000" w:rsidDel="00000000" w:rsidP="00000000" w:rsidRDefault="00000000" w:rsidRPr="00000000" w14:paraId="0000002E">
          <w:pPr>
            <w:ind w:left="376" w:firstLine="0"/>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01.02.2025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rFonts w:ascii="Arial" w:cs="Arial" w:eastAsia="Arial" w:hAnsi="Arial"/>
              <w:b w:val="1"/>
              <w:bCs w:val="1"/>
              <w:color w:val="002b45"/>
              <w:sz w:val="20"/>
              <w:szCs w:val="20"/>
            </w:rPr>
          </w:pPr>
          <w:r w:rsidDel="00000000" w:rsidR="00000000" w:rsidRPr="00000000">
            <w:rPr>
              <w:rFonts w:ascii="Arial" w:cs="Arial" w:eastAsia="Arial" w:hAnsi="Arial"/>
              <w:b w:val="1"/>
              <w:bCs w:val="1"/>
              <w:color w:val="002b45"/>
              <w:sz w:val="20"/>
              <w:szCs w:val="20"/>
              <w:rtl w:val="0"/>
            </w:rPr>
            <w:t xml:space="preserve">Revizyon Tarihi :</w:t>
          </w:r>
        </w:p>
        <w:p w:rsidR="00000000" w:rsidDel="00000000" w:rsidP="00000000" w:rsidRDefault="00000000" w:rsidRPr="00000000" w14:paraId="00000030">
          <w:pPr>
            <w:jc w:val="center"/>
            <w:rPr>
              <w:rFonts w:ascii="Arial" w:cs="Arial" w:eastAsia="Arial" w:hAnsi="Arial"/>
              <w:b w:val="1"/>
              <w:bCs w:val="1"/>
              <w:color w:val="002b45"/>
              <w:sz w:val="20"/>
              <w:szCs w:val="20"/>
            </w:rPr>
          </w:pPr>
          <w:r w:rsidDel="00000000" w:rsidR="00000000" w:rsidRPr="00000000">
            <w:rPr>
              <w:rtl w:val="0"/>
            </w:rPr>
          </w:r>
        </w:p>
        <w:p w:rsidR="00000000" w:rsidDel="00000000" w:rsidP="00000000" w:rsidRDefault="00000000" w:rsidRPr="00000000" w14:paraId="00000031">
          <w:pPr>
            <w:tabs>
              <w:tab w:val="center" w:leader="none" w:pos="1010"/>
              <w:tab w:val="right" w:leader="none" w:pos="2020"/>
            </w:tabs>
            <w:rPr>
              <w:rFonts w:ascii="Arial" w:cs="Arial" w:eastAsia="Arial" w:hAnsi="Arial"/>
              <w:color w:val="002b4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Arial" w:cs="Arial" w:eastAsia="Arial" w:hAnsi="Arial"/>
              <w:b w:val="1"/>
              <w:bCs w:val="1"/>
              <w:color w:val="002b45"/>
              <w:sz w:val="20"/>
              <w:szCs w:val="20"/>
            </w:rPr>
          </w:pPr>
          <w:r w:rsidDel="00000000" w:rsidR="00000000" w:rsidRPr="00000000">
            <w:rPr>
              <w:rFonts w:ascii="Arial" w:cs="Arial" w:eastAsia="Arial" w:hAnsi="Arial"/>
              <w:b w:val="1"/>
              <w:bCs w:val="1"/>
              <w:color w:val="002b45"/>
              <w:sz w:val="20"/>
              <w:szCs w:val="20"/>
              <w:rtl w:val="0"/>
            </w:rPr>
            <w:t xml:space="preserve">Revizyon No :</w:t>
          </w:r>
        </w:p>
        <w:p w:rsidR="00000000" w:rsidDel="00000000" w:rsidP="00000000" w:rsidRDefault="00000000" w:rsidRPr="00000000" w14:paraId="00000033">
          <w:pPr>
            <w:jc w:val="center"/>
            <w:rPr>
              <w:rFonts w:ascii="Arial" w:cs="Arial" w:eastAsia="Arial" w:hAnsi="Arial"/>
              <w:b w:val="1"/>
              <w:bCs w:val="1"/>
              <w:color w:val="002b45"/>
              <w:sz w:val="20"/>
              <w:szCs w:val="20"/>
            </w:rPr>
          </w:pPr>
          <w:r w:rsidDel="00000000" w:rsidR="00000000" w:rsidRPr="00000000">
            <w:rPr>
              <w:rtl w:val="0"/>
            </w:rPr>
          </w:r>
        </w:p>
        <w:p w:rsidR="00000000" w:rsidDel="00000000" w:rsidP="00000000" w:rsidRDefault="00000000" w:rsidRPr="00000000" w14:paraId="00000034">
          <w:pPr>
            <w:jc w:val="center"/>
            <w:rPr>
              <w:rFonts w:ascii="Arial" w:cs="Arial" w:eastAsia="Arial" w:hAnsi="Arial"/>
              <w:color w:val="002b45"/>
              <w:sz w:val="20"/>
              <w:szCs w:val="20"/>
            </w:rPr>
          </w:pPr>
          <w:r w:rsidDel="00000000" w:rsidR="00000000" w:rsidRPr="00000000">
            <w:rPr>
              <w:rFonts w:ascii="Arial" w:cs="Arial" w:eastAsia="Arial" w:hAnsi="Arial"/>
              <w:color w:val="002b4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left="16" w:firstLine="0"/>
            <w:jc w:val="center"/>
            <w:rPr>
              <w:rFonts w:ascii="Arial" w:cs="Arial" w:eastAsia="Arial" w:hAnsi="Arial"/>
              <w:b w:val="1"/>
              <w:bCs w:val="1"/>
              <w:color w:val="002b45"/>
              <w:sz w:val="20"/>
              <w:szCs w:val="20"/>
            </w:rPr>
          </w:pPr>
          <w:r w:rsidDel="00000000" w:rsidR="00000000" w:rsidRPr="00000000">
            <w:rPr>
              <w:rFonts w:ascii="Arial" w:cs="Arial" w:eastAsia="Arial" w:hAnsi="Arial"/>
              <w:b w:val="1"/>
              <w:bCs w:val="1"/>
              <w:color w:val="002b45"/>
              <w:sz w:val="20"/>
              <w:szCs w:val="20"/>
              <w:rtl w:val="0"/>
            </w:rPr>
            <w:t xml:space="preserve">Sayfa Sayısı :</w:t>
          </w:r>
        </w:p>
        <w:p w:rsidR="00000000" w:rsidDel="00000000" w:rsidP="00000000" w:rsidRDefault="00000000" w:rsidRPr="00000000" w14:paraId="00000036">
          <w:pPr>
            <w:ind w:left="16" w:firstLine="0"/>
            <w:jc w:val="center"/>
            <w:rPr>
              <w:rFonts w:ascii="Arial" w:cs="Arial" w:eastAsia="Arial" w:hAnsi="Arial"/>
              <w:color w:val="002b45"/>
              <w:sz w:val="20"/>
              <w:szCs w:val="20"/>
            </w:rPr>
          </w:pPr>
          <w:r w:rsidDel="00000000" w:rsidR="00000000" w:rsidRPr="00000000">
            <w:rPr>
              <w:rtl w:val="0"/>
            </w:rPr>
          </w:r>
        </w:p>
        <w:p w:rsidR="00000000" w:rsidDel="00000000" w:rsidP="00000000" w:rsidRDefault="00000000" w:rsidRPr="00000000" w14:paraId="00000037">
          <w:pPr>
            <w:ind w:left="16" w:firstLine="0"/>
            <w:jc w:val="center"/>
            <w:rPr>
              <w:rFonts w:ascii="Arial" w:cs="Arial" w:eastAsia="Arial" w:hAnsi="Arial"/>
              <w:color w:val="002b45"/>
            </w:rPr>
          </w:pPr>
          <w:r w:rsidDel="00000000" w:rsidR="00000000" w:rsidRPr="00000000">
            <w:rPr>
              <w:rFonts w:ascii="Arial" w:cs="Arial" w:eastAsia="Arial" w:hAnsi="Arial"/>
              <w:color w:val="002b45"/>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2b45"/>
              <w:sz w:val="20"/>
              <w:szCs w:val="20"/>
              <w:rtl w:val="0"/>
            </w:rPr>
            <w:t xml:space="preserve">/</w:t>
          </w:r>
          <w:r w:rsidDel="00000000" w:rsidR="00000000" w:rsidRPr="00000000">
            <w:rPr>
              <w:rFonts w:ascii="Arial" w:cs="Arial" w:eastAsia="Arial" w:hAnsi="Arial"/>
              <w:color w:val="002b45"/>
              <w:sz w:val="20"/>
              <w:szCs w:val="2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8">
    <w:pPr>
      <w:tabs>
        <w:tab w:val="center" w:leader="none" w:pos="4536"/>
        <w:tab w:val="right" w:leader="none" w:pos="9072"/>
      </w:tabs>
      <w:rPr>
        <w:rFonts w:ascii="Arial" w:cs="Arial" w:eastAsia="Arial" w:hAnsi="Arial"/>
        <w:color w:val="002b45"/>
        <w:sz w:val="2"/>
        <w:szCs w:val="2"/>
      </w:rPr>
    </w:pPr>
    <w:r w:rsidDel="00000000" w:rsidR="00000000" w:rsidRPr="00000000">
      <w:rPr>
        <w:rtl w:val="0"/>
      </w:rPr>
    </w:r>
  </w:p>
  <w:p w:rsidR="00000000" w:rsidDel="00000000" w:rsidP="00000000" w:rsidRDefault="00000000" w:rsidRPr="00000000" w14:paraId="00000039">
    <w:pPr>
      <w:rPr>
        <w:rFonts w:ascii="Arial" w:cs="Arial" w:eastAsia="Arial" w:hAnsi="Arial"/>
        <w:color w:val="002b45"/>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96" w:right="0" w:hanging="1096"/>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