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i w:val="0"/>
          <w:iCs w:val="0"/>
          <w:smallCaps w:val="0"/>
          <w:strike w:val="0"/>
          <w:color w:val="002b45"/>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2b45"/>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2b45"/>
          <w:u w:val="single"/>
          <w:shd w:fill="auto" w:val="clear"/>
          <w:vertAlign w:val="baseline"/>
        </w:rPr>
      </w:pPr>
      <w:r w:rsidDel="00000000" w:rsidR="00000000" w:rsidRPr="00000000">
        <w:rPr>
          <w:rtl w:val="0"/>
        </w:rPr>
      </w:r>
    </w:p>
    <w:p w:rsidR="00000000" w:rsidDel="00000000" w:rsidP="00000000" w:rsidRDefault="00000000" w:rsidRPr="00000000" w14:paraId="00000004">
      <w:pPr>
        <w:spacing w:after="240" w:before="240" w:line="240" w:lineRule="auto"/>
        <w:jc w:val="both"/>
        <w:rPr>
          <w:rFonts w:ascii="Arial" w:cs="Arial" w:eastAsia="Arial" w:hAnsi="Arial"/>
          <w:b w:val="1"/>
          <w:bCs w:val="1"/>
          <w:color w:val="002b45"/>
          <w:u w:val="single"/>
        </w:rPr>
      </w:pPr>
      <w:r w:rsidDel="00000000" w:rsidR="00000000" w:rsidRPr="00000000">
        <w:rPr>
          <w:rFonts w:ascii="Arial" w:cs="Arial" w:eastAsia="Arial" w:hAnsi="Arial"/>
          <w:b w:val="1"/>
          <w:bCs w:val="1"/>
          <w:color w:val="002b45"/>
          <w:u w:val="single"/>
          <w:rtl w:val="0"/>
        </w:rPr>
        <w:t xml:space="preserve">ISO 14001:2015 Environmental Management System Policy</w:t>
      </w:r>
    </w:p>
    <w:p w:rsidR="00000000" w:rsidDel="00000000" w:rsidP="00000000" w:rsidRDefault="00000000" w:rsidRPr="00000000" w14:paraId="00000005">
      <w:pPr>
        <w:spacing w:after="240" w:before="240" w:line="240" w:lineRule="auto"/>
        <w:jc w:val="both"/>
        <w:rPr>
          <w:rFonts w:ascii="Arial" w:cs="Arial" w:eastAsia="Arial" w:hAnsi="Arial"/>
          <w:color w:val="002b45"/>
        </w:rPr>
      </w:pPr>
      <w:r w:rsidDel="00000000" w:rsidR="00000000" w:rsidRPr="00000000">
        <w:rPr>
          <w:rFonts w:ascii="Arial" w:cs="Arial" w:eastAsia="Arial" w:hAnsi="Arial"/>
          <w:color w:val="002b45"/>
          <w:rtl w:val="0"/>
        </w:rPr>
        <w:t xml:space="preserve">DFDS, as part of its environmental policy, aims to protect the environment, use natural resources with maximum efficiency and conservation, and prevent pollution to leave a cleaner and more livable world for future generations. Within this framework, DFDS commits to:</w:t>
      </w:r>
    </w:p>
    <w:p w:rsidR="00000000" w:rsidDel="00000000" w:rsidP="00000000" w:rsidRDefault="00000000" w:rsidRPr="00000000" w14:paraId="00000006">
      <w:pPr>
        <w:numPr>
          <w:ilvl w:val="0"/>
          <w:numId w:val="2"/>
        </w:numPr>
        <w:spacing w:after="0" w:afterAutospacing="0" w:before="24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Collaborate with institutions and organizations such as ministry departments, universities, and associations to lead long-term improvement initiatives in the logistics sector, foster cooperation among institutions, and establish dialogue channels,</w:t>
        <w:br w:type="textWrapping"/>
      </w:r>
    </w:p>
    <w:p w:rsidR="00000000" w:rsidDel="00000000" w:rsidP="00000000" w:rsidRDefault="00000000" w:rsidRPr="00000000" w14:paraId="00000007">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Adopt a sustainable logistics management system at DFDS by ensuring coordination and integration among all departments,</w:t>
        <w:br w:type="textWrapping"/>
      </w:r>
    </w:p>
    <w:p w:rsidR="00000000" w:rsidDel="00000000" w:rsidP="00000000" w:rsidRDefault="00000000" w:rsidRPr="00000000" w14:paraId="00000008">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Encourage all employees, from top management to the operational level, to take an active role in environmentally responsible activities by providing environmental training and promoting a shared sense of responsibility,</w:t>
        <w:br w:type="textWrapping"/>
      </w:r>
    </w:p>
    <w:p w:rsidR="00000000" w:rsidDel="00000000" w:rsidP="00000000" w:rsidRDefault="00000000" w:rsidRPr="00000000" w14:paraId="00000009">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Identify potential environmental risks at their source during operations and establish a systematic approach that ensures recovery or disposal in compliance with legal regulations and is continuously improved,</w:t>
        <w:br w:type="textWrapping"/>
      </w:r>
    </w:p>
    <w:p w:rsidR="00000000" w:rsidDel="00000000" w:rsidP="00000000" w:rsidRDefault="00000000" w:rsidRPr="00000000" w14:paraId="0000000A">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Ensure that hazardous and non-hazardous wastes at our facilities and locations are collected with appropriate equipment, stored in temporary waste areas, and properly disposed of or recycled in line with ISO 14001 and Zero Waste practices,</w:t>
        <w:br w:type="textWrapping"/>
      </w:r>
    </w:p>
    <w:p w:rsidR="00000000" w:rsidDel="00000000" w:rsidP="00000000" w:rsidRDefault="00000000" w:rsidRPr="00000000" w14:paraId="0000000B">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Calculate the corporate carbon footprint according to recognized standards and continuously aim for operational excellence through high technology as part of emission reduction efforts,</w:t>
        <w:br w:type="textWrapping"/>
      </w:r>
    </w:p>
    <w:p w:rsidR="00000000" w:rsidDel="00000000" w:rsidP="00000000" w:rsidRDefault="00000000" w:rsidRPr="00000000" w14:paraId="0000000C">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Update fleet investments to reduce carbon emissions and fossil fuel consumption,</w:t>
        <w:br w:type="textWrapping"/>
      </w:r>
    </w:p>
    <w:p w:rsidR="00000000" w:rsidDel="00000000" w:rsidP="00000000" w:rsidRDefault="00000000" w:rsidRPr="00000000" w14:paraId="0000000D">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Reduce total well-to-wheel (WTW) emission intensity by 75% by 2030 compared to 2022 baseline emissions and achieve carbon neutrality by 2050,</w:t>
        <w:br w:type="textWrapping"/>
      </w:r>
    </w:p>
    <w:p w:rsidR="00000000" w:rsidDel="00000000" w:rsidP="00000000" w:rsidRDefault="00000000" w:rsidRPr="00000000" w14:paraId="0000000E">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Monitor key environmental aspects covered by prioritized Sustainable Development Goals (such as increasing the percentage of waste sent for recycling, expanding zero-waste practices, improving energy efficiency and renewable energy share in electricity consumption, and enhancing water efficiency) with a goal-oriented approach,</w:t>
        <w:br w:type="textWrapping"/>
      </w:r>
    </w:p>
    <w:p w:rsidR="00000000" w:rsidDel="00000000" w:rsidP="00000000" w:rsidRDefault="00000000" w:rsidRPr="00000000" w14:paraId="0000000F">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Continuously improve environmental performance while meeting the environmental expectations of internal and external stakeholders, and collaborate with subcontractors by monitoring their sustainability and waste management practices to enhance their environmental performance,</w:t>
        <w:br w:type="textWrapping"/>
      </w:r>
    </w:p>
    <w:p w:rsidR="00000000" w:rsidDel="00000000" w:rsidP="00000000" w:rsidRDefault="00000000" w:rsidRPr="00000000" w14:paraId="00000010">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Implement a resource management approach aligned with sustainable development and the life cycle perspective, encompassing natural and other resources,</w:t>
        <w:br w:type="textWrapping"/>
      </w:r>
    </w:p>
    <w:p w:rsidR="00000000" w:rsidDel="00000000" w:rsidP="00000000" w:rsidRDefault="00000000" w:rsidRPr="00000000" w14:paraId="00000011">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Conduct supplier evaluations to minimize the environmental impacts of procured goods and services,</w:t>
        <w:br w:type="textWrapping"/>
      </w:r>
    </w:p>
    <w:p w:rsidR="00000000" w:rsidDel="00000000" w:rsidP="00000000" w:rsidRDefault="00000000" w:rsidRPr="00000000" w14:paraId="00000012">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Ensure compliance beyond the minimum requirements of all applicable environmental legislation,</w:t>
        <w:br w:type="textWrapping"/>
      </w:r>
    </w:p>
    <w:p w:rsidR="00000000" w:rsidDel="00000000" w:rsidP="00000000" w:rsidRDefault="00000000" w:rsidRPr="00000000" w14:paraId="00000013">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Prevent environmental pollution caused by waste generated during operations through corrective and preventive actions, and ensure that all related legal processes and declarations are followed and recorded,</w:t>
        <w:br w:type="textWrapping"/>
      </w:r>
    </w:p>
    <w:p w:rsidR="00000000" w:rsidDel="00000000" w:rsidP="00000000" w:rsidRDefault="00000000" w:rsidRPr="00000000" w14:paraId="00000014">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Consider environmental aspects in major construction investments and improvements and integrate them into procurement and related processes,</w:t>
        <w:br w:type="textWrapping"/>
      </w:r>
    </w:p>
    <w:p w:rsidR="00000000" w:rsidDel="00000000" w:rsidP="00000000" w:rsidRDefault="00000000" w:rsidRPr="00000000" w14:paraId="00000015">
      <w:pPr>
        <w:numPr>
          <w:ilvl w:val="0"/>
          <w:numId w:val="2"/>
        </w:numPr>
        <w:spacing w:after="0" w:afterAutospacing="0" w:before="0" w:beforeAutospacing="0" w:line="240" w:lineRule="auto"/>
        <w:ind w:left="720" w:hanging="360"/>
        <w:rPr>
          <w:rFonts w:ascii="Arial" w:cs="Arial" w:eastAsia="Arial" w:hAnsi="Arial"/>
          <w:color w:val="002b45"/>
        </w:rPr>
      </w:pPr>
      <w:r w:rsidDel="00000000" w:rsidR="00000000" w:rsidRPr="00000000">
        <w:rPr>
          <w:rFonts w:ascii="Arial" w:cs="Arial" w:eastAsia="Arial" w:hAnsi="Arial"/>
          <w:color w:val="002b45"/>
          <w:rtl w:val="0"/>
        </w:rPr>
        <w:t xml:space="preserve">Maintain and continuously improve the implementation of the ISO 14001 Environmental Management System in line with the established objectives and targets,</w:t>
        <w:br w:type="textWrapping"/>
      </w:r>
    </w:p>
    <w:p w:rsidR="00000000" w:rsidDel="00000000" w:rsidP="00000000" w:rsidRDefault="00000000" w:rsidRPr="00000000" w14:paraId="00000016">
      <w:pPr>
        <w:numPr>
          <w:ilvl w:val="0"/>
          <w:numId w:val="2"/>
        </w:numPr>
        <w:spacing w:after="240" w:before="0" w:beforeAutospacing="0" w:line="240" w:lineRule="auto"/>
        <w:ind w:left="720" w:hanging="360"/>
        <w:rPr>
          <w:rFonts w:ascii="Arial" w:cs="Arial" w:eastAsia="Arial" w:hAnsi="Arial"/>
          <w:b w:val="1"/>
          <w:bCs w:val="1"/>
          <w:color w:val="002b45"/>
        </w:rPr>
      </w:pPr>
      <w:r w:rsidDel="00000000" w:rsidR="00000000" w:rsidRPr="00000000">
        <w:rPr>
          <w:rFonts w:ascii="Arial" w:cs="Arial" w:eastAsia="Arial" w:hAnsi="Arial"/>
          <w:color w:val="002b45"/>
          <w:rtl w:val="0"/>
        </w:rPr>
        <w:t xml:space="preserve">Review this policy and KPI data annually during Management Review Meetings (MRM) by top management.</w:t>
      </w:r>
      <w:r w:rsidDel="00000000" w:rsidR="00000000" w:rsidRPr="00000000">
        <w:rPr>
          <w:rFonts w:ascii="Arial" w:cs="Arial" w:eastAsia="Arial" w:hAnsi="Arial"/>
          <w:b w:val="1"/>
          <w:bCs w:val="1"/>
          <w:color w:val="002b45"/>
          <w:rtl w:val="0"/>
        </w:rPr>
        <w:br w:type="textWrapping"/>
      </w:r>
    </w:p>
    <w:p w:rsidR="00000000" w:rsidDel="00000000" w:rsidP="00000000" w:rsidRDefault="00000000" w:rsidRPr="00000000" w14:paraId="00000017">
      <w:pPr>
        <w:spacing w:after="240" w:before="240" w:line="240" w:lineRule="auto"/>
        <w:jc w:val="both"/>
        <w:rPr>
          <w:rFonts w:ascii="Arial" w:cs="Arial" w:eastAsia="Arial" w:hAnsi="Arial"/>
          <w:b w:val="1"/>
          <w:bCs w:val="1"/>
          <w:color w:val="002b45"/>
        </w:rPr>
      </w:pPr>
      <w:r w:rsidDel="00000000" w:rsidR="00000000" w:rsidRPr="00000000">
        <w:rPr>
          <w:rFonts w:ascii="Arial" w:cs="Arial" w:eastAsia="Arial" w:hAnsi="Arial"/>
          <w:b w:val="1"/>
          <w:bCs w:val="1"/>
          <w:color w:val="002b45"/>
          <w:rtl w:val="0"/>
        </w:rPr>
        <w:t xml:space="preserve">DFDS Türkiye Logistics</w:t>
      </w:r>
    </w:p>
    <w:p w:rsidR="00000000" w:rsidDel="00000000" w:rsidP="00000000" w:rsidRDefault="00000000" w:rsidRPr="00000000" w14:paraId="00000018">
      <w:pPr>
        <w:spacing w:after="240" w:before="240" w:line="240" w:lineRule="auto"/>
        <w:jc w:val="both"/>
        <w:rPr>
          <w:rFonts w:ascii="Arial" w:cs="Arial" w:eastAsia="Arial" w:hAnsi="Arial"/>
          <w:b w:val="1"/>
          <w:bCs w:val="1"/>
          <w:color w:val="002b45"/>
        </w:rPr>
      </w:pPr>
      <w:r w:rsidDel="00000000" w:rsidR="00000000" w:rsidRPr="00000000">
        <w:rPr>
          <w:rtl w:val="0"/>
        </w:rPr>
      </w:r>
    </w:p>
    <w:p w:rsidR="00000000" w:rsidDel="00000000" w:rsidP="00000000" w:rsidRDefault="00000000" w:rsidRPr="00000000" w14:paraId="00000019">
      <w:pPr>
        <w:spacing w:after="240" w:before="240" w:line="240" w:lineRule="auto"/>
        <w:jc w:val="both"/>
        <w:rPr>
          <w:rFonts w:ascii="Arial" w:cs="Arial" w:eastAsia="Arial" w:hAnsi="Arial"/>
          <w:b w:val="1"/>
          <w:bCs w:val="1"/>
          <w:color w:val="002b45"/>
          <w:u w:val="singl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002b45"/>
        </w:rPr>
      </w:pPr>
      <w:r w:rsidDel="00000000" w:rsidR="00000000" w:rsidRPr="00000000">
        <w:rPr>
          <w:rtl w:val="0"/>
        </w:rPr>
      </w:r>
    </w:p>
    <w:p w:rsidR="00000000" w:rsidDel="00000000" w:rsidP="00000000" w:rsidRDefault="00000000" w:rsidRPr="00000000" w14:paraId="0000001B">
      <w:pPr>
        <w:spacing w:after="0" w:line="240" w:lineRule="auto"/>
        <w:ind w:left="720" w:firstLine="0"/>
        <w:jc w:val="both"/>
        <w:rPr>
          <w:rFonts w:ascii="Arial" w:cs="Arial" w:eastAsia="Arial" w:hAnsi="Arial"/>
          <w:b w:val="1"/>
          <w:bCs w:val="1"/>
          <w:color w:val="002b45"/>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color w:val="002b45"/>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2b45"/>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2b45"/>
          <w:u w:val="none"/>
          <w:shd w:fill="auto" w:val="clear"/>
          <w:vertAlign w:val="baseline"/>
        </w:rPr>
      </w:pPr>
      <w:r w:rsidDel="00000000" w:rsidR="00000000" w:rsidRPr="00000000">
        <w:rPr>
          <w:rtl w:val="0"/>
        </w:rPr>
      </w:r>
    </w:p>
    <w:p w:rsidR="00000000" w:rsidDel="00000000" w:rsidP="00000000" w:rsidRDefault="00000000" w:rsidRPr="00000000" w14:paraId="0000001F">
      <w:pPr>
        <w:spacing w:after="0" w:lineRule="auto"/>
        <w:ind w:left="0" w:firstLine="0"/>
        <w:rPr>
          <w:rFonts w:ascii="Arial" w:cs="Arial" w:eastAsia="Arial" w:hAnsi="Arial"/>
          <w:color w:val="002b45"/>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bCs w:val="1"/>
          <w:color w:val="002b45"/>
        </w:rPr>
      </w:pPr>
      <w:r w:rsidDel="00000000" w:rsidR="00000000" w:rsidRPr="00000000">
        <w:rPr>
          <w:rtl w:val="0"/>
        </w:rPr>
      </w:r>
    </w:p>
    <w:sectPr>
      <w:headerReference r:id="rId6" w:type="default"/>
      <w:footerReference r:id="rId7" w:type="default"/>
      <w:pgSz w:h="16838" w:w="11906" w:orient="portrait"/>
      <w:pgMar w:bottom="907" w:top="1440" w:left="1077" w:right="107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color w:val="ff0000"/>
        <w:sz w:val="18"/>
        <w:szCs w:val="18"/>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color w:val="002b45"/>
        <w:sz w:val="18"/>
        <w:szCs w:val="18"/>
      </w:rPr>
    </w:pPr>
    <w:r w:rsidDel="00000000" w:rsidR="00000000" w:rsidRPr="00000000">
      <w:rPr>
        <w:rFonts w:ascii="Arial" w:cs="Arial" w:eastAsia="Arial" w:hAnsi="Arial"/>
        <w:color w:val="002b45"/>
        <w:rtl w:val="0"/>
      </w:rPr>
      <w:t xml:space="preserve">This policy </w:t>
    </w:r>
    <w:r w:rsidDel="00000000" w:rsidR="00000000" w:rsidRPr="00000000">
      <w:rPr>
        <w:rFonts w:ascii="Arial" w:cs="Arial" w:eastAsia="Arial" w:hAnsi="Arial"/>
        <w:rtl w:val="0"/>
      </w:rPr>
      <w:t xml:space="preserve">covers the companies </w:t>
    </w:r>
    <w:r w:rsidDel="00000000" w:rsidR="00000000" w:rsidRPr="00000000">
      <w:rPr>
        <w:rFonts w:ascii="Arial" w:cs="Arial" w:eastAsia="Arial" w:hAnsi="Arial"/>
        <w:color w:val="222222"/>
        <w:rtl w:val="0"/>
      </w:rPr>
      <w:t xml:space="preserve">DFDS Lojistik A.Ş.</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rtl w:val="0"/>
      </w:rPr>
      <w:t xml:space="preserve">DFDS Taşımacılık Hizmetleri Ltd. Şti</w:t>
    </w:r>
    <w:r w:rsidDel="00000000" w:rsidR="00000000" w:rsidRPr="00000000">
      <w:rPr>
        <w:rFonts w:ascii="Arial" w:cs="Arial" w:eastAsia="Arial" w:hAnsi="Arial"/>
        <w:rtl w:val="0"/>
      </w:rPr>
      <w:t xml:space="preserve">, and Ekol Gümrük Müşavirliği Tic. LTD. ŞTİ., which belong to the DFDS Group.</w:t>
    </w: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color w:val="002b45"/>
        <w:sz w:val="16"/>
        <w:szCs w:val="16"/>
      </w:rPr>
    </w:pPr>
    <w:r w:rsidDel="00000000" w:rsidR="00000000" w:rsidRPr="00000000">
      <w:rPr>
        <w:rFonts w:ascii="Arial" w:cs="Arial" w:eastAsia="Arial" w:hAnsi="Arial"/>
        <w:color w:val="002b45"/>
        <w:sz w:val="16"/>
        <w:szCs w:val="16"/>
        <w:rtl w:val="0"/>
      </w:rPr>
      <w:t xml:space="preserve">PL.5  RV.0</w:t>
    </w:r>
  </w:p>
  <w:p w:rsidR="00000000" w:rsidDel="00000000" w:rsidP="00000000" w:rsidRDefault="00000000" w:rsidRPr="00000000" w14:paraId="0000003E">
    <w:pPr>
      <w:tabs>
        <w:tab w:val="center" w:leader="none" w:pos="4536"/>
        <w:tab w:val="right" w:leader="none" w:pos="9072"/>
      </w:tabs>
      <w:spacing w:after="0" w:line="240" w:lineRule="auto"/>
      <w:rPr>
        <w:rFonts w:ascii="Century Gothic" w:cs="Century Gothic" w:eastAsia="Century Gothic" w:hAnsi="Century Gothic"/>
        <w:color w:val="ff0000"/>
        <w:sz w:val="18"/>
        <w:szCs w:val="18"/>
      </w:rPr>
    </w:pPr>
    <w:r w:rsidDel="00000000" w:rsidR="00000000" w:rsidRPr="00000000">
      <w:rPr>
        <w:rFonts w:ascii="Arial" w:cs="Arial" w:eastAsia="Arial" w:hAnsi="Arial"/>
        <w:color w:val="4baaff"/>
        <w:sz w:val="16"/>
        <w:szCs w:val="16"/>
        <w:rtl w:val="0"/>
      </w:rPr>
      <w:t xml:space="preserve">WARNING: Integrated Management System documents are considered </w:t>
    </w:r>
    <w:r w:rsidDel="00000000" w:rsidR="00000000" w:rsidRPr="00000000">
      <w:rPr>
        <w:rFonts w:ascii="Arial" w:cs="Arial" w:eastAsia="Arial" w:hAnsi="Arial"/>
        <w:b w:val="1"/>
        <w:bCs w:val="1"/>
        <w:color w:val="4baaff"/>
        <w:sz w:val="16"/>
        <w:szCs w:val="16"/>
        <w:rtl w:val="0"/>
      </w:rPr>
      <w:t xml:space="preserve">uncontrolled</w:t>
    </w:r>
    <w:r w:rsidDel="00000000" w:rsidR="00000000" w:rsidRPr="00000000">
      <w:rPr>
        <w:rFonts w:ascii="Arial" w:cs="Arial" w:eastAsia="Arial" w:hAnsi="Arial"/>
        <w:color w:val="4baaff"/>
        <w:sz w:val="16"/>
        <w:szCs w:val="16"/>
        <w:rtl w:val="0"/>
      </w:rPr>
      <w:t xml:space="preserve"> copies once printed. The most up-to-date documents are always available on the </w:t>
    </w:r>
    <w:r w:rsidDel="00000000" w:rsidR="00000000" w:rsidRPr="00000000">
      <w:rPr>
        <w:rFonts w:ascii="Arial" w:cs="Arial" w:eastAsia="Arial" w:hAnsi="Arial"/>
        <w:b w:val="1"/>
        <w:bCs w:val="1"/>
        <w:color w:val="4baaff"/>
        <w:sz w:val="16"/>
        <w:szCs w:val="16"/>
        <w:rtl w:val="0"/>
      </w:rPr>
      <w:t xml:space="preserve">DFDS EYS Platform</w:t>
    </w:r>
    <w:r w:rsidDel="00000000" w:rsidR="00000000" w:rsidRPr="00000000">
      <w:rPr>
        <w:rFonts w:ascii="Arial" w:cs="Arial" w:eastAsia="Arial" w:hAnsi="Arial"/>
        <w:color w:val="4baaff"/>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2b45"/>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5457825</wp:posOffset>
          </wp:positionH>
          <wp:positionV relativeFrom="paragraph">
            <wp:posOffset>161925</wp:posOffset>
          </wp:positionV>
          <wp:extent cx="1051243" cy="4943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1243" cy="494334"/>
                  </a:xfrm>
                  <a:prstGeom prst="rect"/>
                  <a:ln/>
                </pic:spPr>
              </pic:pic>
            </a:graphicData>
          </a:graphic>
        </wp:anchor>
      </w:drawing>
    </w:r>
  </w:p>
  <w:tbl>
    <w:tblPr>
      <w:tblStyle w:val="Table1"/>
      <w:tblW w:w="10800.0" w:type="dxa"/>
      <w:jc w:val="left"/>
      <w:tblInd w:w="-38.0" w:type="dxa"/>
      <w:tblLayout w:type="fixed"/>
      <w:tblLook w:val="0000"/>
    </w:tblPr>
    <w:tblGrid>
      <w:gridCol w:w="1950"/>
      <w:gridCol w:w="5775"/>
      <w:gridCol w:w="3075"/>
      <w:tblGridChange w:id="0">
        <w:tblGrid>
          <w:gridCol w:w="1950"/>
          <w:gridCol w:w="5775"/>
          <w:gridCol w:w="3075"/>
        </w:tblGrid>
      </w:tblGridChange>
    </w:tblGrid>
    <w:tr>
      <w:trPr>
        <w:cantSplit w:val="0"/>
        <w:trHeight w:val="579" w:hRule="atLeast"/>
        <w:tblHeader w:val="0"/>
      </w:trPr>
      <w:tc>
        <w:tcPr>
          <w:shd w:fill="auto" w:val="cle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i w:val="0"/>
              <w:iCs w:val="0"/>
              <w:smallCaps w:val="0"/>
              <w:strike w:val="0"/>
              <w:color w:val="002b45"/>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2b45"/>
              <w:sz w:val="28"/>
              <w:szCs w:val="28"/>
              <w:u w:val="none"/>
              <w:shd w:fill="auto" w:val="clear"/>
              <w:vertAlign w:val="baseline"/>
              <w:rtl w:val="0"/>
            </w:rPr>
            <w:t xml:space="preserve">DAHİLİ/ INTERNAL</w:t>
          </w:r>
          <w:r w:rsidDel="00000000" w:rsidR="00000000" w:rsidRPr="00000000">
            <w:rPr>
              <w:rtl w:val="0"/>
            </w:rPr>
          </w:r>
        </w:p>
      </w:tc>
      <w:tc>
        <w:tcPr>
          <w:shd w:fill="auto" w:val="clear"/>
        </w:tcPr>
        <w:p w:rsidR="00000000" w:rsidDel="00000000" w:rsidP="00000000" w:rsidRDefault="00000000" w:rsidRPr="00000000" w14:paraId="00000023">
          <w:pPr>
            <w:pStyle w:val="Heading1"/>
            <w:keepLines w:val="0"/>
            <w:widowControl w:val="0"/>
            <w:numPr>
              <w:ilvl w:val="0"/>
              <w:numId w:val="1"/>
            </w:numPr>
            <w:tabs>
              <w:tab w:val="left" w:leader="none" w:pos="0"/>
            </w:tabs>
            <w:spacing w:after="0" w:before="0" w:line="240" w:lineRule="auto"/>
            <w:ind w:left="0" w:firstLine="0"/>
            <w:jc w:val="center"/>
            <w:rPr>
              <w:rFonts w:ascii="Arial" w:cs="Arial" w:eastAsia="Arial" w:hAnsi="Arial"/>
              <w:i w:val="1"/>
              <w:iCs w:val="1"/>
              <w:color w:val="002b45"/>
              <w:sz w:val="28"/>
              <w:szCs w:val="28"/>
            </w:rPr>
          </w:pPr>
          <w:r w:rsidDel="00000000" w:rsidR="00000000" w:rsidRPr="00000000">
            <w:rPr>
              <w:rtl w:val="0"/>
            </w:rPr>
          </w:r>
        </w:p>
        <w:p w:rsidR="00000000" w:rsidDel="00000000" w:rsidP="00000000" w:rsidRDefault="00000000" w:rsidRPr="00000000" w14:paraId="00000024">
          <w:pPr>
            <w:pStyle w:val="Heading1"/>
            <w:keepLines w:val="0"/>
            <w:numPr>
              <w:ilvl w:val="0"/>
              <w:numId w:val="1"/>
            </w:numPr>
            <w:spacing w:after="0" w:before="0" w:line="240" w:lineRule="auto"/>
            <w:jc w:val="center"/>
            <w:rPr>
              <w:rFonts w:ascii="Arial" w:cs="Arial" w:eastAsia="Arial" w:hAnsi="Arial"/>
              <w:color w:val="002b45"/>
              <w:sz w:val="28"/>
              <w:szCs w:val="28"/>
            </w:rPr>
          </w:pPr>
          <w:bookmarkStart w:colFirst="0" w:colLast="0" w:name="_t5xlqpmqje22" w:id="0"/>
          <w:bookmarkEnd w:id="0"/>
          <w:r w:rsidDel="00000000" w:rsidR="00000000" w:rsidRPr="00000000">
            <w:rPr>
              <w:rFonts w:ascii="Arial" w:cs="Arial" w:eastAsia="Arial" w:hAnsi="Arial"/>
              <w:color w:val="002b45"/>
              <w:sz w:val="28"/>
              <w:szCs w:val="28"/>
              <w:rtl w:val="0"/>
            </w:rPr>
            <w:t xml:space="preserve">INTEGRATED MANAGEMENT SYSTEM</w:t>
          </w:r>
        </w:p>
      </w:tc>
      <w:tc>
        <w:tcPr>
          <w:shd w:fill="auto" w:val="clear"/>
        </w:tcPr>
        <w:p w:rsidR="00000000" w:rsidDel="00000000" w:rsidP="00000000" w:rsidRDefault="00000000" w:rsidRPr="00000000" w14:paraId="00000025">
          <w:pPr>
            <w:pStyle w:val="Heading1"/>
            <w:keepLines w:val="0"/>
            <w:spacing w:after="0" w:before="0" w:line="240" w:lineRule="auto"/>
            <w:rPr>
              <w:rFonts w:ascii="Arial" w:cs="Arial" w:eastAsia="Arial" w:hAnsi="Arial"/>
              <w:b w:val="0"/>
              <w:bCs w:val="0"/>
              <w:i w:val="0"/>
              <w:iCs w:val="0"/>
              <w:smallCaps w:val="0"/>
              <w:strike w:val="0"/>
              <w:color w:val="002b45"/>
              <w:sz w:val="24"/>
              <w:szCs w:val="24"/>
              <w:u w:val="none"/>
              <w:shd w:fill="auto" w:val="clear"/>
              <w:vertAlign w:val="baseline"/>
            </w:rPr>
          </w:pPr>
          <w:bookmarkStart w:colFirst="0" w:colLast="0" w:name="_w77ytbcrzz3w" w:id="1"/>
          <w:bookmarkEnd w:id="1"/>
          <w:r w:rsidDel="00000000" w:rsidR="00000000" w:rsidRPr="00000000">
            <w:rPr>
              <w:rtl w:val="0"/>
            </w:rPr>
          </w:r>
        </w:p>
      </w:tc>
    </w:tr>
  </w:tbl>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i w:val="0"/>
        <w:iCs w:val="0"/>
        <w:smallCaps w:val="0"/>
        <w:strike w:val="0"/>
        <w:color w:val="002b45"/>
        <w:sz w:val="24"/>
        <w:szCs w:val="24"/>
        <w:u w:val="none"/>
        <w:shd w:fill="auto" w:val="clear"/>
        <w:vertAlign w:val="baseline"/>
      </w:rPr>
    </w:pPr>
    <w:r w:rsidDel="00000000" w:rsidR="00000000" w:rsidRPr="00000000">
      <w:rPr>
        <w:rtl w:val="0"/>
      </w:rPr>
    </w:r>
  </w:p>
  <w:tbl>
    <w:tblPr>
      <w:tblStyle w:val="Table2"/>
      <w:tblW w:w="10140.0" w:type="dxa"/>
      <w:jc w:val="left"/>
      <w:tblLayout w:type="fixed"/>
      <w:tblLook w:val="0000"/>
    </w:tblPr>
    <w:tblGrid>
      <w:gridCol w:w="1620"/>
      <w:gridCol w:w="2370"/>
      <w:gridCol w:w="2220"/>
      <w:gridCol w:w="1545"/>
      <w:gridCol w:w="2385"/>
      <w:tblGridChange w:id="0">
        <w:tblGrid>
          <w:gridCol w:w="1620"/>
          <w:gridCol w:w="2370"/>
          <w:gridCol w:w="2220"/>
          <w:gridCol w:w="1545"/>
          <w:gridCol w:w="2385"/>
        </w:tblGrid>
      </w:tblGridChange>
    </w:tblGrid>
    <w:tr>
      <w:trPr>
        <w:cantSplit w:val="0"/>
        <w:trHeight w:val="45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after="240" w:before="240" w:line="240" w:lineRule="auto"/>
            <w:jc w:val="both"/>
            <w:rPr>
              <w:rFonts w:ascii="Arial" w:cs="Arial" w:eastAsia="Arial" w:hAnsi="Arial"/>
              <w:b w:val="1"/>
              <w:bCs w:val="1"/>
              <w:i w:val="0"/>
              <w:iCs w:val="0"/>
              <w:smallCaps w:val="0"/>
              <w:strike w:val="0"/>
              <w:color w:val="002b45"/>
              <w:sz w:val="26"/>
              <w:szCs w:val="26"/>
              <w:shd w:fill="auto" w:val="clear"/>
              <w:vertAlign w:val="baseline"/>
            </w:rPr>
          </w:pPr>
          <w:r w:rsidDel="00000000" w:rsidR="00000000" w:rsidRPr="00000000">
            <w:rPr>
              <w:rFonts w:ascii="Arial" w:cs="Arial" w:eastAsia="Arial" w:hAnsi="Arial"/>
              <w:b w:val="1"/>
              <w:bCs w:val="1"/>
              <w:color w:val="002b45"/>
              <w:sz w:val="26"/>
              <w:szCs w:val="26"/>
              <w:rtl w:val="0"/>
            </w:rPr>
            <w:t xml:space="preserve">Environmental Management System Policy</w:t>
          </w: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b w:val="1"/>
              <w:bCs w:val="1"/>
              <w:color w:val="002b45"/>
              <w:sz w:val="20"/>
              <w:szCs w:val="20"/>
              <w:rtl w:val="0"/>
            </w:rPr>
            <w:t xml:space="preserve">Document No:</w:t>
          </w: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color w:val="002b45"/>
              <w:sz w:val="20"/>
              <w:szCs w:val="20"/>
            </w:rPr>
          </w:pPr>
          <w:r w:rsidDel="00000000" w:rsidR="00000000" w:rsidRPr="00000000">
            <w:rPr>
              <w:rtl w:val="0"/>
            </w:rPr>
          </w:r>
        </w:p>
        <w:p w:rsidR="00000000" w:rsidDel="00000000" w:rsidP="00000000" w:rsidRDefault="00000000" w:rsidRPr="00000000" w14:paraId="0000002E">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color w:val="002b45"/>
              <w:sz w:val="20"/>
              <w:szCs w:val="20"/>
              <w:rtl w:val="0"/>
            </w:rPr>
            <w:t xml:space="preserve">PL.3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b w:val="1"/>
              <w:bCs w:val="1"/>
              <w:color w:val="002b45"/>
              <w:sz w:val="20"/>
              <w:szCs w:val="20"/>
              <w:rtl w:val="0"/>
            </w:rPr>
            <w:t xml:space="preserve">Effective Date:</w:t>
          </w:r>
          <w:r w:rsidDel="00000000" w:rsidR="00000000" w:rsidRPr="00000000">
            <w:rPr>
              <w:rtl w:val="0"/>
            </w:rPr>
          </w:r>
        </w:p>
        <w:p w:rsidR="00000000" w:rsidDel="00000000" w:rsidP="00000000" w:rsidRDefault="00000000" w:rsidRPr="00000000" w14:paraId="00000030">
          <w:pPr>
            <w:spacing w:after="0" w:line="240" w:lineRule="auto"/>
            <w:jc w:val="center"/>
            <w:rPr>
              <w:rFonts w:ascii="Arial" w:cs="Arial" w:eastAsia="Arial" w:hAnsi="Arial"/>
              <w:color w:val="002b45"/>
              <w:sz w:val="20"/>
              <w:szCs w:val="20"/>
            </w:rPr>
          </w:pPr>
          <w:r w:rsidDel="00000000" w:rsidR="00000000" w:rsidRPr="00000000">
            <w:rPr>
              <w:rtl w:val="0"/>
            </w:rPr>
          </w:r>
        </w:p>
        <w:p w:rsidR="00000000" w:rsidDel="00000000" w:rsidP="00000000" w:rsidRDefault="00000000" w:rsidRPr="00000000" w14:paraId="00000031">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color w:val="002b45"/>
              <w:sz w:val="20"/>
              <w:szCs w:val="20"/>
              <w:rtl w:val="0"/>
            </w:rPr>
            <w:t xml:space="preserve">01.02.2025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b w:val="1"/>
              <w:bCs w:val="1"/>
              <w:color w:val="002b45"/>
              <w:sz w:val="20"/>
              <w:szCs w:val="20"/>
              <w:rtl w:val="0"/>
            </w:rPr>
            <w:t xml:space="preserve">Revision Date :</w:t>
          </w:r>
          <w:r w:rsidDel="00000000" w:rsidR="00000000" w:rsidRPr="00000000">
            <w:rPr>
              <w:rtl w:val="0"/>
            </w:rPr>
          </w:r>
        </w:p>
        <w:p w:rsidR="00000000" w:rsidDel="00000000" w:rsidP="00000000" w:rsidRDefault="00000000" w:rsidRPr="00000000" w14:paraId="00000033">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color w:val="002b45"/>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b w:val="1"/>
              <w:bCs w:val="1"/>
              <w:color w:val="002b45"/>
              <w:sz w:val="20"/>
              <w:szCs w:val="20"/>
              <w:rtl w:val="0"/>
            </w:rPr>
            <w:t xml:space="preserve">Revision No :</w:t>
          </w:r>
          <w:r w:rsidDel="00000000" w:rsidR="00000000" w:rsidRPr="00000000">
            <w:rPr>
              <w:rtl w:val="0"/>
            </w:rPr>
          </w:r>
        </w:p>
        <w:p w:rsidR="00000000" w:rsidDel="00000000" w:rsidP="00000000" w:rsidRDefault="00000000" w:rsidRPr="00000000" w14:paraId="00000035">
          <w:pPr>
            <w:spacing w:after="0" w:line="240" w:lineRule="auto"/>
            <w:jc w:val="center"/>
            <w:rPr>
              <w:rFonts w:ascii="Arial" w:cs="Arial" w:eastAsia="Arial" w:hAnsi="Arial"/>
              <w:color w:val="002b45"/>
              <w:sz w:val="20"/>
              <w:szCs w:val="20"/>
            </w:rPr>
          </w:pPr>
          <w:r w:rsidDel="00000000" w:rsidR="00000000" w:rsidRPr="00000000">
            <w:rPr>
              <w:rtl w:val="0"/>
            </w:rPr>
          </w:r>
        </w:p>
        <w:p w:rsidR="00000000" w:rsidDel="00000000" w:rsidP="00000000" w:rsidRDefault="00000000" w:rsidRPr="00000000" w14:paraId="00000036">
          <w:pPr>
            <w:spacing w:after="0" w:line="240" w:lineRule="auto"/>
            <w:jc w:val="center"/>
            <w:rPr>
              <w:rFonts w:ascii="Arial" w:cs="Arial" w:eastAsia="Arial" w:hAnsi="Arial"/>
              <w:b w:val="1"/>
              <w:bCs w:val="1"/>
              <w:color w:val="002b45"/>
              <w:sz w:val="20"/>
              <w:szCs w:val="20"/>
            </w:rPr>
          </w:pPr>
          <w:r w:rsidDel="00000000" w:rsidR="00000000" w:rsidRPr="00000000">
            <w:rPr>
              <w:rFonts w:ascii="Arial" w:cs="Arial" w:eastAsia="Arial" w:hAnsi="Arial"/>
              <w:color w:val="002b45"/>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b w:val="1"/>
              <w:bCs w:val="1"/>
              <w:color w:val="002b45"/>
              <w:sz w:val="20"/>
              <w:szCs w:val="20"/>
              <w:rtl w:val="0"/>
            </w:rPr>
            <w:t xml:space="preserve">Review Date :</w:t>
          </w:r>
          <w:r w:rsidDel="00000000" w:rsidR="00000000" w:rsidRPr="00000000">
            <w:rPr>
              <w:rtl w:val="0"/>
            </w:rPr>
          </w:r>
        </w:p>
        <w:p w:rsidR="00000000" w:rsidDel="00000000" w:rsidP="00000000" w:rsidRDefault="00000000" w:rsidRPr="00000000" w14:paraId="00000038">
          <w:pPr>
            <w:spacing w:after="0" w:line="240" w:lineRule="auto"/>
            <w:jc w:val="center"/>
            <w:rPr>
              <w:rFonts w:ascii="Arial" w:cs="Arial" w:eastAsia="Arial" w:hAnsi="Arial"/>
              <w:color w:val="002b45"/>
              <w:sz w:val="20"/>
              <w:szCs w:val="20"/>
            </w:rPr>
          </w:pPr>
          <w:r w:rsidDel="00000000" w:rsidR="00000000" w:rsidRPr="00000000">
            <w:rPr>
              <w:rtl w:val="0"/>
            </w:rPr>
          </w:r>
        </w:p>
        <w:p w:rsidR="00000000" w:rsidDel="00000000" w:rsidP="00000000" w:rsidRDefault="00000000" w:rsidRPr="00000000" w14:paraId="00000039">
          <w:pPr>
            <w:spacing w:after="0" w:line="240" w:lineRule="auto"/>
            <w:jc w:val="center"/>
            <w:rPr>
              <w:rFonts w:ascii="Arial" w:cs="Arial" w:eastAsia="Arial" w:hAnsi="Arial"/>
              <w:color w:val="002b45"/>
              <w:sz w:val="20"/>
              <w:szCs w:val="20"/>
            </w:rPr>
          </w:pPr>
          <w:r w:rsidDel="00000000" w:rsidR="00000000" w:rsidRPr="00000000">
            <w:rPr>
              <w:rFonts w:ascii="Arial" w:cs="Arial" w:eastAsia="Arial" w:hAnsi="Arial"/>
              <w:color w:val="002b45"/>
              <w:sz w:val="20"/>
              <w:szCs w:val="20"/>
              <w:rtl w:val="0"/>
            </w:rPr>
            <w:t xml:space="preserve">01.02.2026</w:t>
          </w:r>
        </w:p>
      </w:tc>
    </w:tr>
  </w:tbl>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i w:val="0"/>
        <w:iCs w:val="0"/>
        <w:smallCaps w:val="0"/>
        <w:strike w:val="0"/>
        <w:color w:val="002b45"/>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