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  <w:rtl w:val="0"/>
        </w:rPr>
        <w:t xml:space="preserve">ISO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2b45"/>
          <w:u w:val="single"/>
          <w:rtl w:val="0"/>
        </w:rPr>
        <w:t xml:space="preserve">10002 : 2018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2b45"/>
          <w:highlight w:val="white"/>
          <w:u w:val="single"/>
          <w:rtl w:val="0"/>
        </w:rPr>
        <w:t xml:space="preserve">Müşteri Memnuniyeti Yönetim Sistemi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  <w:rtl w:val="0"/>
        </w:rPr>
        <w:t xml:space="preserve"> Politikası;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DFDS Türkiye;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Müşteri ilişkilerimizi stratejik bir yaklaşımla ele alarak, ihtiyaçlarına doğru ve etkin çözümler sunmayı,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Müşteri memnuniyetini tüm süreçlerimizin merkezinde tutarak, müşterilerimizi anlamayı ve beklentilerinin ötesine geçmeyi,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Hizmet kalitemizi en üst seviyede sürdürmeyi,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Müşteri şikâyetlerine 24 saat içerisinde geri dönüş yapmayı, benzersiz hizmet kalitesinin temel şartı olarak görmeyi,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Şikâyetlere sunduğumuz çözümleri etkili, verimli ve sürdürülebilir biçimde sonuçlandırmayı,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Şikâyetlerin çözüm süreçlerinde müşterilerimizi düzenli olarak bilgilendirmeyi, doğru çözümlerin öncelikli ilkesi olarak kabul etmeyi,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Yasal mevzuata ve mali sorumluluklara tam uyum sağlamayı,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Şikâyet yönetiminde “gizlilik ilkesini” esas alarak şeffaf, tarafsız ve objektif yaklaşımı sürdürmeyi, gerekli kaynakları sağlamayı,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Teknolojik hizmetlerimizi sürekli geliştirerek başarımızı sürdürülebilir kılmayı,</w:t>
        <w:br w:type="textWrapping"/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taahhüt eder.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DFDS Türkiye Logistics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0" w:firstLine="0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07" w:top="1440" w:left="1077" w:right="10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color w:val="ff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4536"/>
        <w:tab w:val="right" w:leader="none" w:pos="9072"/>
      </w:tabs>
      <w:spacing w:after="0" w:line="276" w:lineRule="auto"/>
      <w:jc w:val="both"/>
      <w:rPr>
        <w:rFonts w:ascii="Century Gothic" w:cs="Century Gothic" w:eastAsia="Century Gothic" w:hAnsi="Century Gothic"/>
        <w:color w:val="ff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2b45"/>
        <w:highlight w:val="white"/>
        <w:rtl w:val="0"/>
      </w:rPr>
      <w:t xml:space="preserve">Bu politika DFDS Grubu'na ait olan </w:t>
    </w:r>
    <w:r w:rsidDel="00000000" w:rsidR="00000000" w:rsidRPr="00000000">
      <w:rPr>
        <w:rFonts w:ascii="Arial" w:cs="Arial" w:eastAsia="Arial" w:hAnsi="Arial"/>
        <w:color w:val="222222"/>
        <w:rtl w:val="0"/>
      </w:rPr>
      <w:t xml:space="preserve">DFDS Lojistik A.Ş.</w:t>
    </w:r>
    <w:r w:rsidDel="00000000" w:rsidR="00000000" w:rsidRPr="00000000">
      <w:rPr>
        <w:rFonts w:ascii="Arial" w:cs="Arial" w:eastAsia="Arial" w:hAnsi="Arial"/>
        <w:color w:val="002b45"/>
        <w:highlight w:val="white"/>
        <w:rtl w:val="0"/>
      </w:rPr>
      <w:t xml:space="preserve">, </w:t>
    </w:r>
    <w:r w:rsidDel="00000000" w:rsidR="00000000" w:rsidRPr="00000000">
      <w:rPr>
        <w:rFonts w:ascii="Arial" w:cs="Arial" w:eastAsia="Arial" w:hAnsi="Arial"/>
        <w:color w:val="222222"/>
        <w:rtl w:val="0"/>
      </w:rPr>
      <w:t xml:space="preserve">DFDS Taşımacılık Hizmetleri Ltd. Şti</w:t>
    </w:r>
    <w:r w:rsidDel="00000000" w:rsidR="00000000" w:rsidRPr="00000000">
      <w:rPr>
        <w:rFonts w:ascii="Arial" w:cs="Arial" w:eastAsia="Arial" w:hAnsi="Arial"/>
        <w:color w:val="002b45"/>
        <w:highlight w:val="white"/>
        <w:rtl w:val="0"/>
      </w:rPr>
      <w:t xml:space="preserve">. ve Ekol Gümrük Müşavirliği Tic. LTD. ŞTİ. </w:t>
    </w:r>
    <w:r w:rsidDel="00000000" w:rsidR="00000000" w:rsidRPr="00000000">
      <w:rPr>
        <w:rFonts w:ascii="Arial" w:cs="Arial" w:eastAsia="Arial" w:hAnsi="Arial"/>
        <w:color w:val="222222"/>
        <w:highlight w:val="white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2b45"/>
        <w:rtl w:val="0"/>
      </w:rPr>
      <w:t xml:space="preserve">şirketlerini kapsamaktadır.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center" w:leader="none" w:pos="4819"/>
        <w:tab w:val="right" w:leader="none" w:pos="9638"/>
      </w:tabs>
      <w:spacing w:after="0" w:line="276" w:lineRule="auto"/>
      <w:rPr>
        <w:rFonts w:ascii="Arial" w:cs="Arial" w:eastAsia="Arial" w:hAnsi="Arial"/>
        <w:color w:val="002b45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2b45"/>
        <w:sz w:val="16"/>
        <w:szCs w:val="16"/>
        <w:rtl w:val="0"/>
      </w:rPr>
      <w:t xml:space="preserve">PL.5  RV.0</w:t>
    </w:r>
  </w:p>
  <w:p w:rsidR="00000000" w:rsidDel="00000000" w:rsidP="00000000" w:rsidRDefault="00000000" w:rsidRPr="00000000" w14:paraId="00000032">
    <w:pPr>
      <w:tabs>
        <w:tab w:val="center" w:leader="none" w:pos="4536"/>
        <w:tab w:val="right" w:leader="none" w:pos="9072"/>
      </w:tabs>
      <w:spacing w:after="0" w:line="240" w:lineRule="auto"/>
      <w:rPr>
        <w:rFonts w:ascii="Century Gothic" w:cs="Century Gothic" w:eastAsia="Century Gothic" w:hAnsi="Century Gothic"/>
        <w:color w:val="ff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UYARI :  Entegre Yönetimleri dokümanları çıktı alındıktan sonra </w:t>
    </w:r>
    <w:r w:rsidDel="00000000" w:rsidR="00000000" w:rsidRPr="00000000">
      <w:rPr>
        <w:rFonts w:ascii="Arial" w:cs="Arial" w:eastAsia="Arial" w:hAnsi="Arial"/>
        <w:b w:val="1"/>
        <w:bCs w:val="1"/>
        <w:color w:val="4baaff"/>
        <w:sz w:val="16"/>
        <w:szCs w:val="16"/>
        <w:rtl w:val="0"/>
      </w:rPr>
      <w:t xml:space="preserve">kontrolsüz kopya</w:t>
    </w: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 muamelesi görür. Her zaman en güncel dokümantasyon</w:t>
    </w:r>
    <w:r w:rsidDel="00000000" w:rsidR="00000000" w:rsidRPr="00000000">
      <w:rPr>
        <w:rFonts w:ascii="Arial" w:cs="Arial" w:eastAsia="Arial" w:hAnsi="Arial"/>
        <w:b w:val="1"/>
        <w:bCs w:val="1"/>
        <w:color w:val="4baaff"/>
        <w:sz w:val="16"/>
        <w:szCs w:val="16"/>
        <w:rtl w:val="0"/>
      </w:rPr>
      <w:t xml:space="preserve"> DFDS EYS Platformu</w:t>
    </w: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 altında yer alır.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5457825</wp:posOffset>
          </wp:positionH>
          <wp:positionV relativeFrom="paragraph">
            <wp:posOffset>161925</wp:posOffset>
          </wp:positionV>
          <wp:extent cx="1051243" cy="49433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243" cy="494334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10803.000000000002" w:type="dxa"/>
      <w:jc w:val="left"/>
      <w:tblInd w:w="-38.0" w:type="dxa"/>
      <w:tblLayout w:type="fixed"/>
      <w:tblLook w:val="0000"/>
    </w:tblPr>
    <w:tblGrid>
      <w:gridCol w:w="2505"/>
      <w:gridCol w:w="4697"/>
      <w:gridCol w:w="3601"/>
      <w:tblGridChange w:id="0">
        <w:tblGrid>
          <w:gridCol w:w="2505"/>
          <w:gridCol w:w="4697"/>
          <w:gridCol w:w="3601"/>
        </w:tblGrid>
      </w:tblGridChange>
    </w:tblGrid>
    <w:tr>
      <w:trPr>
        <w:cantSplit w:val="0"/>
        <w:trHeight w:val="579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DAHİLİ/ INTERNAL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C">
          <w:pPr>
            <w:pStyle w:val="Heading1"/>
            <w:keepLines w:val="0"/>
            <w:widowControl w:val="0"/>
            <w:numPr>
              <w:ilvl w:val="0"/>
              <w:numId w:val="2"/>
            </w:numPr>
            <w:tabs>
              <w:tab w:val="left" w:leader="none" w:pos="0"/>
            </w:tabs>
            <w:spacing w:after="0" w:before="0" w:line="240" w:lineRule="auto"/>
            <w:ind w:left="0" w:firstLine="0"/>
            <w:jc w:val="center"/>
            <w:rPr>
              <w:rFonts w:ascii="Arial" w:cs="Arial" w:eastAsia="Arial" w:hAnsi="Arial"/>
              <w:i w:val="1"/>
              <w:iCs w:val="1"/>
              <w:color w:val="002b45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pStyle w:val="Heading1"/>
            <w:keepLines w:val="0"/>
            <w:widowControl w:val="0"/>
            <w:numPr>
              <w:ilvl w:val="0"/>
              <w:numId w:val="2"/>
            </w:numPr>
            <w:tabs>
              <w:tab w:val="left" w:leader="none" w:pos="0"/>
            </w:tabs>
            <w:spacing w:after="0" w:before="0" w:line="240" w:lineRule="auto"/>
            <w:ind w:left="0" w:firstLine="0"/>
            <w:jc w:val="center"/>
            <w:rPr>
              <w:rFonts w:ascii="Arial" w:cs="Arial" w:eastAsia="Arial" w:hAnsi="Arial"/>
              <w:color w:val="002b45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8"/>
              <w:szCs w:val="28"/>
              <w:rtl w:val="0"/>
            </w:rPr>
            <w:t xml:space="preserve">ENTEGRE YÖNETİM SİSTEMLERİ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E">
          <w:pPr>
            <w:pStyle w:val="Heading1"/>
            <w:keepLines w:val="0"/>
            <w:spacing w:after="0" w:before="0" w:line="240" w:lineRule="auto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2b45"/>
              <w:sz w:val="24"/>
              <w:szCs w:val="24"/>
              <w:u w:val="none"/>
              <w:shd w:fill="auto" w:val="clear"/>
              <w:vertAlign w:val="baseline"/>
            </w:rPr>
          </w:pPr>
          <w:bookmarkStart w:colFirst="0" w:colLast="0" w:name="_898hur9ko5kx" w:id="0"/>
          <w:bookmarkEnd w:id="0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140.0" w:type="dxa"/>
      <w:jc w:val="left"/>
      <w:tblLayout w:type="fixed"/>
      <w:tblLook w:val="0000"/>
    </w:tblPr>
    <w:tblGrid>
      <w:gridCol w:w="1620"/>
      <w:gridCol w:w="2370"/>
      <w:gridCol w:w="2220"/>
      <w:gridCol w:w="1545"/>
      <w:gridCol w:w="2385"/>
      <w:tblGridChange w:id="0">
        <w:tblGrid>
          <w:gridCol w:w="1620"/>
          <w:gridCol w:w="2370"/>
          <w:gridCol w:w="2220"/>
          <w:gridCol w:w="1545"/>
          <w:gridCol w:w="2385"/>
        </w:tblGrid>
      </w:tblGridChange>
    </w:tblGrid>
    <w:tr>
      <w:trPr>
        <w:cantSplit w:val="0"/>
        <w:trHeight w:val="450" w:hRule="atLeast"/>
        <w:tblHeader w:val="0"/>
      </w:trPr>
      <w:tc>
        <w:tcPr>
          <w:gridSpan w:val="5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6"/>
              <w:szCs w:val="26"/>
              <w:rtl w:val="0"/>
            </w:rPr>
            <w:t xml:space="preserve">Müşteri Memnuniyeti Politikası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55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Doküman No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PL.</w:t>
          </w: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0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Yayın</w:t>
          </w: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Tarihi :</w:t>
          </w: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01.02.2025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Revizyon Tarihi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-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Revizyon No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6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Sayfa Sayısı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