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CA17E1" w14:paraId="707C356D" w14:textId="77777777" w:rsidTr="00040684">
        <w:trPr>
          <w:trHeight w:val="227"/>
        </w:trPr>
        <w:tc>
          <w:tcPr>
            <w:tcW w:w="5000" w:type="pct"/>
            <w:gridSpan w:val="2"/>
          </w:tcPr>
          <w:p w14:paraId="198A7A22" w14:textId="2F5C3EB3" w:rsidR="0031158E" w:rsidRPr="00AE1E5C" w:rsidRDefault="00835894" w:rsidP="00A95E94">
            <w:pPr>
              <w:pStyle w:val="Titel"/>
              <w:framePr w:hSpace="0" w:wrap="auto" w:yAlign="inline"/>
              <w:suppressOverlap w:val="0"/>
              <w:rPr>
                <w:rFonts w:ascii="1 dormakaba" w:hAnsi="1 dormakaba"/>
                <w:highlight w:val="yellow"/>
                <w:lang w:val="de-DE"/>
              </w:rPr>
            </w:pPr>
            <w:r w:rsidRPr="00835894">
              <w:rPr>
                <w:rFonts w:ascii="1 dormakaba" w:hAnsi="1 dormakaba"/>
                <w:lang w:val="de-DE"/>
              </w:rPr>
              <w:t>BAU 2023: Ein voller Erfolg für dormakaba</w:t>
            </w:r>
          </w:p>
        </w:tc>
      </w:tr>
      <w:tr w:rsidR="0031158E" w:rsidRPr="00CA17E1"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3310725A" w:rsidR="00664F1A" w:rsidRPr="00AE1E5C" w:rsidRDefault="00593430" w:rsidP="00664F1A">
      <w:pPr>
        <w:rPr>
          <w:rFonts w:ascii="1 dormakaba" w:hAnsi="1 dormakaba"/>
          <w:b/>
          <w:bCs/>
          <w:lang w:val="de-DE"/>
        </w:rPr>
      </w:pPr>
      <w:r w:rsidRPr="00AE1E5C">
        <w:rPr>
          <w:rFonts w:ascii="1 dormakaba" w:hAnsi="1 dormakaba"/>
          <w:b/>
          <w:bCs/>
          <w:lang w:val="de-DE"/>
        </w:rPr>
        <w:t xml:space="preserve">Ennepetal, </w:t>
      </w:r>
      <w:r w:rsidR="00835894">
        <w:rPr>
          <w:rFonts w:ascii="1 dormakaba" w:hAnsi="1 dormakaba"/>
          <w:b/>
          <w:bCs/>
          <w:lang w:val="de-DE"/>
        </w:rPr>
        <w:t>26</w:t>
      </w:r>
      <w:r w:rsidR="00193A73" w:rsidRPr="00AE1E5C">
        <w:rPr>
          <w:rFonts w:ascii="1 dormakaba" w:hAnsi="1 dormakaba"/>
          <w:b/>
          <w:bCs/>
          <w:lang w:val="de-DE"/>
        </w:rPr>
        <w:t>.</w:t>
      </w:r>
      <w:r w:rsidRPr="00AE1E5C">
        <w:rPr>
          <w:rFonts w:ascii="1 dormakaba" w:hAnsi="1 dormakaba"/>
          <w:b/>
          <w:bCs/>
          <w:lang w:val="de-DE"/>
        </w:rPr>
        <w:t xml:space="preserve"> </w:t>
      </w:r>
      <w:r w:rsidR="00D53467" w:rsidRPr="00AE1E5C">
        <w:rPr>
          <w:rFonts w:ascii="1 dormakaba" w:hAnsi="1 dormakaba"/>
          <w:b/>
          <w:bCs/>
          <w:lang w:val="de-DE"/>
        </w:rPr>
        <w:t>April</w:t>
      </w:r>
      <w:r w:rsidR="005101CB" w:rsidRPr="00AE1E5C">
        <w:rPr>
          <w:rFonts w:ascii="1 dormakaba" w:hAnsi="1 dormakaba"/>
          <w:b/>
          <w:bCs/>
          <w:lang w:val="de-DE"/>
        </w:rPr>
        <w:t xml:space="preserve"> </w:t>
      </w:r>
      <w:r w:rsidRPr="00AE1E5C">
        <w:rPr>
          <w:rFonts w:ascii="1 dormakaba" w:hAnsi="1 dormakaba"/>
          <w:b/>
          <w:bCs/>
          <w:lang w:val="de-DE"/>
        </w:rPr>
        <w:t>202</w:t>
      </w:r>
      <w:r w:rsidR="005101CB" w:rsidRPr="00AE1E5C">
        <w:rPr>
          <w:rFonts w:ascii="1 dormakaba" w:hAnsi="1 dormakaba"/>
          <w:b/>
          <w:bCs/>
          <w:lang w:val="de-DE"/>
        </w:rPr>
        <w:t>3</w:t>
      </w:r>
      <w:r w:rsidRPr="00AE1E5C">
        <w:rPr>
          <w:rFonts w:ascii="1 dormakaba" w:hAnsi="1 dormakaba"/>
          <w:b/>
          <w:bCs/>
          <w:lang w:val="de-DE"/>
        </w:rPr>
        <w:t xml:space="preserve"> – </w:t>
      </w:r>
      <w:r w:rsidR="00835894" w:rsidRPr="00835894">
        <w:rPr>
          <w:rFonts w:ascii="1 dormakaba" w:hAnsi="1 dormakaba"/>
          <w:b/>
          <w:bCs/>
          <w:lang w:val="de-DE"/>
        </w:rPr>
        <w:t>Nach über vier Jahren Pause meldete sich die BAU mit einem hervorragenden Ergebnis zurück. Rund 190.000 Besucher informierten sich zwischen dem 17. und 22. April auf dem Gelände der Messe München über Neuheiten und Trends der 2.260 Aussteller aus 49 Ländern. Auch dormakaba war mit einem großen, sehr schönen, klar strukturierten Stand vertreten, der bei den Besuchern sehr gut ankam.</w:t>
      </w:r>
    </w:p>
    <w:p w14:paraId="0A059A74" w14:textId="59134B3D" w:rsidR="00681CF3" w:rsidRPr="00AE1E5C" w:rsidRDefault="00835894" w:rsidP="00681CF3">
      <w:pPr>
        <w:pStyle w:val="StandardWeb"/>
        <w:rPr>
          <w:rFonts w:ascii="1 dormakaba" w:hAnsi="1 dormakaba" w:cs="Arial"/>
          <w:sz w:val="19"/>
          <w:szCs w:val="19"/>
        </w:rPr>
      </w:pPr>
      <w:r w:rsidRPr="00835894">
        <w:rPr>
          <w:rFonts w:ascii="1 dormakaba" w:hAnsi="1 dormakaba" w:cs="Arial"/>
          <w:sz w:val="19"/>
          <w:szCs w:val="19"/>
        </w:rPr>
        <w:t xml:space="preserve">Ein optischer Blickfang im Eingangsbereich war die riesige </w:t>
      </w:r>
      <w:proofErr w:type="spellStart"/>
      <w:r w:rsidRPr="00835894">
        <w:rPr>
          <w:rFonts w:ascii="1 dormakaba" w:hAnsi="1 dormakaba" w:cs="Arial"/>
          <w:sz w:val="19"/>
          <w:szCs w:val="19"/>
        </w:rPr>
        <w:t>Ganzglas</w:t>
      </w:r>
      <w:proofErr w:type="spellEnd"/>
      <w:r w:rsidRPr="00835894">
        <w:rPr>
          <w:rFonts w:ascii="1 dormakaba" w:hAnsi="1 dormakaba" w:cs="Arial"/>
          <w:sz w:val="19"/>
          <w:szCs w:val="19"/>
        </w:rPr>
        <w:t xml:space="preserve">-Karusselltür KTV ATRIUM FLEX, die so manchen Besucher zum Staunen brachte. Auf dieser wichtigsten Bühne für Innovationen und Premieren im Bausegment präsentierte das Unternehmen seine nachhaltigen Tür- und </w:t>
      </w:r>
      <w:r>
        <w:rPr>
          <w:rFonts w:ascii="1 dormakaba" w:hAnsi="1 dormakaba" w:cs="Arial"/>
          <w:sz w:val="19"/>
          <w:szCs w:val="19"/>
        </w:rPr>
        <w:t>Z</w:t>
      </w:r>
      <w:r w:rsidRPr="00835894">
        <w:rPr>
          <w:rFonts w:ascii="1 dormakaba" w:hAnsi="1 dormakaba" w:cs="Arial"/>
          <w:sz w:val="19"/>
          <w:szCs w:val="19"/>
        </w:rPr>
        <w:t>utritts</w:t>
      </w:r>
      <w:r>
        <w:rPr>
          <w:rFonts w:ascii="1 dormakaba" w:hAnsi="1 dormakaba" w:cs="Arial"/>
          <w:sz w:val="19"/>
          <w:szCs w:val="19"/>
        </w:rPr>
        <w:t>-</w:t>
      </w:r>
      <w:r w:rsidRPr="00835894">
        <w:rPr>
          <w:rFonts w:ascii="1 dormakaba" w:hAnsi="1 dormakaba" w:cs="Arial"/>
          <w:sz w:val="19"/>
          <w:szCs w:val="19"/>
        </w:rPr>
        <w:t xml:space="preserve">lösungen. Das reichte von einem intelligenten automatischen Türsystem, einem Energiekalkulator und dem umfassenden </w:t>
      </w:r>
      <w:proofErr w:type="spellStart"/>
      <w:r w:rsidRPr="00835894">
        <w:rPr>
          <w:rFonts w:ascii="1 dormakaba" w:hAnsi="1 dormakaba" w:cs="Arial"/>
          <w:sz w:val="19"/>
          <w:szCs w:val="19"/>
        </w:rPr>
        <w:t>EntriWorX</w:t>
      </w:r>
      <w:proofErr w:type="spellEnd"/>
      <w:r w:rsidRPr="00835894">
        <w:rPr>
          <w:rFonts w:ascii="1 dormakaba" w:hAnsi="1 dormakaba" w:cs="Arial"/>
          <w:sz w:val="19"/>
          <w:szCs w:val="19"/>
        </w:rPr>
        <w:t xml:space="preserve"> </w:t>
      </w:r>
      <w:proofErr w:type="spellStart"/>
      <w:r w:rsidRPr="00835894">
        <w:rPr>
          <w:rFonts w:ascii="1 dormakaba" w:hAnsi="1 dormakaba" w:cs="Arial"/>
          <w:sz w:val="19"/>
          <w:szCs w:val="19"/>
        </w:rPr>
        <w:t>Ecosystem</w:t>
      </w:r>
      <w:proofErr w:type="spellEnd"/>
      <w:r w:rsidRPr="00835894">
        <w:rPr>
          <w:rFonts w:ascii="1 dormakaba" w:hAnsi="1 dormakaba" w:cs="Arial"/>
          <w:sz w:val="19"/>
          <w:szCs w:val="19"/>
        </w:rPr>
        <w:t xml:space="preserve"> über eine kompakte, platzsparende Sensorschleuse bis hin zu einem im Türelement integrierten Türschließer mit Öffnungsdämpfung für Außentüren und Türen in engen Fluren.</w:t>
      </w:r>
    </w:p>
    <w:p w14:paraId="140308D1" w14:textId="5687FA55" w:rsidR="00681CF3" w:rsidRPr="00AE1E5C" w:rsidRDefault="00835894" w:rsidP="00681CF3">
      <w:pPr>
        <w:pStyle w:val="StandardWeb"/>
        <w:rPr>
          <w:rFonts w:ascii="1 dormakaba" w:hAnsi="1 dormakaba" w:cs="Arial"/>
          <w:sz w:val="19"/>
          <w:szCs w:val="19"/>
        </w:rPr>
      </w:pPr>
      <w:r w:rsidRPr="00835894">
        <w:rPr>
          <w:rFonts w:ascii="1 dormakaba" w:hAnsi="1 dormakaba" w:cs="Arial"/>
          <w:sz w:val="19"/>
          <w:szCs w:val="19"/>
        </w:rPr>
        <w:t>„Wir haben die BAU 2023 genutzt, um unsere Innovationen der vergangenen vier Jahre zu zeigen. Besonders das CO</w:t>
      </w:r>
      <w:r w:rsidRPr="00A871E3">
        <w:rPr>
          <w:rFonts w:ascii="1 dormakaba" w:hAnsi="1 dormakaba" w:cs="Arial"/>
          <w:sz w:val="19"/>
          <w:szCs w:val="19"/>
          <w:vertAlign w:val="subscript"/>
        </w:rPr>
        <w:t>2</w:t>
      </w:r>
      <w:r w:rsidRPr="00835894">
        <w:rPr>
          <w:rFonts w:ascii="1 dormakaba" w:hAnsi="1 dormakaba" w:cs="Arial"/>
          <w:sz w:val="19"/>
          <w:szCs w:val="19"/>
        </w:rPr>
        <w:t>-Neutralitätskonzept sowie Integration und Lösungsansätze in der Digitalisierung wurden von unseren Kunden verstärkt nachgefragt,“ betonte Michael Hensel, Geschäftsführer der dormakaba Deutschland GmbH. Insbesondere der neu vorgestellte Energiekalkulator für Automatiktüren und das neue intelligente automatische Türsystem, das erst öffnet, wenn es auch tatsächlich notwendig ist und unmittelbar schließt, wenn der Durchgang erfolgt ist, begeisterte die Besucher. Denn mit diesem System kann die Energiebilanz des Gebäudes deutlich verbessert werden. Mit der Einsparung von Energie und CO</w:t>
      </w:r>
      <w:r w:rsidRPr="00A871E3">
        <w:rPr>
          <w:rFonts w:ascii="1 dormakaba" w:hAnsi="1 dormakaba" w:cs="Arial"/>
          <w:sz w:val="19"/>
          <w:szCs w:val="19"/>
          <w:vertAlign w:val="subscript"/>
        </w:rPr>
        <w:t>2</w:t>
      </w:r>
      <w:r w:rsidRPr="00835894">
        <w:rPr>
          <w:rFonts w:ascii="1 dormakaba" w:hAnsi="1 dormakaba" w:cs="Arial"/>
          <w:sz w:val="19"/>
          <w:szCs w:val="19"/>
        </w:rPr>
        <w:t xml:space="preserve"> traf dormakaba exakt den allgemeinen Trend der Nachhaltigkeit, der auf der ganzen Messe von Architekten und Planern in Foren und Vorträgen diskutiert wurde. </w:t>
      </w:r>
    </w:p>
    <w:p w14:paraId="159B19A4" w14:textId="0BCBD4DB" w:rsidR="00AE1E5C" w:rsidRDefault="00835894" w:rsidP="00AE1E5C">
      <w:pPr>
        <w:pStyle w:val="StandardWeb"/>
        <w:rPr>
          <w:rFonts w:ascii="1 dormakaba" w:hAnsi="1 dormakaba" w:cs="Arial"/>
          <w:sz w:val="19"/>
          <w:szCs w:val="19"/>
        </w:rPr>
      </w:pPr>
      <w:r w:rsidRPr="00835894">
        <w:rPr>
          <w:rFonts w:ascii="1 dormakaba" w:hAnsi="1 dormakaba" w:cs="Arial"/>
          <w:sz w:val="19"/>
          <w:szCs w:val="19"/>
        </w:rPr>
        <w:t>Weil Nachhaltigkeit dormakaba besonders wichtig ist, hat das Unternehmen neben den nachhaltigen Lösungen auch seine Nachhaltigkeitsstrategie präsentiert. Dazu gehört auch, alle CO</w:t>
      </w:r>
      <w:r w:rsidRPr="00A871E3">
        <w:rPr>
          <w:rFonts w:ascii="1 dormakaba" w:hAnsi="1 dormakaba" w:cs="Arial"/>
          <w:sz w:val="19"/>
          <w:szCs w:val="19"/>
          <w:vertAlign w:val="subscript"/>
        </w:rPr>
        <w:t>2</w:t>
      </w:r>
      <w:r w:rsidRPr="00835894">
        <w:rPr>
          <w:rFonts w:ascii="1 dormakaba" w:hAnsi="1 dormakaba" w:cs="Arial"/>
          <w:sz w:val="19"/>
          <w:szCs w:val="19"/>
        </w:rPr>
        <w:t xml:space="preserve">-Emissionen, die im Rahmen der Präsenz an der BAU angefallen sind, durch myclimate zu kompensieren. </w:t>
      </w:r>
    </w:p>
    <w:p w14:paraId="25B18CDC" w14:textId="61612FBB" w:rsidR="00835894" w:rsidRPr="00AE1E5C" w:rsidRDefault="00835894" w:rsidP="00AE1E5C">
      <w:pPr>
        <w:pStyle w:val="StandardWeb"/>
        <w:rPr>
          <w:rFonts w:ascii="1 dormakaba" w:hAnsi="1 dormakaba" w:cs="Arial"/>
          <w:sz w:val="19"/>
          <w:szCs w:val="19"/>
        </w:rPr>
      </w:pPr>
      <w:r w:rsidRPr="00835894">
        <w:rPr>
          <w:rFonts w:ascii="1 dormakaba" w:hAnsi="1 dormakaba" w:cs="Arial"/>
          <w:sz w:val="19"/>
          <w:szCs w:val="19"/>
        </w:rPr>
        <w:t xml:space="preserve">Nach sechs intensiven Messetagen lässt sich klar ein positives Fazit ziehen: „Mit der Qualität der Gespräche und Besucher waren wir sehr zufrieden. Ganz wichtig war der persönliche Austausch nach vier Jahren“, betont Michael Hensel. „Viele Kunden waren begeistert von unseren neuen, </w:t>
      </w:r>
      <w:r w:rsidRPr="00835894">
        <w:rPr>
          <w:rFonts w:ascii="1 dormakaba" w:hAnsi="1 dormakaba" w:cs="Arial"/>
          <w:sz w:val="19"/>
          <w:szCs w:val="19"/>
        </w:rPr>
        <w:lastRenderedPageBreak/>
        <w:t xml:space="preserve">digitalen Lösungen, beispielsweise von unserem </w:t>
      </w:r>
      <w:proofErr w:type="spellStart"/>
      <w:r w:rsidRPr="00835894">
        <w:rPr>
          <w:rFonts w:ascii="1 dormakaba" w:hAnsi="1 dormakaba" w:cs="Arial"/>
          <w:sz w:val="19"/>
          <w:szCs w:val="19"/>
        </w:rPr>
        <w:t>EntriWorX</w:t>
      </w:r>
      <w:proofErr w:type="spellEnd"/>
      <w:r w:rsidRPr="00835894">
        <w:rPr>
          <w:rFonts w:ascii="1 dormakaba" w:hAnsi="1 dormakaba" w:cs="Arial"/>
          <w:sz w:val="19"/>
          <w:szCs w:val="19"/>
        </w:rPr>
        <w:t xml:space="preserve"> </w:t>
      </w:r>
      <w:proofErr w:type="spellStart"/>
      <w:r w:rsidRPr="00835894">
        <w:rPr>
          <w:rFonts w:ascii="1 dormakaba" w:hAnsi="1 dormakaba" w:cs="Arial"/>
          <w:sz w:val="19"/>
          <w:szCs w:val="19"/>
        </w:rPr>
        <w:t>Ecosystem</w:t>
      </w:r>
      <w:proofErr w:type="spellEnd"/>
      <w:r w:rsidRPr="00835894">
        <w:rPr>
          <w:rFonts w:ascii="1 dormakaba" w:hAnsi="1 dormakaba" w:cs="Arial"/>
          <w:sz w:val="19"/>
          <w:szCs w:val="19"/>
        </w:rPr>
        <w:t>. Deshalb sind wir mehr als zufrieden mit der BAU 2023. Sie war eine hervorragende Netzwerkplattform für uns.“</w:t>
      </w:r>
    </w:p>
    <w:p w14:paraId="46A858CF" w14:textId="77777777" w:rsidR="00664F1A" w:rsidRPr="00664F1A" w:rsidRDefault="00664F1A" w:rsidP="00664F1A">
      <w:pPr>
        <w:rPr>
          <w:rFonts w:ascii="1 dormakaba" w:hAnsi="1 dormakaba"/>
          <w:lang w:val="de-DE"/>
        </w:rPr>
      </w:pPr>
    </w:p>
    <w:p w14:paraId="3BD1766A" w14:textId="6ECA8EF0" w:rsidR="00993C23" w:rsidRPr="00664F1A" w:rsidRDefault="00993C23" w:rsidP="00593430">
      <w:pPr>
        <w:rPr>
          <w:rFonts w:ascii="1 dormakaba" w:hAnsi="1 dormakaba"/>
          <w:lang w:val="de-DE"/>
        </w:rPr>
      </w:pPr>
    </w:p>
    <w:p w14:paraId="6BDA843F" w14:textId="56B95394" w:rsidR="004F7260" w:rsidRPr="00664F1A" w:rsidRDefault="004F7260" w:rsidP="00593430">
      <w:pPr>
        <w:rPr>
          <w:rFonts w:ascii="1 dormakaba" w:hAnsi="1 dormakaba"/>
          <w:lang w:val="de-DE"/>
        </w:rPr>
      </w:pPr>
      <w:r w:rsidRPr="00664F1A">
        <w:rPr>
          <w:rFonts w:ascii="1 dormakaba" w:hAnsi="1 dormakaba"/>
          <w:lang w:val="de-DE"/>
        </w:rPr>
        <w:t>Mehr unter</w:t>
      </w:r>
    </w:p>
    <w:p w14:paraId="1EC83367" w14:textId="4334E5F9" w:rsidR="004F7260" w:rsidRDefault="004F7260" w:rsidP="00593430">
      <w:pPr>
        <w:rPr>
          <w:rFonts w:ascii="1 dormakaba" w:hAnsi="1 dormakaba"/>
          <w:lang w:val="de-DE"/>
        </w:rPr>
      </w:pPr>
      <w:r>
        <w:rPr>
          <w:rFonts w:ascii="1 dormakaba" w:hAnsi="1 dormakaba"/>
          <w:lang w:val="de-DE"/>
        </w:rPr>
        <w:t>www.dormakaba.com/de</w:t>
      </w:r>
      <w:r w:rsidR="00CA17E1">
        <w:rPr>
          <w:rFonts w:ascii="1 dormakaba" w:hAnsi="1 dormakaba"/>
          <w:lang w:val="de-DE"/>
        </w:rPr>
        <w:t>-</w:t>
      </w:r>
      <w:r>
        <w:rPr>
          <w:rFonts w:ascii="1 dormakaba" w:hAnsi="1 dormakaba"/>
          <w:lang w:val="de-DE"/>
        </w:rPr>
        <w:t>bau</w:t>
      </w:r>
    </w:p>
    <w:p w14:paraId="00E8EF2F" w14:textId="77777777" w:rsidR="00CF2403" w:rsidRPr="00434137"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60D2CBC4" w:rsidR="00BA3A4C" w:rsidRDefault="00A871E3" w:rsidP="008804C6">
      <w:pPr>
        <w:rPr>
          <w:rFonts w:ascii="1 dormakaba" w:hAnsi="1 dormakaba"/>
          <w:lang w:val="de-DE"/>
        </w:rPr>
      </w:pPr>
      <w:r>
        <w:rPr>
          <w:rFonts w:ascii="1 dormakaba" w:hAnsi="1 dormakaba"/>
          <w:lang w:val="de-DE"/>
        </w:rPr>
        <w:t>Der Stand von dormakaba war immer gut besucht.</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6E48A103" w14:textId="77777777" w:rsidR="0081553B" w:rsidRDefault="0081553B" w:rsidP="0075272C">
      <w:pPr>
        <w:rPr>
          <w:rFonts w:ascii="1 dormakaba" w:hAnsi="1 dormakaba"/>
          <w:b/>
          <w:lang w:val="de-DE"/>
        </w:rPr>
      </w:pPr>
    </w:p>
    <w:p w14:paraId="49D36A75" w14:textId="2216DAD2" w:rsidR="0075272C" w:rsidRPr="00434137"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4DBE1E0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21B30B6" w14:textId="77777777" w:rsidR="00835894" w:rsidRDefault="00835894" w:rsidP="0032694F">
      <w:pPr>
        <w:pStyle w:val="Disclaimerlist"/>
        <w:numPr>
          <w:ilvl w:val="0"/>
          <w:numId w:val="0"/>
        </w:numPr>
        <w:ind w:left="142" w:hanging="142"/>
        <w:rPr>
          <w:rFonts w:ascii="1 dormakaba" w:hAnsi="1 dormakaba" w:cs="Arial"/>
          <w:b/>
          <w:bCs/>
          <w:sz w:val="15"/>
          <w:szCs w:val="15"/>
          <w:lang w:val="de-DE"/>
        </w:rPr>
      </w:pPr>
    </w:p>
    <w:p w14:paraId="47021D5B" w14:textId="77777777" w:rsidR="00835894" w:rsidRDefault="00835894" w:rsidP="0032694F">
      <w:pPr>
        <w:pStyle w:val="Disclaimerlist"/>
        <w:numPr>
          <w:ilvl w:val="0"/>
          <w:numId w:val="0"/>
        </w:numPr>
        <w:ind w:left="142" w:hanging="142"/>
        <w:rPr>
          <w:rFonts w:ascii="1 dormakaba" w:hAnsi="1 dormakaba" w:cs="Arial"/>
          <w:b/>
          <w:bCs/>
          <w:sz w:val="15"/>
          <w:szCs w:val="15"/>
          <w:lang w:val="de-DE"/>
        </w:rPr>
      </w:pPr>
    </w:p>
    <w:p w14:paraId="5781409E" w14:textId="77777777" w:rsidR="00835894" w:rsidRDefault="00835894" w:rsidP="0032694F">
      <w:pPr>
        <w:pStyle w:val="Disclaimerlist"/>
        <w:numPr>
          <w:ilvl w:val="0"/>
          <w:numId w:val="0"/>
        </w:numPr>
        <w:ind w:left="142" w:hanging="142"/>
        <w:rPr>
          <w:rFonts w:ascii="1 dormakaba" w:hAnsi="1 dormakaba" w:cs="Arial"/>
          <w:b/>
          <w:bCs/>
          <w:sz w:val="15"/>
          <w:szCs w:val="15"/>
          <w:lang w:val="de-DE"/>
        </w:rPr>
      </w:pPr>
    </w:p>
    <w:p w14:paraId="0FD80A1E" w14:textId="372D14BC"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lastRenderedPageBreak/>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F539F3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p>
    <w:p w14:paraId="260FD221"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47FD0AF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  </w:t>
      </w:r>
    </w:p>
    <w:p w14:paraId="06AEDB58" w14:textId="77777777"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E1CF" w14:textId="77777777" w:rsidR="00187591" w:rsidRDefault="00187591" w:rsidP="00E207FD">
      <w:pPr>
        <w:spacing w:line="240" w:lineRule="auto"/>
      </w:pPr>
      <w:r>
        <w:separator/>
      </w:r>
    </w:p>
  </w:endnote>
  <w:endnote w:type="continuationSeparator" w:id="0">
    <w:p w14:paraId="6959323D" w14:textId="77777777" w:rsidR="00187591" w:rsidRDefault="0018759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6E90" w14:textId="77777777" w:rsidR="00187591" w:rsidRDefault="00187591" w:rsidP="00E207FD">
      <w:pPr>
        <w:spacing w:line="240" w:lineRule="auto"/>
      </w:pPr>
      <w:r>
        <w:separator/>
      </w:r>
    </w:p>
  </w:footnote>
  <w:footnote w:type="continuationSeparator" w:id="0">
    <w:p w14:paraId="2F22225A" w14:textId="77777777" w:rsidR="00187591" w:rsidRDefault="0018759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B14" w14:textId="77777777" w:rsidR="00A871E3" w:rsidRPr="00A871E3"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A871E3" w14:paraId="30C4464E" w14:textId="77777777" w:rsidTr="00FB5C11">
      <w:tc>
        <w:tcPr>
          <w:tcW w:w="3544" w:type="dxa"/>
        </w:tcPr>
        <w:p w14:paraId="6611A473" w14:textId="565EB09B" w:rsidR="00A871E3" w:rsidRDefault="00A871E3">
          <w:pPr>
            <w:pStyle w:val="Kopfzeile"/>
          </w:pPr>
        </w:p>
      </w:tc>
      <w:tc>
        <w:tcPr>
          <w:tcW w:w="1276" w:type="dxa"/>
        </w:tcPr>
        <w:p w14:paraId="4DDEAD83" w14:textId="77777777" w:rsidR="00A871E3" w:rsidRDefault="00A871E3" w:rsidP="00773DE1">
          <w:pPr>
            <w:pStyle w:val="Kopfzeile"/>
            <w:jc w:val="right"/>
          </w:pPr>
        </w:p>
      </w:tc>
      <w:tc>
        <w:tcPr>
          <w:tcW w:w="1171" w:type="dxa"/>
        </w:tcPr>
        <w:p w14:paraId="72B35D58" w14:textId="77777777" w:rsidR="00A871E3" w:rsidRDefault="00A871E3" w:rsidP="00773DE1">
          <w:pPr>
            <w:pStyle w:val="Kopfzeile"/>
            <w:jc w:val="right"/>
          </w:pPr>
        </w:p>
      </w:tc>
      <w:sdt>
        <w:sdtPr>
          <w:alias w:val="Logo"/>
          <w:tag w:val="Logo"/>
          <w:id w:val="1619253581"/>
          <w:lock w:val="sdtLocked"/>
          <w:docPartList>
            <w:docPartGallery w:val="Custom AutoText"/>
            <w:docPartCategory w:val="Logo"/>
          </w:docPartList>
        </w:sdtPr>
        <w:sdtContent>
          <w:tc>
            <w:tcPr>
              <w:tcW w:w="3302" w:type="dxa"/>
            </w:tcPr>
            <w:p w14:paraId="6610E23E" w14:textId="77777777" w:rsidR="00A871E3" w:rsidRDefault="00A871E3" w:rsidP="00C05C5B">
              <w:pPr>
                <w:pStyle w:val="Kopfzeile"/>
                <w:jc w:val="right"/>
              </w:pPr>
              <w:r>
                <w:rPr>
                  <w:noProof/>
                  <w:lang w:val="de-DE" w:eastAsia="de-DE"/>
                </w:rPr>
                <w:drawing>
                  <wp:inline distT="0" distB="0" distL="0" distR="0" wp14:anchorId="037F054F" wp14:editId="3AFB50FC">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1B6AEFA7" w14:textId="1B97CEB6" w:rsidR="00681CF3" w:rsidRPr="00AB651B" w:rsidRDefault="00835894" w:rsidP="00681CF3">
    <w:pPr>
      <w:pStyle w:val="Headertextsmall"/>
      <w:rPr>
        <w:rFonts w:ascii="1 dormakaba" w:hAnsi="1 dormakaba"/>
        <w:lang w:val="de-DE"/>
      </w:rPr>
    </w:pPr>
    <w:r>
      <w:rPr>
        <w:rFonts w:ascii="1 dormakaba" w:hAnsi="1 dormakaba"/>
        <w:lang w:val="de-DE"/>
      </w:rPr>
      <w:t>Erfolgreiche BAU</w:t>
    </w: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77222259" w:rsidR="001360F2" w:rsidRPr="00AB651B" w:rsidRDefault="00835894" w:rsidP="0032694F">
    <w:pPr>
      <w:pStyle w:val="Headertextsmall"/>
      <w:rPr>
        <w:rFonts w:ascii="1 dormakaba" w:hAnsi="1 dormakaba"/>
        <w:lang w:val="de-DE"/>
      </w:rPr>
    </w:pPr>
    <w:r>
      <w:rPr>
        <w:rFonts w:ascii="1 dormakaba" w:hAnsi="1 dormakaba"/>
        <w:lang w:val="de-DE"/>
      </w:rPr>
      <w:t>Erfolgreiche BAU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591"/>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2468"/>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62323"/>
    <w:rsid w:val="00663EC1"/>
    <w:rsid w:val="00664F1A"/>
    <w:rsid w:val="0067070E"/>
    <w:rsid w:val="006707E1"/>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A7EF6"/>
    <w:rsid w:val="007B4099"/>
    <w:rsid w:val="007B5786"/>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5894"/>
    <w:rsid w:val="00836148"/>
    <w:rsid w:val="008438FE"/>
    <w:rsid w:val="008444A4"/>
    <w:rsid w:val="00853B62"/>
    <w:rsid w:val="00863830"/>
    <w:rsid w:val="008804C6"/>
    <w:rsid w:val="00881549"/>
    <w:rsid w:val="0088356E"/>
    <w:rsid w:val="00892545"/>
    <w:rsid w:val="0089381A"/>
    <w:rsid w:val="008A24E7"/>
    <w:rsid w:val="008A60C8"/>
    <w:rsid w:val="008B1574"/>
    <w:rsid w:val="008B1FCA"/>
    <w:rsid w:val="008B3AAC"/>
    <w:rsid w:val="008C0C65"/>
    <w:rsid w:val="008C343F"/>
    <w:rsid w:val="008C5AEF"/>
    <w:rsid w:val="008C7349"/>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9F7382"/>
    <w:rsid w:val="00A0334F"/>
    <w:rsid w:val="00A14EB2"/>
    <w:rsid w:val="00A150C2"/>
    <w:rsid w:val="00A172F2"/>
    <w:rsid w:val="00A24DDF"/>
    <w:rsid w:val="00A37341"/>
    <w:rsid w:val="00A448DC"/>
    <w:rsid w:val="00A62E0A"/>
    <w:rsid w:val="00A822A9"/>
    <w:rsid w:val="00A86145"/>
    <w:rsid w:val="00A868C4"/>
    <w:rsid w:val="00A871E3"/>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3216"/>
    <w:rsid w:val="00C43B39"/>
    <w:rsid w:val="00C443D0"/>
    <w:rsid w:val="00C50132"/>
    <w:rsid w:val="00C51536"/>
    <w:rsid w:val="00C53EDA"/>
    <w:rsid w:val="00C6020C"/>
    <w:rsid w:val="00C713AB"/>
    <w:rsid w:val="00C72F4D"/>
    <w:rsid w:val="00C94D88"/>
    <w:rsid w:val="00C95A95"/>
    <w:rsid w:val="00CA143F"/>
    <w:rsid w:val="00CA17E1"/>
    <w:rsid w:val="00CA4CC1"/>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854</Words>
  <Characters>5386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2023-04-26T08:24:00Z</dcterms:created>
  <dcterms:modified xsi:type="dcterms:W3CDTF">2023-04-26T10:04:00Z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