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414106" w14:paraId="707C356D" w14:textId="77777777" w:rsidTr="00040684">
        <w:trPr>
          <w:trHeight w:val="227"/>
        </w:trPr>
        <w:tc>
          <w:tcPr>
            <w:tcW w:w="5000" w:type="pct"/>
            <w:gridSpan w:val="2"/>
          </w:tcPr>
          <w:p w14:paraId="198A7A22" w14:textId="7D655111" w:rsidR="0031158E" w:rsidRPr="00434137" w:rsidRDefault="00414106" w:rsidP="00A95E94">
            <w:pPr>
              <w:pStyle w:val="Titel"/>
              <w:framePr w:hSpace="0" w:wrap="auto" w:yAlign="inline"/>
              <w:suppressOverlap w:val="0"/>
              <w:rPr>
                <w:rFonts w:ascii="1 dormakaba" w:hAnsi="1 dormakaba"/>
                <w:highlight w:val="yellow"/>
                <w:lang w:val="de-DE"/>
              </w:rPr>
            </w:pPr>
            <w:r w:rsidRPr="00414106">
              <w:rPr>
                <w:rFonts w:ascii="1 dormakaba" w:hAnsi="1 dormakaba"/>
                <w:lang w:val="de-DE"/>
              </w:rPr>
              <w:t>BAU 2025 für dormakaba sehr erfolgreich</w:t>
            </w:r>
          </w:p>
        </w:tc>
      </w:tr>
      <w:tr w:rsidR="0031158E" w:rsidRPr="00414106"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4910B8C7" w:rsidR="00593430" w:rsidRPr="00ED7E18" w:rsidRDefault="00593430" w:rsidP="00414106">
      <w:pPr>
        <w:rPr>
          <w:rFonts w:ascii="1 dormakaba" w:hAnsi="1 dormakaba"/>
          <w:b/>
          <w:bCs/>
          <w:lang w:val="de-DE"/>
        </w:rPr>
      </w:pPr>
      <w:r w:rsidRPr="00ED7E18">
        <w:rPr>
          <w:rFonts w:ascii="1 dormakaba" w:hAnsi="1 dormakaba"/>
          <w:b/>
          <w:bCs/>
          <w:lang w:val="de-DE"/>
        </w:rPr>
        <w:t xml:space="preserve">Ennepetal, </w:t>
      </w:r>
      <w:r w:rsidR="00414106">
        <w:rPr>
          <w:rFonts w:ascii="1 dormakaba" w:hAnsi="1 dormakaba"/>
          <w:b/>
          <w:bCs/>
          <w:lang w:val="de-DE"/>
        </w:rPr>
        <w:t>21</w:t>
      </w:r>
      <w:r w:rsidR="00C41E9C">
        <w:rPr>
          <w:rFonts w:ascii="1 dormakaba" w:hAnsi="1 dormakaba"/>
          <w:b/>
          <w:bCs/>
          <w:lang w:val="de-DE"/>
        </w:rPr>
        <w:t xml:space="preserve">. </w:t>
      </w:r>
      <w:r w:rsidR="00414106">
        <w:rPr>
          <w:rFonts w:ascii="1 dormakaba" w:hAnsi="1 dormakaba"/>
          <w:b/>
          <w:bCs/>
          <w:lang w:val="de-DE"/>
        </w:rPr>
        <w:t xml:space="preserve">Januar </w:t>
      </w:r>
      <w:r w:rsidRPr="00ED7E18">
        <w:rPr>
          <w:rFonts w:ascii="1 dormakaba" w:hAnsi="1 dormakaba"/>
          <w:b/>
          <w:bCs/>
          <w:lang w:val="de-DE"/>
        </w:rPr>
        <w:t>202</w:t>
      </w:r>
      <w:r w:rsidR="00414106">
        <w:rPr>
          <w:rFonts w:ascii="1 dormakaba" w:hAnsi="1 dormakaba"/>
          <w:b/>
          <w:bCs/>
          <w:lang w:val="de-DE"/>
        </w:rPr>
        <w:t>5</w:t>
      </w:r>
      <w:r w:rsidRPr="00ED7E18">
        <w:rPr>
          <w:rFonts w:ascii="1 dormakaba" w:hAnsi="1 dormakaba"/>
          <w:b/>
          <w:bCs/>
          <w:lang w:val="de-DE"/>
        </w:rPr>
        <w:t xml:space="preserve"> – </w:t>
      </w:r>
      <w:r w:rsidR="00414106" w:rsidRPr="00414106">
        <w:rPr>
          <w:rFonts w:ascii="1 dormakaba" w:hAnsi="1 dormakaba"/>
          <w:b/>
          <w:bCs/>
          <w:lang w:val="de-DE"/>
        </w:rPr>
        <w:t>Trotz Verkürzung um einen Messetag informierten sich deutlich über 180.000 Besucherinnen und Besucher (2023: 190.000) auf der BAU in München über Neuheiten und Trends in der Baubranche. „Die Erwartungen für die BAU 2025 waren zu Beginn wegen des konjunkturellen Umfeldes gedämpft. Die Resonanz der BAU bei Ausstellern und Besuchern ist aber eindeutig positiv“, bilanziert Messe München Geschäftsführer Dr. Reinhard Pfeiffer.</w:t>
      </w:r>
      <w:r w:rsidR="00414106">
        <w:rPr>
          <w:rFonts w:ascii="1 dormakaba" w:hAnsi="1 dormakaba"/>
          <w:b/>
          <w:bCs/>
          <w:lang w:val="de-DE"/>
        </w:rPr>
        <w:t xml:space="preserve"> </w:t>
      </w:r>
      <w:r w:rsidR="00414106" w:rsidRPr="00414106">
        <w:rPr>
          <w:rFonts w:ascii="1 dormakaba" w:hAnsi="1 dormakaba"/>
          <w:b/>
          <w:bCs/>
          <w:lang w:val="de-DE"/>
        </w:rPr>
        <w:t>Mit einem großzügigen, offenen Stand war auch dormakaba auf dieser wichtigen Leitmesse vertreten.</w:t>
      </w:r>
    </w:p>
    <w:p w14:paraId="7A71EEA6" w14:textId="77777777" w:rsidR="00593430" w:rsidRPr="00434137" w:rsidRDefault="00593430" w:rsidP="00593430">
      <w:pPr>
        <w:rPr>
          <w:rFonts w:ascii="1 dormakaba" w:hAnsi="1 dormakaba"/>
          <w:lang w:val="de-DE"/>
        </w:rPr>
      </w:pPr>
    </w:p>
    <w:p w14:paraId="01E8CD47" w14:textId="4CB2CD60" w:rsidR="00993C23" w:rsidRDefault="00414106" w:rsidP="00593430">
      <w:pPr>
        <w:rPr>
          <w:rFonts w:ascii="1 dormakaba" w:hAnsi="1 dormakaba"/>
          <w:lang w:val="de-DE"/>
        </w:rPr>
      </w:pPr>
      <w:r w:rsidRPr="00414106">
        <w:rPr>
          <w:rFonts w:ascii="1 dormakaba" w:hAnsi="1 dormakaba"/>
          <w:lang w:val="de-DE"/>
        </w:rPr>
        <w:t>Nach fünf intensiven Tagen konnte das Unternehmen ein positives Fazit ziehen: „Wir sind mit der Messe sehr zufrieden. Unser Stand war durchgehend sehr gut besucht. Es kamen nicht nur Planer, Verarbeiter, Architekten und Partner aus Deutschland, sondern auch aus vielen anderen Ländern der Welt. Als weltweit agierendes Unternehmen konnten wir hier unsere innovativen Zugangslösungen der internationalen Baubranche präsentieren. Unsere neu vorgestellten Produkte und Lösungen im Bereich Zugang, Zutritt, KRITIS und Nachhaltigkeit stießen bei den Besuchern auf großes Interesse. In vielen Gesprächen wurde deutlich, wie stark die Bedeutung der Sicherheit in den Unternehmen und Behörden zunimmt,“ erklärt Torsten Stolte, Geschäftsführer dormakaba Deutschland.</w:t>
      </w:r>
    </w:p>
    <w:p w14:paraId="7DFA2659" w14:textId="009E21D7" w:rsidR="00E53ABA" w:rsidRDefault="00E53ABA" w:rsidP="00593430">
      <w:pPr>
        <w:rPr>
          <w:rFonts w:ascii="1 dormakaba" w:hAnsi="1 dormakaba"/>
          <w:lang w:val="de-DE"/>
        </w:rPr>
      </w:pPr>
    </w:p>
    <w:p w14:paraId="57F58EF0" w14:textId="28169CEA" w:rsidR="00BF453E" w:rsidRDefault="00414106" w:rsidP="00A17102">
      <w:pPr>
        <w:rPr>
          <w:rFonts w:ascii="1 dormakaba" w:hAnsi="1 dormakaba"/>
          <w:lang w:val="de-DE"/>
        </w:rPr>
      </w:pPr>
      <w:bookmarkStart w:id="0" w:name="_Hlk179289265"/>
      <w:r w:rsidRPr="00414106">
        <w:rPr>
          <w:rFonts w:ascii="1 dormakaba" w:hAnsi="1 dormakaba"/>
          <w:lang w:val="de-DE"/>
        </w:rPr>
        <w:t xml:space="preserve">Ein optischer Blickfang im Eingangsbereich war eine riesige </w:t>
      </w:r>
      <w:proofErr w:type="spellStart"/>
      <w:r w:rsidRPr="00414106">
        <w:rPr>
          <w:rFonts w:ascii="1 dormakaba" w:hAnsi="1 dormakaba"/>
          <w:lang w:val="de-DE"/>
        </w:rPr>
        <w:t>Ganzglas</w:t>
      </w:r>
      <w:proofErr w:type="spellEnd"/>
      <w:r w:rsidRPr="00414106">
        <w:rPr>
          <w:rFonts w:ascii="1 dormakaba" w:hAnsi="1 dormakaba"/>
          <w:lang w:val="de-DE"/>
        </w:rPr>
        <w:t xml:space="preserve">-Karusselltür, ein weiterer Eye-Catcher ein Avatar, der den Besuchern viele Fragen zu dormakaba und den ausgestellten Lösungen beantworten konnte. Insbesondere der neu vorgestellte Türassistent </w:t>
      </w:r>
      <w:proofErr w:type="spellStart"/>
      <w:r w:rsidRPr="00414106">
        <w:rPr>
          <w:rFonts w:ascii="1 dormakaba" w:hAnsi="1 dormakaba"/>
          <w:lang w:val="de-DE"/>
        </w:rPr>
        <w:t>EasyAssist</w:t>
      </w:r>
      <w:proofErr w:type="spellEnd"/>
      <w:r w:rsidRPr="00414106">
        <w:rPr>
          <w:rFonts w:ascii="1 dormakaba" w:hAnsi="1 dormakaba"/>
          <w:lang w:val="de-DE"/>
        </w:rPr>
        <w:t xml:space="preserve"> mit Niedrigenergieantrieb, ein kraftunterstützter Türschließer, und die neue intelligente, automatische Schiebetürlösung, die erst öffnet, wenn es auch tatsächlich notwendig ist und unmittelbar schließt, wenn der Durchgang erfolgt ist, begeisterte die Besucher. Denn mit diesem System kann die Energiebilanz des Gebäudes deutlich verbessert werden. Mit der Einsparung von Energie und CO2 traf dormakaba exakt den allgemeinen Trend der Nachhaltigkeit, der auf der ganzen Messe von Architekten und Planern in Foren und Vorträgen diskutiert wurde. „Unsere vorgestellten Produkte und Lösungen setzen den Fokus auf eine nachhaltige Zukunft, indem sie Sicherheit, Komfort und Umweltverträglichkeit verbessern. Dieser Dreiklang ist uns sehr wichtig,“ betont Geschäftsführer Torsten Stolte.</w:t>
      </w:r>
    </w:p>
    <w:bookmarkEnd w:id="0"/>
    <w:p w14:paraId="19E5E41C" w14:textId="236CC88F" w:rsidR="00407692" w:rsidRDefault="00407692" w:rsidP="00593430">
      <w:pPr>
        <w:rPr>
          <w:rFonts w:ascii="1 dormakaba" w:hAnsi="1 dormakaba"/>
          <w:lang w:val="de-DE"/>
        </w:rPr>
      </w:pPr>
    </w:p>
    <w:p w14:paraId="60C42406" w14:textId="2DBD74DC" w:rsidR="00593430" w:rsidRPr="00434137" w:rsidRDefault="00414106" w:rsidP="00593430">
      <w:pPr>
        <w:rPr>
          <w:rFonts w:ascii="1 dormakaba" w:hAnsi="1 dormakaba"/>
          <w:u w:val="single"/>
          <w:lang w:val="de-DE"/>
        </w:rPr>
      </w:pPr>
      <w:r>
        <w:rPr>
          <w:rFonts w:ascii="1 dormakaba" w:hAnsi="1 dormakaba"/>
          <w:u w:val="single"/>
          <w:lang w:val="de-DE"/>
        </w:rPr>
        <w:t>Bild</w:t>
      </w:r>
      <w:r w:rsidR="00A95E94" w:rsidRPr="00434137">
        <w:rPr>
          <w:rFonts w:ascii="1 dormakaba" w:hAnsi="1 dormakaba"/>
          <w:u w:val="single"/>
          <w:lang w:val="de-DE"/>
        </w:rPr>
        <w:t>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4C9EA6C3" w14:textId="4F380600" w:rsidR="00A17102" w:rsidRDefault="00414106" w:rsidP="00A17102">
      <w:pPr>
        <w:rPr>
          <w:rFonts w:ascii="1 dormakaba" w:hAnsi="1 dormakaba" w:cs="Arial"/>
          <w:lang w:val="de-DE"/>
        </w:rPr>
      </w:pPr>
      <w:r>
        <w:rPr>
          <w:rFonts w:ascii="1 dormakaba" w:hAnsi="1 dormakaba" w:cs="Arial"/>
          <w:lang w:val="de-DE"/>
        </w:rPr>
        <w:t xml:space="preserve">Der Messestand von </w:t>
      </w:r>
      <w:r w:rsidR="00A17102" w:rsidRPr="00A17102">
        <w:rPr>
          <w:rFonts w:ascii="1 dormakaba" w:hAnsi="1 dormakaba" w:cs="Arial"/>
          <w:lang w:val="de-DE"/>
        </w:rPr>
        <w:t xml:space="preserve">dormakaba </w:t>
      </w:r>
      <w:r>
        <w:rPr>
          <w:rFonts w:ascii="1 dormakaba" w:hAnsi="1 dormakaba" w:cs="Arial"/>
          <w:lang w:val="de-DE"/>
        </w:rPr>
        <w:t>war durchgehend gut besucht.</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lastRenderedPageBreak/>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1"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393A10F0"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w:t>
      </w:r>
      <w:r w:rsidR="009463F9">
        <w:rPr>
          <w:rFonts w:ascii="1 dormakaba" w:eastAsia="Times New Roman" w:hAnsi="1 dormakaba" w:cs="Segoe UI"/>
          <w:szCs w:val="19"/>
          <w:lang w:val="de-CH" w:eastAsia="de-DE"/>
        </w:rPr>
        <w:t xml:space="preserve">Mehr als </w:t>
      </w:r>
      <w:r w:rsidRPr="003C44FA">
        <w:rPr>
          <w:rFonts w:ascii="1 dormakaba" w:eastAsia="Times New Roman" w:hAnsi="1 dormakaba" w:cs="Segoe UI"/>
          <w:szCs w:val="19"/>
          <w:lang w:val="de-CH" w:eastAsia="de-DE"/>
        </w:rPr>
        <w:t>1</w:t>
      </w:r>
      <w:r w:rsidR="009463F9">
        <w:rPr>
          <w:rFonts w:ascii="1 dormakaba" w:eastAsia="Times New Roman" w:hAnsi="1 dormakaba" w:cs="Segoe UI"/>
          <w:szCs w:val="19"/>
          <w:lang w:val="de-CH" w:eastAsia="de-DE"/>
        </w:rPr>
        <w:t>5</w:t>
      </w:r>
      <w:r w:rsidRPr="003C44FA">
        <w:rPr>
          <w:rFonts w:ascii="1 dormakaba" w:eastAsia="Times New Roman" w:hAnsi="1 dormakaba" w:cs="Segoe UI"/>
          <w:szCs w:val="19"/>
          <w:lang w:val="de-CH" w:eastAsia="de-DE"/>
        </w:rPr>
        <w:t xml:space="preserve"> 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4E0D9244"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9463F9">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/2</w:t>
      </w:r>
      <w:r w:rsidR="009463F9">
        <w:rPr>
          <w:rFonts w:ascii="1 dormakaba" w:eastAsia="Times New Roman" w:hAnsi="1 dormakaba" w:cs="Segoe UI"/>
          <w:szCs w:val="19"/>
          <w:lang w:val="de-CH" w:eastAsia="de-DE"/>
        </w:rPr>
        <w:t>4</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1"/>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00160B79" w14:textId="31E6CFC8"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w:t>
      </w:r>
      <w:r w:rsidRPr="002406B6">
        <w:rPr>
          <w:rFonts w:ascii="1 dormakaba" w:eastAsia="Times New Roman" w:hAnsi="1 dormakaba" w:cs="Segoe UI"/>
          <w:color w:val="221E1F"/>
          <w:sz w:val="15"/>
          <w:szCs w:val="15"/>
          <w:lang w:val="de-CH" w:eastAsia="de-DE"/>
        </w:rPr>
        <w:lastRenderedPageBreak/>
        <w:t xml:space="preserve">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3590B" w14:textId="77777777" w:rsidR="00C93AB1" w:rsidRDefault="00C93AB1" w:rsidP="00E207FD">
      <w:pPr>
        <w:spacing w:line="240" w:lineRule="auto"/>
      </w:pPr>
      <w:r>
        <w:separator/>
      </w:r>
    </w:p>
  </w:endnote>
  <w:endnote w:type="continuationSeparator" w:id="0">
    <w:p w14:paraId="027E6F1F" w14:textId="77777777" w:rsidR="00C93AB1" w:rsidRDefault="00C93AB1"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1087F" w14:textId="77777777" w:rsidR="00C93AB1" w:rsidRDefault="00C93AB1" w:rsidP="00E207FD">
      <w:pPr>
        <w:spacing w:line="240" w:lineRule="auto"/>
      </w:pPr>
      <w:r>
        <w:separator/>
      </w:r>
    </w:p>
  </w:footnote>
  <w:footnote w:type="continuationSeparator" w:id="0">
    <w:p w14:paraId="1EE8261F" w14:textId="77777777" w:rsidR="00C93AB1" w:rsidRDefault="00C93AB1"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1CFE" w14:textId="77777777" w:rsidR="002B4002" w:rsidRPr="002B4002"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2B4002" w14:paraId="66C2E5DF" w14:textId="77777777" w:rsidTr="00FB5C11">
      <w:tc>
        <w:tcPr>
          <w:tcW w:w="3544" w:type="dxa"/>
        </w:tcPr>
        <w:p w14:paraId="41CE14D0" w14:textId="6F03278C" w:rsidR="002B4002" w:rsidRDefault="002B4002">
          <w:pPr>
            <w:pStyle w:val="Kopfzeile"/>
          </w:pPr>
        </w:p>
      </w:tc>
      <w:tc>
        <w:tcPr>
          <w:tcW w:w="1276" w:type="dxa"/>
        </w:tcPr>
        <w:p w14:paraId="1A015086" w14:textId="77777777" w:rsidR="002B4002" w:rsidRDefault="002B4002" w:rsidP="00773DE1">
          <w:pPr>
            <w:pStyle w:val="Kopfzeile"/>
            <w:jc w:val="right"/>
          </w:pPr>
        </w:p>
      </w:tc>
      <w:tc>
        <w:tcPr>
          <w:tcW w:w="1171" w:type="dxa"/>
        </w:tcPr>
        <w:p w14:paraId="3F7AD9CE" w14:textId="77777777" w:rsidR="002B4002" w:rsidRDefault="002B4002" w:rsidP="00773DE1">
          <w:pPr>
            <w:pStyle w:val="Kopfzeile"/>
            <w:jc w:val="right"/>
          </w:pPr>
        </w:p>
      </w:tc>
      <w:sdt>
        <w:sdtPr>
          <w:alias w:val="Logo"/>
          <w:tag w:val="Logo"/>
          <w:id w:val="82813342"/>
          <w:lock w:val="sdtLocked"/>
          <w:docPartList>
            <w:docPartGallery w:val="Custom AutoText"/>
            <w:docPartCategory w:val="Logo"/>
          </w:docPartList>
        </w:sdtPr>
        <w:sdtContent>
          <w:tc>
            <w:tcPr>
              <w:tcW w:w="3302" w:type="dxa"/>
            </w:tcPr>
            <w:p w14:paraId="6702855B" w14:textId="77777777" w:rsidR="002B4002" w:rsidRDefault="002B4002" w:rsidP="00C05C5B">
              <w:pPr>
                <w:pStyle w:val="Kopfzeile"/>
                <w:jc w:val="right"/>
              </w:pPr>
              <w:r>
                <w:rPr>
                  <w:noProof/>
                  <w:lang w:val="de-DE" w:eastAsia="de-DE"/>
                </w:rPr>
                <w:drawing>
                  <wp:inline distT="0" distB="0" distL="0" distR="0" wp14:anchorId="4B696179" wp14:editId="24CD31FB">
                    <wp:extent cx="1800000" cy="194723"/>
                    <wp:effectExtent l="0" t="0" r="0" b="0"/>
                    <wp:docPr id="16604254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45743B9E" w14:textId="45DD5480" w:rsidR="00A17102" w:rsidRPr="00AB651B" w:rsidRDefault="00A17102" w:rsidP="00A17102">
    <w:pPr>
      <w:pStyle w:val="Headertextsmall"/>
      <w:rPr>
        <w:rFonts w:ascii="1 dormakaba" w:hAnsi="1 dormakaba"/>
        <w:lang w:val="de-DE"/>
      </w:rPr>
    </w:pPr>
    <w:r>
      <w:rPr>
        <w:rFonts w:ascii="1 dormakaba" w:hAnsi="1 dormakaba"/>
        <w:lang w:val="de-DE"/>
      </w:rPr>
      <w:t>d</w:t>
    </w:r>
    <w:r w:rsidRPr="00AB651B">
      <w:rPr>
        <w:rFonts w:ascii="1 dormakaba" w:hAnsi="1 dormakaba"/>
        <w:lang w:val="de-DE"/>
      </w:rPr>
      <w:t>ormakaba</w:t>
    </w:r>
    <w:r>
      <w:rPr>
        <w:rFonts w:ascii="1 dormakaba" w:hAnsi="1 dormakaba"/>
        <w:lang w:val="de-DE"/>
      </w:rPr>
      <w:t xml:space="preserve"> </w:t>
    </w:r>
    <w:r w:rsidR="00414106">
      <w:rPr>
        <w:rFonts w:ascii="1 dormakaba" w:hAnsi="1 dormakaba"/>
        <w:lang w:val="de-DE"/>
      </w:rPr>
      <w:t>Nachbericht</w:t>
    </w:r>
    <w:r>
      <w:rPr>
        <w:rFonts w:ascii="1 dormakaba" w:hAnsi="1 dormakaba"/>
        <w:lang w:val="de-DE"/>
      </w:rPr>
      <w:t xml:space="preserve"> BAU</w:t>
    </w:r>
    <w:r w:rsidRPr="00AB651B">
      <w:rPr>
        <w:rFonts w:ascii="1 dormakaba" w:hAnsi="1 dormakaba"/>
        <w:lang w:val="de-DE"/>
      </w:rPr>
      <w:t xml:space="preserve">  </w:t>
    </w:r>
  </w:p>
  <w:p w14:paraId="3A90D5B0" w14:textId="66EF12D7" w:rsidR="00BF453E" w:rsidRPr="00AB651B" w:rsidRDefault="00BF453E" w:rsidP="00BF453E">
    <w:pPr>
      <w:pStyle w:val="Headertextsmall"/>
      <w:rPr>
        <w:rFonts w:ascii="1 dormakaba" w:hAnsi="1 dormakaba"/>
        <w:lang w:val="de-DE"/>
      </w:rPr>
    </w:pPr>
    <w:r w:rsidRPr="00AB651B">
      <w:rPr>
        <w:rFonts w:ascii="1 dormakaba" w:hAnsi="1 dormakaba"/>
        <w:lang w:val="de-DE"/>
      </w:rPr>
      <w:t xml:space="preserve">  </w:t>
    </w:r>
  </w:p>
  <w:p w14:paraId="324E1FF4" w14:textId="403EEEF8"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2"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2"/>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328049E" w:rsidR="001360F2" w:rsidRPr="00AB651B" w:rsidRDefault="00100214" w:rsidP="0032694F">
    <w:pPr>
      <w:pStyle w:val="Headertextsmall"/>
      <w:rPr>
        <w:rFonts w:ascii="1 dormakaba" w:hAnsi="1 dormakaba"/>
        <w:lang w:val="de-DE"/>
      </w:rPr>
    </w:pPr>
    <w:r>
      <w:rPr>
        <w:rFonts w:ascii="1 dormakaba" w:hAnsi="1 dormakaba"/>
        <w:lang w:val="de-DE"/>
      </w:rPr>
      <w:t>d</w:t>
    </w:r>
    <w:r w:rsidR="00CF2403" w:rsidRPr="00AB651B">
      <w:rPr>
        <w:rFonts w:ascii="1 dormakaba" w:hAnsi="1 dormakaba"/>
        <w:lang w:val="de-DE"/>
      </w:rPr>
      <w:t>ormakaba</w:t>
    </w:r>
    <w:r>
      <w:rPr>
        <w:rFonts w:ascii="1 dormakaba" w:hAnsi="1 dormakaba"/>
        <w:lang w:val="de-DE"/>
      </w:rPr>
      <w:t xml:space="preserve"> </w:t>
    </w:r>
    <w:r w:rsidR="00414106">
      <w:rPr>
        <w:rFonts w:ascii="1 dormakaba" w:hAnsi="1 dormakaba"/>
        <w:lang w:val="de-DE"/>
      </w:rPr>
      <w:t>Nachbericht</w:t>
    </w:r>
    <w:r w:rsidR="00A17102">
      <w:rPr>
        <w:rFonts w:ascii="1 dormakaba" w:hAnsi="1 dormakaba"/>
        <w:lang w:val="de-DE"/>
      </w:rPr>
      <w:t xml:space="preserve"> BAU</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0DB2"/>
    <w:rsid w:val="0002308D"/>
    <w:rsid w:val="00037E1F"/>
    <w:rsid w:val="00040684"/>
    <w:rsid w:val="000423C8"/>
    <w:rsid w:val="00042AD3"/>
    <w:rsid w:val="000468A0"/>
    <w:rsid w:val="000500B7"/>
    <w:rsid w:val="0006211A"/>
    <w:rsid w:val="0006553C"/>
    <w:rsid w:val="00081428"/>
    <w:rsid w:val="00084F08"/>
    <w:rsid w:val="00086BF9"/>
    <w:rsid w:val="0008787C"/>
    <w:rsid w:val="000906A6"/>
    <w:rsid w:val="0009212C"/>
    <w:rsid w:val="00092845"/>
    <w:rsid w:val="000974CF"/>
    <w:rsid w:val="000A0C0C"/>
    <w:rsid w:val="000B3A22"/>
    <w:rsid w:val="000B6769"/>
    <w:rsid w:val="000B6A57"/>
    <w:rsid w:val="000B7DEA"/>
    <w:rsid w:val="000D2708"/>
    <w:rsid w:val="000E0445"/>
    <w:rsid w:val="000E145F"/>
    <w:rsid w:val="000E494B"/>
    <w:rsid w:val="000E7264"/>
    <w:rsid w:val="000F359E"/>
    <w:rsid w:val="000F3DD3"/>
    <w:rsid w:val="000F74D6"/>
    <w:rsid w:val="00100214"/>
    <w:rsid w:val="00115749"/>
    <w:rsid w:val="00122066"/>
    <w:rsid w:val="001223DA"/>
    <w:rsid w:val="00122544"/>
    <w:rsid w:val="0012333F"/>
    <w:rsid w:val="00126185"/>
    <w:rsid w:val="001360F2"/>
    <w:rsid w:val="00136806"/>
    <w:rsid w:val="00145178"/>
    <w:rsid w:val="001455E9"/>
    <w:rsid w:val="001673D0"/>
    <w:rsid w:val="00170D97"/>
    <w:rsid w:val="0017519E"/>
    <w:rsid w:val="001754B0"/>
    <w:rsid w:val="00185115"/>
    <w:rsid w:val="00187858"/>
    <w:rsid w:val="00193A73"/>
    <w:rsid w:val="00196510"/>
    <w:rsid w:val="001A1245"/>
    <w:rsid w:val="001B1A0C"/>
    <w:rsid w:val="001C0A6D"/>
    <w:rsid w:val="001C1A34"/>
    <w:rsid w:val="001C23DF"/>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87650"/>
    <w:rsid w:val="002935CE"/>
    <w:rsid w:val="00296479"/>
    <w:rsid w:val="002A029B"/>
    <w:rsid w:val="002B1063"/>
    <w:rsid w:val="002B4002"/>
    <w:rsid w:val="002C794E"/>
    <w:rsid w:val="002D7553"/>
    <w:rsid w:val="002E1CD7"/>
    <w:rsid w:val="002E2EA4"/>
    <w:rsid w:val="002E2EFC"/>
    <w:rsid w:val="002E3238"/>
    <w:rsid w:val="002E5B2C"/>
    <w:rsid w:val="002E6D82"/>
    <w:rsid w:val="002E7A1A"/>
    <w:rsid w:val="002F235E"/>
    <w:rsid w:val="002F3407"/>
    <w:rsid w:val="002F617A"/>
    <w:rsid w:val="002F664E"/>
    <w:rsid w:val="00305A55"/>
    <w:rsid w:val="0030735B"/>
    <w:rsid w:val="0031158E"/>
    <w:rsid w:val="00314716"/>
    <w:rsid w:val="003254B1"/>
    <w:rsid w:val="0032694F"/>
    <w:rsid w:val="0032753C"/>
    <w:rsid w:val="00334CD9"/>
    <w:rsid w:val="00335AC9"/>
    <w:rsid w:val="0034436C"/>
    <w:rsid w:val="00356B56"/>
    <w:rsid w:val="00363103"/>
    <w:rsid w:val="003639DD"/>
    <w:rsid w:val="00364CB1"/>
    <w:rsid w:val="003652EE"/>
    <w:rsid w:val="003715F8"/>
    <w:rsid w:val="003809C4"/>
    <w:rsid w:val="00383A9C"/>
    <w:rsid w:val="003841DE"/>
    <w:rsid w:val="00387DBE"/>
    <w:rsid w:val="0039107B"/>
    <w:rsid w:val="0039184D"/>
    <w:rsid w:val="003B4071"/>
    <w:rsid w:val="003B48C2"/>
    <w:rsid w:val="003C09D9"/>
    <w:rsid w:val="003D6DA8"/>
    <w:rsid w:val="003E1B2C"/>
    <w:rsid w:val="003E3CB5"/>
    <w:rsid w:val="003F2419"/>
    <w:rsid w:val="00403B9B"/>
    <w:rsid w:val="00403F0E"/>
    <w:rsid w:val="0040597E"/>
    <w:rsid w:val="00407692"/>
    <w:rsid w:val="00410325"/>
    <w:rsid w:val="00414106"/>
    <w:rsid w:val="00414EFD"/>
    <w:rsid w:val="00426700"/>
    <w:rsid w:val="00427A74"/>
    <w:rsid w:val="004326A7"/>
    <w:rsid w:val="00434071"/>
    <w:rsid w:val="00434137"/>
    <w:rsid w:val="0043677C"/>
    <w:rsid w:val="00440367"/>
    <w:rsid w:val="0045053B"/>
    <w:rsid w:val="004508CE"/>
    <w:rsid w:val="00451B88"/>
    <w:rsid w:val="00452D62"/>
    <w:rsid w:val="00461622"/>
    <w:rsid w:val="004617D4"/>
    <w:rsid w:val="00463026"/>
    <w:rsid w:val="004641EB"/>
    <w:rsid w:val="004732B5"/>
    <w:rsid w:val="00473764"/>
    <w:rsid w:val="00474665"/>
    <w:rsid w:val="004854DA"/>
    <w:rsid w:val="00495F81"/>
    <w:rsid w:val="004A04EF"/>
    <w:rsid w:val="004A2C7D"/>
    <w:rsid w:val="004A31DB"/>
    <w:rsid w:val="004B0A2F"/>
    <w:rsid w:val="004B30F4"/>
    <w:rsid w:val="004B4A9C"/>
    <w:rsid w:val="004B78AC"/>
    <w:rsid w:val="004C234A"/>
    <w:rsid w:val="004C6D07"/>
    <w:rsid w:val="004D023C"/>
    <w:rsid w:val="004D27F4"/>
    <w:rsid w:val="004D2803"/>
    <w:rsid w:val="004D5825"/>
    <w:rsid w:val="004D5DDB"/>
    <w:rsid w:val="004E0B79"/>
    <w:rsid w:val="004E6AAF"/>
    <w:rsid w:val="004F10D9"/>
    <w:rsid w:val="004F1DAE"/>
    <w:rsid w:val="004F2D1B"/>
    <w:rsid w:val="004F6DC8"/>
    <w:rsid w:val="004F6F08"/>
    <w:rsid w:val="00501AA2"/>
    <w:rsid w:val="005101CB"/>
    <w:rsid w:val="005126D9"/>
    <w:rsid w:val="005147AF"/>
    <w:rsid w:val="0051483F"/>
    <w:rsid w:val="0051664C"/>
    <w:rsid w:val="00520226"/>
    <w:rsid w:val="00521175"/>
    <w:rsid w:val="005227A5"/>
    <w:rsid w:val="00522A9D"/>
    <w:rsid w:val="00523839"/>
    <w:rsid w:val="00524D55"/>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1A34"/>
    <w:rsid w:val="005B7BD1"/>
    <w:rsid w:val="005C6157"/>
    <w:rsid w:val="005E2D19"/>
    <w:rsid w:val="005F6ADB"/>
    <w:rsid w:val="005F751A"/>
    <w:rsid w:val="005F752A"/>
    <w:rsid w:val="00603AEF"/>
    <w:rsid w:val="006042C3"/>
    <w:rsid w:val="00605E80"/>
    <w:rsid w:val="006104DC"/>
    <w:rsid w:val="00610C61"/>
    <w:rsid w:val="006242F3"/>
    <w:rsid w:val="006267C8"/>
    <w:rsid w:val="00640A85"/>
    <w:rsid w:val="00644A41"/>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630F0"/>
    <w:rsid w:val="007651DB"/>
    <w:rsid w:val="007711FD"/>
    <w:rsid w:val="00773DE1"/>
    <w:rsid w:val="0078141C"/>
    <w:rsid w:val="00785871"/>
    <w:rsid w:val="00786042"/>
    <w:rsid w:val="00786150"/>
    <w:rsid w:val="007939BA"/>
    <w:rsid w:val="007A3A23"/>
    <w:rsid w:val="007B4099"/>
    <w:rsid w:val="007B5089"/>
    <w:rsid w:val="007C1A8F"/>
    <w:rsid w:val="007C57C7"/>
    <w:rsid w:val="007C7CCA"/>
    <w:rsid w:val="007D1014"/>
    <w:rsid w:val="007D2A8B"/>
    <w:rsid w:val="007D5164"/>
    <w:rsid w:val="007D780F"/>
    <w:rsid w:val="007D78EA"/>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067D"/>
    <w:rsid w:val="008438FE"/>
    <w:rsid w:val="008444A4"/>
    <w:rsid w:val="00863830"/>
    <w:rsid w:val="0087413F"/>
    <w:rsid w:val="008804C6"/>
    <w:rsid w:val="00881549"/>
    <w:rsid w:val="0088356E"/>
    <w:rsid w:val="00892545"/>
    <w:rsid w:val="008A24E7"/>
    <w:rsid w:val="008A60C8"/>
    <w:rsid w:val="008B1574"/>
    <w:rsid w:val="008B1FCA"/>
    <w:rsid w:val="008B3AAC"/>
    <w:rsid w:val="008C0C65"/>
    <w:rsid w:val="008C343F"/>
    <w:rsid w:val="008C5AEF"/>
    <w:rsid w:val="008C7349"/>
    <w:rsid w:val="008E274A"/>
    <w:rsid w:val="008E7BC9"/>
    <w:rsid w:val="0091163A"/>
    <w:rsid w:val="009135BE"/>
    <w:rsid w:val="00922286"/>
    <w:rsid w:val="0092565A"/>
    <w:rsid w:val="009267B7"/>
    <w:rsid w:val="009268CD"/>
    <w:rsid w:val="009373CC"/>
    <w:rsid w:val="009463F9"/>
    <w:rsid w:val="009467F9"/>
    <w:rsid w:val="00951BC2"/>
    <w:rsid w:val="009647FF"/>
    <w:rsid w:val="00967220"/>
    <w:rsid w:val="00982F6F"/>
    <w:rsid w:val="0098313B"/>
    <w:rsid w:val="00983514"/>
    <w:rsid w:val="00990CE0"/>
    <w:rsid w:val="00991BD8"/>
    <w:rsid w:val="00993C23"/>
    <w:rsid w:val="009975FC"/>
    <w:rsid w:val="009A0EF2"/>
    <w:rsid w:val="009A410B"/>
    <w:rsid w:val="009A550D"/>
    <w:rsid w:val="009B2FCF"/>
    <w:rsid w:val="009B347B"/>
    <w:rsid w:val="009B55DB"/>
    <w:rsid w:val="009C2A33"/>
    <w:rsid w:val="009C5814"/>
    <w:rsid w:val="009D16B2"/>
    <w:rsid w:val="009D63F1"/>
    <w:rsid w:val="009E09E4"/>
    <w:rsid w:val="009E5CDD"/>
    <w:rsid w:val="009E6F0A"/>
    <w:rsid w:val="00A0334F"/>
    <w:rsid w:val="00A07AA0"/>
    <w:rsid w:val="00A14EB2"/>
    <w:rsid w:val="00A150C2"/>
    <w:rsid w:val="00A17102"/>
    <w:rsid w:val="00A172F2"/>
    <w:rsid w:val="00A2030A"/>
    <w:rsid w:val="00A2194A"/>
    <w:rsid w:val="00A24DDF"/>
    <w:rsid w:val="00A37341"/>
    <w:rsid w:val="00A448DC"/>
    <w:rsid w:val="00A62E0A"/>
    <w:rsid w:val="00A7279B"/>
    <w:rsid w:val="00A822A9"/>
    <w:rsid w:val="00A86145"/>
    <w:rsid w:val="00A87DC9"/>
    <w:rsid w:val="00A90BE7"/>
    <w:rsid w:val="00A92770"/>
    <w:rsid w:val="00A936CB"/>
    <w:rsid w:val="00A95E94"/>
    <w:rsid w:val="00AA693B"/>
    <w:rsid w:val="00AB09E2"/>
    <w:rsid w:val="00AB422C"/>
    <w:rsid w:val="00AB519C"/>
    <w:rsid w:val="00AB651B"/>
    <w:rsid w:val="00AC1790"/>
    <w:rsid w:val="00AD06AD"/>
    <w:rsid w:val="00AD490C"/>
    <w:rsid w:val="00AD7084"/>
    <w:rsid w:val="00AE4869"/>
    <w:rsid w:val="00AF003C"/>
    <w:rsid w:val="00AF5DA5"/>
    <w:rsid w:val="00AF7FC8"/>
    <w:rsid w:val="00B17C38"/>
    <w:rsid w:val="00B17FE1"/>
    <w:rsid w:val="00B22911"/>
    <w:rsid w:val="00B23025"/>
    <w:rsid w:val="00B317D8"/>
    <w:rsid w:val="00B434BB"/>
    <w:rsid w:val="00B66FF2"/>
    <w:rsid w:val="00B83CD9"/>
    <w:rsid w:val="00B868F2"/>
    <w:rsid w:val="00BA0E4F"/>
    <w:rsid w:val="00BA2260"/>
    <w:rsid w:val="00BA3A4C"/>
    <w:rsid w:val="00BA4D47"/>
    <w:rsid w:val="00BB06F3"/>
    <w:rsid w:val="00BB10DA"/>
    <w:rsid w:val="00BC023D"/>
    <w:rsid w:val="00BC147F"/>
    <w:rsid w:val="00BC6A3A"/>
    <w:rsid w:val="00BC76B8"/>
    <w:rsid w:val="00BD239A"/>
    <w:rsid w:val="00BD5FFA"/>
    <w:rsid w:val="00BF023E"/>
    <w:rsid w:val="00BF0C82"/>
    <w:rsid w:val="00BF30FA"/>
    <w:rsid w:val="00BF453E"/>
    <w:rsid w:val="00BF6AAC"/>
    <w:rsid w:val="00C05C5B"/>
    <w:rsid w:val="00C11047"/>
    <w:rsid w:val="00C17E02"/>
    <w:rsid w:val="00C24EFB"/>
    <w:rsid w:val="00C2796B"/>
    <w:rsid w:val="00C27E23"/>
    <w:rsid w:val="00C30742"/>
    <w:rsid w:val="00C330D1"/>
    <w:rsid w:val="00C41E9C"/>
    <w:rsid w:val="00C43216"/>
    <w:rsid w:val="00C43B39"/>
    <w:rsid w:val="00C443D0"/>
    <w:rsid w:val="00C46C76"/>
    <w:rsid w:val="00C47FA6"/>
    <w:rsid w:val="00C50132"/>
    <w:rsid w:val="00C51536"/>
    <w:rsid w:val="00C53EDA"/>
    <w:rsid w:val="00C6020C"/>
    <w:rsid w:val="00C713AB"/>
    <w:rsid w:val="00C72F4D"/>
    <w:rsid w:val="00C93AB1"/>
    <w:rsid w:val="00C94D88"/>
    <w:rsid w:val="00C95A95"/>
    <w:rsid w:val="00CA143F"/>
    <w:rsid w:val="00CA4CC1"/>
    <w:rsid w:val="00CB07B0"/>
    <w:rsid w:val="00CB48A1"/>
    <w:rsid w:val="00CC0D10"/>
    <w:rsid w:val="00CC28A8"/>
    <w:rsid w:val="00CC2EB5"/>
    <w:rsid w:val="00CD524B"/>
    <w:rsid w:val="00CE4C57"/>
    <w:rsid w:val="00CE5A78"/>
    <w:rsid w:val="00CF13FF"/>
    <w:rsid w:val="00CF2403"/>
    <w:rsid w:val="00CF6900"/>
    <w:rsid w:val="00CF764C"/>
    <w:rsid w:val="00D0032A"/>
    <w:rsid w:val="00D03487"/>
    <w:rsid w:val="00D242CA"/>
    <w:rsid w:val="00D25E23"/>
    <w:rsid w:val="00D32D8D"/>
    <w:rsid w:val="00D40EE3"/>
    <w:rsid w:val="00D45A0B"/>
    <w:rsid w:val="00D54F79"/>
    <w:rsid w:val="00D56749"/>
    <w:rsid w:val="00D6014D"/>
    <w:rsid w:val="00D61AC2"/>
    <w:rsid w:val="00D6784D"/>
    <w:rsid w:val="00D7136C"/>
    <w:rsid w:val="00D80B27"/>
    <w:rsid w:val="00D84502"/>
    <w:rsid w:val="00D86BAF"/>
    <w:rsid w:val="00D87590"/>
    <w:rsid w:val="00D87882"/>
    <w:rsid w:val="00D9053E"/>
    <w:rsid w:val="00D95875"/>
    <w:rsid w:val="00DA3BF5"/>
    <w:rsid w:val="00DA4B73"/>
    <w:rsid w:val="00DA4D20"/>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2920"/>
    <w:rsid w:val="00E47DA0"/>
    <w:rsid w:val="00E52AF0"/>
    <w:rsid w:val="00E5324D"/>
    <w:rsid w:val="00E53ABA"/>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F1E"/>
    <w:rsid w:val="00EE5F08"/>
    <w:rsid w:val="00EF031D"/>
    <w:rsid w:val="00EF3F36"/>
    <w:rsid w:val="00EF7953"/>
    <w:rsid w:val="00F0534C"/>
    <w:rsid w:val="00F06AB2"/>
    <w:rsid w:val="00F109A7"/>
    <w:rsid w:val="00F11AA7"/>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E29E7"/>
    <w:rsid w:val="00FE31BA"/>
    <w:rsid w:val="00FF00AE"/>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B9C9E777-4F97-4CD4-AD2F-D45BDA8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822</Words>
  <Characters>5181</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Petra Eisenbeis-Trinkle</cp:lastModifiedBy>
  <cp:revision>2</cp:revision>
  <dcterms:created xsi:type="dcterms:W3CDTF">2025-01-21T12:38:00Z</dcterms:created>
  <dcterms:modified xsi:type="dcterms:W3CDTF">2025-01-21T12:38:00Z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