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r w:rsidRPr="00434137">
              <w:rPr>
                <w:rFonts w:ascii="1 dormakaba" w:hAnsi="1 dormakaba"/>
                <w:sz w:val="30"/>
                <w:szCs w:val="30"/>
              </w:rPr>
              <w:t>Pressem</w:t>
            </w:r>
            <w:r w:rsidR="0031158E" w:rsidRPr="00434137">
              <w:rPr>
                <w:rFonts w:ascii="1 dormakaba" w:hAnsi="1 dormakaba"/>
                <w:sz w:val="30"/>
                <w:szCs w:val="30"/>
              </w:rPr>
              <w:t>itteilung</w:t>
            </w:r>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E5567B" w14:paraId="707C356D" w14:textId="77777777" w:rsidTr="00040684">
        <w:trPr>
          <w:trHeight w:val="227"/>
        </w:trPr>
        <w:tc>
          <w:tcPr>
            <w:tcW w:w="5000" w:type="pct"/>
            <w:gridSpan w:val="2"/>
          </w:tcPr>
          <w:p w14:paraId="198A7A22" w14:textId="35962DA9" w:rsidR="0031158E" w:rsidRPr="00434137" w:rsidRDefault="00407692" w:rsidP="00A95E94">
            <w:pPr>
              <w:pStyle w:val="Titel"/>
              <w:framePr w:hSpace="0" w:wrap="auto" w:yAlign="inline"/>
              <w:suppressOverlap w:val="0"/>
              <w:rPr>
                <w:rFonts w:ascii="1 dormakaba" w:hAnsi="1 dormakaba"/>
                <w:highlight w:val="yellow"/>
                <w:lang w:val="de-DE"/>
              </w:rPr>
            </w:pPr>
            <w:r w:rsidRPr="00407692">
              <w:rPr>
                <w:rFonts w:ascii="1 dormakaba" w:hAnsi="1 dormakaba"/>
                <w:lang w:val="de-DE"/>
              </w:rPr>
              <w:t>Sensorschleuse Argus V60 von dormakaba: besonders kompakt, auffallend elegant</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E5567B"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38F8EBB1" w:rsidR="00593430" w:rsidRPr="00ED7E18" w:rsidRDefault="00593430" w:rsidP="00593430">
      <w:pPr>
        <w:rPr>
          <w:rFonts w:ascii="1 dormakaba" w:hAnsi="1 dormakaba"/>
          <w:b/>
          <w:bCs/>
          <w:lang w:val="de-DE"/>
        </w:rPr>
      </w:pPr>
      <w:r w:rsidRPr="00ED7E18">
        <w:rPr>
          <w:rFonts w:ascii="1 dormakaba" w:hAnsi="1 dormakaba"/>
          <w:b/>
          <w:bCs/>
          <w:lang w:val="de-DE"/>
        </w:rPr>
        <w:t xml:space="preserve">Ennepetal, </w:t>
      </w:r>
      <w:r w:rsidR="00E5567B">
        <w:rPr>
          <w:rFonts w:ascii="1 dormakaba" w:hAnsi="1 dormakaba"/>
          <w:b/>
          <w:bCs/>
          <w:lang w:val="de-DE"/>
        </w:rPr>
        <w:t>13</w:t>
      </w:r>
      <w:r w:rsidR="00193A73" w:rsidRPr="00ED7E18">
        <w:rPr>
          <w:rFonts w:ascii="1 dormakaba" w:hAnsi="1 dormakaba"/>
          <w:b/>
          <w:bCs/>
          <w:lang w:val="de-DE"/>
        </w:rPr>
        <w:t>.</w:t>
      </w:r>
      <w:r w:rsidRPr="00ED7E18">
        <w:rPr>
          <w:rFonts w:ascii="1 dormakaba" w:hAnsi="1 dormakaba"/>
          <w:b/>
          <w:bCs/>
          <w:lang w:val="de-DE"/>
        </w:rPr>
        <w:t xml:space="preserve"> </w:t>
      </w:r>
      <w:r w:rsidR="00E5567B">
        <w:rPr>
          <w:rFonts w:ascii="1 dormakaba" w:hAnsi="1 dormakaba"/>
          <w:b/>
          <w:bCs/>
          <w:lang w:val="de-DE"/>
        </w:rPr>
        <w:t>Juni</w:t>
      </w:r>
      <w:r w:rsidR="005101CB" w:rsidRPr="00ED7E18">
        <w:rPr>
          <w:rFonts w:ascii="1 dormakaba" w:hAnsi="1 dormakaba"/>
          <w:b/>
          <w:bCs/>
          <w:lang w:val="de-DE"/>
        </w:rPr>
        <w:t xml:space="preserve"> </w:t>
      </w:r>
      <w:r w:rsidRPr="00ED7E18">
        <w:rPr>
          <w:rFonts w:ascii="1 dormakaba" w:hAnsi="1 dormakaba"/>
          <w:b/>
          <w:bCs/>
          <w:lang w:val="de-DE"/>
        </w:rPr>
        <w:t>202</w:t>
      </w:r>
      <w:r w:rsidR="005101CB" w:rsidRPr="00ED7E18">
        <w:rPr>
          <w:rFonts w:ascii="1 dormakaba" w:hAnsi="1 dormakaba"/>
          <w:b/>
          <w:bCs/>
          <w:lang w:val="de-DE"/>
        </w:rPr>
        <w:t>3</w:t>
      </w:r>
      <w:r w:rsidRPr="00ED7E18">
        <w:rPr>
          <w:rFonts w:ascii="1 dormakaba" w:hAnsi="1 dormakaba"/>
          <w:b/>
          <w:bCs/>
          <w:lang w:val="de-DE"/>
        </w:rPr>
        <w:t xml:space="preserve"> – </w:t>
      </w:r>
      <w:r w:rsidR="00407692" w:rsidRPr="00ED7E18">
        <w:rPr>
          <w:rFonts w:ascii="1 dormakaba" w:hAnsi="1 dormakaba"/>
          <w:b/>
          <w:bCs/>
          <w:lang w:val="de-DE"/>
        </w:rPr>
        <w:t xml:space="preserve">Die neue kompakte Sensorschleuse Argus V60 bietet Sicherheit, Eleganz und Effizienz in einem und das auf engstem Raum. Dank moderner Sensortechnik eröffnet diese bereits mit dem </w:t>
      </w:r>
      <w:r w:rsidR="00050C24">
        <w:rPr>
          <w:rFonts w:ascii="1 dormakaba" w:hAnsi="1 dormakaba"/>
          <w:b/>
          <w:bCs/>
          <w:lang w:val="de-DE"/>
        </w:rPr>
        <w:t xml:space="preserve">iF DESIGN AWARD Winner 2023, dem </w:t>
      </w:r>
      <w:r w:rsidR="00407692" w:rsidRPr="00ED7E18">
        <w:rPr>
          <w:rFonts w:ascii="1 dormakaba" w:hAnsi="1 dormakaba"/>
          <w:b/>
          <w:bCs/>
          <w:lang w:val="de-DE"/>
        </w:rPr>
        <w:t>German Design Award Special 2023</w:t>
      </w:r>
      <w:r w:rsidR="00050C24">
        <w:rPr>
          <w:rFonts w:ascii="1 dormakaba" w:hAnsi="1 dormakaba"/>
          <w:b/>
          <w:bCs/>
          <w:lang w:val="de-DE"/>
        </w:rPr>
        <w:t xml:space="preserve"> und </w:t>
      </w:r>
      <w:r w:rsidR="00322FC9">
        <w:rPr>
          <w:rFonts w:ascii="1 dormakaba" w:hAnsi="1 dormakaba"/>
          <w:b/>
          <w:bCs/>
          <w:lang w:val="de-DE"/>
        </w:rPr>
        <w:t>dem</w:t>
      </w:r>
      <w:r w:rsidR="00322FC9" w:rsidRPr="00322FC9">
        <w:rPr>
          <w:rFonts w:ascii="1 dormakaba" w:hAnsi="1 dormakaba"/>
          <w:b/>
          <w:bCs/>
          <w:lang w:val="de-DE"/>
        </w:rPr>
        <w:t xml:space="preserve"> “Best New Wired Access Control Product" </w:t>
      </w:r>
      <w:r w:rsidR="00322FC9">
        <w:rPr>
          <w:rFonts w:ascii="1 dormakaba" w:hAnsi="1 dormakaba"/>
          <w:b/>
          <w:bCs/>
          <w:lang w:val="de-DE"/>
        </w:rPr>
        <w:t xml:space="preserve">der </w:t>
      </w:r>
      <w:r w:rsidR="00322FC9" w:rsidRPr="00322FC9">
        <w:rPr>
          <w:rFonts w:ascii="1 dormakaba" w:hAnsi="1 dormakaba"/>
          <w:b/>
          <w:bCs/>
          <w:lang w:val="de-DE"/>
        </w:rPr>
        <w:t>ISC WEST (Las Vegas, USA)</w:t>
      </w:r>
      <w:r w:rsidR="00322FC9">
        <w:rPr>
          <w:rFonts w:ascii="1 dormakaba" w:hAnsi="1 dormakaba"/>
          <w:b/>
          <w:bCs/>
          <w:lang w:val="de-DE"/>
        </w:rPr>
        <w:t xml:space="preserve"> </w:t>
      </w:r>
      <w:r w:rsidR="00407692" w:rsidRPr="00ED7E18">
        <w:rPr>
          <w:rFonts w:ascii="1 dormakaba" w:hAnsi="1 dormakaba"/>
          <w:b/>
          <w:bCs/>
          <w:lang w:val="de-DE"/>
        </w:rPr>
        <w:t>ausgezeichnete kompakte Sensorschleuse Architekten und Nutzern mehr Freiraum ohne Kompromisse in Punkto Personenschutz und Vereinzelungsdetektion. Mit ihren Gehäusemaßen von 240mm x 180mm beweist sich Argus V60 als kleinste vollwertige Sensorschleuse im Markt.</w:t>
      </w:r>
    </w:p>
    <w:p w14:paraId="7A71EEA6" w14:textId="77777777" w:rsidR="00593430" w:rsidRPr="00434137" w:rsidRDefault="00593430" w:rsidP="00593430">
      <w:pPr>
        <w:rPr>
          <w:rFonts w:ascii="1 dormakaba" w:hAnsi="1 dormakaba"/>
          <w:lang w:val="de-DE"/>
        </w:rPr>
      </w:pPr>
    </w:p>
    <w:p w14:paraId="663507D6" w14:textId="2D54536E" w:rsidR="009A550D" w:rsidRPr="00434137" w:rsidRDefault="00407692" w:rsidP="00593430">
      <w:pPr>
        <w:rPr>
          <w:rFonts w:ascii="1 dormakaba" w:hAnsi="1 dormakaba"/>
          <w:lang w:val="de-DE"/>
        </w:rPr>
      </w:pPr>
      <w:r w:rsidRPr="00407692">
        <w:rPr>
          <w:rFonts w:ascii="1 dormakaba" w:hAnsi="1 dormakaba"/>
          <w:lang w:val="de-DE"/>
        </w:rPr>
        <w:t>Gerade in Bereichen wie Foyers mit Aufzugsanlagen oder auch innerhalb von Bürogebäuden sorgt die neue Sensorschleuse Argus V60 für eine zuverlässige Personenflusssteuerung und integriert sich dabei elegant in jedes Gebäude. D</w:t>
      </w:r>
      <w:r w:rsidR="00185115">
        <w:rPr>
          <w:rFonts w:ascii="1 dormakaba" w:hAnsi="1 dormakaba"/>
          <w:lang w:val="de-DE"/>
        </w:rPr>
        <w:t xml:space="preserve">en </w:t>
      </w:r>
      <w:r w:rsidRPr="00407692">
        <w:rPr>
          <w:rFonts w:ascii="1 dormakaba" w:hAnsi="1 dormakaba"/>
          <w:lang w:val="de-DE"/>
        </w:rPr>
        <w:t xml:space="preserve">Einsatzmöglichkeiten </w:t>
      </w:r>
      <w:r w:rsidR="00185115">
        <w:rPr>
          <w:rFonts w:ascii="1 dormakaba" w:hAnsi="1 dormakaba"/>
          <w:lang w:val="de-DE"/>
        </w:rPr>
        <w:t xml:space="preserve">dieses </w:t>
      </w:r>
      <w:r w:rsidRPr="00407692">
        <w:rPr>
          <w:rFonts w:ascii="1 dormakaba" w:hAnsi="1 dormakaba"/>
          <w:lang w:val="de-DE"/>
        </w:rPr>
        <w:t>platzsparende</w:t>
      </w:r>
      <w:r w:rsidR="00185115">
        <w:rPr>
          <w:rFonts w:ascii="1 dormakaba" w:hAnsi="1 dormakaba"/>
          <w:lang w:val="de-DE"/>
        </w:rPr>
        <w:t>n,</w:t>
      </w:r>
      <w:r w:rsidRPr="00407692">
        <w:rPr>
          <w:rFonts w:ascii="1 dormakaba" w:hAnsi="1 dormakaba"/>
          <w:lang w:val="de-DE"/>
        </w:rPr>
        <w:t xml:space="preserve"> regulierende</w:t>
      </w:r>
      <w:r w:rsidR="00185115">
        <w:rPr>
          <w:rFonts w:ascii="1 dormakaba" w:hAnsi="1 dormakaba"/>
          <w:lang w:val="de-DE"/>
        </w:rPr>
        <w:t>n</w:t>
      </w:r>
      <w:r w:rsidRPr="00407692">
        <w:rPr>
          <w:rFonts w:ascii="1 dormakaba" w:hAnsi="1 dormakaba"/>
          <w:lang w:val="de-DE"/>
        </w:rPr>
        <w:t xml:space="preserve"> Zugangskontroll</w:t>
      </w:r>
      <w:r w:rsidR="00185115">
        <w:rPr>
          <w:rFonts w:ascii="1 dormakaba" w:hAnsi="1 dormakaba"/>
          <w:lang w:val="de-DE"/>
        </w:rPr>
        <w:t>systems</w:t>
      </w:r>
      <w:r w:rsidRPr="00407692">
        <w:rPr>
          <w:rFonts w:ascii="1 dormakaba" w:hAnsi="1 dormakaba"/>
          <w:lang w:val="de-DE"/>
        </w:rPr>
        <w:t xml:space="preserve"> sind wenig Grenzen gesetzt. Mit ihren kompakten Abmessungen und unterschiedlichsten Farb-Designvarianten passt sich die Sensorschleuse dem modernen Interiordesign an. Ebenso bietet die Sensorschleuse Argus V60 die Möglichkeit, zwischen uni- und bidirektionale Vereinzelung zu wählen. Sie ermöglicht die Überwachung der Passagen mittels der neuen dormakaba </w:t>
      </w:r>
      <w:r w:rsidR="004A44EC">
        <w:rPr>
          <w:rFonts w:ascii="1 dormakaba" w:hAnsi="1 dormakaba"/>
          <w:lang w:val="de-DE"/>
        </w:rPr>
        <w:t>Sensortech</w:t>
      </w:r>
      <w:r w:rsidRPr="00407692">
        <w:rPr>
          <w:rFonts w:ascii="1 dormakaba" w:hAnsi="1 dormakaba"/>
          <w:lang w:val="de-DE"/>
        </w:rPr>
        <w:t>nologie sowohl in Eingangs- als auch in Ausgangsrichtung.</w:t>
      </w:r>
    </w:p>
    <w:p w14:paraId="49AA442C" w14:textId="77777777" w:rsidR="009A550D" w:rsidRPr="00434137" w:rsidRDefault="009A550D" w:rsidP="00593430">
      <w:pPr>
        <w:rPr>
          <w:rFonts w:ascii="1 dormakaba" w:hAnsi="1 dormakaba"/>
          <w:lang w:val="de-DE"/>
        </w:rPr>
      </w:pPr>
    </w:p>
    <w:p w14:paraId="01E8CD47" w14:textId="23CD669A" w:rsidR="00993C23" w:rsidRDefault="00407692" w:rsidP="00593430">
      <w:pPr>
        <w:rPr>
          <w:rFonts w:ascii="1 dormakaba" w:hAnsi="1 dormakaba"/>
          <w:lang w:val="de-DE"/>
        </w:rPr>
      </w:pPr>
      <w:r w:rsidRPr="00407692">
        <w:rPr>
          <w:rFonts w:ascii="1 dormakaba" w:hAnsi="1 dormakaba"/>
          <w:lang w:val="de-DE"/>
        </w:rPr>
        <w:t>Zur zusätzlichen Steigerung des Sicherheitsniveaus können die Türflügel auf eine Oberkante von 1200 mm erhöht werden und sind mit nur 240 mm somit optisch passend zur Oberkante der Argus V60 Gehäuse. Die Integration der jeweiligen Kartenleser für die elektronische Zutrittskontrolle kann Aufputz erfolgen oder auch als verdeckter Einbau unter Glasabdeckung mit beleuchtetem RFID – Ikon. Optionen wie beleuchtete Türflügel, zusätzliche Integration eines QR-Readers oder auch Anlagen-Zustands-Kontrollleuchten runden die Argus V60 ab.</w:t>
      </w:r>
    </w:p>
    <w:p w14:paraId="19E5E41C" w14:textId="236CC88F" w:rsidR="00407692" w:rsidRDefault="00407692" w:rsidP="00593430">
      <w:pPr>
        <w:rPr>
          <w:rFonts w:ascii="1 dormakaba" w:hAnsi="1 dormakaba"/>
          <w:lang w:val="de-DE"/>
        </w:rPr>
      </w:pPr>
    </w:p>
    <w:p w14:paraId="1F56ED3E" w14:textId="6CE18CD5" w:rsidR="00407692" w:rsidRDefault="00407692" w:rsidP="00593430">
      <w:pPr>
        <w:rPr>
          <w:rFonts w:ascii="1 dormakaba" w:hAnsi="1 dormakaba"/>
          <w:lang w:val="de-DE"/>
        </w:rPr>
      </w:pPr>
      <w:r w:rsidRPr="00407692">
        <w:rPr>
          <w:rFonts w:ascii="1 dormakaba" w:hAnsi="1 dormakaba"/>
          <w:lang w:val="de-DE"/>
        </w:rPr>
        <w:t>Die Argus Schleuse ist bedienerfreundlich, komfortabel und sicher auch für die, deren Bewegungsfreiheit eingeschränkt ist. So kann der barrierefreie Durchgang für Rollstuhlfahrer, Gruppen oder Materialtransporte einfach mit der Option einer sensorisch überwachten Durchgangsbreite von 900 mm realisiert werden. Für sichere Flucht- und Rettungswege sorgt das integrierte Fluchtwegterminal und Fluchtwegsicherungssystem SafeRoute, das bei Auslösen im Notfall eine nahezu sofortige Öffnung (0,3 msek.)  der Anlagen in Fluchtrichtung ermöglicht.</w:t>
      </w:r>
    </w:p>
    <w:p w14:paraId="3BD1766A" w14:textId="7A125F6A" w:rsidR="00993C23" w:rsidRDefault="00993C23" w:rsidP="00593430">
      <w:pPr>
        <w:rPr>
          <w:rFonts w:ascii="1 dormakaba" w:hAnsi="1 dormakaba"/>
          <w:lang w:val="de-DE"/>
        </w:rPr>
      </w:pPr>
    </w:p>
    <w:p w14:paraId="2DE35F45" w14:textId="77777777" w:rsidR="00434071" w:rsidRDefault="00434071" w:rsidP="00593430">
      <w:pPr>
        <w:rPr>
          <w:rFonts w:ascii="1 dormakaba" w:hAnsi="1 dormakaba"/>
          <w:lang w:val="de-DE"/>
        </w:rPr>
      </w:pPr>
    </w:p>
    <w:p w14:paraId="60C42406" w14:textId="31B4C654" w:rsidR="00593430" w:rsidRPr="00434137" w:rsidRDefault="00407692" w:rsidP="00593430">
      <w:pPr>
        <w:rPr>
          <w:rFonts w:ascii="1 dormakaba" w:hAnsi="1 dormakaba"/>
          <w:u w:val="single"/>
          <w:lang w:val="de-DE"/>
        </w:rPr>
      </w:pPr>
      <w:r>
        <w:rPr>
          <w:rFonts w:ascii="1 dormakaba" w:hAnsi="1 dormakaba"/>
          <w:u w:val="single"/>
          <w:lang w:val="de-DE"/>
        </w:rPr>
        <w:t>B</w:t>
      </w:r>
      <w:r w:rsidR="00A95E94" w:rsidRPr="00434137">
        <w:rPr>
          <w:rFonts w:ascii="1 dormakaba" w:hAnsi="1 dormakaba"/>
          <w:u w:val="single"/>
          <w:lang w:val="de-DE"/>
        </w:rPr>
        <w:t>ildunterschrift</w:t>
      </w:r>
      <w:r w:rsidR="003254B1" w:rsidRPr="00434137">
        <w:rPr>
          <w:rFonts w:ascii="1 dormakaba" w:hAnsi="1 dormakaba"/>
          <w:u w:val="single"/>
          <w:lang w:val="de-DE"/>
        </w:rPr>
        <w:t>:</w:t>
      </w:r>
      <w:r w:rsidR="00A95E94" w:rsidRPr="00434137">
        <w:rPr>
          <w:rFonts w:ascii="1 dormakaba" w:hAnsi="1 dormakaba"/>
          <w:u w:val="single"/>
          <w:lang w:val="de-DE"/>
        </w:rPr>
        <w:t xml:space="preserve"> </w:t>
      </w:r>
    </w:p>
    <w:p w14:paraId="3FFD41F6" w14:textId="1FA4023B" w:rsidR="00BA3A4C" w:rsidRPr="00434137" w:rsidRDefault="005101CB" w:rsidP="008804C6">
      <w:pPr>
        <w:rPr>
          <w:rFonts w:ascii="1 dormakaba" w:hAnsi="1 dormakaba"/>
          <w:lang w:val="de-DE"/>
        </w:rPr>
      </w:pPr>
      <w:r>
        <w:rPr>
          <w:rFonts w:ascii="1 dormakaba" w:hAnsi="1 dormakaba"/>
          <w:lang w:val="de-DE"/>
        </w:rPr>
        <w:t>Ausgezeichnete Sensorschleuse Argus V60 von dormakaba</w:t>
      </w: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946C0F" w14:textId="77777777" w:rsidR="00407692" w:rsidRDefault="00407692" w:rsidP="0075272C">
      <w:pPr>
        <w:rPr>
          <w:rFonts w:ascii="1 dormakaba" w:hAnsi="1 dormakaba"/>
          <w:b/>
          <w:lang w:val="de-DE"/>
        </w:rPr>
      </w:pPr>
      <w:bookmarkStart w:id="0" w:name="_Hlk54011291"/>
    </w:p>
    <w:p w14:paraId="3D4E3DEB" w14:textId="77777777" w:rsidR="002406B6" w:rsidRDefault="002406B6" w:rsidP="0075272C">
      <w:pPr>
        <w:rPr>
          <w:rFonts w:ascii="1 dormakaba" w:hAnsi="1 dormakaba"/>
          <w:b/>
          <w:lang w:val="de-DE"/>
        </w:rPr>
      </w:pPr>
    </w:p>
    <w:p w14:paraId="49D36A75" w14:textId="560C9F75" w:rsidR="0075272C" w:rsidRPr="00434137" w:rsidRDefault="002406B6"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C8C7DBA" w14:textId="77777777" w:rsidR="002406B6" w:rsidRDefault="002406B6" w:rsidP="00786150">
      <w:pPr>
        <w:tabs>
          <w:tab w:val="clear" w:pos="2410"/>
        </w:tabs>
        <w:textAlignment w:val="baseline"/>
        <w:rPr>
          <w:rFonts w:ascii="1 dormakaba" w:eastAsia="Times New Roman" w:hAnsi="1 dormakaba" w:cs="Segoe UI"/>
          <w:szCs w:val="19"/>
          <w:lang w:val="de-CH" w:eastAsia="de-DE"/>
        </w:rPr>
      </w:pPr>
    </w:p>
    <w:p w14:paraId="6933F7D3" w14:textId="773738D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1FFB2062"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w:t>
      </w:r>
      <w:r w:rsidRPr="002406B6">
        <w:rPr>
          <w:rFonts w:ascii="1 dormakaba" w:eastAsia="Times New Roman" w:hAnsi="1 dormakaba" w:cs="Segoe UI"/>
          <w:color w:val="221E1F"/>
          <w:sz w:val="15"/>
          <w:szCs w:val="15"/>
          <w:lang w:val="de-CH" w:eastAsia="de-DE"/>
        </w:rPr>
        <w:lastRenderedPageBreak/>
        <w:t xml:space="preserve">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soweit durch geltendes Recht oder Vorschriften vorgeschrieben. Die vergangene Wertentwicklung ist kein Hinweis auf die zukünftige.  </w:t>
      </w:r>
    </w:p>
    <w:p w14:paraId="00160B79"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p>
    <w:p w14:paraId="68C2D973"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161D0F56"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  </w:t>
      </w:r>
    </w:p>
    <w:p w14:paraId="51C0AE21" w14:textId="0A7EA634" w:rsidR="00786150" w:rsidRPr="003C44FA" w:rsidRDefault="002406B6" w:rsidP="002406B6">
      <w:pPr>
        <w:tabs>
          <w:tab w:val="clear" w:pos="2410"/>
        </w:tabs>
        <w:ind w:left="-15"/>
        <w:textAlignment w:val="baseline"/>
        <w:rPr>
          <w:rFonts w:ascii="1 dormakaba" w:eastAsia="Times New Roman" w:hAnsi="1 dormakaba" w:cs="Segoe UI"/>
          <w:sz w:val="18"/>
          <w:szCs w:val="18"/>
          <w:lang w:val="de-DE" w:eastAsia="de-DE"/>
        </w:rPr>
      </w:pPr>
      <w:r w:rsidRPr="002406B6">
        <w:rPr>
          <w:rFonts w:ascii="1 dormakaba" w:eastAsia="Times New Roman" w:hAnsi="1 dormakaba" w:cs="Segoe UI"/>
          <w:color w:val="221E1F"/>
          <w:sz w:val="15"/>
          <w:szCs w:val="15"/>
          <w:lang w:val="de-CH" w:eastAsia="de-DE"/>
        </w:rPr>
        <w:t xml:space="preserve">dormakaba®, dorma+kaba®, Kaba®, Dorma®, Ilco®, LEGIC®, Silca®, BEST® etc. sind geschützte Marken der dormakaba Gruppe.  Aufgrund länderspezifischer Beschränkungen oder Marketingüberlegungen sind einige Produkte und Systeme der dormakaba Gruppe möglicherweise nicht in allen Märkten erhältlich. </w:t>
      </w:r>
      <w:r w:rsidR="00786150" w:rsidRPr="003C44FA">
        <w:rPr>
          <w:rFonts w:ascii="1 dormakaba" w:eastAsia="Times New Roman" w:hAnsi="1 dormakaba" w:cs="Segoe UI"/>
          <w:color w:val="221E1F"/>
          <w:sz w:val="15"/>
          <w:szCs w:val="15"/>
          <w:lang w:val="de-CH" w:eastAsia="de-DE"/>
        </w:rPr>
        <w:t xml:space="preserve">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0F1D" w14:textId="77777777" w:rsidR="00FA1698" w:rsidRDefault="00FA1698" w:rsidP="00E207FD">
      <w:pPr>
        <w:spacing w:line="240" w:lineRule="auto"/>
      </w:pPr>
      <w:r>
        <w:separator/>
      </w:r>
    </w:p>
  </w:endnote>
  <w:endnote w:type="continuationSeparator" w:id="0">
    <w:p w14:paraId="112F60A3" w14:textId="77777777" w:rsidR="00FA1698" w:rsidRDefault="00FA1698"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C2B1" w14:textId="77777777" w:rsidR="00FA1698" w:rsidRDefault="00FA1698" w:rsidP="00E207FD">
      <w:pPr>
        <w:spacing w:line="240" w:lineRule="auto"/>
      </w:pPr>
      <w:r>
        <w:separator/>
      </w:r>
    </w:p>
  </w:footnote>
  <w:footnote w:type="continuationSeparator" w:id="0">
    <w:p w14:paraId="202D70F9" w14:textId="77777777" w:rsidR="00FA1698" w:rsidRDefault="00FA1698"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0316" w14:textId="77777777" w:rsidR="00C72031" w:rsidRPr="00C7203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C72031" w14:paraId="1D9D0480" w14:textId="77777777" w:rsidTr="00FB5C11">
      <w:tc>
        <w:tcPr>
          <w:tcW w:w="3544" w:type="dxa"/>
        </w:tcPr>
        <w:p w14:paraId="67BA97F9" w14:textId="616AAC9E" w:rsidR="00C72031" w:rsidRDefault="00C72031">
          <w:pPr>
            <w:pStyle w:val="Kopfzeile"/>
          </w:pPr>
        </w:p>
      </w:tc>
      <w:tc>
        <w:tcPr>
          <w:tcW w:w="1276" w:type="dxa"/>
        </w:tcPr>
        <w:p w14:paraId="7C65225D" w14:textId="77777777" w:rsidR="00C72031" w:rsidRDefault="00C72031" w:rsidP="00773DE1">
          <w:pPr>
            <w:pStyle w:val="Kopfzeile"/>
            <w:jc w:val="right"/>
          </w:pPr>
        </w:p>
      </w:tc>
      <w:tc>
        <w:tcPr>
          <w:tcW w:w="1171" w:type="dxa"/>
        </w:tcPr>
        <w:p w14:paraId="4EE4541A" w14:textId="77777777" w:rsidR="00C72031" w:rsidRDefault="00C72031" w:rsidP="00773DE1">
          <w:pPr>
            <w:pStyle w:val="Kopfzeile"/>
            <w:jc w:val="right"/>
          </w:pPr>
        </w:p>
      </w:tc>
      <w:sdt>
        <w:sdtPr>
          <w:alias w:val="Logo"/>
          <w:tag w:val="Logo"/>
          <w:id w:val="-1521317007"/>
          <w:lock w:val="sdtLocked"/>
          <w:docPartList>
            <w:docPartGallery w:val="Custom AutoText"/>
            <w:docPartCategory w:val="Logo"/>
          </w:docPartList>
        </w:sdtPr>
        <w:sdtContent>
          <w:tc>
            <w:tcPr>
              <w:tcW w:w="3302" w:type="dxa"/>
            </w:tcPr>
            <w:p w14:paraId="287B4F46" w14:textId="77777777" w:rsidR="00C72031" w:rsidRDefault="00C72031" w:rsidP="00C05C5B">
              <w:pPr>
                <w:pStyle w:val="Kopfzeile"/>
                <w:jc w:val="right"/>
              </w:pPr>
              <w:r>
                <w:rPr>
                  <w:noProof/>
                  <w:lang w:val="de-DE" w:eastAsia="de-DE"/>
                </w:rPr>
                <w:drawing>
                  <wp:inline distT="0" distB="0" distL="0" distR="0" wp14:anchorId="5E03B478" wp14:editId="4F2F3756">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2B7880C3" w14:textId="77777777" w:rsidR="00407692" w:rsidRPr="00AB651B" w:rsidRDefault="00407692" w:rsidP="00407692">
    <w:pPr>
      <w:pStyle w:val="Headertextsmall"/>
      <w:rPr>
        <w:rFonts w:ascii="1 dormakaba" w:hAnsi="1 dormakaba"/>
        <w:lang w:val="de-DE"/>
      </w:rPr>
    </w:pPr>
    <w:r>
      <w:rPr>
        <w:rFonts w:ascii="1 dormakaba" w:hAnsi="1 dormakaba"/>
        <w:lang w:val="de-DE"/>
      </w:rPr>
      <w:t>Sensorschleuse Argus V60 von</w:t>
    </w:r>
    <w:r w:rsidRPr="00AB651B">
      <w:rPr>
        <w:rFonts w:ascii="1 dormakaba" w:hAnsi="1 dormakaba"/>
        <w:lang w:val="de-DE"/>
      </w:rPr>
      <w:t xml:space="preserve"> dormakaba  </w:t>
    </w:r>
  </w:p>
  <w:p w14:paraId="5E7BEDAF" w14:textId="558735D7"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52059B57" w:rsidR="001360F2" w:rsidRPr="00AB651B" w:rsidRDefault="00407692" w:rsidP="0032694F">
    <w:pPr>
      <w:pStyle w:val="Headertextsmall"/>
      <w:rPr>
        <w:rFonts w:ascii="1 dormakaba" w:hAnsi="1 dormakaba"/>
        <w:lang w:val="de-DE"/>
      </w:rPr>
    </w:pPr>
    <w:r>
      <w:rPr>
        <w:rFonts w:ascii="1 dormakaba" w:hAnsi="1 dormakaba"/>
        <w:lang w:val="de-DE"/>
      </w:rPr>
      <w:t>Sensorschleuse Argus V60 von</w:t>
    </w:r>
    <w:r w:rsidR="00951BC2" w:rsidRPr="00AB651B">
      <w:rPr>
        <w:rFonts w:ascii="1 dormakaba" w:hAnsi="1 dormakaba"/>
        <w:lang w:val="de-DE"/>
      </w:rPr>
      <w:t xml:space="preserve"> </w:t>
    </w:r>
    <w:r w:rsidR="00CF2403" w:rsidRPr="00AB651B">
      <w:rPr>
        <w:rFonts w:ascii="1 dormakaba" w:hAnsi="1 dormakaba"/>
        <w:lang w:val="de-DE"/>
      </w:rPr>
      <w:t>dormakaba</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107065">
    <w:abstractNumId w:val="5"/>
  </w:num>
  <w:num w:numId="2" w16cid:durableId="1510410215">
    <w:abstractNumId w:val="1"/>
  </w:num>
  <w:num w:numId="3" w16cid:durableId="2039114247">
    <w:abstractNumId w:val="2"/>
  </w:num>
  <w:num w:numId="4" w16cid:durableId="1521238924">
    <w:abstractNumId w:val="4"/>
  </w:num>
  <w:num w:numId="5" w16cid:durableId="1919054409">
    <w:abstractNumId w:val="0"/>
  </w:num>
  <w:num w:numId="6" w16cid:durableId="1626697106">
    <w:abstractNumId w:val="6"/>
  </w:num>
  <w:num w:numId="7" w16cid:durableId="127778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2003"/>
    <w:rsid w:val="0001359C"/>
    <w:rsid w:val="00013C78"/>
    <w:rsid w:val="0001605F"/>
    <w:rsid w:val="0002308D"/>
    <w:rsid w:val="00037E1F"/>
    <w:rsid w:val="00040684"/>
    <w:rsid w:val="000423C8"/>
    <w:rsid w:val="00042AD3"/>
    <w:rsid w:val="000468A0"/>
    <w:rsid w:val="000500B7"/>
    <w:rsid w:val="00050C24"/>
    <w:rsid w:val="0006211A"/>
    <w:rsid w:val="00081428"/>
    <w:rsid w:val="00084F08"/>
    <w:rsid w:val="00086BF9"/>
    <w:rsid w:val="0008787C"/>
    <w:rsid w:val="000906A6"/>
    <w:rsid w:val="0009212C"/>
    <w:rsid w:val="00092845"/>
    <w:rsid w:val="000974CF"/>
    <w:rsid w:val="000A0C0C"/>
    <w:rsid w:val="000B6769"/>
    <w:rsid w:val="000B6A57"/>
    <w:rsid w:val="000D2708"/>
    <w:rsid w:val="000E494B"/>
    <w:rsid w:val="000E7264"/>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3785"/>
    <w:rsid w:val="00185115"/>
    <w:rsid w:val="00187858"/>
    <w:rsid w:val="00193A73"/>
    <w:rsid w:val="001A1245"/>
    <w:rsid w:val="001B1A0C"/>
    <w:rsid w:val="001C0A6D"/>
    <w:rsid w:val="001C1A34"/>
    <w:rsid w:val="001C2C5A"/>
    <w:rsid w:val="001C3459"/>
    <w:rsid w:val="001C5027"/>
    <w:rsid w:val="001C7FA0"/>
    <w:rsid w:val="001D0D13"/>
    <w:rsid w:val="001D1C27"/>
    <w:rsid w:val="001D2B63"/>
    <w:rsid w:val="001D49C0"/>
    <w:rsid w:val="001E5265"/>
    <w:rsid w:val="001F13E3"/>
    <w:rsid w:val="00203773"/>
    <w:rsid w:val="002068EE"/>
    <w:rsid w:val="00213AE2"/>
    <w:rsid w:val="00213F16"/>
    <w:rsid w:val="00215538"/>
    <w:rsid w:val="00221FFE"/>
    <w:rsid w:val="00234E1C"/>
    <w:rsid w:val="00236A34"/>
    <w:rsid w:val="00236FBA"/>
    <w:rsid w:val="002406B6"/>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2F664E"/>
    <w:rsid w:val="00305A55"/>
    <w:rsid w:val="0030735B"/>
    <w:rsid w:val="0031158E"/>
    <w:rsid w:val="00314716"/>
    <w:rsid w:val="00322FC9"/>
    <w:rsid w:val="003254B1"/>
    <w:rsid w:val="0032694F"/>
    <w:rsid w:val="0032753C"/>
    <w:rsid w:val="00334CD9"/>
    <w:rsid w:val="00335AC9"/>
    <w:rsid w:val="0034436C"/>
    <w:rsid w:val="00356B56"/>
    <w:rsid w:val="00363103"/>
    <w:rsid w:val="003639DD"/>
    <w:rsid w:val="00364CB1"/>
    <w:rsid w:val="003652EE"/>
    <w:rsid w:val="003715F8"/>
    <w:rsid w:val="003809C4"/>
    <w:rsid w:val="00383A9C"/>
    <w:rsid w:val="003841DE"/>
    <w:rsid w:val="00387DBE"/>
    <w:rsid w:val="0039184D"/>
    <w:rsid w:val="003B4071"/>
    <w:rsid w:val="003B48C2"/>
    <w:rsid w:val="003C09D9"/>
    <w:rsid w:val="003E1B2C"/>
    <w:rsid w:val="003E3CB5"/>
    <w:rsid w:val="003F2419"/>
    <w:rsid w:val="00403B9B"/>
    <w:rsid w:val="00403F0E"/>
    <w:rsid w:val="0040597E"/>
    <w:rsid w:val="00407692"/>
    <w:rsid w:val="00410325"/>
    <w:rsid w:val="00414EFD"/>
    <w:rsid w:val="00427A74"/>
    <w:rsid w:val="004326A7"/>
    <w:rsid w:val="00434071"/>
    <w:rsid w:val="00434137"/>
    <w:rsid w:val="0043677C"/>
    <w:rsid w:val="00440367"/>
    <w:rsid w:val="0045053B"/>
    <w:rsid w:val="004508CE"/>
    <w:rsid w:val="00451B88"/>
    <w:rsid w:val="00452D62"/>
    <w:rsid w:val="00461622"/>
    <w:rsid w:val="004617D4"/>
    <w:rsid w:val="00463026"/>
    <w:rsid w:val="004641EB"/>
    <w:rsid w:val="004732B5"/>
    <w:rsid w:val="00473764"/>
    <w:rsid w:val="00474665"/>
    <w:rsid w:val="004A04EF"/>
    <w:rsid w:val="004A2C7D"/>
    <w:rsid w:val="004A31DB"/>
    <w:rsid w:val="004A44EC"/>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101CB"/>
    <w:rsid w:val="005147AF"/>
    <w:rsid w:val="0051483F"/>
    <w:rsid w:val="0051664C"/>
    <w:rsid w:val="00520226"/>
    <w:rsid w:val="00521175"/>
    <w:rsid w:val="005227A5"/>
    <w:rsid w:val="00522A9D"/>
    <w:rsid w:val="00523839"/>
    <w:rsid w:val="00524D55"/>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1A"/>
    <w:rsid w:val="005F752A"/>
    <w:rsid w:val="005F75C0"/>
    <w:rsid w:val="006015F9"/>
    <w:rsid w:val="006042C3"/>
    <w:rsid w:val="00605E80"/>
    <w:rsid w:val="006104DC"/>
    <w:rsid w:val="00610C61"/>
    <w:rsid w:val="006242F3"/>
    <w:rsid w:val="006267C8"/>
    <w:rsid w:val="00640A85"/>
    <w:rsid w:val="00644A41"/>
    <w:rsid w:val="006505A0"/>
    <w:rsid w:val="00662323"/>
    <w:rsid w:val="00663EC1"/>
    <w:rsid w:val="0067070E"/>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60C1"/>
    <w:rsid w:val="008273E1"/>
    <w:rsid w:val="00827ADD"/>
    <w:rsid w:val="0083154E"/>
    <w:rsid w:val="0083227C"/>
    <w:rsid w:val="00836148"/>
    <w:rsid w:val="008438FE"/>
    <w:rsid w:val="008444A4"/>
    <w:rsid w:val="00863830"/>
    <w:rsid w:val="008804C6"/>
    <w:rsid w:val="00881549"/>
    <w:rsid w:val="0088356E"/>
    <w:rsid w:val="00892545"/>
    <w:rsid w:val="00897A7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C2A33"/>
    <w:rsid w:val="009C5814"/>
    <w:rsid w:val="009D16B2"/>
    <w:rsid w:val="009D63F1"/>
    <w:rsid w:val="009E09E4"/>
    <w:rsid w:val="009E6F0A"/>
    <w:rsid w:val="00A0334F"/>
    <w:rsid w:val="00A14EB2"/>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7084"/>
    <w:rsid w:val="00AE4869"/>
    <w:rsid w:val="00AF003C"/>
    <w:rsid w:val="00AF5DA5"/>
    <w:rsid w:val="00AF7FC8"/>
    <w:rsid w:val="00B17C38"/>
    <w:rsid w:val="00B17FE1"/>
    <w:rsid w:val="00B22911"/>
    <w:rsid w:val="00B23025"/>
    <w:rsid w:val="00B317D8"/>
    <w:rsid w:val="00B434BB"/>
    <w:rsid w:val="00B66FF2"/>
    <w:rsid w:val="00BA0E4F"/>
    <w:rsid w:val="00BA2260"/>
    <w:rsid w:val="00BA3A4C"/>
    <w:rsid w:val="00BA4D47"/>
    <w:rsid w:val="00BB06F3"/>
    <w:rsid w:val="00BB10DA"/>
    <w:rsid w:val="00BC023D"/>
    <w:rsid w:val="00BC147F"/>
    <w:rsid w:val="00BC6A3A"/>
    <w:rsid w:val="00BC6FD1"/>
    <w:rsid w:val="00BD239A"/>
    <w:rsid w:val="00BD5FFA"/>
    <w:rsid w:val="00BF023E"/>
    <w:rsid w:val="00BF0C82"/>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13AB"/>
    <w:rsid w:val="00C72031"/>
    <w:rsid w:val="00C72F4D"/>
    <w:rsid w:val="00C9177B"/>
    <w:rsid w:val="00C94D88"/>
    <w:rsid w:val="00C95A95"/>
    <w:rsid w:val="00CA143F"/>
    <w:rsid w:val="00CA4CC1"/>
    <w:rsid w:val="00CB48A1"/>
    <w:rsid w:val="00CC0D10"/>
    <w:rsid w:val="00CC2EB5"/>
    <w:rsid w:val="00CD524B"/>
    <w:rsid w:val="00CE4C57"/>
    <w:rsid w:val="00CF13FF"/>
    <w:rsid w:val="00CF2403"/>
    <w:rsid w:val="00CF6900"/>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A4B73"/>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6067"/>
    <w:rsid w:val="00E47DA0"/>
    <w:rsid w:val="00E52AF0"/>
    <w:rsid w:val="00E5324D"/>
    <w:rsid w:val="00E5567B"/>
    <w:rsid w:val="00E57EF8"/>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D7E18"/>
    <w:rsid w:val="00EE1A97"/>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1698"/>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831</Words>
  <Characters>5236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2023-06-12T12:00:00Z</dcterms:created>
  <dcterms:modified xsi:type="dcterms:W3CDTF">2023-06-13T13:09:00Z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