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METRICS DESCRIPTION:</w:t>
      </w:r>
      <w:r w:rsidDel="00000000" w:rsidR="00000000" w:rsidRPr="00000000">
        <w:rPr>
          <w:rtl w:val="0"/>
        </w:rPr>
      </w:r>
    </w:p>
    <w:p w:rsidR="00000000" w:rsidDel="00000000" w:rsidP="00000000" w:rsidRDefault="00000000" w:rsidRPr="00000000" w14:paraId="00000002">
      <w:pPr>
        <w:spacing w:after="0" w:line="240" w:lineRule="auto"/>
        <w:rPr>
          <w:rFonts w:ascii="Poppins" w:cs="Poppins" w:eastAsia="Poppins" w:hAnsi="Poppins"/>
          <w:sz w:val="32"/>
          <w:szCs w:val="32"/>
        </w:rPr>
      </w:pPr>
      <w:r w:rsidDel="00000000" w:rsidR="00000000" w:rsidRPr="00000000">
        <w:rPr>
          <w:rFonts w:ascii="Poppins" w:cs="Poppins" w:eastAsia="Poppins" w:hAnsi="Poppins"/>
          <w:sz w:val="32"/>
          <w:szCs w:val="32"/>
          <w:rtl w:val="0"/>
        </w:rPr>
        <w:t xml:space="preserve">Celonis for Consulting (C4C) - Project Credit-Based Model</w:t>
      </w:r>
      <w:r w:rsidDel="00000000" w:rsidR="00000000" w:rsidRPr="00000000">
        <w:rPr>
          <w:rtl w:val="0"/>
        </w:rPr>
      </w:r>
    </w:p>
    <w:p w:rsidR="00000000" w:rsidDel="00000000" w:rsidP="00000000" w:rsidRDefault="00000000" w:rsidRPr="00000000" w14:paraId="00000003">
      <w:pPr>
        <w:spacing w:after="0" w:line="240" w:lineRule="auto"/>
        <w:jc w:val="both"/>
        <w:rPr>
          <w:rFonts w:ascii="Poppins Light" w:cs="Poppins Light" w:eastAsia="Poppins Light" w:hAnsi="Poppins Light"/>
          <w:sz w:val="20"/>
          <w:szCs w:val="20"/>
        </w:rPr>
      </w:pPr>
      <w:r w:rsidDel="00000000" w:rsidR="00000000" w:rsidRPr="00000000">
        <w:rPr>
          <w:rtl w:val="0"/>
        </w:rPr>
      </w:r>
    </w:p>
    <w:p w:rsidR="00000000" w:rsidDel="00000000" w:rsidP="00000000" w:rsidRDefault="00000000" w:rsidRPr="00000000" w14:paraId="00000004">
      <w:pPr>
        <w:jc w:val="both"/>
        <w:rPr>
          <w:rFonts w:ascii="Poppins" w:cs="Poppins" w:eastAsia="Poppins" w:hAnsi="Poppins"/>
          <w:sz w:val="18"/>
          <w:szCs w:val="18"/>
          <w:highlight w:val="white"/>
        </w:rPr>
      </w:pPr>
      <w:r w:rsidDel="00000000" w:rsidR="00000000" w:rsidRPr="00000000">
        <w:rPr>
          <w:rFonts w:ascii="Poppins" w:cs="Poppins" w:eastAsia="Poppins" w:hAnsi="Poppins"/>
          <w:sz w:val="18"/>
          <w:szCs w:val="18"/>
          <w:rtl w:val="0"/>
        </w:rPr>
        <w:t xml:space="preserve">This C</w:t>
      </w:r>
      <w:r w:rsidDel="00000000" w:rsidR="00000000" w:rsidRPr="00000000">
        <w:rPr>
          <w:rFonts w:ascii="Poppins" w:cs="Poppins" w:eastAsia="Poppins" w:hAnsi="Poppins"/>
          <w:sz w:val="18"/>
          <w:szCs w:val="18"/>
          <w:highlight w:val="white"/>
          <w:rtl w:val="0"/>
        </w:rPr>
        <w:t xml:space="preserve">elonis Metrics Description for the Celonis for Consulting (C4C) - Project Credit-Based Model is part of Your Agreement with Celonis (the “Agreement”). It serves to define Celonis for Consulting (C4C) product offerings.  Any capitalized terms not otherwise defined herein shall have the meaning ascribed to them in the Agreement.</w:t>
      </w:r>
    </w:p>
    <w:p w:rsidR="00000000" w:rsidDel="00000000" w:rsidP="00000000" w:rsidRDefault="00000000" w:rsidRPr="00000000" w14:paraId="00000005">
      <w:pPr>
        <w:jc w:val="both"/>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The products You have purchased are listed in an Order entered into between You and Us and are identifiable by the Product Name and the Applicable SKUs, which are common to both the applicable Order and this Metrics Description. </w:t>
      </w:r>
    </w:p>
    <w:p w:rsidR="00000000" w:rsidDel="00000000" w:rsidP="00000000" w:rsidRDefault="00000000" w:rsidRPr="00000000" w14:paraId="00000006">
      <w:pPr>
        <w:jc w:val="both"/>
        <w:rPr>
          <w:rFonts w:ascii="Poppins" w:cs="Poppins" w:eastAsia="Poppins" w:hAnsi="Poppins"/>
          <w:b w:val="1"/>
          <w:sz w:val="18"/>
          <w:szCs w:val="18"/>
          <w:highlight w:val="white"/>
          <w:u w:val="single"/>
        </w:rPr>
      </w:pPr>
      <w:r w:rsidDel="00000000" w:rsidR="00000000" w:rsidRPr="00000000">
        <w:rPr>
          <w:rFonts w:ascii="Poppins" w:cs="Poppins" w:eastAsia="Poppins" w:hAnsi="Poppins"/>
          <w:sz w:val="18"/>
          <w:szCs w:val="18"/>
          <w:rtl w:val="0"/>
        </w:rPr>
        <w:t xml:space="preserve">The provisions of each individual Order shall prevail over the below definitions in the event of and to the extent of any conflict.</w:t>
      </w:r>
      <w:r w:rsidDel="00000000" w:rsidR="00000000" w:rsidRPr="00000000">
        <w:rPr>
          <w:rtl w:val="0"/>
        </w:rPr>
      </w:r>
    </w:p>
    <w:p w:rsidR="00000000" w:rsidDel="00000000" w:rsidP="00000000" w:rsidRDefault="00000000" w:rsidRPr="00000000" w14:paraId="00000007">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The Celonis Materials may contain technical features that allow Us to verify Your compliance with the limitations in this Agreement and/or an Order. Upon Our reasonable request, You shall certify in writing that Your use of the Celonis Materials fully complies with such limitations. You will keep complete and accurate records related to Your use of the Celonis Materials and the Financial Metrics related to Your Order and will make such records available to Us or Our designated third-party auditor upon request and free of charge. </w:t>
      </w:r>
    </w:p>
    <w:p w:rsidR="00000000" w:rsidDel="00000000" w:rsidP="00000000" w:rsidRDefault="00000000" w:rsidRPr="00000000" w14:paraId="00000008">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9">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Partners will be able to leverage the Celonis Platform (as detailed in Section 1 below) to manage projects for End Clients (defined below). Projects are driven by two components: the Celonis Platform and Credits.</w:t>
      </w:r>
    </w:p>
    <w:p w:rsidR="00000000" w:rsidDel="00000000" w:rsidP="00000000" w:rsidRDefault="00000000" w:rsidRPr="00000000" w14:paraId="0000000A">
      <w:pPr>
        <w:spacing w:after="0" w:line="240" w:lineRule="auto"/>
        <w:rPr>
          <w:rFonts w:ascii="Poppins" w:cs="Poppins" w:eastAsia="Poppins" w:hAnsi="Poppins"/>
          <w:color w:val="0028ff"/>
          <w:sz w:val="18"/>
          <w:szCs w:val="18"/>
        </w:rPr>
      </w:pP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after="200" w:line="276" w:lineRule="auto"/>
        <w:ind w:left="360" w:hanging="360"/>
        <w:jc w:val="both"/>
        <w:rPr>
          <w:rFonts w:ascii="Poppins Medium" w:cs="Poppins Medium" w:eastAsia="Poppins Medium" w:hAnsi="Poppins Medium"/>
          <w:b w:val="1"/>
          <w:color w:val="000000"/>
          <w:sz w:val="18"/>
          <w:szCs w:val="18"/>
        </w:rPr>
      </w:pPr>
      <w:r w:rsidDel="00000000" w:rsidR="00000000" w:rsidRPr="00000000">
        <w:rPr>
          <w:rFonts w:ascii="Poppins Medium" w:cs="Poppins Medium" w:eastAsia="Poppins Medium" w:hAnsi="Poppins Medium"/>
          <w:b w:val="1"/>
          <w:sz w:val="18"/>
          <w:szCs w:val="18"/>
          <w:rtl w:val="0"/>
        </w:rPr>
        <w:t xml:space="preserve">Celonis Platform</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line="276" w:lineRule="auto"/>
        <w:ind w:left="360" w:firstLine="0"/>
        <w:jc w:val="both"/>
        <w:rPr>
          <w:rFonts w:ascii="Poppins Medium" w:cs="Poppins Medium" w:eastAsia="Poppins Medium" w:hAnsi="Poppins Medium"/>
          <w:b w:val="1"/>
          <w:color w:val="000000"/>
          <w:sz w:val="18"/>
          <w:szCs w:val="18"/>
        </w:rPr>
      </w:pPr>
      <w:r w:rsidDel="00000000" w:rsidR="00000000" w:rsidRPr="00000000">
        <w:rPr>
          <w:rFonts w:ascii="Poppins Medium" w:cs="Poppins Medium" w:eastAsia="Poppins Medium" w:hAnsi="Poppins Medium"/>
          <w:b w:val="1"/>
          <w:sz w:val="18"/>
          <w:szCs w:val="18"/>
          <w:rtl w:val="0"/>
        </w:rPr>
        <w:br w:type="textWrapping"/>
      </w:r>
      <w:r w:rsidDel="00000000" w:rsidR="00000000" w:rsidRPr="00000000">
        <w:rPr>
          <w:rFonts w:ascii="Poppins" w:cs="Poppins" w:eastAsia="Poppins" w:hAnsi="Poppins"/>
          <w:sz w:val="18"/>
          <w:szCs w:val="18"/>
          <w:highlight w:val="white"/>
          <w:rtl w:val="0"/>
        </w:rPr>
        <w:t xml:space="preserve">Credits, as described in Section 2 below, are powered by the “Celonis Platform”. The Celonis Platform includes the follo</w:t>
      </w:r>
      <w:r w:rsidDel="00000000" w:rsidR="00000000" w:rsidRPr="00000000">
        <w:rPr>
          <w:rFonts w:ascii="Poppins" w:cs="Poppins" w:eastAsia="Poppins" w:hAnsi="Poppins"/>
          <w:sz w:val="18"/>
          <w:szCs w:val="18"/>
          <w:highlight w:val="white"/>
          <w:rtl w:val="0"/>
        </w:rPr>
        <w:t xml:space="preserve">wing for</w:t>
      </w:r>
      <w:r w:rsidDel="00000000" w:rsidR="00000000" w:rsidRPr="00000000">
        <w:rPr>
          <w:rFonts w:ascii="Poppins" w:cs="Poppins" w:eastAsia="Poppins" w:hAnsi="Poppins"/>
          <w:sz w:val="18"/>
          <w:szCs w:val="18"/>
          <w:highlight w:val="white"/>
          <w:rtl w:val="0"/>
        </w:rPr>
        <w:t xml:space="preserve"> all partners</w:t>
      </w:r>
      <w:r w:rsidDel="00000000" w:rsidR="00000000" w:rsidRPr="00000000">
        <w:rPr>
          <w:rFonts w:ascii="Poppins" w:cs="Poppins" w:eastAsia="Poppins" w:hAnsi="Poppins"/>
          <w:sz w:val="18"/>
          <w:szCs w:val="18"/>
          <w:highlight w:val="white"/>
          <w:rtl w:val="0"/>
        </w:rPr>
        <w:t xml:space="preserve">, including “Freemium partners”, being partners who have not yet purchased a credit package: </w:t>
      </w:r>
      <w:r w:rsidDel="00000000" w:rsidR="00000000" w:rsidRPr="00000000">
        <w:rPr>
          <w:rtl w:val="0"/>
        </w:rPr>
      </w:r>
    </w:p>
    <w:p w:rsidR="00000000" w:rsidDel="00000000" w:rsidP="00000000" w:rsidRDefault="00000000" w:rsidRPr="00000000" w14:paraId="0000000D">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Analytical Processing Capacity (APC) to support the number of credits</w:t>
      </w:r>
      <w:r w:rsidDel="00000000" w:rsidR="00000000" w:rsidRPr="00000000">
        <w:rPr>
          <w:rFonts w:ascii="Poppins" w:cs="Poppins" w:eastAsia="Poppins" w:hAnsi="Poppins"/>
          <w:sz w:val="18"/>
          <w:szCs w:val="18"/>
          <w:highlight w:val="white"/>
          <w:rtl w:val="0"/>
        </w:rPr>
        <w:t xml:space="preserve"> Partner is entitled to. APC is allotted per project, based on the project type, as further detailed in Section 3</w:t>
      </w:r>
    </w:p>
    <w:p w:rsidR="00000000" w:rsidDel="00000000" w:rsidP="00000000" w:rsidRDefault="00000000" w:rsidRPr="00000000" w14:paraId="0000000E">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Access to Celonis’s latest functionalities</w:t>
      </w:r>
      <w:r w:rsidDel="00000000" w:rsidR="00000000" w:rsidRPr="00000000">
        <w:rPr>
          <w:rFonts w:ascii="Poppins" w:cs="Poppins" w:eastAsia="Poppins" w:hAnsi="Poppins"/>
          <w:sz w:val="18"/>
          <w:szCs w:val="18"/>
          <w:highlight w:val="white"/>
          <w:rtl w:val="0"/>
        </w:rPr>
        <w:t xml:space="preserve"> as outlined in the </w:t>
      </w:r>
      <w:hyperlink r:id="rId7">
        <w:r w:rsidDel="00000000" w:rsidR="00000000" w:rsidRPr="00000000">
          <w:rPr>
            <w:rFonts w:ascii="Poppins" w:cs="Poppins" w:eastAsia="Poppins" w:hAnsi="Poppins"/>
            <w:color w:val="1155cc"/>
            <w:sz w:val="18"/>
            <w:szCs w:val="18"/>
            <w:highlight w:val="white"/>
            <w:u w:val="single"/>
            <w:rtl w:val="0"/>
          </w:rPr>
          <w:t xml:space="preserve">Product Description</w:t>
        </w:r>
      </w:hyperlink>
      <w:r w:rsidDel="00000000" w:rsidR="00000000" w:rsidRPr="00000000">
        <w:rPr>
          <w:rFonts w:ascii="Poppins" w:cs="Poppins" w:eastAsia="Poppins" w:hAnsi="Poppins"/>
          <w:sz w:val="18"/>
          <w:szCs w:val="18"/>
          <w:highlight w:val="white"/>
          <w:rtl w:val="0"/>
        </w:rPr>
        <w:t xml:space="preserve"> under the </w:t>
      </w:r>
      <w:r w:rsidDel="00000000" w:rsidR="00000000" w:rsidRPr="00000000">
        <w:rPr>
          <w:rFonts w:ascii="Poppins" w:cs="Poppins" w:eastAsia="Poppins" w:hAnsi="Poppins"/>
          <w:i w:val="1"/>
          <w:sz w:val="18"/>
          <w:szCs w:val="18"/>
          <w:highlight w:val="white"/>
          <w:rtl w:val="0"/>
        </w:rPr>
        <w:t xml:space="preserve">Documentation </w:t>
      </w:r>
      <w:r w:rsidDel="00000000" w:rsidR="00000000" w:rsidRPr="00000000">
        <w:rPr>
          <w:rFonts w:ascii="Poppins" w:cs="Poppins" w:eastAsia="Poppins" w:hAnsi="Poppins"/>
          <w:sz w:val="18"/>
          <w:szCs w:val="18"/>
          <w:highlight w:val="white"/>
          <w:rtl w:val="0"/>
        </w:rPr>
        <w:t xml:space="preserve">section on</w:t>
      </w:r>
      <w:r w:rsidDel="00000000" w:rsidR="00000000" w:rsidRPr="00000000">
        <w:rPr>
          <w:rFonts w:ascii="Poppins" w:cs="Poppins" w:eastAsia="Poppins" w:hAnsi="Poppins"/>
          <w:sz w:val="18"/>
          <w:szCs w:val="18"/>
          <w:highlight w:val="white"/>
          <w:rtl w:val="0"/>
        </w:rPr>
        <w:t xml:space="preserve"> the</w:t>
      </w:r>
      <w:r w:rsidDel="00000000" w:rsidR="00000000" w:rsidRPr="00000000">
        <w:rPr>
          <w:rFonts w:ascii="Poppins" w:cs="Poppins" w:eastAsia="Poppins" w:hAnsi="Poppins"/>
          <w:i w:val="1"/>
          <w:sz w:val="18"/>
          <w:szCs w:val="18"/>
          <w:highlight w:val="white"/>
          <w:rtl w:val="0"/>
        </w:rPr>
        <w:t xml:space="preserve"> Celonis Terms and Conditions</w:t>
      </w:r>
      <w:r w:rsidDel="00000000" w:rsidR="00000000" w:rsidRPr="00000000">
        <w:rPr>
          <w:rFonts w:ascii="Poppins" w:cs="Poppins" w:eastAsia="Poppins" w:hAnsi="Poppins"/>
          <w:sz w:val="18"/>
          <w:szCs w:val="18"/>
          <w:highlight w:val="white"/>
          <w:rtl w:val="0"/>
        </w:rPr>
        <w:t xml:space="preserve"> webpage</w:t>
      </w:r>
      <w:r w:rsidDel="00000000" w:rsidR="00000000" w:rsidRPr="00000000">
        <w:rPr>
          <w:rFonts w:ascii="Poppins" w:cs="Poppins" w:eastAsia="Poppins" w:hAnsi="Poppins"/>
          <w:sz w:val="18"/>
          <w:szCs w:val="18"/>
          <w:highlight w:val="white"/>
          <w:rtl w:val="0"/>
        </w:rPr>
        <w:t xml:space="preserve">. </w:t>
      </w:r>
      <w:r w:rsidDel="00000000" w:rsidR="00000000" w:rsidRPr="00000000">
        <w:rPr>
          <w:rtl w:val="0"/>
        </w:rPr>
      </w:r>
    </w:p>
    <w:p w:rsidR="00000000" w:rsidDel="00000000" w:rsidP="00000000" w:rsidRDefault="00000000" w:rsidRPr="00000000" w14:paraId="0000000F">
      <w:pPr>
        <w:numPr>
          <w:ilvl w:val="1"/>
          <w:numId w:val="3"/>
        </w:numPr>
        <w:spacing w:after="0" w:line="276" w:lineRule="auto"/>
        <w:ind w:left="1080" w:hanging="36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Additional enablement, activation, advisory, and support offerings</w:t>
      </w:r>
      <w:r w:rsidDel="00000000" w:rsidR="00000000" w:rsidRPr="00000000">
        <w:rPr>
          <w:rFonts w:ascii="Poppins" w:cs="Poppins" w:eastAsia="Poppins" w:hAnsi="Poppins"/>
          <w:sz w:val="18"/>
          <w:szCs w:val="18"/>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10">
      <w:pPr>
        <w:spacing w:after="0" w:line="276" w:lineRule="auto"/>
        <w:ind w:left="1080" w:firstLine="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1">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rtl w:val="0"/>
        </w:rPr>
        <w:t xml:space="preserve">Sandboxes</w:t>
      </w:r>
      <w:r w:rsidDel="00000000" w:rsidR="00000000" w:rsidRPr="00000000">
        <w:rPr>
          <w:rFonts w:ascii="Poppins" w:cs="Poppins" w:eastAsia="Poppins" w:hAnsi="Poppins"/>
          <w:sz w:val="18"/>
          <w:szCs w:val="18"/>
          <w:rtl w:val="0"/>
        </w:rPr>
        <w:t xml:space="preserve"> </w:t>
      </w:r>
      <w:r w:rsidDel="00000000" w:rsidR="00000000" w:rsidRPr="00000000">
        <w:rPr>
          <w:rtl w:val="0"/>
        </w:rPr>
      </w:r>
    </w:p>
    <w:p w:rsidR="00000000" w:rsidDel="00000000" w:rsidP="00000000" w:rsidRDefault="00000000" w:rsidRPr="00000000" w14:paraId="00000012">
      <w:pPr>
        <w:numPr>
          <w:ilvl w:val="2"/>
          <w:numId w:val="3"/>
        </w:numPr>
        <w:spacing w:after="0" w:line="276" w:lineRule="auto"/>
        <w:ind w:left="1800" w:hanging="18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Each partner entity is entitled to request a singular sandbox environment featuring </w:t>
      </w:r>
      <w:r w:rsidDel="00000000" w:rsidR="00000000" w:rsidRPr="00000000">
        <w:rPr>
          <w:rFonts w:ascii="Poppins" w:cs="Poppins" w:eastAsia="Poppins" w:hAnsi="Poppins"/>
          <w:sz w:val="18"/>
          <w:szCs w:val="18"/>
          <w:rtl w:val="0"/>
        </w:rPr>
        <w:t xml:space="preserve">the following entitlements depending on the Partner Program Level:</w:t>
      </w:r>
      <w:r w:rsidDel="00000000" w:rsidR="00000000" w:rsidRPr="00000000">
        <w:rPr>
          <w:rtl w:val="0"/>
        </w:rPr>
      </w:r>
    </w:p>
    <w:p w:rsidR="00000000" w:rsidDel="00000000" w:rsidP="00000000" w:rsidRDefault="00000000" w:rsidRPr="00000000" w14:paraId="00000013">
      <w:pPr>
        <w:spacing w:after="0" w:line="276" w:lineRule="auto"/>
        <w:rPr>
          <w:rFonts w:ascii="Poppins" w:cs="Poppins" w:eastAsia="Poppins" w:hAnsi="Poppins"/>
          <w:sz w:val="18"/>
          <w:szCs w:val="18"/>
          <w:highlight w:val="white"/>
        </w:rPr>
      </w:pPr>
      <w:r w:rsidDel="00000000" w:rsidR="00000000" w:rsidRPr="00000000">
        <w:rPr>
          <w:rtl w:val="0"/>
        </w:rPr>
      </w:r>
    </w:p>
    <w:sdt>
      <w:sdtPr>
        <w:lock w:val="contentLocked"/>
        <w:tag w:val="goog_rdk_66"/>
      </w:sdtPr>
      <w:sdtContent>
        <w:tbl>
          <w:tblPr>
            <w:tblStyle w:val="Table1"/>
            <w:tblW w:w="11220.0" w:type="dxa"/>
            <w:jc w:val="left"/>
            <w:tblInd w:w="-1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1020"/>
            <w:gridCol w:w="1020"/>
            <w:gridCol w:w="1020"/>
            <w:gridCol w:w="1020"/>
            <w:gridCol w:w="1020"/>
            <w:gridCol w:w="1020"/>
            <w:gridCol w:w="1020"/>
            <w:gridCol w:w="1020"/>
            <w:gridCol w:w="1020"/>
            <w:gridCol w:w="1020"/>
            <w:tblGridChange w:id="0">
              <w:tblGrid>
                <w:gridCol w:w="1020"/>
                <w:gridCol w:w="1020"/>
                <w:gridCol w:w="1020"/>
                <w:gridCol w:w="1020"/>
                <w:gridCol w:w="1020"/>
                <w:gridCol w:w="1020"/>
                <w:gridCol w:w="1020"/>
                <w:gridCol w:w="1020"/>
                <w:gridCol w:w="1020"/>
                <w:gridCol w:w="1020"/>
                <w:gridCol w:w="1020"/>
              </w:tblGrid>
            </w:tblGridChange>
          </w:tblGrid>
          <w:tr>
            <w:trPr>
              <w:cantSplit w:val="0"/>
              <w:trHeight w:val="720" w:hRule="atLeast"/>
              <w:tblHeader w:val="0"/>
            </w:trPr>
            <w:sdt>
              <w:sdtPr>
                <w:lock w:val="contentLocked"/>
                <w:tag w:val="goog_rdk_0"/>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4">
                    <w:pPr>
                      <w:widowControl w:val="0"/>
                      <w:spacing w:after="0" w:line="276" w:lineRule="auto"/>
                      <w:rPr>
                        <w:rFonts w:ascii="Poppins" w:cs="Poppins" w:eastAsia="Poppins" w:hAnsi="Poppins"/>
                        <w:b w:val="1"/>
                        <w:sz w:val="14"/>
                        <w:szCs w:val="14"/>
                      </w:rPr>
                    </w:pPr>
                    <w:r w:rsidDel="00000000" w:rsidR="00000000" w:rsidRPr="00000000">
                      <w:rPr>
                        <w:rFonts w:ascii="Poppins" w:cs="Poppins" w:eastAsia="Poppins" w:hAnsi="Poppins"/>
                        <w:b w:val="1"/>
                        <w:sz w:val="14"/>
                        <w:szCs w:val="14"/>
                        <w:rtl w:val="0"/>
                      </w:rPr>
                      <w:t xml:space="preserve">Partnership</w:t>
                    </w:r>
                  </w:p>
                  <w:p w:rsidR="00000000" w:rsidDel="00000000" w:rsidP="00000000" w:rsidRDefault="00000000" w:rsidRPr="00000000" w14:paraId="00000015">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Level</w:t>
                    </w:r>
                    <w:r w:rsidDel="00000000" w:rsidR="00000000" w:rsidRPr="00000000">
                      <w:rPr>
                        <w:rtl w:val="0"/>
                      </w:rPr>
                    </w:r>
                  </w:p>
                </w:tc>
              </w:sdtContent>
            </w:sdt>
            <w:sdt>
              <w:sdtPr>
                <w:lock w:val="contentLocked"/>
                <w:tag w:val="goog_rdk_1"/>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6">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Sandbox Type</w:t>
                    </w:r>
                    <w:r w:rsidDel="00000000" w:rsidR="00000000" w:rsidRPr="00000000">
                      <w:rPr>
                        <w:rtl w:val="0"/>
                      </w:rPr>
                    </w:r>
                  </w:p>
                </w:tc>
              </w:sdtContent>
            </w:sdt>
            <w:sdt>
              <w:sdtPr>
                <w:lock w:val="contentLocked"/>
                <w:tag w:val="goog_rdk_2"/>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7">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APC Limit (GB)</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Additional</w:t>
                    </w:r>
                  </w:p>
                  <w:p w:rsidR="00000000" w:rsidDel="00000000" w:rsidP="00000000" w:rsidRDefault="00000000" w:rsidRPr="00000000" w14:paraId="00000019">
                    <w:pPr>
                      <w:widowControl w:val="0"/>
                      <w:spacing w:after="0" w:line="276"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APC</w:t>
                    </w:r>
                  </w:p>
                  <w:p w:rsidR="00000000" w:rsidDel="00000000" w:rsidP="00000000" w:rsidRDefault="00000000" w:rsidRPr="00000000" w14:paraId="0000001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14"/>
                        <w:szCs w:val="14"/>
                        <w:rtl w:val="0"/>
                      </w:rPr>
                      <w:t xml:space="preserve">(per year)</w:t>
                    </w:r>
                    <w:r w:rsidDel="00000000" w:rsidR="00000000" w:rsidRPr="00000000">
                      <w:rPr>
                        <w:rtl w:val="0"/>
                      </w:rPr>
                    </w:r>
                  </w:p>
                </w:tc>
              </w:sdtContent>
            </w:sdt>
            <w:sdt>
              <w:sdtPr>
                <w:lock w:val="contentLocked"/>
                <w:tag w:val="goog_rdk_4"/>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B">
                    <w:pPr>
                      <w:widowControl w:val="0"/>
                      <w:spacing w:after="0" w:line="276"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AI Outputs Limit</w:t>
                    </w:r>
                  </w:p>
                  <w:p w:rsidR="00000000" w:rsidDel="00000000" w:rsidP="00000000" w:rsidRDefault="00000000" w:rsidRPr="00000000" w14:paraId="0000001C">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14"/>
                        <w:szCs w:val="14"/>
                        <w:rtl w:val="0"/>
                      </w:rPr>
                      <w:t xml:space="preserve">(per year)</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D">
                    <w:pPr>
                      <w:widowControl w:val="0"/>
                      <w:spacing w:after="0" w:line="276"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Table Rows</w:t>
                    </w:r>
                  </w:p>
                  <w:p w:rsidR="00000000" w:rsidDel="00000000" w:rsidP="00000000" w:rsidRDefault="00000000" w:rsidRPr="00000000" w14:paraId="0000001E">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14"/>
                        <w:szCs w:val="14"/>
                        <w:rtl w:val="0"/>
                      </w:rPr>
                      <w:t xml:space="preserve">Limit</w:t>
                    </w:r>
                    <w:r w:rsidDel="00000000" w:rsidR="00000000" w:rsidRPr="00000000">
                      <w:rPr>
                        <w:rtl w:val="0"/>
                      </w:rPr>
                    </w:r>
                  </w:p>
                </w:tc>
              </w:sdtContent>
            </w:sdt>
            <w:sdt>
              <w:sdtPr>
                <w:lock w:val="contentLocked"/>
                <w:tag w:val="goog_rdk_6"/>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F">
                    <w:pPr>
                      <w:widowControl w:val="0"/>
                      <w:spacing w:after="0" w:line="276" w:lineRule="auto"/>
                      <w:rPr>
                        <w:rFonts w:ascii="Poppins" w:cs="Poppins" w:eastAsia="Poppins" w:hAnsi="Poppins"/>
                        <w:b w:val="1"/>
                        <w:sz w:val="14"/>
                        <w:szCs w:val="14"/>
                      </w:rPr>
                    </w:pPr>
                    <w:r w:rsidDel="00000000" w:rsidR="00000000" w:rsidRPr="00000000">
                      <w:rPr>
                        <w:rFonts w:ascii="Poppins" w:cs="Poppins" w:eastAsia="Poppins" w:hAnsi="Poppins"/>
                        <w:b w:val="1"/>
                        <w:sz w:val="14"/>
                        <w:szCs w:val="14"/>
                        <w:rtl w:val="0"/>
                      </w:rPr>
                      <w:t xml:space="preserve">Sandbox</w:t>
                    </w:r>
                  </w:p>
                  <w:p w:rsidR="00000000" w:rsidDel="00000000" w:rsidP="00000000" w:rsidRDefault="00000000" w:rsidRPr="00000000" w14:paraId="00000020">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Split Option</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rPr>
                        <w:rFonts w:ascii="Poppins" w:cs="Poppins" w:eastAsia="Poppins" w:hAnsi="Poppins"/>
                        <w:b w:val="1"/>
                        <w:sz w:val="14"/>
                        <w:szCs w:val="14"/>
                      </w:rPr>
                    </w:pPr>
                    <w:r w:rsidDel="00000000" w:rsidR="00000000" w:rsidRPr="00000000">
                      <w:rPr>
                        <w:rFonts w:ascii="Poppins" w:cs="Poppins" w:eastAsia="Poppins" w:hAnsi="Poppins"/>
                        <w:b w:val="1"/>
                        <w:sz w:val="14"/>
                        <w:szCs w:val="14"/>
                        <w:rtl w:val="0"/>
                      </w:rPr>
                      <w:t xml:space="preserve">Sandbox</w:t>
                    </w:r>
                  </w:p>
                  <w:p w:rsidR="00000000" w:rsidDel="00000000" w:rsidP="00000000" w:rsidRDefault="00000000" w:rsidRPr="00000000" w14:paraId="00000022">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Users (Analysts)</w:t>
                    </w:r>
                    <w:r w:rsidDel="00000000" w:rsidR="00000000" w:rsidRPr="00000000">
                      <w:rPr>
                        <w:rtl w:val="0"/>
                      </w:rPr>
                    </w:r>
                  </w:p>
                </w:tc>
              </w:sdtContent>
            </w:sdt>
            <w:sdt>
              <w:sdtPr>
                <w:lock w:val="contentLocked"/>
                <w:tag w:val="goog_rdk_8"/>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Execution &amp; Operations Limit for Action Flows</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Poppins" w:cs="Poppins" w:eastAsia="Poppins" w:hAnsi="Poppins"/>
                        <w:b w:val="1"/>
                        <w:sz w:val="14"/>
                        <w:szCs w:val="14"/>
                      </w:rPr>
                    </w:pPr>
                    <w:r w:rsidDel="00000000" w:rsidR="00000000" w:rsidRPr="00000000">
                      <w:rPr>
                        <w:rFonts w:ascii="Poppins" w:cs="Poppins" w:eastAsia="Poppins" w:hAnsi="Poppins"/>
                        <w:b w:val="1"/>
                        <w:sz w:val="14"/>
                        <w:szCs w:val="14"/>
                        <w:rtl w:val="0"/>
                      </w:rPr>
                      <w:t xml:space="preserve">Access</w:t>
                    </w:r>
                  </w:p>
                  <w:p w:rsidR="00000000" w:rsidDel="00000000" w:rsidP="00000000" w:rsidRDefault="00000000" w:rsidRPr="00000000" w14:paraId="00000025">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Public Preview Features</w:t>
                    </w:r>
                    <w:r w:rsidDel="00000000" w:rsidR="00000000" w:rsidRPr="00000000">
                      <w:rPr>
                        <w:rtl w:val="0"/>
                      </w:rPr>
                    </w:r>
                  </w:p>
                </w:tc>
              </w:sdtContent>
            </w:sdt>
            <w:sdt>
              <w:sdtPr>
                <w:lock w:val="contentLocked"/>
                <w:tag w:val="goog_rdk_10"/>
              </w:sdtPr>
              <w:sdtContent>
                <w:tc>
                  <w:tcPr>
                    <w:tcBorders>
                      <w:top w:color="000000" w:space="0" w:sz="0" w:val="nil"/>
                      <w:left w:color="000000" w:space="0" w:sz="0" w:val="nil"/>
                      <w:bottom w:color="000000" w:space="0" w:sz="7"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Poppins" w:cs="Poppins" w:eastAsia="Poppins" w:hAnsi="Poppins"/>
                        <w:b w:val="1"/>
                        <w:sz w:val="14"/>
                        <w:szCs w:val="14"/>
                      </w:rPr>
                    </w:pPr>
                    <w:r w:rsidDel="00000000" w:rsidR="00000000" w:rsidRPr="00000000">
                      <w:rPr>
                        <w:rFonts w:ascii="Poppins" w:cs="Poppins" w:eastAsia="Poppins" w:hAnsi="Poppins"/>
                        <w:b w:val="1"/>
                        <w:sz w:val="14"/>
                        <w:szCs w:val="14"/>
                        <w:rtl w:val="0"/>
                      </w:rPr>
                      <w:t xml:space="preserve">Access</w:t>
                    </w:r>
                  </w:p>
                  <w:p w:rsidR="00000000" w:rsidDel="00000000" w:rsidP="00000000" w:rsidRDefault="00000000" w:rsidRPr="00000000" w14:paraId="00000027">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GA Features</w:t>
                    </w:r>
                    <w:r w:rsidDel="00000000" w:rsidR="00000000" w:rsidRPr="00000000">
                      <w:rPr>
                        <w:rtl w:val="0"/>
                      </w:rPr>
                    </w:r>
                  </w:p>
                </w:tc>
              </w:sdtContent>
            </w:sdt>
          </w:tr>
          <w:tr>
            <w:trPr>
              <w:cantSplit w:val="0"/>
              <w:trHeight w:val="315" w:hRule="atLeast"/>
              <w:tblHeader w:val="0"/>
            </w:trPr>
            <w:sdt>
              <w:sdtPr>
                <w:lock w:val="contentLocked"/>
                <w:tag w:val="goog_rdk_11"/>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Certified Partner</w:t>
                    </w:r>
                    <w:r w:rsidDel="00000000" w:rsidR="00000000" w:rsidRPr="00000000">
                      <w:rPr>
                        <w:rtl w:val="0"/>
                      </w:rPr>
                    </w:r>
                  </w:p>
                </w:tc>
              </w:sdtContent>
            </w:sdt>
            <w:sdt>
              <w:sdtPr>
                <w:lock w:val="contentLocked"/>
                <w:tag w:val="goog_rdk_12"/>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Small</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25</w:t>
                    </w:r>
                    <w:r w:rsidDel="00000000" w:rsidR="00000000" w:rsidRPr="00000000">
                      <w:rPr>
                        <w:rtl w:val="0"/>
                      </w:rPr>
                    </w:r>
                  </w:p>
                </w:tc>
              </w:sdtContent>
            </w:sdt>
            <w:sdt>
              <w:sdtPr>
                <w:lock w:val="contentLocked"/>
                <w:tag w:val="goog_rdk_14"/>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n/a</w:t>
                    </w: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10,000</w:t>
                    </w:r>
                    <w:r w:rsidDel="00000000" w:rsidR="00000000" w:rsidRPr="00000000">
                      <w:rPr>
                        <w:rtl w:val="0"/>
                      </w:rPr>
                    </w:r>
                  </w:p>
                </w:tc>
              </w:sdtContent>
            </w:sdt>
            <w:sdt>
              <w:sdtPr>
                <w:lock w:val="contentLocked"/>
                <w:tag w:val="goog_rdk_16"/>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100,000</w:t>
                    </w:r>
                    <w:r w:rsidDel="00000000" w:rsidR="00000000" w:rsidRPr="00000000">
                      <w:rPr>
                        <w:rtl w:val="0"/>
                      </w:rPr>
                    </w:r>
                  </w:p>
                </w:tc>
              </w:sdtContent>
            </w:sdt>
            <w:sdt>
              <w:sdtPr>
                <w:lock w:val="contentLocked"/>
                <w:tag w:val="goog_rdk_17"/>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No</w:t>
                    </w:r>
                    <w:r w:rsidDel="00000000" w:rsidR="00000000" w:rsidRPr="00000000">
                      <w:rPr>
                        <w:rtl w:val="0"/>
                      </w:rPr>
                    </w:r>
                  </w:p>
                </w:tc>
              </w:sdtContent>
            </w:sdt>
            <w:sdt>
              <w:sdtPr>
                <w:lock w:val="contentLocked"/>
                <w:tag w:val="goog_rdk_18"/>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20"/>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No</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Yes</w:t>
                    </w:r>
                    <w:r w:rsidDel="00000000" w:rsidR="00000000" w:rsidRPr="00000000">
                      <w:rPr>
                        <w:rtl w:val="0"/>
                      </w:rPr>
                    </w:r>
                  </w:p>
                </w:tc>
              </w:sdtContent>
            </w:sdt>
          </w:tr>
          <w:tr>
            <w:trPr>
              <w:cantSplit w:val="0"/>
              <w:trHeight w:val="495" w:hRule="atLeast"/>
              <w:tblHeader w:val="0"/>
            </w:trPr>
            <w:sdt>
              <w:sdtPr>
                <w:lock w:val="contentLocked"/>
                <w:tag w:val="goog_rdk_22"/>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3">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Silver</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Medium</w:t>
                    </w:r>
                    <w:r w:rsidDel="00000000" w:rsidR="00000000" w:rsidRPr="00000000">
                      <w:rPr>
                        <w:rtl w:val="0"/>
                      </w:rPr>
                    </w:r>
                  </w:p>
                </w:tc>
              </w:sdtContent>
            </w:sdt>
            <w:sdt>
              <w:sdtPr>
                <w:lock w:val="contentLocked"/>
                <w:tag w:val="goog_rdk_24"/>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50</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6">
                    <w:pPr>
                      <w:widowControl w:val="0"/>
                      <w:spacing w:after="0" w:line="276" w:lineRule="auto"/>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1 Credit</w:t>
                    </w:r>
                  </w:p>
                  <w:p w:rsidR="00000000" w:rsidDel="00000000" w:rsidP="00000000" w:rsidRDefault="00000000" w:rsidRPr="00000000" w14:paraId="00000037">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For 100 GB</w:t>
                    </w:r>
                    <w:r w:rsidDel="00000000" w:rsidR="00000000" w:rsidRPr="00000000">
                      <w:rPr>
                        <w:rtl w:val="0"/>
                      </w:rPr>
                    </w:r>
                  </w:p>
                </w:tc>
              </w:sdtContent>
            </w:sdt>
            <w:sdt>
              <w:sdtPr>
                <w:lock w:val="contentLocked"/>
                <w:tag w:val="goog_rdk_26"/>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8">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10,000</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28"/>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5</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B">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30"/>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31"/>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D">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No</w:t>
                    </w:r>
                    <w:r w:rsidDel="00000000" w:rsidR="00000000" w:rsidRPr="00000000">
                      <w:rPr>
                        <w:rtl w:val="0"/>
                      </w:rPr>
                    </w:r>
                  </w:p>
                </w:tc>
              </w:sdtContent>
            </w:sdt>
            <w:sdt>
              <w:sdtPr>
                <w:lock w:val="contentLocked"/>
                <w:tag w:val="goog_rdk_32"/>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E">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Yes</w:t>
                    </w:r>
                    <w:r w:rsidDel="00000000" w:rsidR="00000000" w:rsidRPr="00000000">
                      <w:rPr>
                        <w:rtl w:val="0"/>
                      </w:rPr>
                    </w:r>
                  </w:p>
                </w:tc>
              </w:sdtContent>
            </w:sdt>
          </w:tr>
          <w:tr>
            <w:trPr>
              <w:cantSplit w:val="0"/>
              <w:trHeight w:val="495" w:hRule="atLeast"/>
              <w:tblHeader w:val="0"/>
            </w:trPr>
            <w:sdt>
              <w:sdtPr>
                <w:lock w:val="contentLocked"/>
                <w:tag w:val="goog_rdk_33"/>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Gold</w:t>
                    </w:r>
                    <w:r w:rsidDel="00000000" w:rsidR="00000000" w:rsidRPr="00000000">
                      <w:rPr>
                        <w:rtl w:val="0"/>
                      </w:rPr>
                    </w:r>
                  </w:p>
                </w:tc>
              </w:sdtContent>
            </w:sdt>
            <w:sdt>
              <w:sdtPr>
                <w:lock w:val="contentLocked"/>
                <w:tag w:val="goog_rdk_34"/>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0">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Medium</w:t>
                    </w:r>
                    <w:r w:rsidDel="00000000" w:rsidR="00000000" w:rsidRPr="00000000">
                      <w:rPr>
                        <w:rtl w:val="0"/>
                      </w:rPr>
                    </w:r>
                  </w:p>
                </w:tc>
              </w:sdtContent>
            </w:sdt>
            <w:sdt>
              <w:sdtPr>
                <w:lock w:val="contentLocked"/>
                <w:tag w:val="goog_rdk_35"/>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50</w:t>
                    </w:r>
                    <w:r w:rsidDel="00000000" w:rsidR="00000000" w:rsidRPr="00000000">
                      <w:rPr>
                        <w:rtl w:val="0"/>
                      </w:rPr>
                    </w:r>
                  </w:p>
                </w:tc>
              </w:sdtContent>
            </w:sdt>
            <w:sdt>
              <w:sdtPr>
                <w:lock w:val="contentLocked"/>
                <w:tag w:val="goog_rdk_36"/>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276" w:lineRule="auto"/>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1 Credit</w:t>
                    </w:r>
                  </w:p>
                  <w:p w:rsidR="00000000" w:rsidDel="00000000" w:rsidP="00000000" w:rsidRDefault="00000000" w:rsidRPr="00000000" w14:paraId="00000043">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For 100 GB</w:t>
                    </w:r>
                    <w:r w:rsidDel="00000000" w:rsidR="00000000" w:rsidRPr="00000000">
                      <w:rPr>
                        <w:rtl w:val="0"/>
                      </w:rPr>
                    </w:r>
                  </w:p>
                </w:tc>
              </w:sdtContent>
            </w:sdt>
            <w:sdt>
              <w:sdtPr>
                <w:lock w:val="contentLocked"/>
                <w:tag w:val="goog_rdk_37"/>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10,000</w:t>
                    </w:r>
                    <w:r w:rsidDel="00000000" w:rsidR="00000000" w:rsidRPr="00000000">
                      <w:rPr>
                        <w:rtl w:val="0"/>
                      </w:rPr>
                    </w:r>
                  </w:p>
                </w:tc>
              </w:sdtContent>
            </w:sdt>
            <w:sdt>
              <w:sdtPr>
                <w:lock w:val="contentLocked"/>
                <w:tag w:val="goog_rdk_38"/>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39"/>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5</w:t>
                    </w:r>
                    <w:r w:rsidDel="00000000" w:rsidR="00000000" w:rsidRPr="00000000">
                      <w:rPr>
                        <w:rtl w:val="0"/>
                      </w:rPr>
                    </w:r>
                  </w:p>
                </w:tc>
              </w:sdtContent>
            </w:sdt>
            <w:sdt>
              <w:sdtPr>
                <w:lock w:val="contentLocked"/>
                <w:tag w:val="goog_rdk_40"/>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7">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41"/>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42"/>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No</w:t>
                    </w:r>
                    <w:r w:rsidDel="00000000" w:rsidR="00000000" w:rsidRPr="00000000">
                      <w:rPr>
                        <w:rtl w:val="0"/>
                      </w:rPr>
                    </w:r>
                  </w:p>
                </w:tc>
              </w:sdtContent>
            </w:sdt>
            <w:sdt>
              <w:sdtPr>
                <w:lock w:val="contentLocked"/>
                <w:tag w:val="goog_rdk_43"/>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Yes</w:t>
                    </w:r>
                    <w:r w:rsidDel="00000000" w:rsidR="00000000" w:rsidRPr="00000000">
                      <w:rPr>
                        <w:rtl w:val="0"/>
                      </w:rPr>
                    </w:r>
                  </w:p>
                </w:tc>
              </w:sdtContent>
            </w:sdt>
          </w:tr>
          <w:tr>
            <w:trPr>
              <w:cantSplit w:val="0"/>
              <w:trHeight w:val="495" w:hRule="atLeast"/>
              <w:tblHeader w:val="0"/>
            </w:trPr>
            <w:sdt>
              <w:sdtPr>
                <w:lock w:val="contentLocked"/>
                <w:tag w:val="goog_rdk_44"/>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Platinum</w:t>
                    </w:r>
                    <w:r w:rsidDel="00000000" w:rsidR="00000000" w:rsidRPr="00000000">
                      <w:rPr>
                        <w:rtl w:val="0"/>
                      </w:rPr>
                    </w:r>
                  </w:p>
                </w:tc>
              </w:sdtContent>
            </w:sdt>
            <w:sdt>
              <w:sdtPr>
                <w:lock w:val="contentLocked"/>
                <w:tag w:val="goog_rdk_45"/>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Large</w:t>
                    </w:r>
                    <w:r w:rsidDel="00000000" w:rsidR="00000000" w:rsidRPr="00000000">
                      <w:rPr>
                        <w:rtl w:val="0"/>
                      </w:rPr>
                    </w:r>
                  </w:p>
                </w:tc>
              </w:sdtContent>
            </w:sdt>
            <w:sdt>
              <w:sdtPr>
                <w:lock w:val="contentLocked"/>
                <w:tag w:val="goog_rdk_46"/>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200</w:t>
                    </w:r>
                    <w:r w:rsidDel="00000000" w:rsidR="00000000" w:rsidRPr="00000000">
                      <w:rPr>
                        <w:rtl w:val="0"/>
                      </w:rPr>
                    </w:r>
                  </w:p>
                </w:tc>
              </w:sdtContent>
            </w:sdt>
            <w:sdt>
              <w:sdtPr>
                <w:lock w:val="contentLocked"/>
                <w:tag w:val="goog_rdk_47"/>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E">
                    <w:pPr>
                      <w:widowControl w:val="0"/>
                      <w:spacing w:after="0" w:line="276" w:lineRule="auto"/>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1 Credit</w:t>
                    </w:r>
                  </w:p>
                  <w:p w:rsidR="00000000" w:rsidDel="00000000" w:rsidP="00000000" w:rsidRDefault="00000000" w:rsidRPr="00000000" w14:paraId="0000004F">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For 100 GB</w:t>
                    </w:r>
                    <w:r w:rsidDel="00000000" w:rsidR="00000000" w:rsidRPr="00000000">
                      <w:rPr>
                        <w:rtl w:val="0"/>
                      </w:rPr>
                    </w:r>
                  </w:p>
                </w:tc>
              </w:sdtContent>
            </w:sdt>
            <w:sdt>
              <w:sdtPr>
                <w:lock w:val="contentLocked"/>
                <w:tag w:val="goog_rdk_48"/>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0">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10,000</w:t>
                    </w:r>
                    <w:r w:rsidDel="00000000" w:rsidR="00000000" w:rsidRPr="00000000">
                      <w:rPr>
                        <w:rtl w:val="0"/>
                      </w:rPr>
                    </w:r>
                  </w:p>
                </w:tc>
              </w:sdtContent>
            </w:sdt>
            <w:sdt>
              <w:sdtPr>
                <w:lock w:val="contentLocked"/>
                <w:tag w:val="goog_rdk_49"/>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1">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50"/>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25</w:t>
                    </w:r>
                    <w:r w:rsidDel="00000000" w:rsidR="00000000" w:rsidRPr="00000000">
                      <w:rPr>
                        <w:rtl w:val="0"/>
                      </w:rPr>
                    </w:r>
                  </w:p>
                </w:tc>
              </w:sdtContent>
            </w:sdt>
            <w:sdt>
              <w:sdtPr>
                <w:lock w:val="contentLocked"/>
                <w:tag w:val="goog_rdk_51"/>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3">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52"/>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4">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53"/>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Yes</w:t>
                    </w:r>
                    <w:r w:rsidDel="00000000" w:rsidR="00000000" w:rsidRPr="00000000">
                      <w:rPr>
                        <w:rtl w:val="0"/>
                      </w:rPr>
                    </w:r>
                  </w:p>
                </w:tc>
              </w:sdtContent>
            </w:sdt>
            <w:sdt>
              <w:sdtPr>
                <w:lock w:val="contentLocked"/>
                <w:tag w:val="goog_rdk_54"/>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6">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Yes</w:t>
                    </w:r>
                    <w:r w:rsidDel="00000000" w:rsidR="00000000" w:rsidRPr="00000000">
                      <w:rPr>
                        <w:rtl w:val="0"/>
                      </w:rPr>
                    </w:r>
                  </w:p>
                </w:tc>
              </w:sdtContent>
            </w:sdt>
          </w:tr>
          <w:tr>
            <w:trPr>
              <w:cantSplit w:val="0"/>
              <w:trHeight w:val="495" w:hRule="atLeast"/>
              <w:tblHeader w:val="0"/>
            </w:trPr>
            <w:sdt>
              <w:sdtPr>
                <w:lock w:val="contentLocked"/>
                <w:tag w:val="goog_rdk_55"/>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7">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Titanium</w:t>
                    </w:r>
                    <w:r w:rsidDel="00000000" w:rsidR="00000000" w:rsidRPr="00000000">
                      <w:rPr>
                        <w:rtl w:val="0"/>
                      </w:rPr>
                    </w:r>
                  </w:p>
                </w:tc>
              </w:sdtContent>
            </w:sdt>
            <w:sdt>
              <w:sdtPr>
                <w:lock w:val="contentLocked"/>
                <w:tag w:val="goog_rdk_56"/>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b w:val="1"/>
                        <w:sz w:val="14"/>
                        <w:szCs w:val="14"/>
                        <w:rtl w:val="0"/>
                      </w:rPr>
                      <w:t xml:space="preserve">X-Large</w:t>
                    </w:r>
                    <w:r w:rsidDel="00000000" w:rsidR="00000000" w:rsidRPr="00000000">
                      <w:rPr>
                        <w:rtl w:val="0"/>
                      </w:rPr>
                    </w:r>
                  </w:p>
                </w:tc>
              </w:sdtContent>
            </w:sdt>
            <w:sdt>
              <w:sdtPr>
                <w:lock w:val="contentLocked"/>
                <w:tag w:val="goog_rdk_57"/>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9">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500</w:t>
                    </w:r>
                    <w:r w:rsidDel="00000000" w:rsidR="00000000" w:rsidRPr="00000000">
                      <w:rPr>
                        <w:rtl w:val="0"/>
                      </w:rPr>
                    </w:r>
                  </w:p>
                </w:tc>
              </w:sdtContent>
            </w:sdt>
            <w:sdt>
              <w:sdtPr>
                <w:lock w:val="contentLocked"/>
                <w:tag w:val="goog_rdk_58"/>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A">
                    <w:pPr>
                      <w:widowControl w:val="0"/>
                      <w:spacing w:after="0" w:line="276" w:lineRule="auto"/>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1 Credit</w:t>
                    </w:r>
                  </w:p>
                  <w:p w:rsidR="00000000" w:rsidDel="00000000" w:rsidP="00000000" w:rsidRDefault="00000000" w:rsidRPr="00000000" w14:paraId="0000005B">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For 100 GB</w:t>
                    </w:r>
                    <w:r w:rsidDel="00000000" w:rsidR="00000000" w:rsidRPr="00000000">
                      <w:rPr>
                        <w:rtl w:val="0"/>
                      </w:rPr>
                    </w:r>
                  </w:p>
                </w:tc>
              </w:sdtContent>
            </w:sdt>
            <w:sdt>
              <w:sdtPr>
                <w:lock w:val="contentLocked"/>
                <w:tag w:val="goog_rdk_59"/>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C">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10,000</w:t>
                    </w:r>
                    <w:r w:rsidDel="00000000" w:rsidR="00000000" w:rsidRPr="00000000">
                      <w:rPr>
                        <w:rtl w:val="0"/>
                      </w:rPr>
                    </w:r>
                  </w:p>
                </w:tc>
              </w:sdtContent>
            </w:sdt>
            <w:sdt>
              <w:sdtPr>
                <w:lock w:val="contentLocked"/>
                <w:tag w:val="goog_rdk_60"/>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D">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61"/>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E">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25</w:t>
                    </w:r>
                    <w:r w:rsidDel="00000000" w:rsidR="00000000" w:rsidRPr="00000000">
                      <w:rPr>
                        <w:rtl w:val="0"/>
                      </w:rPr>
                    </w:r>
                  </w:p>
                </w:tc>
              </w:sdtContent>
            </w:sdt>
            <w:sdt>
              <w:sdtPr>
                <w:lock w:val="contentLocked"/>
                <w:tag w:val="goog_rdk_62"/>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5F">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63"/>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0">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Unlimited</w:t>
                    </w:r>
                    <w:r w:rsidDel="00000000" w:rsidR="00000000" w:rsidRPr="00000000">
                      <w:rPr>
                        <w:rtl w:val="0"/>
                      </w:rPr>
                    </w:r>
                  </w:p>
                </w:tc>
              </w:sdtContent>
            </w:sdt>
            <w:sdt>
              <w:sdtPr>
                <w:lock w:val="contentLocked"/>
                <w:tag w:val="goog_rdk_64"/>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1">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Yes</w:t>
                    </w:r>
                    <w:r w:rsidDel="00000000" w:rsidR="00000000" w:rsidRPr="00000000">
                      <w:rPr>
                        <w:rtl w:val="0"/>
                      </w:rPr>
                    </w:r>
                  </w:p>
                </w:tc>
              </w:sdtContent>
            </w:sdt>
            <w:sdt>
              <w:sdtPr>
                <w:lock w:val="contentLocked"/>
                <w:tag w:val="goog_rdk_65"/>
              </w:sdtPr>
              <w:sdtContent>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62">
                    <w:pPr>
                      <w:widowControl w:val="0"/>
                      <w:spacing w:after="0" w:line="276" w:lineRule="auto"/>
                      <w:rPr>
                        <w:rFonts w:ascii="Arial" w:cs="Arial" w:eastAsia="Arial" w:hAnsi="Arial"/>
                        <w:sz w:val="20"/>
                        <w:szCs w:val="20"/>
                      </w:rPr>
                    </w:pPr>
                    <w:r w:rsidDel="00000000" w:rsidR="00000000" w:rsidRPr="00000000">
                      <w:rPr>
                        <w:rFonts w:ascii="Poppins" w:cs="Poppins" w:eastAsia="Poppins" w:hAnsi="Poppins"/>
                        <w:sz w:val="14"/>
                        <w:szCs w:val="14"/>
                        <w:rtl w:val="0"/>
                      </w:rPr>
                      <w:t xml:space="preserve">Yes</w:t>
                    </w:r>
                    <w:r w:rsidDel="00000000" w:rsidR="00000000" w:rsidRPr="00000000">
                      <w:rPr>
                        <w:rtl w:val="0"/>
                      </w:rPr>
                    </w:r>
                  </w:p>
                </w:tc>
              </w:sdtContent>
            </w:sdt>
          </w:tr>
        </w:tbl>
      </w:sdtContent>
    </w:sdt>
    <w:p w:rsidR="00000000" w:rsidDel="00000000" w:rsidP="00000000" w:rsidRDefault="00000000" w:rsidRPr="00000000" w14:paraId="00000063">
      <w:pPr>
        <w:spacing w:after="0" w:line="276" w:lineRule="auto"/>
        <w:rPr>
          <w:rFonts w:ascii="Poppins" w:cs="Poppins" w:eastAsia="Poppins" w:hAnsi="Poppins"/>
          <w:sz w:val="18"/>
          <w:szCs w:val="18"/>
          <w:highlight w:val="white"/>
        </w:rPr>
      </w:pPr>
      <w:r w:rsidDel="00000000" w:rsidR="00000000" w:rsidRPr="00000000">
        <w:rPr>
          <w:rtl w:val="0"/>
        </w:rPr>
      </w:r>
    </w:p>
    <w:p w:rsidR="00000000" w:rsidDel="00000000" w:rsidP="00000000" w:rsidRDefault="00000000" w:rsidRPr="00000000" w14:paraId="00000064">
      <w:pPr>
        <w:numPr>
          <w:ilvl w:val="1"/>
          <w:numId w:val="1"/>
        </w:numPr>
        <w:spacing w:after="0" w:line="276" w:lineRule="auto"/>
        <w:ind w:left="1080" w:hanging="360"/>
        <w:rPr>
          <w:rFonts w:ascii="Poppins" w:cs="Poppins" w:eastAsia="Poppins" w:hAnsi="Poppins"/>
          <w:sz w:val="18"/>
          <w:szCs w:val="18"/>
          <w:u w:val="none"/>
        </w:rPr>
      </w:pPr>
      <w:r w:rsidDel="00000000" w:rsidR="00000000" w:rsidRPr="00000000">
        <w:rPr>
          <w:rFonts w:ascii="Poppins" w:cs="Poppins" w:eastAsia="Poppins" w:hAnsi="Poppins"/>
          <w:sz w:val="18"/>
          <w:szCs w:val="18"/>
          <w:rtl w:val="0"/>
        </w:rPr>
        <w:t xml:space="preserve">Additional sandboxes can be flexibly allocated based on Partner Program Level, and the overall APC limit can be </w:t>
      </w:r>
      <w:r w:rsidDel="00000000" w:rsidR="00000000" w:rsidRPr="00000000">
        <w:rPr>
          <w:rFonts w:ascii="Poppins" w:cs="Poppins" w:eastAsia="Poppins" w:hAnsi="Poppins"/>
          <w:sz w:val="18"/>
          <w:szCs w:val="18"/>
          <w:rtl w:val="0"/>
        </w:rPr>
        <w:t xml:space="preserve">customizably</w:t>
      </w:r>
      <w:r w:rsidDel="00000000" w:rsidR="00000000" w:rsidRPr="00000000">
        <w:rPr>
          <w:rFonts w:ascii="Poppins" w:cs="Poppins" w:eastAsia="Poppins" w:hAnsi="Poppins"/>
          <w:sz w:val="18"/>
          <w:szCs w:val="18"/>
          <w:rtl w:val="0"/>
        </w:rPr>
        <w:t xml:space="preserve"> distributed across these sandboxes as requested.</w:t>
      </w:r>
      <w:r w:rsidDel="00000000" w:rsidR="00000000" w:rsidRPr="00000000">
        <w:rPr>
          <w:rtl w:val="0"/>
        </w:rPr>
      </w:r>
    </w:p>
    <w:p w:rsidR="00000000" w:rsidDel="00000000" w:rsidP="00000000" w:rsidRDefault="00000000" w:rsidRPr="00000000" w14:paraId="00000065">
      <w:pPr>
        <w:spacing w:after="0" w:line="276" w:lineRule="auto"/>
        <w:ind w:left="1800" w:firstLine="0"/>
        <w:rPr>
          <w:rFonts w:ascii="Poppins" w:cs="Poppins" w:eastAsia="Poppins" w:hAnsi="Poppins"/>
          <w:sz w:val="18"/>
          <w:szCs w:val="18"/>
          <w:highlight w:val="white"/>
        </w:rPr>
      </w:pPr>
      <w:r w:rsidDel="00000000" w:rsidR="00000000" w:rsidRPr="00000000">
        <w:rPr>
          <w:rFonts w:ascii="Poppins" w:cs="Poppins" w:eastAsia="Poppins" w:hAnsi="Poppins"/>
          <w:sz w:val="18"/>
          <w:szCs w:val="18"/>
          <w:rtl w:val="0"/>
        </w:rPr>
        <w:t xml:space="preserve"> </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pacing w:after="0" w:line="276" w:lineRule="auto"/>
        <w:ind w:left="360" w:hanging="360"/>
        <w:jc w:val="both"/>
        <w:rPr>
          <w:rFonts w:ascii="Poppins Medium" w:cs="Poppins Medium" w:eastAsia="Poppins Medium" w:hAnsi="Poppins Medium"/>
          <w:b w:val="1"/>
          <w:color w:val="000000"/>
          <w:sz w:val="18"/>
          <w:szCs w:val="18"/>
        </w:rPr>
      </w:pPr>
      <w:r w:rsidDel="00000000" w:rsidR="00000000" w:rsidRPr="00000000">
        <w:rPr>
          <w:rFonts w:ascii="Poppins Medium" w:cs="Poppins Medium" w:eastAsia="Poppins Medium" w:hAnsi="Poppins Medium"/>
          <w:b w:val="1"/>
          <w:sz w:val="18"/>
          <w:szCs w:val="18"/>
          <w:rtl w:val="0"/>
        </w:rPr>
        <w:t xml:space="preserve">Credit Usage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76" w:lineRule="auto"/>
        <w:ind w:left="0" w:firstLine="0"/>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0" w:line="276"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Partners can use credits to start Celonis for Consulting projects (one of the defined types below). A project shall be limited to one specific Process Module and must be used solely to provide services to a third-party end client (“End Client”). A Process Module is defined per the </w:t>
      </w:r>
      <w:hyperlink r:id="rId8">
        <w:r w:rsidDel="00000000" w:rsidR="00000000" w:rsidRPr="00000000">
          <w:rPr>
            <w:rFonts w:ascii="Poppins" w:cs="Poppins" w:eastAsia="Poppins" w:hAnsi="Poppins"/>
            <w:color w:val="1155cc"/>
            <w:sz w:val="18"/>
            <w:szCs w:val="18"/>
            <w:u w:val="single"/>
            <w:rtl w:val="0"/>
          </w:rPr>
          <w:t xml:space="preserve">Celonis</w:t>
        </w:r>
      </w:hyperlink>
      <w:hyperlink r:id="rId9">
        <w:r w:rsidDel="00000000" w:rsidR="00000000" w:rsidRPr="00000000">
          <w:rPr>
            <w:rFonts w:ascii="Poppins" w:cs="Poppins" w:eastAsia="Poppins" w:hAnsi="Poppins"/>
            <w:color w:val="1155cc"/>
            <w:sz w:val="18"/>
            <w:szCs w:val="18"/>
            <w:u w:val="single"/>
            <w:rtl w:val="0"/>
          </w:rPr>
          <w:t xml:space="preserve"> Process Catalog</w:t>
        </w:r>
      </w:hyperlink>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sz w:val="18"/>
          <w:szCs w:val="18"/>
          <w:highlight w:val="white"/>
          <w:rtl w:val="0"/>
        </w:rPr>
        <w:t xml:space="preserve">under the </w:t>
      </w:r>
      <w:r w:rsidDel="00000000" w:rsidR="00000000" w:rsidRPr="00000000">
        <w:rPr>
          <w:rFonts w:ascii="Poppins" w:cs="Poppins" w:eastAsia="Poppins" w:hAnsi="Poppins"/>
          <w:i w:val="1"/>
          <w:sz w:val="18"/>
          <w:szCs w:val="18"/>
          <w:highlight w:val="white"/>
          <w:rtl w:val="0"/>
        </w:rPr>
        <w:t xml:space="preserve">Metric Description </w:t>
      </w:r>
      <w:r w:rsidDel="00000000" w:rsidR="00000000" w:rsidRPr="00000000">
        <w:rPr>
          <w:rFonts w:ascii="Poppins" w:cs="Poppins" w:eastAsia="Poppins" w:hAnsi="Poppins"/>
          <w:sz w:val="18"/>
          <w:szCs w:val="18"/>
          <w:highlight w:val="white"/>
          <w:rtl w:val="0"/>
        </w:rPr>
        <w:t xml:space="preserve">section on the</w:t>
      </w:r>
      <w:r w:rsidDel="00000000" w:rsidR="00000000" w:rsidRPr="00000000">
        <w:rPr>
          <w:rFonts w:ascii="Poppins" w:cs="Poppins" w:eastAsia="Poppins" w:hAnsi="Poppins"/>
          <w:i w:val="1"/>
          <w:sz w:val="18"/>
          <w:szCs w:val="18"/>
          <w:highlight w:val="white"/>
          <w:rtl w:val="0"/>
        </w:rPr>
        <w:t xml:space="preserve"> Terms and Conditions</w:t>
      </w:r>
      <w:r w:rsidDel="00000000" w:rsidR="00000000" w:rsidRPr="00000000">
        <w:rPr>
          <w:rFonts w:ascii="Poppins" w:cs="Poppins" w:eastAsia="Poppins" w:hAnsi="Poppins"/>
          <w:sz w:val="18"/>
          <w:szCs w:val="18"/>
          <w:highlight w:val="white"/>
          <w:rtl w:val="0"/>
        </w:rPr>
        <w:t xml:space="preserve"> webpage.</w:t>
      </w:r>
      <w:r w:rsidDel="00000000" w:rsidR="00000000" w:rsidRPr="00000000">
        <w:rPr>
          <w:rtl w:val="0"/>
        </w:rPr>
      </w:r>
    </w:p>
    <w:p w:rsidR="00000000" w:rsidDel="00000000" w:rsidP="00000000" w:rsidRDefault="00000000" w:rsidRPr="00000000" w14:paraId="00000069">
      <w:pPr>
        <w:spacing w:after="200" w:line="276"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Partners might receive free credits at no cost under various Celonis programs. This includes, but is not limited to, the </w:t>
      </w:r>
      <w:r w:rsidDel="00000000" w:rsidR="00000000" w:rsidRPr="00000000">
        <w:rPr>
          <w:rFonts w:ascii="Poppins" w:cs="Poppins" w:eastAsia="Poppins" w:hAnsi="Poppins"/>
          <w:i w:val="1"/>
          <w:sz w:val="18"/>
          <w:szCs w:val="18"/>
          <w:rtl w:val="0"/>
        </w:rPr>
        <w:t xml:space="preserve">Celonis Partner Program</w:t>
      </w:r>
      <w:r w:rsidDel="00000000" w:rsidR="00000000" w:rsidRPr="00000000">
        <w:rPr>
          <w:rFonts w:ascii="Poppins" w:cs="Poppins" w:eastAsia="Poppins" w:hAnsi="Poppins"/>
          <w:sz w:val="18"/>
          <w:szCs w:val="18"/>
          <w:rtl w:val="0"/>
        </w:rPr>
        <w:t xml:space="preserve">, the </w:t>
      </w:r>
      <w:r w:rsidDel="00000000" w:rsidR="00000000" w:rsidRPr="00000000">
        <w:rPr>
          <w:rFonts w:ascii="Poppins" w:cs="Poppins" w:eastAsia="Poppins" w:hAnsi="Poppins"/>
          <w:i w:val="1"/>
          <w:sz w:val="18"/>
          <w:szCs w:val="18"/>
          <w:rtl w:val="0"/>
        </w:rPr>
        <w:t xml:space="preserve">Credit Pack Process </w:t>
      </w:r>
      <w:r w:rsidDel="00000000" w:rsidR="00000000" w:rsidRPr="00000000">
        <w:rPr>
          <w:rFonts w:ascii="Poppins" w:cs="Poppins" w:eastAsia="Poppins" w:hAnsi="Poppins"/>
          <w:sz w:val="18"/>
          <w:szCs w:val="18"/>
          <w:rtl w:val="0"/>
        </w:rPr>
        <w:t xml:space="preserve">as outlined in section (6) of this document, or </w:t>
      </w:r>
      <w:r w:rsidDel="00000000" w:rsidR="00000000" w:rsidRPr="00000000">
        <w:rPr>
          <w:rFonts w:ascii="Poppins" w:cs="Poppins" w:eastAsia="Poppins" w:hAnsi="Poppins"/>
          <w:sz w:val="18"/>
          <w:szCs w:val="18"/>
          <w:rtl w:val="0"/>
        </w:rPr>
        <w:t xml:space="preserve">free credits issued on an annual basis</w:t>
      </w:r>
      <w:r w:rsidDel="00000000" w:rsidR="00000000" w:rsidRPr="00000000">
        <w:rPr>
          <w:rFonts w:ascii="Poppins" w:cs="Poppins" w:eastAsia="Poppins" w:hAnsi="Poppins"/>
          <w:sz w:val="18"/>
          <w:szCs w:val="18"/>
          <w:rtl w:val="0"/>
        </w:rPr>
        <w:t xml:space="preserve">. Any free credits issued can be applied to any C4C project type. However, the use of each free credit allocation is limited to the initial C4C project with a specific third-party end client (“End Client”) for the Initial Term of this C4C project type only. Subsequent renewals or extensions of the same or a substantially similar C4C project with the same End Client are not eligible for coverage using free credits, whether it is in the same year or using future free credits in the coming years. Celonis reserves the right to change the terms and conditions for issuing and using the free credits at any time without prior notice. </w:t>
      </w:r>
    </w:p>
    <w:p w:rsidR="00000000" w:rsidDel="00000000" w:rsidP="00000000" w:rsidRDefault="00000000" w:rsidRPr="00000000" w14:paraId="0000006A">
      <w:pPr>
        <w:spacing w:after="200" w:line="276"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Partners can purchase additional paid credits to support project needs beyond any free credit allocation, either via credit packages or a la carte. </w:t>
      </w:r>
      <w:r w:rsidDel="00000000" w:rsidR="00000000" w:rsidRPr="00000000">
        <w:rPr>
          <w:rtl w:val="0"/>
        </w:rPr>
      </w:r>
    </w:p>
    <w:p w:rsidR="00000000" w:rsidDel="00000000" w:rsidP="00000000" w:rsidRDefault="00000000" w:rsidRPr="00000000" w14:paraId="0000006B">
      <w:pPr>
        <w:spacing w:after="200" w:line="276"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Credits not activated for use for a project at a named End Client by their specified expiration date (in the case of free credits with dedicated expiration date), the last day of the Celonis fiscal year (in the case of free credits without an otherwise specified expiration date) or the last day of the respective year of the Subscription Term for such credits (in the case of paid credits) shall not roll over to the next fiscal year or beyond the respective year of the Subscription Term for those credits, and shall be forfeited.</w:t>
      </w:r>
      <w:r w:rsidDel="00000000" w:rsidR="00000000" w:rsidRPr="00000000">
        <w:rPr>
          <w:rFonts w:ascii="Poppins" w:cs="Poppins" w:eastAsia="Poppins" w:hAnsi="Poppins"/>
          <w:sz w:val="18"/>
          <w:szCs w:val="18"/>
          <w:rtl w:val="0"/>
        </w:rPr>
        <w:t xml:space="preserve"> For example, and for avoidance of doubt, in the case of paid credits, unutilized Year 1 credits shall not roll over to Year 2, and so on.</w:t>
      </w:r>
      <w:r w:rsidDel="00000000" w:rsidR="00000000" w:rsidRPr="00000000">
        <w:rPr>
          <w:rtl w:val="0"/>
        </w:rPr>
      </w:r>
    </w:p>
    <w:p w:rsidR="00000000" w:rsidDel="00000000" w:rsidP="00000000" w:rsidRDefault="00000000" w:rsidRPr="00000000" w14:paraId="0000006C">
      <w:pPr>
        <w:spacing w:after="0" w:line="276" w:lineRule="auto"/>
        <w:ind w:left="0"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Activated credits shall run for the length of time of the applicable project type as outlined in Section 3 below, regardless of whether the project type Term continues beyond the expiration of the Subscription Term (in the case of paid credits) or the end of the fiscal year (in the case of free credits).</w:t>
      </w:r>
      <w:r w:rsidDel="00000000" w:rsidR="00000000" w:rsidRPr="00000000">
        <w:rPr>
          <w:rFonts w:ascii="Poppins" w:cs="Poppins" w:eastAsia="Poppins" w:hAnsi="Poppins"/>
          <w:sz w:val="18"/>
          <w:szCs w:val="18"/>
          <w:rtl w:val="0"/>
        </w:rPr>
        <w:t xml:space="preserve"> To the extent a project term continues beyond the expiration of the Subscription Term in Your Order, both You and Us will continue to be bound by the terms and conditions of such Order for the remainder of any such project terms. </w:t>
      </w:r>
    </w:p>
    <w:p w:rsidR="00000000" w:rsidDel="00000000" w:rsidP="00000000" w:rsidRDefault="00000000" w:rsidRPr="00000000" w14:paraId="0000006D">
      <w:pPr>
        <w:spacing w:after="0" w:line="240" w:lineRule="auto"/>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rFonts w:ascii="Poppins Medium" w:cs="Poppins Medium" w:eastAsia="Poppins Medium" w:hAnsi="Poppins Medium"/>
          <w:b w:val="1"/>
          <w:color w:val="000000"/>
          <w:sz w:val="18"/>
          <w:szCs w:val="18"/>
        </w:rPr>
      </w:pPr>
      <w:r w:rsidDel="00000000" w:rsidR="00000000" w:rsidRPr="00000000">
        <w:rPr>
          <w:rFonts w:ascii="Poppins Medium" w:cs="Poppins Medium" w:eastAsia="Poppins Medium" w:hAnsi="Poppins Medium"/>
          <w:b w:val="1"/>
          <w:sz w:val="18"/>
          <w:szCs w:val="18"/>
          <w:rtl w:val="0"/>
        </w:rPr>
        <w:t xml:space="preserve">Project Types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Partners may use their credits to initiate the following project types. Further information about the specified features can be found in our </w:t>
      </w:r>
      <w:hyperlink r:id="rId10">
        <w:r w:rsidDel="00000000" w:rsidR="00000000" w:rsidRPr="00000000">
          <w:rPr>
            <w:rFonts w:ascii="Poppins" w:cs="Poppins" w:eastAsia="Poppins" w:hAnsi="Poppins"/>
            <w:color w:val="1155cc"/>
            <w:sz w:val="18"/>
            <w:szCs w:val="18"/>
            <w:highlight w:val="white"/>
            <w:u w:val="single"/>
            <w:rtl w:val="0"/>
          </w:rPr>
          <w:t xml:space="preserve">Product Description</w:t>
        </w:r>
      </w:hyperlink>
      <w:r w:rsidDel="00000000" w:rsidR="00000000" w:rsidRPr="00000000">
        <w:rPr>
          <w:rFonts w:ascii="Poppins" w:cs="Poppins" w:eastAsia="Poppins" w:hAnsi="Poppins"/>
          <w:sz w:val="18"/>
          <w:szCs w:val="18"/>
          <w:highlight w:val="white"/>
          <w:rtl w:val="0"/>
        </w:rPr>
        <w:t xml:space="preserve"> under the </w:t>
      </w:r>
      <w:r w:rsidDel="00000000" w:rsidR="00000000" w:rsidRPr="00000000">
        <w:rPr>
          <w:rFonts w:ascii="Poppins" w:cs="Poppins" w:eastAsia="Poppins" w:hAnsi="Poppins"/>
          <w:i w:val="1"/>
          <w:sz w:val="18"/>
          <w:szCs w:val="18"/>
          <w:highlight w:val="white"/>
          <w:rtl w:val="0"/>
        </w:rPr>
        <w:t xml:space="preserve">Documentation </w:t>
      </w:r>
      <w:r w:rsidDel="00000000" w:rsidR="00000000" w:rsidRPr="00000000">
        <w:rPr>
          <w:rFonts w:ascii="Poppins" w:cs="Poppins" w:eastAsia="Poppins" w:hAnsi="Poppins"/>
          <w:sz w:val="18"/>
          <w:szCs w:val="18"/>
          <w:highlight w:val="white"/>
          <w:rtl w:val="0"/>
        </w:rPr>
        <w:t xml:space="preserve">section on the</w:t>
      </w:r>
      <w:r w:rsidDel="00000000" w:rsidR="00000000" w:rsidRPr="00000000">
        <w:rPr>
          <w:rFonts w:ascii="Poppins" w:cs="Poppins" w:eastAsia="Poppins" w:hAnsi="Poppins"/>
          <w:i w:val="1"/>
          <w:sz w:val="18"/>
          <w:szCs w:val="18"/>
          <w:highlight w:val="white"/>
          <w:rtl w:val="0"/>
        </w:rPr>
        <w:t xml:space="preserve"> Celonis Terms and Conditions</w:t>
      </w:r>
      <w:r w:rsidDel="00000000" w:rsidR="00000000" w:rsidRPr="00000000">
        <w:rPr>
          <w:rFonts w:ascii="Poppins" w:cs="Poppins" w:eastAsia="Poppins" w:hAnsi="Poppins"/>
          <w:sz w:val="18"/>
          <w:szCs w:val="18"/>
          <w:highlight w:val="white"/>
          <w:rtl w:val="0"/>
        </w:rPr>
        <w:t xml:space="preserve"> webpage</w:t>
      </w:r>
      <w:r w:rsidDel="00000000" w:rsidR="00000000" w:rsidRPr="00000000">
        <w:rPr>
          <w:rFonts w:ascii="Poppins" w:cs="Poppins" w:eastAsia="Poppins" w:hAnsi="Poppins"/>
          <w:sz w:val="18"/>
          <w:szCs w:val="18"/>
          <w:rtl w:val="0"/>
        </w:rPr>
        <w:t xml:space="preserve">.</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0" w:firstLine="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0" w:firstLine="0"/>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3.1 Process Mining Project Types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0" w:firstLine="0"/>
        <w:jc w:val="both"/>
        <w:rPr>
          <w:rFonts w:ascii="Poppins" w:cs="Poppins" w:eastAsia="Poppins" w:hAnsi="Poppins"/>
          <w:i w:val="1"/>
          <w:sz w:val="18"/>
          <w:szCs w:val="18"/>
        </w:rPr>
      </w:pPr>
      <w:r w:rsidDel="00000000" w:rsidR="00000000" w:rsidRPr="00000000">
        <w:rPr>
          <w:rtl w:val="0"/>
        </w:rPr>
      </w:r>
    </w:p>
    <w:tbl>
      <w:tblPr>
        <w:tblStyle w:val="Table2"/>
        <w:tblW w:w="9360.0" w:type="dxa"/>
        <w:jc w:val="left"/>
        <w:tblLayout w:type="fixed"/>
        <w:tblLook w:val="04A0"/>
      </w:tblPr>
      <w:tblGrid>
        <w:gridCol w:w="1198.3933054393306"/>
        <w:gridCol w:w="2040.4016736401672"/>
        <w:gridCol w:w="2040.4016736401672"/>
        <w:gridCol w:w="2040.4016736401672"/>
        <w:gridCol w:w="2040.4016736401672"/>
        <w:tblGridChange w:id="0">
          <w:tblGrid>
            <w:gridCol w:w="1198.3933054393306"/>
            <w:gridCol w:w="2040.4016736401672"/>
            <w:gridCol w:w="2040.4016736401672"/>
            <w:gridCol w:w="2040.4016736401672"/>
            <w:gridCol w:w="2040.4016736401672"/>
          </w:tblGrid>
        </w:tblGridChange>
      </w:tblGrid>
      <w:tr>
        <w:trPr>
          <w:cantSplit w:val="0"/>
          <w:trHeight w:val="500" w:hRule="atLeast"/>
          <w:tblHeader w:val="0"/>
        </w:trPr>
        <w:tc>
          <w:tcPr/>
          <w:p w:rsidR="00000000" w:rsidDel="00000000" w:rsidP="00000000" w:rsidRDefault="00000000" w:rsidRPr="00000000" w14:paraId="00000074">
            <w:pPr>
              <w:spacing w:after="0" w:line="240" w:lineRule="auto"/>
              <w:jc w:val="center"/>
              <w:rPr>
                <w:rFonts w:ascii="Poppins Medium" w:cs="Poppins Medium" w:eastAsia="Poppins Medium" w:hAnsi="Poppins Medium"/>
                <w:sz w:val="18"/>
                <w:szCs w:val="18"/>
              </w:rPr>
            </w:pPr>
            <w:r w:rsidDel="00000000" w:rsidR="00000000" w:rsidRPr="00000000">
              <w:rPr>
                <w:rFonts w:ascii="Poppins Medium" w:cs="Poppins Medium" w:eastAsia="Poppins Medium" w:hAnsi="Poppins Medium"/>
                <w:sz w:val="18"/>
                <w:szCs w:val="18"/>
                <w:rtl w:val="0"/>
              </w:rPr>
              <w:t xml:space="preserve">Feature</w:t>
            </w:r>
          </w:p>
        </w:tc>
        <w:tc>
          <w:tcPr/>
          <w:p w:rsidR="00000000" w:rsidDel="00000000" w:rsidP="00000000" w:rsidRDefault="00000000" w:rsidRPr="00000000" w14:paraId="00000075">
            <w:pPr>
              <w:spacing w:after="0" w:line="240" w:lineRule="auto"/>
              <w:jc w:val="center"/>
              <w:rPr>
                <w:rFonts w:ascii="Poppins Medium" w:cs="Poppins Medium" w:eastAsia="Poppins Medium" w:hAnsi="Poppins Medium"/>
                <w:sz w:val="18"/>
                <w:szCs w:val="18"/>
              </w:rPr>
            </w:pPr>
            <w:r w:rsidDel="00000000" w:rsidR="00000000" w:rsidRPr="00000000">
              <w:rPr>
                <w:rFonts w:ascii="Poppins Medium" w:cs="Poppins Medium" w:eastAsia="Poppins Medium" w:hAnsi="Poppins Medium"/>
                <w:sz w:val="18"/>
                <w:szCs w:val="18"/>
                <w:rtl w:val="0"/>
              </w:rPr>
              <w:t xml:space="preserve">C4C Discover</w:t>
            </w:r>
            <w:r w:rsidDel="00000000" w:rsidR="00000000" w:rsidRPr="00000000">
              <w:rPr>
                <w:rtl w:val="0"/>
              </w:rPr>
            </w:r>
          </w:p>
        </w:tc>
        <w:tc>
          <w:tcPr/>
          <w:p w:rsidR="00000000" w:rsidDel="00000000" w:rsidP="00000000" w:rsidRDefault="00000000" w:rsidRPr="00000000" w14:paraId="00000076">
            <w:pPr>
              <w:jc w:val="center"/>
              <w:rPr>
                <w:rFonts w:ascii="Poppins Medium" w:cs="Poppins Medium" w:eastAsia="Poppins Medium" w:hAnsi="Poppins Medium"/>
                <w:sz w:val="18"/>
                <w:szCs w:val="18"/>
              </w:rPr>
            </w:pPr>
            <w:r w:rsidDel="00000000" w:rsidR="00000000" w:rsidRPr="00000000">
              <w:rPr>
                <w:rFonts w:ascii="Poppins Medium" w:cs="Poppins Medium" w:eastAsia="Poppins Medium" w:hAnsi="Poppins Medium"/>
                <w:sz w:val="18"/>
                <w:szCs w:val="18"/>
                <w:rtl w:val="0"/>
              </w:rPr>
              <w:t xml:space="preserve">C4C Execute</w:t>
            </w:r>
          </w:p>
        </w:tc>
        <w:tc>
          <w:tcPr/>
          <w:p w:rsidR="00000000" w:rsidDel="00000000" w:rsidP="00000000" w:rsidRDefault="00000000" w:rsidRPr="00000000" w14:paraId="00000077">
            <w:pPr>
              <w:spacing w:after="0" w:line="240" w:lineRule="auto"/>
              <w:jc w:val="center"/>
              <w:rPr>
                <w:rFonts w:ascii="Poppins Medium" w:cs="Poppins Medium" w:eastAsia="Poppins Medium" w:hAnsi="Poppins Medium"/>
                <w:sz w:val="18"/>
                <w:szCs w:val="18"/>
              </w:rPr>
            </w:pPr>
            <w:r w:rsidDel="00000000" w:rsidR="00000000" w:rsidRPr="00000000">
              <w:rPr>
                <w:rFonts w:ascii="Poppins Medium" w:cs="Poppins Medium" w:eastAsia="Poppins Medium" w:hAnsi="Poppins Medium"/>
                <w:sz w:val="18"/>
                <w:szCs w:val="18"/>
                <w:rtl w:val="0"/>
              </w:rPr>
              <w:t xml:space="preserve">C4C Audit</w:t>
            </w:r>
          </w:p>
        </w:tc>
        <w:tc>
          <w:tcPr/>
          <w:p w:rsidR="00000000" w:rsidDel="00000000" w:rsidP="00000000" w:rsidRDefault="00000000" w:rsidRPr="00000000" w14:paraId="00000078">
            <w:pPr>
              <w:spacing w:after="0" w:line="240" w:lineRule="auto"/>
              <w:jc w:val="center"/>
              <w:rPr>
                <w:rFonts w:ascii="Poppins Medium" w:cs="Poppins Medium" w:eastAsia="Poppins Medium" w:hAnsi="Poppins Medium"/>
                <w:sz w:val="18"/>
                <w:szCs w:val="18"/>
              </w:rPr>
            </w:pPr>
            <w:r w:rsidDel="00000000" w:rsidR="00000000" w:rsidRPr="00000000">
              <w:rPr>
                <w:rFonts w:ascii="Poppins Medium" w:cs="Poppins Medium" w:eastAsia="Poppins Medium" w:hAnsi="Poppins Medium"/>
                <w:sz w:val="18"/>
                <w:szCs w:val="18"/>
                <w:rtl w:val="0"/>
              </w:rPr>
              <w:t xml:space="preserve">C4C Operate</w:t>
            </w:r>
          </w:p>
        </w:tc>
      </w:tr>
      <w:tr>
        <w:trPr>
          <w:cantSplit w:val="0"/>
          <w:trHeight w:val="350" w:hRule="atLeast"/>
          <w:tblHeader w:val="0"/>
        </w:trPr>
        <w:tc>
          <w:tcPr/>
          <w:p w:rsidR="00000000" w:rsidDel="00000000" w:rsidP="00000000" w:rsidRDefault="00000000" w:rsidRPr="00000000" w14:paraId="00000079">
            <w:pPr>
              <w:spacing w:after="0" w:line="240" w:lineRule="auto"/>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Credits consumed</w:t>
              <w:br w:type="textWrapping"/>
              <w:t xml:space="preserve">per project</w:t>
            </w:r>
          </w:p>
        </w:tc>
        <w:tc>
          <w:tcPr/>
          <w:p w:rsidR="00000000" w:rsidDel="00000000" w:rsidP="00000000" w:rsidRDefault="00000000" w:rsidRPr="00000000" w14:paraId="0000007A">
            <w:pPr>
              <w:spacing w:after="0" w:line="240" w:lineRule="auto"/>
              <w:jc w:val="both"/>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1 Credit </w:t>
            </w:r>
          </w:p>
        </w:tc>
        <w:tc>
          <w:tcPr/>
          <w:p w:rsidR="00000000" w:rsidDel="00000000" w:rsidP="00000000" w:rsidRDefault="00000000" w:rsidRPr="00000000" w14:paraId="0000007B">
            <w:pPr>
              <w:spacing w:after="0" w:line="240" w:lineRule="auto"/>
              <w:jc w:val="both"/>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3 Credits</w:t>
            </w:r>
          </w:p>
        </w:tc>
        <w:tc>
          <w:tcPr/>
          <w:p w:rsidR="00000000" w:rsidDel="00000000" w:rsidP="00000000" w:rsidRDefault="00000000" w:rsidRPr="00000000" w14:paraId="0000007C">
            <w:pPr>
              <w:spacing w:after="0" w:line="240"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0.5-2 Credits per project, based on project size, as described below</w:t>
            </w:r>
          </w:p>
        </w:tc>
        <w:tc>
          <w:tcPr/>
          <w:p w:rsidR="00000000" w:rsidDel="00000000" w:rsidP="00000000" w:rsidRDefault="00000000" w:rsidRPr="00000000" w14:paraId="0000007D">
            <w:pPr>
              <w:spacing w:after="0" w:line="240"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5-20 Credits per project, based on project size and scope, as described below</w:t>
            </w:r>
          </w:p>
        </w:tc>
      </w:tr>
      <w:tr>
        <w:trPr>
          <w:cantSplit w:val="0"/>
          <w:trHeight w:val="350" w:hRule="atLeast"/>
          <w:tblHeader w:val="0"/>
        </w:trPr>
        <w:tc>
          <w:tcPr/>
          <w:p w:rsidR="00000000" w:rsidDel="00000000" w:rsidP="00000000" w:rsidRDefault="00000000" w:rsidRPr="00000000" w14:paraId="0000007E">
            <w:pPr>
              <w:spacing w:after="0" w:line="240" w:lineRule="auto"/>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Term</w:t>
            </w:r>
          </w:p>
        </w:tc>
        <w:tc>
          <w:tcPr/>
          <w:p w:rsidR="00000000" w:rsidDel="00000000" w:rsidP="00000000" w:rsidRDefault="00000000" w:rsidRPr="00000000" w14:paraId="0000007F">
            <w:pPr>
              <w:spacing w:after="0" w:line="240"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Maximum of three (3) months</w:t>
            </w:r>
          </w:p>
        </w:tc>
        <w:tc>
          <w:tcPr/>
          <w:p w:rsidR="00000000" w:rsidDel="00000000" w:rsidP="00000000" w:rsidRDefault="00000000" w:rsidRPr="00000000" w14:paraId="00000080">
            <w:pPr>
              <w:spacing w:after="0" w:line="240"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Maximum of six (6) months</w:t>
            </w:r>
          </w:p>
          <w:p w:rsidR="00000000" w:rsidDel="00000000" w:rsidP="00000000" w:rsidRDefault="00000000" w:rsidRPr="00000000" w14:paraId="00000081">
            <w:pPr>
              <w:spacing w:after="0" w:line="240" w:lineRule="auto"/>
              <w:jc w:val="both"/>
              <w:rPr>
                <w:rFonts w:ascii="Poppins Light" w:cs="Poppins Light" w:eastAsia="Poppins Light" w:hAnsi="Poppins Light"/>
                <w:sz w:val="18"/>
                <w:szCs w:val="18"/>
              </w:rPr>
            </w:pPr>
            <w:r w:rsidDel="00000000" w:rsidR="00000000" w:rsidRPr="00000000">
              <w:rPr>
                <w:rtl w:val="0"/>
              </w:rPr>
            </w:r>
          </w:p>
          <w:p w:rsidR="00000000" w:rsidDel="00000000" w:rsidP="00000000" w:rsidRDefault="00000000" w:rsidRPr="00000000" w14:paraId="00000082">
            <w:pPr>
              <w:spacing w:after="0" w:line="240" w:lineRule="auto"/>
              <w:jc w:val="both"/>
              <w:rPr>
                <w:rFonts w:ascii="Poppins Light" w:cs="Poppins Light" w:eastAsia="Poppins Light" w:hAnsi="Poppins Light"/>
                <w:sz w:val="18"/>
                <w:szCs w:val="18"/>
              </w:rPr>
            </w:pPr>
            <w:r w:rsidDel="00000000" w:rsidR="00000000" w:rsidRPr="00000000">
              <w:rPr>
                <w:rtl w:val="0"/>
              </w:rPr>
            </w:r>
          </w:p>
        </w:tc>
        <w:tc>
          <w:tcPr/>
          <w:p w:rsidR="00000000" w:rsidDel="00000000" w:rsidP="00000000" w:rsidRDefault="00000000" w:rsidRPr="00000000" w14:paraId="00000083">
            <w:pPr>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Twelve (12) months</w:t>
            </w:r>
          </w:p>
        </w:tc>
        <w:tc>
          <w:tcPr/>
          <w:p w:rsidR="00000000" w:rsidDel="00000000" w:rsidP="00000000" w:rsidRDefault="00000000" w:rsidRPr="00000000" w14:paraId="00000084">
            <w:pPr>
              <w:spacing w:after="0" w:line="240"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Twelve (12) months </w:t>
            </w:r>
          </w:p>
        </w:tc>
      </w:tr>
      <w:tr>
        <w:trPr>
          <w:cantSplit w:val="0"/>
          <w:trHeight w:val="350" w:hRule="atLeast"/>
          <w:tblHeader w:val="0"/>
        </w:trPr>
        <w:tc>
          <w:tcPr/>
          <w:p w:rsidR="00000000" w:rsidDel="00000000" w:rsidP="00000000" w:rsidRDefault="00000000" w:rsidRPr="00000000" w14:paraId="00000085">
            <w:pPr>
              <w:spacing w:after="0" w:line="240" w:lineRule="auto"/>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Renewal/</w:t>
            </w:r>
          </w:p>
          <w:p w:rsidR="00000000" w:rsidDel="00000000" w:rsidP="00000000" w:rsidRDefault="00000000" w:rsidRPr="00000000" w14:paraId="00000086">
            <w:pPr>
              <w:spacing w:after="0" w:line="240" w:lineRule="auto"/>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Extenable</w:t>
            </w:r>
          </w:p>
        </w:tc>
        <w:tc>
          <w:tcPr/>
          <w:p w:rsidR="00000000" w:rsidDel="00000000" w:rsidP="00000000" w:rsidRDefault="00000000" w:rsidRPr="00000000" w14:paraId="00000087">
            <w:pPr>
              <w:spacing w:after="0" w:line="240"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One (1) additional three-month extension permitted via application of another (1) Credit</w:t>
            </w:r>
          </w:p>
        </w:tc>
        <w:tc>
          <w:tcPr/>
          <w:p w:rsidR="00000000" w:rsidDel="00000000" w:rsidP="00000000" w:rsidRDefault="00000000" w:rsidRPr="00000000" w14:paraId="00000088">
            <w:pPr>
              <w:spacing w:after="0" w:line="240"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One (1) Additional three-month extension permitted via application of another two (2) Credits</w:t>
            </w:r>
          </w:p>
        </w:tc>
        <w:tc>
          <w:tcPr/>
          <w:p w:rsidR="00000000" w:rsidDel="00000000" w:rsidP="00000000" w:rsidRDefault="00000000" w:rsidRPr="00000000" w14:paraId="00000089">
            <w:pPr>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Additional twelve-month extension permitted via application of the same amount of Credits as the initial term</w:t>
            </w:r>
            <w:r w:rsidDel="00000000" w:rsidR="00000000" w:rsidRPr="00000000">
              <w:rPr>
                <w:rtl w:val="0"/>
              </w:rPr>
            </w:r>
          </w:p>
        </w:tc>
        <w:tc>
          <w:tcPr/>
          <w:p w:rsidR="00000000" w:rsidDel="00000000" w:rsidP="00000000" w:rsidRDefault="00000000" w:rsidRPr="00000000" w14:paraId="0000008A">
            <w:pPr>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Additional twelve-month extension permitted via application of the same amount of Credits as the initial term</w:t>
            </w:r>
          </w:p>
        </w:tc>
      </w:tr>
      <w:tr>
        <w:trPr>
          <w:cantSplit w:val="0"/>
          <w:trHeight w:val="350" w:hRule="atLeast"/>
          <w:tblHeader w:val="0"/>
        </w:trPr>
        <w:tc>
          <w:tcPr/>
          <w:p w:rsidR="00000000" w:rsidDel="00000000" w:rsidP="00000000" w:rsidRDefault="00000000" w:rsidRPr="00000000" w14:paraId="0000008B">
            <w:pPr>
              <w:spacing w:after="0" w:line="240" w:lineRule="auto"/>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End Client Access</w:t>
            </w:r>
          </w:p>
        </w:tc>
        <w:tc>
          <w:tcPr/>
          <w:p w:rsidR="00000000" w:rsidDel="00000000" w:rsidP="00000000" w:rsidRDefault="00000000" w:rsidRPr="00000000" w14:paraId="0000008C">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Access is only available to Partner’s employees.</w:t>
            </w:r>
          </w:p>
        </w:tc>
        <w:tc>
          <w:tcPr/>
          <w:p w:rsidR="00000000" w:rsidDel="00000000" w:rsidP="00000000" w:rsidRDefault="00000000" w:rsidRPr="00000000" w14:paraId="0000008D">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Partner may grant up to ten (10) End Client Analysts access to the C4C Execute project.</w:t>
            </w:r>
          </w:p>
        </w:tc>
        <w:tc>
          <w:tcPr/>
          <w:p w:rsidR="00000000" w:rsidDel="00000000" w:rsidP="00000000" w:rsidRDefault="00000000" w:rsidRPr="00000000" w14:paraId="0000008E">
            <w:pPr>
              <w:spacing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Partner may grant up to five (5) End Client Analysts access to the C4C Operate project.</w:t>
            </w:r>
            <w:r w:rsidDel="00000000" w:rsidR="00000000" w:rsidRPr="00000000">
              <w:rPr>
                <w:rtl w:val="0"/>
              </w:rPr>
            </w:r>
          </w:p>
        </w:tc>
        <w:tc>
          <w:tcPr/>
          <w:p w:rsidR="00000000" w:rsidDel="00000000" w:rsidP="00000000" w:rsidRDefault="00000000" w:rsidRPr="00000000" w14:paraId="0000008F">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Partner may grant up to ten (10) End Client Analysts access to the C4C Operate project.</w:t>
            </w:r>
          </w:p>
        </w:tc>
      </w:tr>
      <w:tr>
        <w:trPr>
          <w:cantSplit w:val="0"/>
          <w:trHeight w:val="350" w:hRule="atLeast"/>
          <w:tblHeader w:val="0"/>
        </w:trPr>
        <w:tc>
          <w:tcPr/>
          <w:p w:rsidR="00000000" w:rsidDel="00000000" w:rsidP="00000000" w:rsidRDefault="00000000" w:rsidRPr="00000000" w14:paraId="00000090">
            <w:pPr>
              <w:spacing w:after="0" w:line="240" w:lineRule="auto"/>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Process Limitation</w:t>
            </w:r>
          </w:p>
        </w:tc>
        <w:tc>
          <w:tcPr/>
          <w:p w:rsidR="00000000" w:rsidDel="00000000" w:rsidP="00000000" w:rsidRDefault="00000000" w:rsidRPr="00000000" w14:paraId="00000091">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Limited to 1 process</w:t>
            </w:r>
          </w:p>
        </w:tc>
        <w:tc>
          <w:tcPr/>
          <w:p w:rsidR="00000000" w:rsidDel="00000000" w:rsidP="00000000" w:rsidRDefault="00000000" w:rsidRPr="00000000" w14:paraId="00000092">
            <w:pPr>
              <w:spacing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Limited to 1 process</w:t>
            </w:r>
          </w:p>
        </w:tc>
        <w:tc>
          <w:tcPr/>
          <w:p w:rsidR="00000000" w:rsidDel="00000000" w:rsidP="00000000" w:rsidRDefault="00000000" w:rsidRPr="00000000" w14:paraId="00000093">
            <w:pPr>
              <w:spacing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No process Limit</w:t>
            </w:r>
          </w:p>
        </w:tc>
        <w:tc>
          <w:tcPr/>
          <w:p w:rsidR="00000000" w:rsidDel="00000000" w:rsidP="00000000" w:rsidRDefault="00000000" w:rsidRPr="00000000" w14:paraId="00000094">
            <w:pPr>
              <w:spacing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Limited to 1 process</w:t>
            </w:r>
          </w:p>
        </w:tc>
      </w:tr>
      <w:tr>
        <w:trPr>
          <w:cantSplit w:val="0"/>
          <w:trHeight w:val="350" w:hRule="atLeast"/>
          <w:tblHeader w:val="0"/>
        </w:trPr>
        <w:tc>
          <w:tcPr/>
          <w:p w:rsidR="00000000" w:rsidDel="00000000" w:rsidP="00000000" w:rsidRDefault="00000000" w:rsidRPr="00000000" w14:paraId="00000095">
            <w:pPr>
              <w:spacing w:after="0" w:line="240" w:lineRule="auto"/>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APC </w:t>
            </w:r>
          </w:p>
          <w:p w:rsidR="00000000" w:rsidDel="00000000" w:rsidP="00000000" w:rsidRDefault="00000000" w:rsidRPr="00000000" w14:paraId="00000096">
            <w:pPr>
              <w:spacing w:after="0" w:line="240" w:lineRule="auto"/>
              <w:ind w:right="-285"/>
              <w:rPr>
                <w:rFonts w:ascii="Poppins" w:cs="Poppins" w:eastAsia="Poppins" w:hAnsi="Poppins"/>
                <w:sz w:val="18"/>
                <w:szCs w:val="18"/>
              </w:rPr>
            </w:pPr>
            <w:r w:rsidDel="00000000" w:rsidR="00000000" w:rsidRPr="00000000">
              <w:rPr>
                <w:rFonts w:ascii="Poppins Light" w:cs="Poppins Light" w:eastAsia="Poppins Light" w:hAnsi="Poppins Light"/>
                <w:sz w:val="18"/>
                <w:szCs w:val="18"/>
                <w:rtl w:val="0"/>
              </w:rPr>
              <w:t xml:space="preserve">Limitation</w:t>
            </w:r>
            <w:r w:rsidDel="00000000" w:rsidR="00000000" w:rsidRPr="00000000">
              <w:rPr>
                <w:rtl w:val="0"/>
              </w:rPr>
            </w:r>
          </w:p>
        </w:tc>
        <w:tc>
          <w:tcPr/>
          <w:p w:rsidR="00000000" w:rsidDel="00000000" w:rsidP="00000000" w:rsidRDefault="00000000" w:rsidRPr="00000000" w14:paraId="00000097">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May not consume more than 1 TB of APC per project.</w:t>
            </w:r>
          </w:p>
        </w:tc>
        <w:tc>
          <w:tcPr/>
          <w:p w:rsidR="00000000" w:rsidDel="00000000" w:rsidP="00000000" w:rsidRDefault="00000000" w:rsidRPr="00000000" w14:paraId="00000098">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May not consume more than 1 TB of APC per project.</w:t>
            </w:r>
          </w:p>
        </w:tc>
        <w:tc>
          <w:tcPr/>
          <w:p w:rsidR="00000000" w:rsidDel="00000000" w:rsidP="00000000" w:rsidRDefault="00000000" w:rsidRPr="00000000" w14:paraId="00000099">
            <w:pPr>
              <w:spacing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Consumption limit depends on APC committed, as described below</w:t>
            </w:r>
            <w:r w:rsidDel="00000000" w:rsidR="00000000" w:rsidRPr="00000000">
              <w:rPr>
                <w:rtl w:val="0"/>
              </w:rPr>
            </w:r>
          </w:p>
        </w:tc>
        <w:tc>
          <w:tcPr/>
          <w:p w:rsidR="00000000" w:rsidDel="00000000" w:rsidP="00000000" w:rsidRDefault="00000000" w:rsidRPr="00000000" w14:paraId="0000009A">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May not consume more than 1 TB of APC per project.</w:t>
            </w:r>
          </w:p>
        </w:tc>
      </w:tr>
      <w:tr>
        <w:trPr>
          <w:cantSplit w:val="0"/>
          <w:trHeight w:val="350" w:hRule="atLeast"/>
          <w:tblHeader w:val="0"/>
        </w:trPr>
        <w:tc>
          <w:tcPr/>
          <w:p w:rsidR="00000000" w:rsidDel="00000000" w:rsidP="00000000" w:rsidRDefault="00000000" w:rsidRPr="00000000" w14:paraId="0000009B">
            <w:pPr>
              <w:spacing w:after="0" w:line="240" w:lineRule="auto"/>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Additional </w:t>
            </w:r>
          </w:p>
          <w:p w:rsidR="00000000" w:rsidDel="00000000" w:rsidP="00000000" w:rsidRDefault="00000000" w:rsidRPr="00000000" w14:paraId="0000009C">
            <w:pPr>
              <w:spacing w:after="0" w:line="240" w:lineRule="auto"/>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Limitations</w:t>
            </w:r>
          </w:p>
        </w:tc>
        <w:tc>
          <w:tcPr/>
          <w:p w:rsidR="00000000" w:rsidDel="00000000" w:rsidP="00000000" w:rsidRDefault="00000000" w:rsidRPr="00000000" w14:paraId="0000009D">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n/a</w:t>
            </w:r>
          </w:p>
        </w:tc>
        <w:tc>
          <w:tcPr/>
          <w:p w:rsidR="00000000" w:rsidDel="00000000" w:rsidP="00000000" w:rsidRDefault="00000000" w:rsidRPr="00000000" w14:paraId="0000009E">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n/a</w:t>
            </w:r>
          </w:p>
        </w:tc>
        <w:tc>
          <w:tcPr/>
          <w:p w:rsidR="00000000" w:rsidDel="00000000" w:rsidP="00000000" w:rsidRDefault="00000000" w:rsidRPr="00000000" w14:paraId="0000009F">
            <w:pPr>
              <w:spacing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This project type is available for use in accelerating and enhancing the regular external auditing of client quarterly and annual financial statements </w:t>
            </w:r>
          </w:p>
          <w:p w:rsidR="00000000" w:rsidDel="00000000" w:rsidP="00000000" w:rsidRDefault="00000000" w:rsidRPr="00000000" w14:paraId="000000A0">
            <w:pPr>
              <w:spacing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across key business processes. </w:t>
            </w:r>
          </w:p>
        </w:tc>
        <w:tc>
          <w:tcPr/>
          <w:p w:rsidR="00000000" w:rsidDel="00000000" w:rsidP="00000000" w:rsidRDefault="00000000" w:rsidRPr="00000000" w14:paraId="000000A1">
            <w:pPr>
              <w:spacing w:after="0"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This project type is available for Business Process Outsourcing (BPO) engagements, i.e., only for situations in which the partner owns the staffing and runs the process on behalf of the end client.</w:t>
            </w:r>
          </w:p>
        </w:tc>
      </w:tr>
    </w:tbl>
    <w:p w:rsidR="00000000" w:rsidDel="00000000" w:rsidP="00000000" w:rsidRDefault="00000000" w:rsidRPr="00000000" w14:paraId="000000A2">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A3">
      <w:pPr>
        <w:spacing w:after="0" w:line="240" w:lineRule="auto"/>
        <w:jc w:val="both"/>
        <w:rPr>
          <w:rFonts w:ascii="Poppins Medium" w:cs="Poppins Medium" w:eastAsia="Poppins Medium" w:hAnsi="Poppins Medium"/>
          <w:b w:val="1"/>
          <w:sz w:val="18"/>
          <w:szCs w:val="18"/>
        </w:rPr>
      </w:pPr>
      <w:r w:rsidDel="00000000" w:rsidR="00000000" w:rsidRPr="00000000">
        <w:rPr>
          <w:rFonts w:ascii="Poppins Medium" w:cs="Poppins Medium" w:eastAsia="Poppins Medium" w:hAnsi="Poppins Medium"/>
          <w:b w:val="1"/>
          <w:sz w:val="18"/>
          <w:szCs w:val="18"/>
          <w:rtl w:val="0"/>
        </w:rPr>
        <w:t xml:space="preserve">C4C OPERATE PROJECT CREDITS REQUIRED</w:t>
      </w:r>
    </w:p>
    <w:p w:rsidR="00000000" w:rsidDel="00000000" w:rsidP="00000000" w:rsidRDefault="00000000" w:rsidRPr="00000000" w14:paraId="000000A4">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As part of requesting a C4C Operate Project, the Partner must: </w:t>
      </w:r>
    </w:p>
    <w:p w:rsidR="00000000" w:rsidDel="00000000" w:rsidP="00000000" w:rsidRDefault="00000000" w:rsidRPr="00000000" w14:paraId="000000A5">
      <w:pPr>
        <w:numPr>
          <w:ilvl w:val="0"/>
          <w:numId w:val="4"/>
        </w:numPr>
        <w:spacing w:after="0" w:line="240" w:lineRule="auto"/>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Specify the Region and Line of Businesses that the project deployment will cover.</w:t>
      </w:r>
    </w:p>
    <w:p w:rsidR="00000000" w:rsidDel="00000000" w:rsidP="00000000" w:rsidRDefault="00000000" w:rsidRPr="00000000" w14:paraId="000000A6">
      <w:pPr>
        <w:numPr>
          <w:ilvl w:val="0"/>
          <w:numId w:val="4"/>
        </w:numPr>
        <w:spacing w:after="0" w:line="240" w:lineRule="auto"/>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Include a Financial Metric associated with the project deployment scope based on point a).</w:t>
      </w:r>
    </w:p>
    <w:p w:rsidR="00000000" w:rsidDel="00000000" w:rsidP="00000000" w:rsidRDefault="00000000" w:rsidRPr="00000000" w14:paraId="000000A7">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A8">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Based on the information provided above, we determine the number of Credits Required per the table below.</w:t>
      </w:r>
    </w:p>
    <w:p w:rsidR="00000000" w:rsidDel="00000000" w:rsidP="00000000" w:rsidRDefault="00000000" w:rsidRPr="00000000" w14:paraId="000000A9">
      <w:pPr>
        <w:spacing w:after="0" w:line="240" w:lineRule="auto"/>
        <w:jc w:val="both"/>
        <w:rPr>
          <w:rFonts w:ascii="Poppins" w:cs="Poppins" w:eastAsia="Poppins" w:hAnsi="Poppins"/>
          <w:sz w:val="18"/>
          <w:szCs w:val="18"/>
        </w:rPr>
      </w:pPr>
      <w:r w:rsidDel="00000000" w:rsidR="00000000" w:rsidRPr="00000000">
        <w:rPr>
          <w:rtl w:val="0"/>
        </w:rPr>
      </w:r>
    </w:p>
    <w:tbl>
      <w:tblPr>
        <w:tblStyle w:val="Table3"/>
        <w:tblW w:w="9689.999999999998" w:type="dxa"/>
        <w:jc w:val="left"/>
        <w:tblLayout w:type="fixed"/>
        <w:tblLook w:val="04A0"/>
      </w:tblPr>
      <w:tblGrid>
        <w:gridCol w:w="1937.9999999999998"/>
        <w:gridCol w:w="1937.9999999999998"/>
        <w:gridCol w:w="1937.9999999999998"/>
        <w:gridCol w:w="1937.9999999999998"/>
        <w:gridCol w:w="1937.9999999999998"/>
        <w:tblGridChange w:id="0">
          <w:tblGrid>
            <w:gridCol w:w="1937.9999999999998"/>
            <w:gridCol w:w="1937.9999999999998"/>
            <w:gridCol w:w="1937.9999999999998"/>
            <w:gridCol w:w="1937.9999999999998"/>
            <w:gridCol w:w="1937.9999999999998"/>
          </w:tblGrid>
        </w:tblGridChange>
      </w:tblGrid>
      <w:tr>
        <w:trPr>
          <w:cantSplit w:val="0"/>
          <w:trHeight w:val="500" w:hRule="atLeast"/>
          <w:tblHeader w:val="0"/>
        </w:trPr>
        <w:tc>
          <w:tcPr>
            <w:tcBorders>
              <w:top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widowControl w:val="0"/>
              <w:rPr>
                <w:rFonts w:ascii="Poppins Medium" w:cs="Poppins Medium" w:eastAsia="Poppins Medium" w:hAnsi="Poppins Medium"/>
                <w:sz w:val="16"/>
                <w:szCs w:val="16"/>
              </w:rPr>
            </w:pPr>
            <w:r w:rsidDel="00000000" w:rsidR="00000000" w:rsidRPr="00000000">
              <w:rPr>
                <w:rFonts w:ascii="Poppins Medium" w:cs="Poppins Medium" w:eastAsia="Poppins Medium" w:hAnsi="Poppins Medium"/>
                <w:sz w:val="16"/>
                <w:szCs w:val="16"/>
                <w:rtl w:val="0"/>
              </w:rPr>
              <w:t xml:space="preserve">PACKAGES</w:t>
            </w:r>
          </w:p>
        </w:tc>
        <w:tc>
          <w:tcPr>
            <w:tcBorders>
              <w:top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widowControl w:val="0"/>
              <w:rPr>
                <w:rFonts w:ascii="Poppins Medium" w:cs="Poppins Medium" w:eastAsia="Poppins Medium" w:hAnsi="Poppins Medium"/>
                <w:sz w:val="16"/>
                <w:szCs w:val="16"/>
              </w:rPr>
            </w:pPr>
            <w:r w:rsidDel="00000000" w:rsidR="00000000" w:rsidRPr="00000000">
              <w:rPr>
                <w:rFonts w:ascii="Poppins Medium" w:cs="Poppins Medium" w:eastAsia="Poppins Medium" w:hAnsi="Poppins Medium"/>
                <w:sz w:val="16"/>
                <w:szCs w:val="16"/>
                <w:rtl w:val="0"/>
              </w:rPr>
              <w:t xml:space="preserve">END CLIENT ANNUAL  REVENUE FOR SCOPE</w:t>
            </w:r>
          </w:p>
        </w:tc>
        <w:tc>
          <w:tcPr>
            <w:tcBorders>
              <w:top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widowControl w:val="0"/>
              <w:rPr>
                <w:rFonts w:ascii="Poppins Medium" w:cs="Poppins Medium" w:eastAsia="Poppins Medium" w:hAnsi="Poppins Medium"/>
                <w:sz w:val="16"/>
                <w:szCs w:val="16"/>
              </w:rPr>
            </w:pPr>
            <w:r w:rsidDel="00000000" w:rsidR="00000000" w:rsidRPr="00000000">
              <w:rPr>
                <w:rFonts w:ascii="Poppins Medium" w:cs="Poppins Medium" w:eastAsia="Poppins Medium" w:hAnsi="Poppins Medium"/>
                <w:sz w:val="16"/>
                <w:szCs w:val="16"/>
                <w:rtl w:val="0"/>
              </w:rPr>
              <w:t xml:space="preserve">END CLIENT ANNUAL  TOTAL ASSETS FOR SCOPE</w:t>
            </w:r>
          </w:p>
        </w:tc>
        <w:tc>
          <w:tcPr>
            <w:tcBorders>
              <w:top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widowControl w:val="0"/>
              <w:rPr>
                <w:rFonts w:ascii="Poppins Medium" w:cs="Poppins Medium" w:eastAsia="Poppins Medium" w:hAnsi="Poppins Medium"/>
                <w:sz w:val="16"/>
                <w:szCs w:val="16"/>
              </w:rPr>
            </w:pPr>
            <w:r w:rsidDel="00000000" w:rsidR="00000000" w:rsidRPr="00000000">
              <w:rPr>
                <w:rFonts w:ascii="Poppins Medium" w:cs="Poppins Medium" w:eastAsia="Poppins Medium" w:hAnsi="Poppins Medium"/>
                <w:sz w:val="16"/>
                <w:szCs w:val="16"/>
                <w:rtl w:val="0"/>
              </w:rPr>
              <w:t xml:space="preserve">END CLIENT ANNUAL  NET PREMIUMS WRITTEN FOR SCOPE</w:t>
            </w:r>
          </w:p>
        </w:tc>
        <w:tc>
          <w:tcPr>
            <w:tcBorders>
              <w:top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widowControl w:val="0"/>
              <w:rPr>
                <w:rFonts w:ascii="Poppins Medium" w:cs="Poppins Medium" w:eastAsia="Poppins Medium" w:hAnsi="Poppins Medium"/>
                <w:sz w:val="16"/>
                <w:szCs w:val="16"/>
              </w:rPr>
            </w:pPr>
            <w:r w:rsidDel="00000000" w:rsidR="00000000" w:rsidRPr="00000000">
              <w:rPr>
                <w:rFonts w:ascii="Poppins Medium" w:cs="Poppins Medium" w:eastAsia="Poppins Medium" w:hAnsi="Poppins Medium"/>
                <w:sz w:val="16"/>
                <w:szCs w:val="16"/>
                <w:rtl w:val="0"/>
              </w:rPr>
              <w:t xml:space="preserve">CREDITS REQUIRED</w:t>
            </w:r>
          </w:p>
        </w:tc>
      </w:tr>
      <w:tr>
        <w:trPr>
          <w:cantSplit w:val="0"/>
          <w:trHeight w:val="600" w:hRule="atLeast"/>
          <w:tblHeader w:val="0"/>
        </w:trPr>
        <w:tc>
          <w:tcPr>
            <w:tcBorders>
              <w:right w:color="7f7f7f" w:space="0" w:sz="8" w:val="dotted"/>
            </w:tcBorders>
            <w:tcMar>
              <w:top w:w="100.0" w:type="dxa"/>
              <w:left w:w="100.0" w:type="dxa"/>
              <w:bottom w:w="100.0" w:type="dxa"/>
              <w:right w:w="100.0" w:type="dxa"/>
            </w:tcMar>
            <w:vAlign w:val="center"/>
          </w:tcPr>
          <w:p w:rsidR="00000000" w:rsidDel="00000000" w:rsidP="00000000" w:rsidRDefault="00000000" w:rsidRPr="00000000" w14:paraId="000000AF">
            <w:pPr>
              <w:widowControl w:val="0"/>
              <w:ind w:right="-285"/>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C4C Operate 1</w:t>
            </w:r>
          </w:p>
        </w:tc>
        <w:tc>
          <w:tcPr>
            <w:tcBorders>
              <w:left w:color="7f7f7f" w:space="0" w:sz="8" w:val="dotted"/>
              <w:right w:color="7f7f7f" w:space="0" w:sz="8" w:val="dotted"/>
            </w:tcBorders>
            <w:tcMar>
              <w:top w:w="100.0" w:type="dxa"/>
              <w:left w:w="100.0" w:type="dxa"/>
              <w:bottom w:w="100.0" w:type="dxa"/>
              <w:right w:w="100.0" w:type="dxa"/>
            </w:tcMar>
            <w:vAlign w:val="top"/>
          </w:tcPr>
          <w:p w:rsidR="00000000" w:rsidDel="00000000" w:rsidP="00000000" w:rsidRDefault="00000000" w:rsidRPr="00000000" w14:paraId="000000B0">
            <w:pPr>
              <w:widowControl w:val="0"/>
              <w:ind w:right="-285"/>
              <w:rPr>
                <w:rFonts w:ascii="Poppins" w:cs="Poppins" w:eastAsia="Poppins" w:hAnsi="Poppins"/>
                <w:smallCaps w:val="1"/>
                <w:sz w:val="16"/>
                <w:szCs w:val="16"/>
              </w:rPr>
            </w:pPr>
            <w:r w:rsidDel="00000000" w:rsidR="00000000" w:rsidRPr="00000000">
              <w:rPr>
                <w:rFonts w:ascii="Poppins" w:cs="Poppins" w:eastAsia="Poppins" w:hAnsi="Poppins"/>
                <w:smallCaps w:val="1"/>
                <w:sz w:val="16"/>
                <w:szCs w:val="16"/>
                <w:rtl w:val="0"/>
              </w:rPr>
              <w:t xml:space="preserve">&lt;$3B</w:t>
            </w:r>
          </w:p>
        </w:tc>
        <w:tc>
          <w:tcPr>
            <w:tcBorders>
              <w:left w:color="7f7f7f" w:space="0" w:sz="8" w:val="dotted"/>
              <w:righ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B1">
            <w:pPr>
              <w:widowControl w:val="0"/>
              <w:ind w:right="-285"/>
              <w:rPr>
                <w:rFonts w:ascii="Poppins" w:cs="Poppins" w:eastAsia="Poppins" w:hAnsi="Poppins"/>
                <w:smallCaps w:val="1"/>
                <w:sz w:val="16"/>
                <w:szCs w:val="16"/>
              </w:rPr>
            </w:pPr>
            <w:r w:rsidDel="00000000" w:rsidR="00000000" w:rsidRPr="00000000">
              <w:rPr>
                <w:rFonts w:ascii="Poppins" w:cs="Poppins" w:eastAsia="Poppins" w:hAnsi="Poppins"/>
                <w:smallCaps w:val="1"/>
                <w:sz w:val="16"/>
                <w:szCs w:val="16"/>
                <w:rtl w:val="0"/>
              </w:rPr>
              <w:t xml:space="preserve">$50B</w:t>
            </w:r>
          </w:p>
        </w:tc>
        <w:tc>
          <w:tcPr>
            <w:tcBorders>
              <w:left w:color="000000" w:space="0" w:sz="8" w:val="dotted"/>
              <w:righ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B2">
            <w:pPr>
              <w:widowControl w:val="0"/>
              <w:ind w:right="-285"/>
              <w:rPr>
                <w:rFonts w:ascii="Poppins" w:cs="Poppins" w:eastAsia="Poppins" w:hAnsi="Poppins"/>
                <w:smallCaps w:val="1"/>
                <w:sz w:val="16"/>
                <w:szCs w:val="16"/>
              </w:rPr>
            </w:pPr>
            <w:r w:rsidDel="00000000" w:rsidR="00000000" w:rsidRPr="00000000">
              <w:rPr>
                <w:rFonts w:ascii="Poppins" w:cs="Poppins" w:eastAsia="Poppins" w:hAnsi="Poppins"/>
                <w:smallCaps w:val="1"/>
                <w:sz w:val="16"/>
                <w:szCs w:val="16"/>
                <w:rtl w:val="0"/>
              </w:rPr>
              <w:t xml:space="preserve">$2.5B</w:t>
            </w:r>
          </w:p>
        </w:tc>
        <w:tc>
          <w:tcPr>
            <w:tcBorders>
              <w:lef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B3">
            <w:pPr>
              <w:widowControl w:val="0"/>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5</w:t>
            </w:r>
          </w:p>
        </w:tc>
      </w:tr>
      <w:tr>
        <w:trPr>
          <w:cantSplit w:val="0"/>
          <w:trHeight w:val="600" w:hRule="atLeast"/>
          <w:tblHeader w:val="0"/>
        </w:trPr>
        <w:tc>
          <w:tcPr>
            <w:tcBorders>
              <w:right w:color="7f7f7f" w:space="0" w:sz="8" w:val="dotted"/>
            </w:tcBorders>
            <w:tcMar>
              <w:top w:w="100.0" w:type="dxa"/>
              <w:left w:w="100.0" w:type="dxa"/>
              <w:bottom w:w="100.0" w:type="dxa"/>
              <w:right w:w="100.0" w:type="dxa"/>
            </w:tcMar>
            <w:vAlign w:val="center"/>
          </w:tcPr>
          <w:p w:rsidR="00000000" w:rsidDel="00000000" w:rsidP="00000000" w:rsidRDefault="00000000" w:rsidRPr="00000000" w14:paraId="000000B4">
            <w:pPr>
              <w:widowControl w:val="0"/>
              <w:ind w:right="-285"/>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C4C Operate 2</w:t>
            </w:r>
            <w:r w:rsidDel="00000000" w:rsidR="00000000" w:rsidRPr="00000000">
              <w:rPr>
                <w:rtl w:val="0"/>
              </w:rPr>
            </w:r>
          </w:p>
        </w:tc>
        <w:tc>
          <w:tcPr>
            <w:tcBorders>
              <w:left w:color="7f7f7f" w:space="0" w:sz="8" w:val="dotted"/>
              <w:right w:color="7f7f7f" w:space="0" w:sz="8" w:val="dotted"/>
            </w:tcBorders>
            <w:tcMar>
              <w:top w:w="100.0" w:type="dxa"/>
              <w:left w:w="100.0" w:type="dxa"/>
              <w:bottom w:w="100.0" w:type="dxa"/>
              <w:right w:w="100.0" w:type="dxa"/>
            </w:tcMar>
            <w:vAlign w:val="top"/>
          </w:tcPr>
          <w:p w:rsidR="00000000" w:rsidDel="00000000" w:rsidP="00000000" w:rsidRDefault="00000000" w:rsidRPr="00000000" w14:paraId="000000B5">
            <w:pPr>
              <w:widowControl w:val="0"/>
              <w:ind w:right="-285"/>
              <w:rPr>
                <w:rFonts w:ascii="Poppins" w:cs="Poppins" w:eastAsia="Poppins" w:hAnsi="Poppins"/>
                <w:smallCaps w:val="1"/>
                <w:sz w:val="16"/>
                <w:szCs w:val="16"/>
              </w:rPr>
            </w:pPr>
            <w:r w:rsidDel="00000000" w:rsidR="00000000" w:rsidRPr="00000000">
              <w:rPr>
                <w:rFonts w:ascii="Poppins" w:cs="Poppins" w:eastAsia="Poppins" w:hAnsi="Poppins"/>
                <w:smallCaps w:val="1"/>
                <w:sz w:val="16"/>
                <w:szCs w:val="16"/>
                <w:rtl w:val="0"/>
              </w:rPr>
              <w:t xml:space="preserve">$3B-$10B</w:t>
            </w:r>
          </w:p>
        </w:tc>
        <w:tc>
          <w:tcPr>
            <w:tcBorders>
              <w:left w:color="7f7f7f" w:space="0" w:sz="8" w:val="dotted"/>
              <w:righ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B6">
            <w:pPr>
              <w:widowControl w:val="0"/>
              <w:ind w:right="-285"/>
              <w:rPr>
                <w:rFonts w:ascii="Poppins" w:cs="Poppins" w:eastAsia="Poppins" w:hAnsi="Poppins"/>
                <w:smallCaps w:val="1"/>
                <w:sz w:val="16"/>
                <w:szCs w:val="16"/>
              </w:rPr>
            </w:pPr>
            <w:r w:rsidDel="00000000" w:rsidR="00000000" w:rsidRPr="00000000">
              <w:rPr>
                <w:rFonts w:ascii="Poppins" w:cs="Poppins" w:eastAsia="Poppins" w:hAnsi="Poppins"/>
                <w:smallCaps w:val="1"/>
                <w:sz w:val="16"/>
                <w:szCs w:val="16"/>
                <w:rtl w:val="0"/>
              </w:rPr>
              <w:t xml:space="preserve">$50B -$150B</w:t>
            </w:r>
          </w:p>
        </w:tc>
        <w:tc>
          <w:tcPr>
            <w:tcBorders>
              <w:left w:color="000000" w:space="0" w:sz="8" w:val="dotted"/>
              <w:righ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B7">
            <w:pPr>
              <w:widowControl w:val="0"/>
              <w:ind w:right="-285"/>
              <w:rPr>
                <w:rFonts w:ascii="Poppins" w:cs="Poppins" w:eastAsia="Poppins" w:hAnsi="Poppins"/>
                <w:smallCaps w:val="1"/>
                <w:sz w:val="16"/>
                <w:szCs w:val="16"/>
              </w:rPr>
            </w:pPr>
            <w:r w:rsidDel="00000000" w:rsidR="00000000" w:rsidRPr="00000000">
              <w:rPr>
                <w:rFonts w:ascii="Poppins" w:cs="Poppins" w:eastAsia="Poppins" w:hAnsi="Poppins"/>
                <w:smallCaps w:val="1"/>
                <w:sz w:val="16"/>
                <w:szCs w:val="16"/>
                <w:rtl w:val="0"/>
              </w:rPr>
              <w:t xml:space="preserve">$2.5B -$8B</w:t>
            </w:r>
          </w:p>
        </w:tc>
        <w:tc>
          <w:tcPr>
            <w:tcBorders>
              <w:lef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B8">
            <w:pPr>
              <w:widowControl w:val="0"/>
              <w:rPr>
                <w:rFonts w:ascii="Poppins" w:cs="Poppins" w:eastAsia="Poppins" w:hAnsi="Poppins"/>
                <w:sz w:val="16"/>
                <w:szCs w:val="16"/>
                <w:vertAlign w:val="superscript"/>
              </w:rPr>
            </w:pPr>
            <w:r w:rsidDel="00000000" w:rsidR="00000000" w:rsidRPr="00000000">
              <w:rPr>
                <w:rFonts w:ascii="Poppins" w:cs="Poppins" w:eastAsia="Poppins" w:hAnsi="Poppins"/>
                <w:sz w:val="16"/>
                <w:szCs w:val="16"/>
                <w:rtl w:val="0"/>
              </w:rPr>
              <w:t xml:space="preserve">10</w:t>
            </w:r>
            <w:r w:rsidDel="00000000" w:rsidR="00000000" w:rsidRPr="00000000">
              <w:rPr>
                <w:rtl w:val="0"/>
              </w:rPr>
            </w:r>
          </w:p>
        </w:tc>
      </w:tr>
      <w:tr>
        <w:trPr>
          <w:cantSplit w:val="0"/>
          <w:trHeight w:val="600" w:hRule="atLeast"/>
          <w:tblHeader w:val="0"/>
        </w:trPr>
        <w:tc>
          <w:tcPr>
            <w:tcBorders>
              <w:right w:color="7f7f7f" w:space="0" w:sz="8" w:val="dotted"/>
            </w:tcBorders>
            <w:tcMar>
              <w:top w:w="100.0" w:type="dxa"/>
              <w:left w:w="100.0" w:type="dxa"/>
              <w:bottom w:w="100.0" w:type="dxa"/>
              <w:right w:w="100.0" w:type="dxa"/>
            </w:tcMar>
            <w:vAlign w:val="center"/>
          </w:tcPr>
          <w:p w:rsidR="00000000" w:rsidDel="00000000" w:rsidP="00000000" w:rsidRDefault="00000000" w:rsidRPr="00000000" w14:paraId="000000B9">
            <w:pPr>
              <w:widowControl w:val="0"/>
              <w:ind w:right="-285"/>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C4C Operate 3</w:t>
            </w:r>
          </w:p>
        </w:tc>
        <w:tc>
          <w:tcPr>
            <w:tcBorders>
              <w:left w:color="7f7f7f" w:space="0" w:sz="8" w:val="dotted"/>
              <w:right w:color="7f7f7f" w:space="0" w:sz="8" w:val="dotted"/>
            </w:tcBorders>
            <w:tcMar>
              <w:top w:w="100.0" w:type="dxa"/>
              <w:left w:w="100.0" w:type="dxa"/>
              <w:bottom w:w="100.0" w:type="dxa"/>
              <w:right w:w="100.0" w:type="dxa"/>
            </w:tcMar>
            <w:vAlign w:val="top"/>
          </w:tcPr>
          <w:p w:rsidR="00000000" w:rsidDel="00000000" w:rsidP="00000000" w:rsidRDefault="00000000" w:rsidRPr="00000000" w14:paraId="000000BA">
            <w:pPr>
              <w:widowControl w:val="0"/>
              <w:ind w:right="-285"/>
              <w:rPr>
                <w:rFonts w:ascii="Poppins" w:cs="Poppins" w:eastAsia="Poppins" w:hAnsi="Poppins"/>
                <w:sz w:val="16"/>
                <w:szCs w:val="16"/>
              </w:rPr>
            </w:pPr>
            <w:r w:rsidDel="00000000" w:rsidR="00000000" w:rsidRPr="00000000">
              <w:rPr>
                <w:rFonts w:ascii="Poppins" w:cs="Poppins" w:eastAsia="Poppins" w:hAnsi="Poppins"/>
                <w:smallCaps w:val="1"/>
                <w:sz w:val="16"/>
                <w:szCs w:val="16"/>
                <w:rtl w:val="0"/>
              </w:rPr>
              <w:t xml:space="preserve">&gt;$10B</w:t>
            </w:r>
            <w:r w:rsidDel="00000000" w:rsidR="00000000" w:rsidRPr="00000000">
              <w:rPr>
                <w:rtl w:val="0"/>
              </w:rPr>
            </w:r>
          </w:p>
        </w:tc>
        <w:tc>
          <w:tcPr>
            <w:tcBorders>
              <w:left w:color="7f7f7f" w:space="0" w:sz="8" w:val="dotted"/>
              <w:righ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BB">
            <w:pPr>
              <w:widowControl w:val="0"/>
              <w:ind w:right="-285"/>
              <w:rPr>
                <w:rFonts w:ascii="Poppins" w:cs="Poppins" w:eastAsia="Poppins" w:hAnsi="Poppins"/>
                <w:smallCaps w:val="1"/>
                <w:sz w:val="16"/>
                <w:szCs w:val="16"/>
              </w:rPr>
            </w:pPr>
            <w:r w:rsidDel="00000000" w:rsidR="00000000" w:rsidRPr="00000000">
              <w:rPr>
                <w:rFonts w:ascii="Poppins" w:cs="Poppins" w:eastAsia="Poppins" w:hAnsi="Poppins"/>
                <w:smallCaps w:val="1"/>
                <w:sz w:val="16"/>
                <w:szCs w:val="16"/>
                <w:rtl w:val="0"/>
              </w:rPr>
              <w:t xml:space="preserve">&gt; $150B</w:t>
            </w:r>
          </w:p>
        </w:tc>
        <w:tc>
          <w:tcPr>
            <w:tcBorders>
              <w:left w:color="000000" w:space="0" w:sz="8" w:val="dotted"/>
              <w:righ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BC">
            <w:pPr>
              <w:widowControl w:val="0"/>
              <w:ind w:right="-285"/>
              <w:rPr>
                <w:rFonts w:ascii="Poppins" w:cs="Poppins" w:eastAsia="Poppins" w:hAnsi="Poppins"/>
                <w:smallCaps w:val="1"/>
                <w:sz w:val="16"/>
                <w:szCs w:val="16"/>
              </w:rPr>
            </w:pPr>
            <w:r w:rsidDel="00000000" w:rsidR="00000000" w:rsidRPr="00000000">
              <w:rPr>
                <w:rFonts w:ascii="Poppins" w:cs="Poppins" w:eastAsia="Poppins" w:hAnsi="Poppins"/>
                <w:smallCaps w:val="1"/>
                <w:sz w:val="16"/>
                <w:szCs w:val="16"/>
                <w:rtl w:val="0"/>
              </w:rPr>
              <w:t xml:space="preserve">&gt; $8B</w:t>
            </w:r>
          </w:p>
        </w:tc>
        <w:tc>
          <w:tcPr>
            <w:tcBorders>
              <w:lef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BD">
            <w:pPr>
              <w:widowControl w:val="0"/>
              <w:spacing w:line="276" w:lineRule="auto"/>
              <w:rPr>
                <w:rFonts w:ascii="Poppins" w:cs="Poppins" w:eastAsia="Poppins" w:hAnsi="Poppins"/>
                <w:sz w:val="16"/>
                <w:szCs w:val="16"/>
                <w:highlight w:val="white"/>
              </w:rPr>
            </w:pPr>
            <w:r w:rsidDel="00000000" w:rsidR="00000000" w:rsidRPr="00000000">
              <w:rPr>
                <w:rFonts w:ascii="Poppins" w:cs="Poppins" w:eastAsia="Poppins" w:hAnsi="Poppins"/>
                <w:sz w:val="16"/>
                <w:szCs w:val="16"/>
                <w:rtl w:val="0"/>
              </w:rPr>
              <w:t xml:space="preserve">20</w:t>
            </w:r>
            <w:r w:rsidDel="00000000" w:rsidR="00000000" w:rsidRPr="00000000">
              <w:rPr>
                <w:rtl w:val="0"/>
              </w:rPr>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0" w:firstLine="0"/>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0" w:firstLine="0"/>
        <w:jc w:val="both"/>
        <w:rPr>
          <w:rFonts w:ascii="Poppins Medium" w:cs="Poppins Medium" w:eastAsia="Poppins Medium" w:hAnsi="Poppins Medium"/>
          <w:b w:val="1"/>
          <w:sz w:val="18"/>
          <w:szCs w:val="18"/>
        </w:rPr>
      </w:pPr>
      <w:r w:rsidDel="00000000" w:rsidR="00000000" w:rsidRPr="00000000">
        <w:rPr>
          <w:rFonts w:ascii="Poppins" w:cs="Poppins" w:eastAsia="Poppins" w:hAnsi="Poppins"/>
          <w:sz w:val="18"/>
          <w:szCs w:val="18"/>
          <w:rtl w:val="0"/>
        </w:rPr>
        <w:t xml:space="preserve">Financial Metrics per Industries: Public Sector (Annual Budgets), Banking (Total Assets), Insurance (Net Premiums Written), All other industries (Annual Revenue).</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0" w:firstLine="0"/>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C1">
      <w:pPr>
        <w:spacing w:after="0" w:line="240" w:lineRule="auto"/>
        <w:jc w:val="both"/>
        <w:rPr>
          <w:rFonts w:ascii="Poppins Medium" w:cs="Poppins Medium" w:eastAsia="Poppins Medium" w:hAnsi="Poppins Medium"/>
          <w:b w:val="1"/>
          <w:sz w:val="18"/>
          <w:szCs w:val="18"/>
        </w:rPr>
      </w:pPr>
      <w:r w:rsidDel="00000000" w:rsidR="00000000" w:rsidRPr="00000000">
        <w:rPr>
          <w:rFonts w:ascii="Poppins Medium" w:cs="Poppins Medium" w:eastAsia="Poppins Medium" w:hAnsi="Poppins Medium"/>
          <w:b w:val="1"/>
          <w:sz w:val="18"/>
          <w:szCs w:val="18"/>
          <w:rtl w:val="0"/>
        </w:rPr>
        <w:t xml:space="preserve">C4C AUDIT PROJECT CREDITS REQUIRED</w:t>
      </w:r>
    </w:p>
    <w:p w:rsidR="00000000" w:rsidDel="00000000" w:rsidP="00000000" w:rsidRDefault="00000000" w:rsidRPr="00000000" w14:paraId="000000C2">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As part of requesting a C4C Audit Project, the Partner must specify the Analytical Processing Capacity (APC) size that the project deployment will require.</w:t>
      </w:r>
    </w:p>
    <w:p w:rsidR="00000000" w:rsidDel="00000000" w:rsidP="00000000" w:rsidRDefault="00000000" w:rsidRPr="00000000" w14:paraId="000000C3">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C4">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Based on the information provided above, we determine the number of Credits Required per the table below.</w:t>
      </w:r>
    </w:p>
    <w:p w:rsidR="00000000" w:rsidDel="00000000" w:rsidP="00000000" w:rsidRDefault="00000000" w:rsidRPr="00000000" w14:paraId="000000C5">
      <w:pPr>
        <w:spacing w:after="0" w:line="240" w:lineRule="auto"/>
        <w:jc w:val="both"/>
        <w:rPr>
          <w:rFonts w:ascii="Poppins" w:cs="Poppins" w:eastAsia="Poppins" w:hAnsi="Poppins"/>
          <w:sz w:val="18"/>
          <w:szCs w:val="18"/>
        </w:rPr>
      </w:pPr>
      <w:r w:rsidDel="00000000" w:rsidR="00000000" w:rsidRPr="00000000">
        <w:rPr>
          <w:rtl w:val="0"/>
        </w:rPr>
      </w:r>
    </w:p>
    <w:tbl>
      <w:tblPr>
        <w:tblStyle w:val="Table4"/>
        <w:tblW w:w="9555.0" w:type="dxa"/>
        <w:jc w:val="left"/>
        <w:tblLayout w:type="fixed"/>
        <w:tblLook w:val="04A0"/>
      </w:tblPr>
      <w:tblGrid>
        <w:gridCol w:w="2115"/>
        <w:gridCol w:w="2115"/>
        <w:gridCol w:w="5325"/>
        <w:tblGridChange w:id="0">
          <w:tblGrid>
            <w:gridCol w:w="2115"/>
            <w:gridCol w:w="2115"/>
            <w:gridCol w:w="5325"/>
          </w:tblGrid>
        </w:tblGridChange>
      </w:tblGrid>
      <w:tr>
        <w:trPr>
          <w:cantSplit w:val="0"/>
          <w:trHeight w:val="500" w:hRule="atLeast"/>
          <w:tblHeader w:val="0"/>
        </w:trPr>
        <w:tc>
          <w:tcPr>
            <w:tcBorders>
              <w:top w:color="000000" w:space="0" w:sz="8" w:val="single"/>
              <w:left w:color="ffffff" w:space="0" w:sz="16" w:val="single"/>
              <w:bottom w:color="000000" w:space="0" w:sz="8" w:val="single"/>
              <w:right w:color="ffffff" w:space="0" w:sz="8" w:val="single"/>
            </w:tcBorders>
            <w:shd w:fill="ffffff" w:val="clear"/>
            <w:tcMar>
              <w:top w:w="140.0" w:type="dxa"/>
              <w:left w:w="140.0" w:type="dxa"/>
              <w:bottom w:w="140.0" w:type="dxa"/>
              <w:right w:w="140.0" w:type="dxa"/>
            </w:tcMar>
            <w:vAlign w:val="center"/>
          </w:tcPr>
          <w:p w:rsidR="00000000" w:rsidDel="00000000" w:rsidP="00000000" w:rsidRDefault="00000000" w:rsidRPr="00000000" w14:paraId="000000C6">
            <w:pPr>
              <w:widowControl w:val="0"/>
              <w:jc w:val="center"/>
              <w:rPr>
                <w:rFonts w:ascii="Poppins" w:cs="Poppins" w:eastAsia="Poppins" w:hAnsi="Poppins"/>
                <w:smallCaps w:val="0"/>
                <w:sz w:val="18"/>
                <w:szCs w:val="18"/>
              </w:rPr>
            </w:pPr>
            <w:r w:rsidDel="00000000" w:rsidR="00000000" w:rsidRPr="00000000">
              <w:rPr>
                <w:rFonts w:ascii="Poppins" w:cs="Poppins" w:eastAsia="Poppins" w:hAnsi="Poppins"/>
                <w:smallCaps w:val="0"/>
                <w:sz w:val="18"/>
                <w:szCs w:val="18"/>
                <w:rtl w:val="0"/>
              </w:rPr>
              <w:t xml:space="preserve">Packages</w:t>
            </w:r>
          </w:p>
        </w:tc>
        <w:tc>
          <w:tcPr>
            <w:tcBorders>
              <w:top w:color="000000" w:space="0" w:sz="8" w:val="single"/>
              <w:left w:color="ffffff" w:space="0" w:sz="8" w:val="single"/>
              <w:bottom w:color="000000" w:space="0" w:sz="8" w:val="single"/>
              <w:right w:color="ffffff" w:space="0" w:sz="8" w:val="single"/>
            </w:tcBorders>
            <w:shd w:fill="ffffff" w:val="clear"/>
            <w:tcMar>
              <w:top w:w="140.0" w:type="dxa"/>
              <w:left w:w="140.0" w:type="dxa"/>
              <w:bottom w:w="140.0" w:type="dxa"/>
              <w:right w:w="140.0" w:type="dxa"/>
            </w:tcMar>
            <w:vAlign w:val="center"/>
          </w:tcPr>
          <w:p w:rsidR="00000000" w:rsidDel="00000000" w:rsidP="00000000" w:rsidRDefault="00000000" w:rsidRPr="00000000" w14:paraId="000000C7">
            <w:pPr>
              <w:widowControl w:val="0"/>
              <w:jc w:val="center"/>
              <w:rPr>
                <w:rFonts w:ascii="Poppins" w:cs="Poppins" w:eastAsia="Poppins" w:hAnsi="Poppins"/>
                <w:smallCaps w:val="0"/>
                <w:sz w:val="18"/>
                <w:szCs w:val="18"/>
              </w:rPr>
            </w:pPr>
            <w:r w:rsidDel="00000000" w:rsidR="00000000" w:rsidRPr="00000000">
              <w:rPr>
                <w:rFonts w:ascii="Poppins" w:cs="Poppins" w:eastAsia="Poppins" w:hAnsi="Poppins"/>
                <w:smallCaps w:val="0"/>
                <w:sz w:val="18"/>
                <w:szCs w:val="18"/>
                <w:rtl w:val="0"/>
              </w:rPr>
              <w:t xml:space="preserve">Price</w:t>
            </w:r>
          </w:p>
        </w:tc>
        <w:tc>
          <w:tcPr>
            <w:tcBorders>
              <w:top w:color="000000" w:space="0" w:sz="8" w:val="single"/>
              <w:left w:color="ffffff" w:space="0" w:sz="8" w:val="single"/>
              <w:bottom w:color="000000" w:space="0" w:sz="8" w:val="single"/>
              <w:right w:color="ffffff" w:space="0" w:sz="8" w:val="single"/>
            </w:tcBorders>
            <w:shd w:fill="ffffff" w:val="clear"/>
            <w:tcMar>
              <w:top w:w="140.0" w:type="dxa"/>
              <w:left w:w="140.0" w:type="dxa"/>
              <w:bottom w:w="140.0" w:type="dxa"/>
              <w:right w:w="140.0" w:type="dxa"/>
            </w:tcMar>
            <w:vAlign w:val="center"/>
          </w:tcPr>
          <w:p w:rsidR="00000000" w:rsidDel="00000000" w:rsidP="00000000" w:rsidRDefault="00000000" w:rsidRPr="00000000" w14:paraId="000000C8">
            <w:pPr>
              <w:widowControl w:val="0"/>
              <w:jc w:val="center"/>
              <w:rPr>
                <w:rFonts w:ascii="Poppins" w:cs="Poppins" w:eastAsia="Poppins" w:hAnsi="Poppins"/>
                <w:smallCaps w:val="0"/>
                <w:sz w:val="18"/>
                <w:szCs w:val="18"/>
              </w:rPr>
            </w:pPr>
            <w:r w:rsidDel="00000000" w:rsidR="00000000" w:rsidRPr="00000000">
              <w:rPr>
                <w:rFonts w:ascii="Poppins" w:cs="Poppins" w:eastAsia="Poppins" w:hAnsi="Poppins"/>
                <w:smallCaps w:val="0"/>
                <w:sz w:val="18"/>
                <w:szCs w:val="18"/>
                <w:rtl w:val="0"/>
              </w:rPr>
              <w:t xml:space="preserve">Data Size</w:t>
            </w:r>
          </w:p>
        </w:tc>
      </w:tr>
      <w:tr>
        <w:trPr>
          <w:cantSplit w:val="0"/>
          <w:trHeight w:val="600" w:hRule="atLeast"/>
          <w:tblHeader w:val="0"/>
        </w:trPr>
        <w:tc>
          <w:tcPr>
            <w:tcBorders>
              <w:top w:color="000000" w:space="0" w:sz="8" w:val="single"/>
              <w:left w:color="ffffff" w:space="0" w:sz="16" w:val="single"/>
              <w:bottom w:color="ffffff" w:space="0" w:sz="24" w:val="single"/>
              <w:right w:color="000000" w:space="0" w:sz="0" w:val="nil"/>
            </w:tcBorders>
            <w:shd w:fill="ffffff" w:val="clear"/>
            <w:tcMar>
              <w:top w:w="40.0" w:type="dxa"/>
              <w:left w:w="140.0" w:type="dxa"/>
              <w:bottom w:w="40.0" w:type="dxa"/>
              <w:right w:w="140.0" w:type="dxa"/>
            </w:tcMar>
            <w:vAlign w:val="center"/>
          </w:tcPr>
          <w:p w:rsidR="00000000" w:rsidDel="00000000" w:rsidP="00000000" w:rsidRDefault="00000000" w:rsidRPr="00000000" w14:paraId="000000C9">
            <w:pPr>
              <w:widowControl w:val="0"/>
              <w:jc w:val="center"/>
              <w:rPr>
                <w:rFonts w:ascii="Poppins" w:cs="Poppins" w:eastAsia="Poppins" w:hAnsi="Poppins"/>
                <w:smallCaps w:val="0"/>
                <w:sz w:val="18"/>
                <w:szCs w:val="18"/>
              </w:rPr>
            </w:pPr>
            <w:r w:rsidDel="00000000" w:rsidR="00000000" w:rsidRPr="00000000">
              <w:rPr>
                <w:rFonts w:ascii="Poppins" w:cs="Poppins" w:eastAsia="Poppins" w:hAnsi="Poppins"/>
                <w:smallCaps w:val="0"/>
                <w:sz w:val="18"/>
                <w:szCs w:val="18"/>
                <w:rtl w:val="0"/>
              </w:rPr>
              <w:t xml:space="preserve">C4C Audit 1</w:t>
            </w:r>
          </w:p>
        </w:tc>
        <w:tc>
          <w:tcPr>
            <w:tcBorders>
              <w:top w:color="000000" w:space="0" w:sz="8" w:val="single"/>
              <w:left w:color="000000" w:space="0" w:sz="0" w:val="nil"/>
              <w:bottom w:color="000000" w:space="0" w:sz="0" w:val="nil"/>
              <w:right w:color="000000" w:space="0" w:sz="0" w:val="nil"/>
            </w:tcBorders>
            <w:shd w:fill="ffffff" w:val="clear"/>
            <w:tcMar>
              <w:top w:w="40.0" w:type="dxa"/>
              <w:left w:w="40.0" w:type="dxa"/>
              <w:bottom w:w="40.0" w:type="dxa"/>
              <w:right w:w="40.0" w:type="dxa"/>
            </w:tcMar>
            <w:vAlign w:val="center"/>
          </w:tcPr>
          <w:p w:rsidR="00000000" w:rsidDel="00000000" w:rsidP="00000000" w:rsidRDefault="00000000" w:rsidRPr="00000000" w14:paraId="000000CA">
            <w:pPr>
              <w:widowControl w:val="0"/>
              <w:spacing w:line="276" w:lineRule="auto"/>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0.5 credits </w:t>
            </w:r>
          </w:p>
        </w:tc>
        <w:tc>
          <w:tcPr>
            <w:tcBorders>
              <w:top w:color="000000" w:space="0" w:sz="8" w:val="single"/>
              <w:left w:color="000000" w:space="0" w:sz="0" w:val="nil"/>
              <w:bottom w:color="ffffff" w:space="0" w:sz="24" w:val="single"/>
              <w:right w:color="ffffff" w:space="0" w:sz="8" w:val="single"/>
            </w:tcBorders>
            <w:shd w:fill="ffffff" w:val="clear"/>
            <w:tcMar>
              <w:top w:w="40.0" w:type="dxa"/>
              <w:left w:w="140.0" w:type="dxa"/>
              <w:bottom w:w="40.0" w:type="dxa"/>
              <w:right w:w="140.0" w:type="dxa"/>
            </w:tcMar>
            <w:vAlign w:val="center"/>
          </w:tcPr>
          <w:p w:rsidR="00000000" w:rsidDel="00000000" w:rsidP="00000000" w:rsidRDefault="00000000" w:rsidRPr="00000000" w14:paraId="000000CB">
            <w:pPr>
              <w:widowControl w:val="0"/>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15 GB</w:t>
            </w:r>
          </w:p>
        </w:tc>
      </w:tr>
      <w:tr>
        <w:trPr>
          <w:cantSplit w:val="0"/>
          <w:trHeight w:val="600" w:hRule="atLeast"/>
          <w:tblHeader w:val="0"/>
        </w:trPr>
        <w:tc>
          <w:tcPr>
            <w:tcBorders>
              <w:top w:color="ffffff" w:space="0" w:sz="24" w:val="single"/>
              <w:left w:color="ffffff" w:space="0" w:sz="16" w:val="single"/>
              <w:bottom w:color="ffffff" w:space="0" w:sz="24" w:val="single"/>
              <w:right w:color="000000" w:space="0" w:sz="0" w:val="nil"/>
            </w:tcBorders>
            <w:shd w:fill="ffffff" w:val="clear"/>
            <w:tcMar>
              <w:top w:w="40.0" w:type="dxa"/>
              <w:left w:w="140.0" w:type="dxa"/>
              <w:bottom w:w="40.0" w:type="dxa"/>
              <w:right w:w="140.0" w:type="dxa"/>
            </w:tcMar>
            <w:vAlign w:val="center"/>
          </w:tcPr>
          <w:p w:rsidR="00000000" w:rsidDel="00000000" w:rsidP="00000000" w:rsidRDefault="00000000" w:rsidRPr="00000000" w14:paraId="000000CC">
            <w:pPr>
              <w:widowControl w:val="0"/>
              <w:jc w:val="center"/>
              <w:rPr>
                <w:rFonts w:ascii="Poppins" w:cs="Poppins" w:eastAsia="Poppins" w:hAnsi="Poppins"/>
                <w:smallCaps w:val="0"/>
                <w:sz w:val="18"/>
                <w:szCs w:val="18"/>
              </w:rPr>
            </w:pPr>
            <w:r w:rsidDel="00000000" w:rsidR="00000000" w:rsidRPr="00000000">
              <w:rPr>
                <w:rFonts w:ascii="Poppins" w:cs="Poppins" w:eastAsia="Poppins" w:hAnsi="Poppins"/>
                <w:smallCaps w:val="0"/>
                <w:sz w:val="18"/>
                <w:szCs w:val="18"/>
                <w:rtl w:val="0"/>
              </w:rPr>
              <w:t xml:space="preserve">C4C Audit 2</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center"/>
          </w:tcPr>
          <w:p w:rsidR="00000000" w:rsidDel="00000000" w:rsidP="00000000" w:rsidRDefault="00000000" w:rsidRPr="00000000" w14:paraId="000000CD">
            <w:pPr>
              <w:widowControl w:val="0"/>
              <w:spacing w:line="276" w:lineRule="auto"/>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credit</w:t>
            </w:r>
          </w:p>
        </w:tc>
        <w:tc>
          <w:tcPr>
            <w:tcBorders>
              <w:top w:color="ffffff" w:space="0" w:sz="24" w:val="single"/>
              <w:left w:color="000000" w:space="0" w:sz="0" w:val="nil"/>
              <w:bottom w:color="ffffff" w:space="0" w:sz="24" w:val="single"/>
              <w:right w:color="ffffff" w:space="0" w:sz="8" w:val="single"/>
            </w:tcBorders>
            <w:shd w:fill="ffffff" w:val="clear"/>
            <w:tcMar>
              <w:top w:w="40.0" w:type="dxa"/>
              <w:left w:w="140.0" w:type="dxa"/>
              <w:bottom w:w="40.0" w:type="dxa"/>
              <w:right w:w="140.0" w:type="dxa"/>
            </w:tcMar>
            <w:vAlign w:val="center"/>
          </w:tcPr>
          <w:p w:rsidR="00000000" w:rsidDel="00000000" w:rsidP="00000000" w:rsidRDefault="00000000" w:rsidRPr="00000000" w14:paraId="000000CE">
            <w:pPr>
              <w:widowControl w:val="0"/>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30 GB</w:t>
            </w:r>
          </w:p>
        </w:tc>
      </w:tr>
      <w:tr>
        <w:trPr>
          <w:cantSplit w:val="0"/>
          <w:trHeight w:val="600" w:hRule="atLeast"/>
          <w:tblHeader w:val="0"/>
        </w:trPr>
        <w:tc>
          <w:tcPr>
            <w:tcBorders>
              <w:top w:color="ffffff" w:space="0" w:sz="24" w:val="single"/>
              <w:left w:color="ffffff" w:space="0" w:sz="16" w:val="single"/>
              <w:bottom w:color="ffffff" w:space="0" w:sz="24" w:val="single"/>
              <w:right w:color="000000" w:space="0" w:sz="0" w:val="nil"/>
            </w:tcBorders>
            <w:shd w:fill="ffffff" w:val="clear"/>
            <w:tcMar>
              <w:top w:w="40.0" w:type="dxa"/>
              <w:left w:w="140.0" w:type="dxa"/>
              <w:bottom w:w="40.0" w:type="dxa"/>
              <w:right w:w="140.0" w:type="dxa"/>
            </w:tcMar>
            <w:vAlign w:val="center"/>
          </w:tcPr>
          <w:p w:rsidR="00000000" w:rsidDel="00000000" w:rsidP="00000000" w:rsidRDefault="00000000" w:rsidRPr="00000000" w14:paraId="000000CF">
            <w:pPr>
              <w:widowControl w:val="0"/>
              <w:jc w:val="center"/>
              <w:rPr>
                <w:rFonts w:ascii="Poppins" w:cs="Poppins" w:eastAsia="Poppins" w:hAnsi="Poppins"/>
                <w:smallCaps w:val="0"/>
                <w:sz w:val="18"/>
                <w:szCs w:val="18"/>
              </w:rPr>
            </w:pPr>
            <w:r w:rsidDel="00000000" w:rsidR="00000000" w:rsidRPr="00000000">
              <w:rPr>
                <w:rFonts w:ascii="Poppins" w:cs="Poppins" w:eastAsia="Poppins" w:hAnsi="Poppins"/>
                <w:smallCaps w:val="0"/>
                <w:sz w:val="18"/>
                <w:szCs w:val="18"/>
                <w:rtl w:val="0"/>
              </w:rPr>
              <w:t xml:space="preserve">C4C Audit 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center"/>
          </w:tcPr>
          <w:p w:rsidR="00000000" w:rsidDel="00000000" w:rsidP="00000000" w:rsidRDefault="00000000" w:rsidRPr="00000000" w14:paraId="000000D0">
            <w:pPr>
              <w:widowControl w:val="0"/>
              <w:spacing w:line="276" w:lineRule="auto"/>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 credits</w:t>
            </w:r>
          </w:p>
        </w:tc>
        <w:tc>
          <w:tcPr>
            <w:tcBorders>
              <w:top w:color="ffffff" w:space="0" w:sz="24" w:val="single"/>
              <w:left w:color="000000" w:space="0" w:sz="0" w:val="nil"/>
              <w:bottom w:color="ffffff" w:space="0" w:sz="24" w:val="single"/>
              <w:right w:color="ffffff" w:space="0" w:sz="8" w:val="single"/>
            </w:tcBorders>
            <w:shd w:fill="ffffff" w:val="clear"/>
            <w:tcMar>
              <w:top w:w="40.0" w:type="dxa"/>
              <w:left w:w="140.0" w:type="dxa"/>
              <w:bottom w:w="40.0" w:type="dxa"/>
              <w:right w:w="140.0" w:type="dxa"/>
            </w:tcMar>
            <w:vAlign w:val="center"/>
          </w:tcPr>
          <w:p w:rsidR="00000000" w:rsidDel="00000000" w:rsidP="00000000" w:rsidRDefault="00000000" w:rsidRPr="00000000" w14:paraId="000000D1">
            <w:pPr>
              <w:widowControl w:val="0"/>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65 GB</w:t>
            </w:r>
          </w:p>
        </w:tc>
      </w:tr>
    </w:tbl>
    <w:p w:rsidR="00000000" w:rsidDel="00000000" w:rsidP="00000000" w:rsidRDefault="00000000" w:rsidRPr="00000000" w14:paraId="000000D2">
      <w:pPr>
        <w:spacing w:after="0" w:line="240" w:lineRule="auto"/>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D3">
      <w:pPr>
        <w:spacing w:after="0" w:line="240" w:lineRule="auto"/>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3.2 Celonis Process Management Project Types</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ind w:left="0" w:firstLine="0"/>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D5">
      <w:pPr>
        <w:spacing w:after="0" w:line="240" w:lineRule="auto"/>
        <w:jc w:val="both"/>
        <w:rPr>
          <w:rFonts w:ascii="Poppins" w:cs="Poppins" w:eastAsia="Poppins" w:hAnsi="Poppins"/>
          <w:i w:val="1"/>
          <w:sz w:val="18"/>
          <w:szCs w:val="18"/>
        </w:rPr>
      </w:pPr>
      <w:r w:rsidDel="00000000" w:rsidR="00000000" w:rsidRPr="00000000">
        <w:rPr>
          <w:rtl w:val="0"/>
        </w:rPr>
      </w:r>
    </w:p>
    <w:sdt>
      <w:sdtPr>
        <w:lock w:val="contentLocked"/>
        <w:tag w:val="goog_rdk_67"/>
      </w:sdtPr>
      <w:sdtContent>
        <w:tbl>
          <w:tblPr>
            <w:tblStyle w:val="Table5"/>
            <w:tblW w:w="9390.0" w:type="dxa"/>
            <w:jc w:val="left"/>
            <w:tblLayout w:type="fixed"/>
            <w:tblLook w:val="04A0"/>
          </w:tblPr>
          <w:tblGrid>
            <w:gridCol w:w="1200"/>
            <w:gridCol w:w="4095"/>
            <w:gridCol w:w="4095"/>
            <w:tblGridChange w:id="0">
              <w:tblGrid>
                <w:gridCol w:w="1200"/>
                <w:gridCol w:w="4095"/>
                <w:gridCol w:w="4095"/>
              </w:tblGrid>
            </w:tblGridChange>
          </w:tblGrid>
          <w:tr>
            <w:trPr>
              <w:cantSplit w:val="0"/>
              <w:trHeight w:val="500" w:hRule="atLeast"/>
              <w:tblHeader w:val="0"/>
            </w:trPr>
            <w:tc>
              <w:tcPr/>
              <w:p w:rsidR="00000000" w:rsidDel="00000000" w:rsidP="00000000" w:rsidRDefault="00000000" w:rsidRPr="00000000" w14:paraId="000000D6">
                <w:pPr>
                  <w:jc w:val="center"/>
                  <w:rPr>
                    <w:rFonts w:ascii="Poppins Medium" w:cs="Poppins Medium" w:eastAsia="Poppins Medium" w:hAnsi="Poppins Medium"/>
                    <w:sz w:val="18"/>
                    <w:szCs w:val="18"/>
                  </w:rPr>
                </w:pPr>
                <w:r w:rsidDel="00000000" w:rsidR="00000000" w:rsidRPr="00000000">
                  <w:rPr>
                    <w:rFonts w:ascii="Poppins Medium" w:cs="Poppins Medium" w:eastAsia="Poppins Medium" w:hAnsi="Poppins Medium"/>
                    <w:sz w:val="18"/>
                    <w:szCs w:val="18"/>
                    <w:rtl w:val="0"/>
                  </w:rPr>
                  <w:t xml:space="preserve">Feature</w:t>
                </w:r>
              </w:p>
            </w:tc>
            <w:tc>
              <w:tcPr/>
              <w:p w:rsidR="00000000" w:rsidDel="00000000" w:rsidP="00000000" w:rsidRDefault="00000000" w:rsidRPr="00000000" w14:paraId="000000D7">
                <w:pPr>
                  <w:jc w:val="center"/>
                  <w:rPr>
                    <w:rFonts w:ascii="Poppins Medium" w:cs="Poppins Medium" w:eastAsia="Poppins Medium" w:hAnsi="Poppins Medium"/>
                    <w:sz w:val="18"/>
                    <w:szCs w:val="18"/>
                  </w:rPr>
                </w:pPr>
                <w:r w:rsidDel="00000000" w:rsidR="00000000" w:rsidRPr="00000000">
                  <w:rPr>
                    <w:rFonts w:ascii="Poppins Medium" w:cs="Poppins Medium" w:eastAsia="Poppins Medium" w:hAnsi="Poppins Medium"/>
                    <w:sz w:val="18"/>
                    <w:szCs w:val="18"/>
                    <w:rtl w:val="0"/>
                  </w:rPr>
                  <w:t xml:space="preserve">C4C </w:t>
                </w:r>
                <w:r w:rsidDel="00000000" w:rsidR="00000000" w:rsidRPr="00000000">
                  <w:rPr>
                    <w:rFonts w:ascii="Poppins Medium" w:cs="Poppins Medium" w:eastAsia="Poppins Medium" w:hAnsi="Poppins Medium"/>
                    <w:sz w:val="18"/>
                    <w:szCs w:val="18"/>
                    <w:rtl w:val="0"/>
                  </w:rPr>
                  <w:t xml:space="preserve">Blueprint</w:t>
                </w:r>
              </w:p>
            </w:tc>
            <w:tc>
              <w:tcPr/>
              <w:p w:rsidR="00000000" w:rsidDel="00000000" w:rsidP="00000000" w:rsidRDefault="00000000" w:rsidRPr="00000000" w14:paraId="000000D8">
                <w:pPr>
                  <w:jc w:val="center"/>
                  <w:rPr>
                    <w:rFonts w:ascii="Poppins Medium" w:cs="Poppins Medium" w:eastAsia="Poppins Medium" w:hAnsi="Poppins Medium"/>
                    <w:sz w:val="18"/>
                    <w:szCs w:val="18"/>
                  </w:rPr>
                </w:pPr>
                <w:r w:rsidDel="00000000" w:rsidR="00000000" w:rsidRPr="00000000">
                  <w:rPr>
                    <w:rFonts w:ascii="Poppins Medium" w:cs="Poppins Medium" w:eastAsia="Poppins Medium" w:hAnsi="Poppins Medium"/>
                    <w:sz w:val="18"/>
                    <w:szCs w:val="18"/>
                    <w:rtl w:val="0"/>
                  </w:rPr>
                  <w:t xml:space="preserve">C4C Modeling</w:t>
                </w:r>
              </w:p>
            </w:tc>
          </w:tr>
          <w:tr>
            <w:trPr>
              <w:cantSplit w:val="0"/>
              <w:trHeight w:val="350" w:hRule="atLeast"/>
              <w:tblHeader w:val="0"/>
            </w:trPr>
            <w:tc>
              <w:tcPr/>
              <w:p w:rsidR="00000000" w:rsidDel="00000000" w:rsidP="00000000" w:rsidRDefault="00000000" w:rsidRPr="00000000" w14:paraId="000000D9">
                <w:pPr>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Credits consumed</w:t>
                  <w:br w:type="textWrapping"/>
                  <w:t xml:space="preserve">per project</w:t>
                </w:r>
              </w:p>
            </w:tc>
            <w:tc>
              <w:tcPr/>
              <w:p w:rsidR="00000000" w:rsidDel="00000000" w:rsidP="00000000" w:rsidRDefault="00000000" w:rsidRPr="00000000" w14:paraId="000000DA">
                <w:pPr>
                  <w:jc w:val="both"/>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1 Credit </w:t>
                </w:r>
              </w:p>
            </w:tc>
            <w:tc>
              <w:tcPr/>
              <w:p w:rsidR="00000000" w:rsidDel="00000000" w:rsidP="00000000" w:rsidRDefault="00000000" w:rsidRPr="00000000" w14:paraId="000000DB">
                <w:pPr>
                  <w:jc w:val="both"/>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3 Credits</w:t>
                </w:r>
              </w:p>
            </w:tc>
          </w:tr>
          <w:tr>
            <w:trPr>
              <w:cantSplit w:val="0"/>
              <w:trHeight w:val="350" w:hRule="atLeast"/>
              <w:tblHeader w:val="0"/>
            </w:trPr>
            <w:tc>
              <w:tcPr/>
              <w:p w:rsidR="00000000" w:rsidDel="00000000" w:rsidP="00000000" w:rsidRDefault="00000000" w:rsidRPr="00000000" w14:paraId="000000DC">
                <w:pPr>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Term</w:t>
                </w:r>
              </w:p>
            </w:tc>
            <w:tc>
              <w:tcPr/>
              <w:p w:rsidR="00000000" w:rsidDel="00000000" w:rsidP="00000000" w:rsidRDefault="00000000" w:rsidRPr="00000000" w14:paraId="000000DD">
                <w:pPr>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Maximum of six (6) months</w:t>
                </w:r>
              </w:p>
            </w:tc>
            <w:tc>
              <w:tcPr/>
              <w:p w:rsidR="00000000" w:rsidDel="00000000" w:rsidP="00000000" w:rsidRDefault="00000000" w:rsidRPr="00000000" w14:paraId="000000DE">
                <w:pPr>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Maximum of twelve (12) months</w:t>
                </w:r>
              </w:p>
              <w:p w:rsidR="00000000" w:rsidDel="00000000" w:rsidP="00000000" w:rsidRDefault="00000000" w:rsidRPr="00000000" w14:paraId="000000DF">
                <w:pPr>
                  <w:jc w:val="both"/>
                  <w:rPr>
                    <w:rFonts w:ascii="Poppins Light" w:cs="Poppins Light" w:eastAsia="Poppins Light" w:hAnsi="Poppins Light"/>
                    <w:sz w:val="18"/>
                    <w:szCs w:val="18"/>
                  </w:rPr>
                </w:pPr>
                <w:r w:rsidDel="00000000" w:rsidR="00000000" w:rsidRPr="00000000">
                  <w:rPr>
                    <w:rtl w:val="0"/>
                  </w:rPr>
                </w:r>
              </w:p>
              <w:p w:rsidR="00000000" w:rsidDel="00000000" w:rsidP="00000000" w:rsidRDefault="00000000" w:rsidRPr="00000000" w14:paraId="000000E0">
                <w:pPr>
                  <w:jc w:val="both"/>
                  <w:rPr>
                    <w:rFonts w:ascii="Poppins Light" w:cs="Poppins Light" w:eastAsia="Poppins Light" w:hAnsi="Poppins Light"/>
                    <w:sz w:val="18"/>
                    <w:szCs w:val="1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E1">
                <w:pPr>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Renewal/</w:t>
                </w:r>
              </w:p>
              <w:p w:rsidR="00000000" w:rsidDel="00000000" w:rsidP="00000000" w:rsidRDefault="00000000" w:rsidRPr="00000000" w14:paraId="000000E2">
                <w:pPr>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Extenable</w:t>
                </w:r>
              </w:p>
            </w:tc>
            <w:tc>
              <w:tcPr/>
              <w:p w:rsidR="00000000" w:rsidDel="00000000" w:rsidP="00000000" w:rsidRDefault="00000000" w:rsidRPr="00000000" w14:paraId="000000E3">
                <w:pPr>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Not Extendable or Renewable</w:t>
                </w:r>
              </w:p>
            </w:tc>
            <w:tc>
              <w:tcPr/>
              <w:p w:rsidR="00000000" w:rsidDel="00000000" w:rsidP="00000000" w:rsidRDefault="00000000" w:rsidRPr="00000000" w14:paraId="000000E4">
                <w:pPr>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Additional twelve-month extension permitted via application of the same amount of Credits as the initial term</w:t>
                </w:r>
              </w:p>
              <w:p w:rsidR="00000000" w:rsidDel="00000000" w:rsidP="00000000" w:rsidRDefault="00000000" w:rsidRPr="00000000" w14:paraId="000000E5">
                <w:pPr>
                  <w:rPr>
                    <w:rFonts w:ascii="Poppins Light" w:cs="Poppins Light" w:eastAsia="Poppins Light" w:hAnsi="Poppins Light"/>
                    <w:sz w:val="18"/>
                    <w:szCs w:val="1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E6">
                <w:pPr>
                  <w:ind w:right="-285"/>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Additional Limitations</w:t>
                </w:r>
                <w:r w:rsidDel="00000000" w:rsidR="00000000" w:rsidRPr="00000000">
                  <w:rPr>
                    <w:rtl w:val="0"/>
                  </w:rPr>
                </w:r>
              </w:p>
            </w:tc>
            <w:tc>
              <w:tcPr/>
              <w:p w:rsidR="00000000" w:rsidDel="00000000" w:rsidP="00000000" w:rsidRDefault="00000000" w:rsidRPr="00000000" w14:paraId="000000E7">
                <w:pPr>
                  <w:spacing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n/a</w:t>
                </w:r>
              </w:p>
            </w:tc>
            <w:tc>
              <w:tcPr/>
              <w:p w:rsidR="00000000" w:rsidDel="00000000" w:rsidP="00000000" w:rsidRDefault="00000000" w:rsidRPr="00000000" w14:paraId="000000E8">
                <w:pPr>
                  <w:spacing w:line="276" w:lineRule="auto"/>
                  <w:rPr>
                    <w:rFonts w:ascii="Poppins Light" w:cs="Poppins Light" w:eastAsia="Poppins Light" w:hAnsi="Poppins Light"/>
                    <w:sz w:val="18"/>
                    <w:szCs w:val="18"/>
                  </w:rPr>
                </w:pPr>
                <w:r w:rsidDel="00000000" w:rsidR="00000000" w:rsidRPr="00000000">
                  <w:rPr>
                    <w:rFonts w:ascii="Poppins Light" w:cs="Poppins Light" w:eastAsia="Poppins Light" w:hAnsi="Poppins Light"/>
                    <w:sz w:val="18"/>
                    <w:szCs w:val="18"/>
                    <w:rtl w:val="0"/>
                  </w:rPr>
                  <w:t xml:space="preserve">This project type is available for Business Process Outsourcing (BPO) engagements, i.e., only for situations in which the partner owns the staffing and runs the process on behalf of the end client. </w:t>
                </w:r>
              </w:p>
            </w:tc>
          </w:tr>
        </w:tbl>
      </w:sdtContent>
    </w:sdt>
    <w:p w:rsidR="00000000" w:rsidDel="00000000" w:rsidP="00000000" w:rsidRDefault="00000000" w:rsidRPr="00000000" w14:paraId="000000E9">
      <w:pPr>
        <w:spacing w:after="0" w:line="276" w:lineRule="auto"/>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left="0" w:firstLine="0"/>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EB">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rFonts w:ascii="Poppins Medium" w:cs="Poppins Medium" w:eastAsia="Poppins Medium" w:hAnsi="Poppins Medium"/>
          <w:b w:val="1"/>
          <w:sz w:val="18"/>
          <w:szCs w:val="18"/>
        </w:rPr>
      </w:pPr>
      <w:r w:rsidDel="00000000" w:rsidR="00000000" w:rsidRPr="00000000">
        <w:rPr>
          <w:rFonts w:ascii="Poppins Medium" w:cs="Poppins Medium" w:eastAsia="Poppins Medium" w:hAnsi="Poppins Medium"/>
          <w:b w:val="1"/>
          <w:sz w:val="18"/>
          <w:szCs w:val="18"/>
          <w:rtl w:val="0"/>
        </w:rPr>
        <w:t xml:space="preserve">Using Credits</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0ED">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To utilize a credit and begin a project, the Partner shall use the </w:t>
      </w:r>
      <w:hyperlink r:id="rId11">
        <w:r w:rsidDel="00000000" w:rsidR="00000000" w:rsidRPr="00000000">
          <w:rPr>
            <w:rFonts w:ascii="Poppins" w:cs="Poppins" w:eastAsia="Poppins" w:hAnsi="Poppins"/>
            <w:color w:val="1155cc"/>
            <w:sz w:val="18"/>
            <w:szCs w:val="18"/>
            <w:highlight w:val="white"/>
            <w:u w:val="single"/>
            <w:rtl w:val="0"/>
          </w:rPr>
          <w:t xml:space="preserve">Consulting Hub</w:t>
        </w:r>
      </w:hyperlink>
      <w:r w:rsidDel="00000000" w:rsidR="00000000" w:rsidRPr="00000000">
        <w:rPr>
          <w:rFonts w:ascii="Poppins" w:cs="Poppins" w:eastAsia="Poppins" w:hAnsi="Poppins"/>
          <w:sz w:val="18"/>
          <w:szCs w:val="18"/>
          <w:highlight w:val="white"/>
          <w:rtl w:val="0"/>
        </w:rPr>
        <w:t xml:space="preserve"> and complete the guided workflow, which will request the project type, the specific Process Module, and the name of the End Client for whom the project will be performe</w:t>
      </w:r>
      <w:r w:rsidDel="00000000" w:rsidR="00000000" w:rsidRPr="00000000">
        <w:rPr>
          <w:rFonts w:ascii="Poppins" w:cs="Poppins" w:eastAsia="Poppins" w:hAnsi="Poppins"/>
          <w:sz w:val="18"/>
          <w:szCs w:val="18"/>
          <w:highlight w:val="white"/>
          <w:rtl w:val="0"/>
        </w:rPr>
        <w:t xml:space="preserve">d. The number of credits consumed will vary depending on the project type selected, as shown in the table in Section 3 above.  </w:t>
      </w:r>
      <w:r w:rsidDel="00000000" w:rsidR="00000000" w:rsidRPr="00000000">
        <w:rPr>
          <w:rtl w:val="0"/>
        </w:rPr>
      </w:r>
    </w:p>
    <w:p w:rsidR="00000000" w:rsidDel="00000000" w:rsidP="00000000" w:rsidRDefault="00000000" w:rsidRPr="00000000" w14:paraId="000000EE">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Celonis may request clarification on the entity name of the End Client, noting the following:</w:t>
      </w:r>
      <w:r w:rsidDel="00000000" w:rsidR="00000000" w:rsidRPr="00000000">
        <w:rPr>
          <w:rtl w:val="0"/>
        </w:rPr>
      </w:r>
    </w:p>
    <w:p w:rsidR="00000000" w:rsidDel="00000000" w:rsidP="00000000" w:rsidRDefault="00000000" w:rsidRPr="00000000" w14:paraId="000000EF">
      <w:pPr>
        <w:numPr>
          <w:ilvl w:val="2"/>
          <w:numId w:val="3"/>
        </w:numPr>
        <w:spacing w:after="0" w:line="276" w:lineRule="auto"/>
        <w:ind w:left="1800" w:hanging="18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If the requested End Client is an existing Celonis customer, whether direct or via a different partner (an “Existing End Client”), the Partner will make good faith efforts to explore utilizing the Existing End Client’s current entitlements and not their project credits. Should Partner determine that their project credits must be utilized after such good faith efforts, Partner shall contact Celonis for approval to utilize a project at an Existing End Client. Celonis shall not unreasonably withhold such approval.</w:t>
      </w:r>
    </w:p>
    <w:p w:rsidR="00000000" w:rsidDel="00000000" w:rsidP="00000000" w:rsidRDefault="00000000" w:rsidRPr="00000000" w14:paraId="000000F0">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Project extensions can be requested in the Consulting Hub. Extensions will require additional credits as outlined by the project type in the table above.</w:t>
      </w:r>
    </w:p>
    <w:p w:rsidR="00000000" w:rsidDel="00000000" w:rsidP="00000000" w:rsidRDefault="00000000" w:rsidRPr="00000000" w14:paraId="000000F1">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Add-ons are available for additional credits for each project, as outlined in Section 5 below. </w:t>
      </w:r>
    </w:p>
    <w:p w:rsidR="00000000" w:rsidDel="00000000" w:rsidP="00000000" w:rsidRDefault="00000000" w:rsidRPr="00000000" w14:paraId="000000F2">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Upgrades and add-ons are not available for Freemium partners. </w:t>
      </w:r>
      <w:r w:rsidDel="00000000" w:rsidR="00000000" w:rsidRPr="00000000">
        <w:rPr>
          <w:rtl w:val="0"/>
        </w:rPr>
      </w:r>
    </w:p>
    <w:p w:rsidR="00000000" w:rsidDel="00000000" w:rsidP="00000000" w:rsidRDefault="00000000" w:rsidRPr="00000000" w14:paraId="000000F3">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Partnership-level requirements</w:t>
      </w:r>
      <w:r w:rsidDel="00000000" w:rsidR="00000000" w:rsidRPr="00000000">
        <w:rPr>
          <w:rFonts w:ascii="Poppins" w:cs="Poppins" w:eastAsia="Poppins" w:hAnsi="Poppins"/>
          <w:sz w:val="18"/>
          <w:szCs w:val="18"/>
          <w:highlight w:val="white"/>
          <w:rtl w:val="0"/>
        </w:rPr>
        <w:t xml:space="preserve"> laid out in our </w:t>
      </w:r>
      <w:hyperlink r:id="rId12">
        <w:r w:rsidDel="00000000" w:rsidR="00000000" w:rsidRPr="00000000">
          <w:rPr>
            <w:rFonts w:ascii="Poppins" w:cs="Poppins" w:eastAsia="Poppins" w:hAnsi="Poppins"/>
            <w:color w:val="1155cc"/>
            <w:sz w:val="18"/>
            <w:szCs w:val="18"/>
            <w:highlight w:val="white"/>
            <w:u w:val="single"/>
            <w:rtl w:val="0"/>
          </w:rPr>
          <w:t xml:space="preserve">Partner Program Guide</w:t>
        </w:r>
      </w:hyperlink>
      <w:r w:rsidDel="00000000" w:rsidR="00000000" w:rsidRPr="00000000">
        <w:rPr>
          <w:rFonts w:ascii="Poppins" w:cs="Poppins" w:eastAsia="Poppins" w:hAnsi="Poppins"/>
          <w:sz w:val="18"/>
          <w:szCs w:val="18"/>
          <w:highlight w:val="white"/>
          <w:rtl w:val="0"/>
        </w:rPr>
        <w:t xml:space="preserve"> need to be met to start a project to ensure project quality: </w:t>
      </w:r>
    </w:p>
    <w:p w:rsidR="00000000" w:rsidDel="00000000" w:rsidP="00000000" w:rsidRDefault="00000000" w:rsidRPr="00000000" w14:paraId="000000F4">
      <w:pPr>
        <w:numPr>
          <w:ilvl w:val="2"/>
          <w:numId w:val="3"/>
        </w:numPr>
        <w:spacing w:after="0" w:line="276" w:lineRule="auto"/>
        <w:ind w:left="1800" w:hanging="18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Registered Partner Contacts (no contractual relationship with Celonis) cannot start projects. They are encouraged to sign up in the Celonis Partner Portal to become Celonis partners and start C4C projects.</w:t>
      </w:r>
    </w:p>
    <w:p w:rsidR="00000000" w:rsidDel="00000000" w:rsidP="00000000" w:rsidRDefault="00000000" w:rsidRPr="00000000" w14:paraId="000000F5">
      <w:pPr>
        <w:numPr>
          <w:ilvl w:val="2"/>
          <w:numId w:val="3"/>
        </w:numPr>
        <w:spacing w:after="0" w:line="276" w:lineRule="auto"/>
        <w:ind w:left="1800" w:hanging="18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Prospective Partners can utilize credits to start C4C Discover projects.</w:t>
      </w:r>
    </w:p>
    <w:p w:rsidR="00000000" w:rsidDel="00000000" w:rsidP="00000000" w:rsidRDefault="00000000" w:rsidRPr="00000000" w14:paraId="000000F6">
      <w:pPr>
        <w:numPr>
          <w:ilvl w:val="2"/>
          <w:numId w:val="3"/>
        </w:numPr>
        <w:spacing w:after="0" w:line="276" w:lineRule="auto"/>
        <w:ind w:left="1800" w:hanging="18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Certified Partners can utilize credits to initiate any of the listed project types. </w:t>
      </w:r>
      <w:r w:rsidDel="00000000" w:rsidR="00000000" w:rsidRPr="00000000">
        <w:br w:type="page"/>
      </w:r>
      <w:r w:rsidDel="00000000" w:rsidR="00000000" w:rsidRPr="00000000">
        <w:rPr>
          <w:rtl w:val="0"/>
        </w:rPr>
      </w:r>
    </w:p>
    <w:p w:rsidR="00000000" w:rsidDel="00000000" w:rsidP="00000000" w:rsidRDefault="00000000" w:rsidRPr="00000000" w14:paraId="000000F7">
      <w:pPr>
        <w:numPr>
          <w:ilvl w:val="0"/>
          <w:numId w:val="3"/>
        </w:numPr>
        <w:spacing w:after="0" w:line="240" w:lineRule="auto"/>
        <w:ind w:left="360"/>
        <w:jc w:val="both"/>
        <w:rPr>
          <w:rFonts w:ascii="Poppins" w:cs="Poppins" w:eastAsia="Poppins" w:hAnsi="Poppins"/>
          <w:sz w:val="18"/>
          <w:szCs w:val="18"/>
          <w:highlight w:val="white"/>
        </w:rPr>
      </w:pPr>
      <w:r w:rsidDel="00000000" w:rsidR="00000000" w:rsidRPr="00000000">
        <w:rPr>
          <w:rFonts w:ascii="Poppins" w:cs="Poppins" w:eastAsia="Poppins" w:hAnsi="Poppins"/>
          <w:b w:val="1"/>
          <w:sz w:val="18"/>
          <w:szCs w:val="18"/>
          <w:rtl w:val="0"/>
        </w:rPr>
        <w:t xml:space="preserve">Add-on Products (available at an additional charge)</w:t>
      </w:r>
      <w:r w:rsidDel="00000000" w:rsidR="00000000" w:rsidRPr="00000000">
        <w:rPr>
          <w:rtl w:val="0"/>
        </w:rPr>
      </w:r>
    </w:p>
    <w:p w:rsidR="00000000" w:rsidDel="00000000" w:rsidP="00000000" w:rsidRDefault="00000000" w:rsidRPr="00000000" w14:paraId="000000F8">
      <w:pPr>
        <w:spacing w:after="0" w:line="240" w:lineRule="auto"/>
        <w:jc w:val="both"/>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F9">
      <w:pPr>
        <w:spacing w:after="0" w:line="240" w:lineRule="auto"/>
        <w:jc w:val="both"/>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All add-ons purchased are co-termed with the primary contract and align with the remaining term. The price for any Add-Ons is not pro-rated and requires full payment regardless of the purchase date within the contract term.</w:t>
      </w:r>
    </w:p>
    <w:p w:rsidR="00000000" w:rsidDel="00000000" w:rsidP="00000000" w:rsidRDefault="00000000" w:rsidRPr="00000000" w14:paraId="000000FA">
      <w:pPr>
        <w:spacing w:after="0" w:line="240" w:lineRule="auto"/>
        <w:jc w:val="both"/>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FB">
      <w:pPr>
        <w:spacing w:after="0" w:line="240" w:lineRule="auto"/>
        <w:jc w:val="both"/>
        <w:rPr>
          <w:rFonts w:ascii="Poppins" w:cs="Poppins" w:eastAsia="Poppins" w:hAnsi="Poppins"/>
          <w:b w:val="1"/>
          <w:sz w:val="18"/>
          <w:szCs w:val="18"/>
        </w:rPr>
      </w:pPr>
      <w:r w:rsidDel="00000000" w:rsidR="00000000" w:rsidRPr="00000000">
        <w:rPr>
          <w:rtl w:val="0"/>
        </w:rPr>
      </w:r>
    </w:p>
    <w:tbl>
      <w:tblPr>
        <w:tblStyle w:val="Table6"/>
        <w:tblW w:w="10980.0" w:type="dxa"/>
        <w:jc w:val="left"/>
        <w:tblInd w:w="-672.00000000000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182.5"/>
        <w:gridCol w:w="2182.5"/>
        <w:gridCol w:w="2182.5"/>
        <w:gridCol w:w="2182.5"/>
        <w:tblGridChange w:id="0">
          <w:tblGrid>
            <w:gridCol w:w="2250"/>
            <w:gridCol w:w="2182.5"/>
            <w:gridCol w:w="2182.5"/>
            <w:gridCol w:w="2182.5"/>
            <w:gridCol w:w="2182.5"/>
          </w:tblGrid>
        </w:tblGridChange>
      </w:tblGrid>
      <w:tr>
        <w:trPr>
          <w:cantSplit w:val="0"/>
          <w:tblHeader w:val="0"/>
        </w:trPr>
        <w:tc>
          <w:tcPr>
            <w:tcBorders>
              <w:top w:color="ffffff" w:space="0" w:sz="8" w:val="single"/>
              <w:bottom w:color="ffffff" w:space="0" w:sz="8" w:val="single"/>
              <w:right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40" w:lineRule="auto"/>
              <w:rPr>
                <w:rFonts w:ascii="Poppins" w:cs="Poppins" w:eastAsia="Poppins" w:hAnsi="Poppins"/>
                <w:b w:val="1"/>
                <w:color w:val="ffffff"/>
                <w:sz w:val="18"/>
                <w:szCs w:val="18"/>
              </w:rPr>
            </w:pPr>
            <w:r w:rsidDel="00000000" w:rsidR="00000000" w:rsidRPr="00000000">
              <w:rPr>
                <w:rFonts w:ascii="Poppins" w:cs="Poppins" w:eastAsia="Poppins" w:hAnsi="Poppins"/>
                <w:b w:val="1"/>
                <w:color w:val="ffffff"/>
                <w:sz w:val="18"/>
                <w:szCs w:val="18"/>
                <w:rtl w:val="0"/>
              </w:rPr>
              <w:t xml:space="preserve">Add On Description</w:t>
            </w:r>
          </w:p>
        </w:tc>
        <w:tc>
          <w:tcPr>
            <w:tcBorders>
              <w:top w:color="ffffff" w:space="0" w:sz="8" w:val="single"/>
              <w:left w:color="ffffff" w:space="0" w:sz="8" w:val="single"/>
              <w:bottom w:color="ffffff" w:space="0" w:sz="8" w:val="single"/>
              <w:right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rPr>
                <w:rFonts w:ascii="Poppins" w:cs="Poppins" w:eastAsia="Poppins" w:hAnsi="Poppins"/>
                <w:b w:val="1"/>
                <w:color w:val="ffffff"/>
                <w:sz w:val="18"/>
                <w:szCs w:val="18"/>
              </w:rPr>
            </w:pPr>
            <w:r w:rsidDel="00000000" w:rsidR="00000000" w:rsidRPr="00000000">
              <w:rPr>
                <w:rFonts w:ascii="Poppins" w:cs="Poppins" w:eastAsia="Poppins" w:hAnsi="Poppins"/>
                <w:b w:val="1"/>
                <w:color w:val="ffffff"/>
                <w:sz w:val="18"/>
                <w:szCs w:val="18"/>
                <w:rtl w:val="0"/>
              </w:rPr>
              <w:t xml:space="preserve">Project Types Applicable</w:t>
            </w:r>
          </w:p>
        </w:tc>
        <w:tc>
          <w:tcPr>
            <w:tcBorders>
              <w:top w:color="ffffff" w:space="0" w:sz="8" w:val="single"/>
              <w:left w:color="ffffff" w:space="0" w:sz="8" w:val="single"/>
              <w:bottom w:color="ffffff" w:space="0" w:sz="8" w:val="single"/>
              <w:right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240" w:lineRule="auto"/>
              <w:rPr>
                <w:rFonts w:ascii="Poppins" w:cs="Poppins" w:eastAsia="Poppins" w:hAnsi="Poppins"/>
                <w:b w:val="1"/>
                <w:color w:val="ffffff"/>
                <w:sz w:val="18"/>
                <w:szCs w:val="18"/>
              </w:rPr>
            </w:pPr>
            <w:r w:rsidDel="00000000" w:rsidR="00000000" w:rsidRPr="00000000">
              <w:rPr>
                <w:rFonts w:ascii="Poppins" w:cs="Poppins" w:eastAsia="Poppins" w:hAnsi="Poppins"/>
                <w:b w:val="1"/>
                <w:color w:val="ffffff"/>
                <w:sz w:val="18"/>
                <w:szCs w:val="18"/>
                <w:rtl w:val="0"/>
              </w:rPr>
              <w:t xml:space="preserve"># of Credit (S)</w:t>
            </w:r>
          </w:p>
          <w:p w:rsidR="00000000" w:rsidDel="00000000" w:rsidP="00000000" w:rsidRDefault="00000000" w:rsidRPr="00000000" w14:paraId="000000FF">
            <w:pPr>
              <w:widowControl w:val="0"/>
              <w:spacing w:after="0" w:line="240" w:lineRule="auto"/>
              <w:rPr>
                <w:rFonts w:ascii="Poppins" w:cs="Poppins" w:eastAsia="Poppins" w:hAnsi="Poppins"/>
                <w:b w:val="1"/>
                <w:color w:val="ffffff"/>
                <w:sz w:val="18"/>
                <w:szCs w:val="18"/>
              </w:rPr>
            </w:pPr>
            <w:r w:rsidDel="00000000" w:rsidR="00000000" w:rsidRPr="00000000">
              <w:rPr>
                <w:rFonts w:ascii="Poppins" w:cs="Poppins" w:eastAsia="Poppins" w:hAnsi="Poppins"/>
                <w:b w:val="1"/>
                <w:color w:val="ffffff"/>
                <w:sz w:val="18"/>
                <w:szCs w:val="18"/>
                <w:rtl w:val="0"/>
              </w:rPr>
              <w:t xml:space="preserve">per Add-On</w:t>
            </w:r>
          </w:p>
        </w:tc>
        <w:tc>
          <w:tcPr>
            <w:tcBorders>
              <w:top w:color="ffffff" w:space="0" w:sz="8" w:val="single"/>
              <w:left w:color="ffffff" w:space="0" w:sz="8" w:val="single"/>
              <w:bottom w:color="ffffff" w:space="0" w:sz="8" w:val="single"/>
              <w:right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240" w:lineRule="auto"/>
              <w:rPr>
                <w:rFonts w:ascii="Poppins" w:cs="Poppins" w:eastAsia="Poppins" w:hAnsi="Poppins"/>
                <w:b w:val="1"/>
                <w:color w:val="ffffff"/>
                <w:sz w:val="18"/>
                <w:szCs w:val="18"/>
              </w:rPr>
            </w:pPr>
            <w:r w:rsidDel="00000000" w:rsidR="00000000" w:rsidRPr="00000000">
              <w:rPr>
                <w:rFonts w:ascii="Poppins" w:cs="Poppins" w:eastAsia="Poppins" w:hAnsi="Poppins"/>
                <w:b w:val="1"/>
                <w:color w:val="ffffff"/>
                <w:sz w:val="18"/>
                <w:szCs w:val="18"/>
                <w:rtl w:val="0"/>
              </w:rPr>
              <w:t xml:space="preserve">What’s Included in Each Add-On</w:t>
            </w:r>
          </w:p>
        </w:tc>
        <w:tc>
          <w:tcPr>
            <w:tcBorders>
              <w:top w:color="ffffff" w:space="0" w:sz="8" w:val="single"/>
              <w:left w:color="ffffff" w:space="0" w:sz="8" w:val="single"/>
              <w:bottom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240" w:lineRule="auto"/>
              <w:rPr>
                <w:rFonts w:ascii="Poppins" w:cs="Poppins" w:eastAsia="Poppins" w:hAnsi="Poppins"/>
                <w:b w:val="1"/>
                <w:color w:val="ffffff"/>
                <w:sz w:val="18"/>
                <w:szCs w:val="18"/>
              </w:rPr>
            </w:pPr>
            <w:r w:rsidDel="00000000" w:rsidR="00000000" w:rsidRPr="00000000">
              <w:rPr>
                <w:rFonts w:ascii="Poppins" w:cs="Poppins" w:eastAsia="Poppins" w:hAnsi="Poppins"/>
                <w:b w:val="1"/>
                <w:color w:val="ffffff"/>
                <w:sz w:val="18"/>
                <w:szCs w:val="18"/>
                <w:rtl w:val="0"/>
              </w:rPr>
              <w:t xml:space="preserve">Add-On</w:t>
            </w:r>
          </w:p>
          <w:p w:rsidR="00000000" w:rsidDel="00000000" w:rsidP="00000000" w:rsidRDefault="00000000" w:rsidRPr="00000000" w14:paraId="00000102">
            <w:pPr>
              <w:widowControl w:val="0"/>
              <w:spacing w:after="0" w:line="240" w:lineRule="auto"/>
              <w:rPr>
                <w:rFonts w:ascii="Poppins" w:cs="Poppins" w:eastAsia="Poppins" w:hAnsi="Poppins"/>
                <w:b w:val="1"/>
                <w:color w:val="ffffff"/>
                <w:sz w:val="18"/>
                <w:szCs w:val="18"/>
              </w:rPr>
            </w:pPr>
            <w:r w:rsidDel="00000000" w:rsidR="00000000" w:rsidRPr="00000000">
              <w:rPr>
                <w:rFonts w:ascii="Poppins" w:cs="Poppins" w:eastAsia="Poppins" w:hAnsi="Poppins"/>
                <w:b w:val="1"/>
                <w:color w:val="ffffff"/>
                <w:sz w:val="18"/>
                <w:szCs w:val="18"/>
                <w:rtl w:val="0"/>
              </w:rPr>
              <w:t xml:space="preserve">Restrictions</w:t>
            </w:r>
          </w:p>
        </w:tc>
      </w:tr>
      <w:tr>
        <w:trPr>
          <w:cantSplit w:val="0"/>
          <w:trHeight w:val="380" w:hRule="atLeast"/>
          <w:tblHeader w:val="0"/>
        </w:trPr>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Extra End Users Access </w:t>
            </w:r>
          </w:p>
        </w:tc>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Execute</w:t>
            </w:r>
          </w:p>
          <w:p w:rsidR="00000000" w:rsidDel="00000000" w:rsidP="00000000" w:rsidRDefault="00000000" w:rsidRPr="00000000" w14:paraId="0000010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tc>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(C4C Execute)</w:t>
            </w:r>
          </w:p>
          <w:p w:rsidR="00000000" w:rsidDel="00000000" w:rsidP="00000000" w:rsidRDefault="00000000" w:rsidRPr="00000000" w14:paraId="00000107">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(C4C Operate)</w:t>
            </w:r>
          </w:p>
        </w:tc>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Unlimited</w:t>
            </w:r>
            <w:r w:rsidDel="00000000" w:rsidR="00000000" w:rsidRPr="00000000">
              <w:rPr>
                <w:rFonts w:ascii="Poppins" w:cs="Poppins" w:eastAsia="Poppins" w:hAnsi="Poppins"/>
                <w:sz w:val="18"/>
                <w:szCs w:val="18"/>
                <w:rtl w:val="0"/>
              </w:rPr>
              <w:t xml:space="preserve"> End Client End Users (Execute)</w:t>
            </w:r>
          </w:p>
          <w:p w:rsidR="00000000" w:rsidDel="00000000" w:rsidP="00000000" w:rsidRDefault="00000000" w:rsidRPr="00000000" w14:paraId="00000109">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0A">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15 additional end client business users (Operate)</w:t>
            </w:r>
          </w:p>
        </w:tc>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Additional CPM Modeling Named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CPM Modeling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250 additional CPM Modeling Named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Additional WFP Monitor Concurrent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WFP Monitor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50 additional Concurrent Users and additional 1 TB of APC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Additional APC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Discover</w:t>
            </w:r>
          </w:p>
          <w:p w:rsidR="00000000" w:rsidDel="00000000" w:rsidP="00000000" w:rsidRDefault="00000000" w:rsidRPr="00000000" w14:paraId="00000118">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Execute</w:t>
            </w:r>
          </w:p>
          <w:p w:rsidR="00000000" w:rsidDel="00000000" w:rsidP="00000000" w:rsidRDefault="00000000" w:rsidRPr="00000000" w14:paraId="00000119">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p w:rsidR="00000000" w:rsidDel="00000000" w:rsidP="00000000" w:rsidRDefault="00000000" w:rsidRPr="00000000" w14:paraId="0000011A">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WFP Monitor</w:t>
            </w:r>
          </w:p>
          <w:p w:rsidR="00000000" w:rsidDel="00000000" w:rsidP="00000000" w:rsidRDefault="00000000" w:rsidRPr="00000000" w14:paraId="0000011B">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WFP Scan</w:t>
            </w:r>
          </w:p>
          <w:p w:rsidR="00000000" w:rsidDel="00000000" w:rsidP="00000000" w:rsidRDefault="00000000" w:rsidRPr="00000000" w14:paraId="0000011C">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1D">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Audit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50 additional GB of APC (C4C Discover, Execute, Operate, WFP Monitor, WFP Scan)</w:t>
            </w:r>
          </w:p>
          <w:p w:rsidR="00000000" w:rsidDel="00000000" w:rsidP="00000000" w:rsidRDefault="00000000" w:rsidRPr="00000000" w14:paraId="00000120">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21">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22">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15 additional GB of APC (C4C Audit)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Additional Process Module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Discover</w:t>
            </w:r>
          </w:p>
          <w:p w:rsidR="00000000" w:rsidDel="00000000" w:rsidP="00000000" w:rsidRDefault="00000000" w:rsidRPr="00000000" w14:paraId="00000126">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Execute</w:t>
            </w:r>
          </w:p>
          <w:p w:rsidR="00000000" w:rsidDel="00000000" w:rsidP="00000000" w:rsidRDefault="00000000" w:rsidRPr="00000000" w14:paraId="00000127">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(Discover)</w:t>
            </w:r>
          </w:p>
          <w:p w:rsidR="00000000" w:rsidDel="00000000" w:rsidP="00000000" w:rsidRDefault="00000000" w:rsidRPr="00000000" w14:paraId="00000129">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 (Execute)</w:t>
            </w:r>
          </w:p>
          <w:p w:rsidR="00000000" w:rsidDel="00000000" w:rsidP="00000000" w:rsidRDefault="00000000" w:rsidRPr="00000000" w14:paraId="0000012A">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additional Process 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Additional Process Modules Available: </w:t>
            </w:r>
          </w:p>
          <w:p w:rsidR="00000000" w:rsidDel="00000000" w:rsidP="00000000" w:rsidRDefault="00000000" w:rsidRPr="00000000" w14:paraId="0000012D">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2E">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-Procurement</w:t>
            </w:r>
          </w:p>
          <w:p w:rsidR="00000000" w:rsidDel="00000000" w:rsidP="00000000" w:rsidRDefault="00000000" w:rsidRPr="00000000" w14:paraId="0000012F">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-Accounts Payable</w:t>
            </w:r>
          </w:p>
          <w:p w:rsidR="00000000" w:rsidDel="00000000" w:rsidP="00000000" w:rsidRDefault="00000000" w:rsidRPr="00000000" w14:paraId="00000130">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-Order Management</w:t>
            </w:r>
          </w:p>
          <w:p w:rsidR="00000000" w:rsidDel="00000000" w:rsidP="00000000" w:rsidRDefault="00000000" w:rsidRPr="00000000" w14:paraId="00000131">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-Accounts Receivable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Intelligence 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Intelligence 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Celonis Connector for Power BI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Celonis Connector for Power BI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Microsoft Fabric Data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Execute</w:t>
            </w:r>
          </w:p>
          <w:p w:rsidR="00000000" w:rsidDel="00000000" w:rsidP="00000000" w:rsidRDefault="00000000" w:rsidRPr="00000000" w14:paraId="0000013E">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(Execute)</w:t>
              <w:br w:type="textWrapping"/>
              <w:t xml:space="preserve">3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Microsoft Fabric Data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Limited to 1 Celonis Compute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Dedicated ML Workbench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Execute</w:t>
            </w:r>
          </w:p>
          <w:p w:rsidR="00000000" w:rsidDel="00000000" w:rsidP="00000000" w:rsidRDefault="00000000" w:rsidRPr="00000000" w14:paraId="00000144">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(Execute)</w:t>
              <w:br w:type="textWrapping"/>
              <w:t xml:space="preserve">1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Dedicated ML Workbench (4 CPUs, 32 RAM GB, 50 DIsk GB)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Additional AI Outputs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Execute</w:t>
            </w:r>
            <w:r w:rsidDel="00000000" w:rsidR="00000000" w:rsidRPr="00000000">
              <w:rPr>
                <w:rtl w:val="0"/>
              </w:rPr>
            </w:r>
          </w:p>
          <w:p w:rsidR="00000000" w:rsidDel="00000000" w:rsidP="00000000" w:rsidRDefault="00000000" w:rsidRPr="00000000" w14:paraId="0000014A">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p w:rsidR="00000000" w:rsidDel="00000000" w:rsidP="00000000" w:rsidRDefault="00000000" w:rsidRPr="00000000" w14:paraId="0000014B">
            <w:pPr>
              <w:widowControl w:val="0"/>
              <w:spacing w:after="0" w:line="240" w:lineRule="auto"/>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 (Execute)</w:t>
            </w:r>
          </w:p>
          <w:p w:rsidR="00000000" w:rsidDel="00000000" w:rsidP="00000000" w:rsidRDefault="00000000" w:rsidRPr="00000000" w14:paraId="0000014D">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 (Operate)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Add 180,000 AI Outputs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Premium Apps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Discover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Premium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Available Add-On Premium Apps:</w:t>
            </w:r>
          </w:p>
          <w:p w:rsidR="00000000" w:rsidDel="00000000" w:rsidP="00000000" w:rsidRDefault="00000000" w:rsidRPr="00000000" w14:paraId="00000155">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56">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-Sailfin Collections &amp; Disputes Management AR App</w:t>
            </w:r>
          </w:p>
          <w:p w:rsidR="00000000" w:rsidDel="00000000" w:rsidP="00000000" w:rsidRDefault="00000000" w:rsidRPr="00000000" w14:paraId="00000157">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58">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-Sailfin Credit Management AR App </w:t>
            </w:r>
          </w:p>
          <w:p w:rsidR="00000000" w:rsidDel="00000000" w:rsidP="00000000" w:rsidRDefault="00000000" w:rsidRPr="00000000" w14:paraId="00000159">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5A">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-Sailfin Cash Management AR App </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240" w:lineRule="auto"/>
              <w:rPr>
                <w:rFonts w:ascii="Poppins" w:cs="Poppins" w:eastAsia="Poppins" w:hAnsi="Poppins"/>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Premium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Available Premium Apps:</w:t>
            </w:r>
          </w:p>
          <w:p w:rsidR="00000000" w:rsidDel="00000000" w:rsidP="00000000" w:rsidRDefault="00000000" w:rsidRPr="00000000" w14:paraId="00000160">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61">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-Sailfin Collections &amp; Disputes Management AR App</w:t>
            </w:r>
          </w:p>
          <w:p w:rsidR="00000000" w:rsidDel="00000000" w:rsidP="00000000" w:rsidRDefault="00000000" w:rsidRPr="00000000" w14:paraId="00000162">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63">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-Sailfin Credit Management AR App </w:t>
            </w:r>
          </w:p>
          <w:p w:rsidR="00000000" w:rsidDel="00000000" w:rsidP="00000000" w:rsidRDefault="00000000" w:rsidRPr="00000000" w14:paraId="00000164">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6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-Sailfin Cash Management AR App </w:t>
            </w:r>
          </w:p>
          <w:p w:rsidR="00000000" w:rsidDel="00000000" w:rsidP="00000000" w:rsidRDefault="00000000" w:rsidRPr="00000000" w14:paraId="00000166">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67">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-Duplicate Invoice Checker App</w:t>
            </w:r>
          </w:p>
          <w:p w:rsidR="00000000" w:rsidDel="00000000" w:rsidP="00000000" w:rsidRDefault="00000000" w:rsidRPr="00000000" w14:paraId="00000168">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69">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-Supply Chain Network Visibility App (Formerly known as End-to-End Lead Times App)</w:t>
            </w:r>
          </w:p>
          <w:p w:rsidR="00000000" w:rsidDel="00000000" w:rsidP="00000000" w:rsidRDefault="00000000" w:rsidRPr="00000000" w14:paraId="0000016A">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6B">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-Material Allocation App</w:t>
            </w:r>
          </w:p>
          <w:p w:rsidR="00000000" w:rsidDel="00000000" w:rsidP="00000000" w:rsidRDefault="00000000" w:rsidRPr="00000000" w14:paraId="0000016C">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6D">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-System Transformation Readiness App</w:t>
            </w:r>
          </w:p>
          <w:p w:rsidR="00000000" w:rsidDel="00000000" w:rsidP="00000000" w:rsidRDefault="00000000" w:rsidRPr="00000000" w14:paraId="0000016E">
            <w:pPr>
              <w:widowControl w:val="0"/>
              <w:spacing w:after="0"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6F">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sz w:val="18"/>
                <w:szCs w:val="18"/>
                <w:rtl w:val="0"/>
              </w:rPr>
              <w:t xml:space="preserve">Sustainable Spend Management App</w:t>
            </w:r>
            <w:r w:rsidDel="00000000" w:rsidR="00000000" w:rsidRPr="00000000">
              <w:rPr>
                <w:rtl w:val="0"/>
              </w:rPr>
            </w:r>
          </w:p>
        </w:tc>
      </w:tr>
      <w:tr>
        <w:trPr>
          <w:cantSplit w:val="0"/>
          <w:trHeight w:val="1549.9999999999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Celonis Process Management (Modeling)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p w:rsidR="00000000" w:rsidDel="00000000" w:rsidP="00000000" w:rsidRDefault="00000000" w:rsidRPr="00000000" w14:paraId="00000172">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Monitor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 (Operate)</w:t>
            </w:r>
          </w:p>
          <w:p w:rsidR="00000000" w:rsidDel="00000000" w:rsidP="00000000" w:rsidRDefault="00000000" w:rsidRPr="00000000" w14:paraId="00000174">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 (Monitor)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Celonis</w:t>
            </w:r>
            <w:r w:rsidDel="00000000" w:rsidR="00000000" w:rsidRPr="00000000">
              <w:rPr>
                <w:rFonts w:ascii="Poppins" w:cs="Poppins" w:eastAsia="Poppins" w:hAnsi="Poppins"/>
                <w:sz w:val="18"/>
                <w:szCs w:val="18"/>
                <w:rtl w:val="0"/>
              </w:rPr>
              <w:t xml:space="preserve"> Process Management Bundle (Process Designer, </w:t>
            </w:r>
            <w:r w:rsidDel="00000000" w:rsidR="00000000" w:rsidRPr="00000000">
              <w:rPr>
                <w:rtl w:val="0"/>
              </w:rPr>
            </w:r>
          </w:p>
          <w:p w:rsidR="00000000" w:rsidDel="00000000" w:rsidP="00000000" w:rsidRDefault="00000000" w:rsidRPr="00000000" w14:paraId="00000176">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Process Navigator, Process Cockpit)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100 Named Users</w:t>
            </w:r>
          </w:p>
        </w:tc>
      </w:tr>
      <w:tr>
        <w:trPr>
          <w:cantSplit w:val="0"/>
          <w:trHeight w:val="1549.9999999999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Celonis Process Management (Blueprint)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Execute</w:t>
            </w:r>
          </w:p>
          <w:p w:rsidR="00000000" w:rsidDel="00000000" w:rsidP="00000000" w:rsidRDefault="00000000" w:rsidRPr="00000000" w14:paraId="0000017A">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Scan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(Execute)</w:t>
            </w:r>
          </w:p>
          <w:p w:rsidR="00000000" w:rsidDel="00000000" w:rsidP="00000000" w:rsidRDefault="00000000" w:rsidRPr="00000000" w14:paraId="0000017C">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(Scan)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Celonis</w:t>
            </w:r>
            <w:r w:rsidDel="00000000" w:rsidR="00000000" w:rsidRPr="00000000">
              <w:rPr>
                <w:rFonts w:ascii="Poppins" w:cs="Poppins" w:eastAsia="Poppins" w:hAnsi="Poppins"/>
                <w:sz w:val="18"/>
                <w:szCs w:val="18"/>
                <w:rtl w:val="0"/>
              </w:rPr>
              <w:t xml:space="preserve"> Process Management Bundle (Process Designer, </w:t>
            </w:r>
            <w:r w:rsidDel="00000000" w:rsidR="00000000" w:rsidRPr="00000000">
              <w:rPr>
                <w:rtl w:val="0"/>
              </w:rPr>
            </w:r>
          </w:p>
          <w:p w:rsidR="00000000" w:rsidDel="00000000" w:rsidP="00000000" w:rsidRDefault="00000000" w:rsidRPr="00000000" w14:paraId="0000017E">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Process Navigator, Process Cockpit)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Unlimited Named Users</w:t>
            </w:r>
          </w:p>
        </w:tc>
      </w:tr>
      <w:tr>
        <w:trPr>
          <w:cantSplit w:val="0"/>
          <w:trHeight w:val="1549.9999999999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Workforce Productivity (Scan)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Execute</w:t>
            </w:r>
          </w:p>
          <w:p w:rsidR="00000000" w:rsidDel="00000000" w:rsidP="00000000" w:rsidRDefault="00000000" w:rsidRPr="00000000" w14:paraId="00000182">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Blueprint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(Execute)</w:t>
            </w:r>
          </w:p>
          <w:p w:rsidR="00000000" w:rsidDel="00000000" w:rsidP="00000000" w:rsidRDefault="00000000" w:rsidRPr="00000000" w14:paraId="00000184">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(Blueprint)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Workforce Productivity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Unlimited Concurrent Users</w:t>
            </w:r>
          </w:p>
        </w:tc>
      </w:tr>
      <w:tr>
        <w:trPr>
          <w:cantSplit w:val="0"/>
          <w:trHeight w:val="1549.9999999999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Workforce Productivity (Monitor)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p w:rsidR="00000000" w:rsidDel="00000000" w:rsidP="00000000" w:rsidRDefault="00000000" w:rsidRPr="00000000" w14:paraId="00000189">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Modeling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6 (Operate)</w:t>
            </w:r>
          </w:p>
          <w:p w:rsidR="00000000" w:rsidDel="00000000" w:rsidP="00000000" w:rsidRDefault="00000000" w:rsidRPr="00000000" w14:paraId="0000018B">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6 (Modeling)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Workforce Productivity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150 Concurrent Users</w:t>
            </w:r>
          </w:p>
        </w:tc>
      </w:tr>
      <w:tr>
        <w:trPr>
          <w:cantSplit w:val="0"/>
          <w:trHeight w:val="1549.9999999999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PI+AI Execute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Blueprint</w:t>
            </w:r>
          </w:p>
          <w:p w:rsidR="00000000" w:rsidDel="00000000" w:rsidP="00000000" w:rsidRDefault="00000000" w:rsidRPr="00000000" w14:paraId="00000190">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Scan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 (Blueprint)</w:t>
            </w:r>
          </w:p>
          <w:p w:rsidR="00000000" w:rsidDel="00000000" w:rsidP="00000000" w:rsidRDefault="00000000" w:rsidRPr="00000000" w14:paraId="00000192">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 (Scan)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Execute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rHeight w:val="1549.9999999999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PI+AI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Modeling</w:t>
            </w:r>
          </w:p>
          <w:p w:rsidR="00000000" w:rsidDel="00000000" w:rsidP="00000000" w:rsidRDefault="00000000" w:rsidRPr="00000000" w14:paraId="00000197">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Monitor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5-20 (Modeling)</w:t>
            </w:r>
          </w:p>
          <w:p w:rsidR="00000000" w:rsidDel="00000000" w:rsidP="00000000" w:rsidRDefault="00000000" w:rsidRPr="00000000" w14:paraId="00000199">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5.20 (Monitor)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Operate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Upgrade from Discover to Execute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Discover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Total project duration needed (across Discover + Execute types) is 6 months, regardless of upgrade timing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Upgrade possible anytime 30+ days after the Discover project starts. Partner pays 3 credits total across both transactions. Execute features after the upgrade only.</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rPr>
                <w:rFonts w:ascii="Poppins" w:cs="Poppins" w:eastAsia="Poppins" w:hAnsi="Poppins"/>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C4C Discover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Total project duration needed (across Discover + Execute types) is 9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Partner pays 4 credits total across both transactions and gets 9 months of C4C, 3 months of Discover, 6 months of Execute</w:t>
            </w:r>
          </w:p>
        </w:tc>
      </w:tr>
    </w:tbl>
    <w:p w:rsidR="00000000" w:rsidDel="00000000" w:rsidP="00000000" w:rsidRDefault="00000000" w:rsidRPr="00000000" w14:paraId="000001A6">
      <w:pPr>
        <w:spacing w:after="0" w:line="240" w:lineRule="auto"/>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1A7">
      <w:pPr>
        <w:numPr>
          <w:ilvl w:val="1"/>
          <w:numId w:val="3"/>
        </w:numPr>
        <w:spacing w:after="0" w:line="240" w:lineRule="auto"/>
        <w:ind w:left="1080" w:hanging="360"/>
        <w:jc w:val="both"/>
        <w:rPr>
          <w:rFonts w:ascii="Poppins Medium" w:cs="Poppins Medium" w:eastAsia="Poppins Medium" w:hAnsi="Poppins Medium"/>
          <w:sz w:val="18"/>
          <w:szCs w:val="18"/>
        </w:rPr>
      </w:pPr>
      <w:r w:rsidDel="00000000" w:rsidR="00000000" w:rsidRPr="00000000">
        <w:rPr>
          <w:rFonts w:ascii="Poppins" w:cs="Poppins" w:eastAsia="Poppins" w:hAnsi="Poppins"/>
          <w:sz w:val="18"/>
          <w:szCs w:val="18"/>
          <w:rtl w:val="0"/>
        </w:rPr>
        <w:t xml:space="preserve">Premium Apps Restrictions</w:t>
      </w:r>
      <w:r w:rsidDel="00000000" w:rsidR="00000000" w:rsidRPr="00000000">
        <w:rPr>
          <w:rtl w:val="0"/>
        </w:rPr>
      </w:r>
    </w:p>
    <w:p w:rsidR="00000000" w:rsidDel="00000000" w:rsidP="00000000" w:rsidRDefault="00000000" w:rsidRPr="00000000" w14:paraId="000001A8">
      <w:pPr>
        <w:numPr>
          <w:ilvl w:val="2"/>
          <w:numId w:val="3"/>
        </w:numPr>
        <w:spacing w:after="0" w:line="240" w:lineRule="auto"/>
        <w:ind w:left="1800" w:hanging="180"/>
        <w:jc w:val="both"/>
        <w:rPr>
          <w:rFonts w:ascii="Poppins Medium" w:cs="Poppins Medium" w:eastAsia="Poppins Medium" w:hAnsi="Poppins Medium"/>
          <w:sz w:val="18"/>
          <w:szCs w:val="18"/>
        </w:rPr>
      </w:pPr>
      <w:r w:rsidDel="00000000" w:rsidR="00000000" w:rsidRPr="00000000">
        <w:rPr>
          <w:rFonts w:ascii="Poppins" w:cs="Poppins" w:eastAsia="Poppins" w:hAnsi="Poppins"/>
          <w:sz w:val="18"/>
          <w:szCs w:val="18"/>
          <w:u w:val="single"/>
          <w:rtl w:val="0"/>
        </w:rPr>
        <w:t xml:space="preserve">Sailfin Premium AR Apps</w:t>
      </w:r>
      <w:r w:rsidDel="00000000" w:rsidR="00000000" w:rsidRPr="00000000">
        <w:rPr>
          <w:rFonts w:ascii="Poppins" w:cs="Poppins" w:eastAsia="Poppins" w:hAnsi="Poppins"/>
          <w:sz w:val="18"/>
          <w:szCs w:val="18"/>
          <w:rtl w:val="0"/>
        </w:rPr>
        <w:t xml:space="preserve">: Can only be used in conjunction with a C4C Project leveraging the Accounts Receivable Process Module.</w:t>
      </w:r>
      <w:r w:rsidDel="00000000" w:rsidR="00000000" w:rsidRPr="00000000">
        <w:rPr>
          <w:rtl w:val="0"/>
        </w:rPr>
      </w:r>
    </w:p>
    <w:p w:rsidR="00000000" w:rsidDel="00000000" w:rsidP="00000000" w:rsidRDefault="00000000" w:rsidRPr="00000000" w14:paraId="000001A9">
      <w:pPr>
        <w:numPr>
          <w:ilvl w:val="2"/>
          <w:numId w:val="3"/>
        </w:numPr>
        <w:spacing w:after="0" w:line="240" w:lineRule="auto"/>
        <w:ind w:left="1800" w:hanging="180"/>
        <w:jc w:val="both"/>
        <w:rPr>
          <w:rFonts w:ascii="Poppins Medium" w:cs="Poppins Medium" w:eastAsia="Poppins Medium" w:hAnsi="Poppins Medium"/>
          <w:sz w:val="18"/>
          <w:szCs w:val="18"/>
        </w:rPr>
      </w:pPr>
      <w:r w:rsidDel="00000000" w:rsidR="00000000" w:rsidRPr="00000000">
        <w:rPr>
          <w:rFonts w:ascii="Poppins" w:cs="Poppins" w:eastAsia="Poppins" w:hAnsi="Poppins"/>
          <w:sz w:val="18"/>
          <w:szCs w:val="18"/>
          <w:u w:val="single"/>
          <w:rtl w:val="0"/>
        </w:rPr>
        <w:t xml:space="preserve">Duplicate Invoice Checker Premium Application</w:t>
      </w:r>
      <w:r w:rsidDel="00000000" w:rsidR="00000000" w:rsidRPr="00000000">
        <w:rPr>
          <w:rFonts w:ascii="Poppins" w:cs="Poppins" w:eastAsia="Poppins" w:hAnsi="Poppins"/>
          <w:sz w:val="18"/>
          <w:szCs w:val="18"/>
          <w:rtl w:val="0"/>
        </w:rPr>
        <w:t xml:space="preserve">: Can only be used in conjunction with a C4C Project leveraging the Accounts Payable Process Module.</w:t>
      </w:r>
    </w:p>
    <w:p w:rsidR="00000000" w:rsidDel="00000000" w:rsidP="00000000" w:rsidRDefault="00000000" w:rsidRPr="00000000" w14:paraId="000001AA">
      <w:pPr>
        <w:numPr>
          <w:ilvl w:val="2"/>
          <w:numId w:val="3"/>
        </w:numPr>
        <w:spacing w:after="0" w:line="240" w:lineRule="auto"/>
        <w:ind w:left="1800" w:hanging="180"/>
        <w:jc w:val="both"/>
        <w:rPr>
          <w:rFonts w:ascii="Poppins Medium" w:cs="Poppins Medium" w:eastAsia="Poppins Medium" w:hAnsi="Poppins Medium"/>
          <w:sz w:val="18"/>
          <w:szCs w:val="18"/>
        </w:rPr>
      </w:pPr>
      <w:r w:rsidDel="00000000" w:rsidR="00000000" w:rsidRPr="00000000">
        <w:rPr>
          <w:rFonts w:ascii="Poppins" w:cs="Poppins" w:eastAsia="Poppins" w:hAnsi="Poppins"/>
          <w:sz w:val="18"/>
          <w:szCs w:val="18"/>
          <w:u w:val="single"/>
          <w:rtl w:val="0"/>
        </w:rPr>
        <w:t xml:space="preserve">Supply Chain Network Visibility Premium Application (Formerly known as End-to-End Lead Times App)</w:t>
      </w:r>
      <w:r w:rsidDel="00000000" w:rsidR="00000000" w:rsidRPr="00000000">
        <w:rPr>
          <w:rFonts w:ascii="Poppins" w:cs="Poppins" w:eastAsia="Poppins" w:hAnsi="Poppins"/>
          <w:sz w:val="18"/>
          <w:szCs w:val="18"/>
          <w:rtl w:val="0"/>
        </w:rPr>
        <w:t xml:space="preserve">: Can only be used in conjunction with a C4C Project leveraging either the Direct Procurement or Inventory Management Process Modules.</w:t>
      </w:r>
    </w:p>
    <w:p w:rsidR="00000000" w:rsidDel="00000000" w:rsidP="00000000" w:rsidRDefault="00000000" w:rsidRPr="00000000" w14:paraId="000001AB">
      <w:pPr>
        <w:numPr>
          <w:ilvl w:val="2"/>
          <w:numId w:val="3"/>
        </w:numPr>
        <w:spacing w:after="0" w:line="240" w:lineRule="auto"/>
        <w:ind w:left="1800" w:hanging="180"/>
        <w:jc w:val="both"/>
        <w:rPr>
          <w:rFonts w:ascii="Poppins" w:cs="Poppins" w:eastAsia="Poppins" w:hAnsi="Poppins"/>
          <w:sz w:val="18"/>
          <w:szCs w:val="18"/>
        </w:rPr>
      </w:pPr>
      <w:r w:rsidDel="00000000" w:rsidR="00000000" w:rsidRPr="00000000">
        <w:rPr>
          <w:rFonts w:ascii="Poppins" w:cs="Poppins" w:eastAsia="Poppins" w:hAnsi="Poppins"/>
          <w:sz w:val="18"/>
          <w:szCs w:val="18"/>
          <w:u w:val="single"/>
          <w:rtl w:val="0"/>
        </w:rPr>
        <w:t xml:space="preserve">Material Allocation Premium Application</w:t>
      </w:r>
      <w:r w:rsidDel="00000000" w:rsidR="00000000" w:rsidRPr="00000000">
        <w:rPr>
          <w:rFonts w:ascii="Poppins" w:cs="Poppins" w:eastAsia="Poppins" w:hAnsi="Poppins"/>
          <w:sz w:val="18"/>
          <w:szCs w:val="18"/>
          <w:rtl w:val="0"/>
        </w:rPr>
        <w:t xml:space="preserve">: Can only be used in conjunction with a C4C Project leveraging the Inventory Management Process Module.</w:t>
      </w:r>
    </w:p>
    <w:p w:rsidR="00000000" w:rsidDel="00000000" w:rsidP="00000000" w:rsidRDefault="00000000" w:rsidRPr="00000000" w14:paraId="000001AC">
      <w:pPr>
        <w:spacing w:after="0" w:line="240" w:lineRule="auto"/>
        <w:ind w:left="360" w:firstLine="0"/>
        <w:jc w:val="both"/>
        <w:rPr>
          <w:rFonts w:ascii="Poppins Medium" w:cs="Poppins Medium" w:eastAsia="Poppins Medium" w:hAnsi="Poppins Medium"/>
          <w:b w:val="1"/>
          <w:sz w:val="18"/>
          <w:szCs w:val="18"/>
        </w:rPr>
      </w:pPr>
      <w:r w:rsidDel="00000000" w:rsidR="00000000" w:rsidRPr="00000000">
        <w:rPr>
          <w:rtl w:val="0"/>
        </w:rPr>
      </w:r>
    </w:p>
    <w:p w:rsidR="00000000" w:rsidDel="00000000" w:rsidP="00000000" w:rsidRDefault="00000000" w:rsidRPr="00000000" w14:paraId="000001AD">
      <w:pPr>
        <w:numPr>
          <w:ilvl w:val="0"/>
          <w:numId w:val="3"/>
        </w:numPr>
        <w:spacing w:after="0" w:line="240" w:lineRule="auto"/>
        <w:ind w:left="360" w:hanging="360"/>
        <w:jc w:val="both"/>
        <w:rPr>
          <w:rFonts w:ascii="Poppins Medium" w:cs="Poppins Medium" w:eastAsia="Poppins Medium" w:hAnsi="Poppins Medium"/>
          <w:b w:val="1"/>
          <w:sz w:val="18"/>
          <w:szCs w:val="18"/>
        </w:rPr>
      </w:pPr>
      <w:r w:rsidDel="00000000" w:rsidR="00000000" w:rsidRPr="00000000">
        <w:rPr>
          <w:rFonts w:ascii="Poppins Medium" w:cs="Poppins Medium" w:eastAsia="Poppins Medium" w:hAnsi="Poppins Medium"/>
          <w:b w:val="1"/>
          <w:sz w:val="18"/>
          <w:szCs w:val="18"/>
          <w:rtl w:val="0"/>
        </w:rPr>
        <w:t xml:space="preserve">Credit Back Process</w:t>
      </w:r>
    </w:p>
    <w:p w:rsidR="00000000" w:rsidDel="00000000" w:rsidP="00000000" w:rsidRDefault="00000000" w:rsidRPr="00000000" w14:paraId="000001AE">
      <w:pPr>
        <w:numPr>
          <w:ilvl w:val="1"/>
          <w:numId w:val="3"/>
        </w:numPr>
        <w:spacing w:after="0" w:line="276" w:lineRule="auto"/>
        <w:ind w:left="1080" w:hanging="360"/>
        <w:rPr>
          <w:rFonts w:ascii="Poppins" w:cs="Poppins" w:eastAsia="Poppins" w:hAnsi="Poppins"/>
          <w:sz w:val="18"/>
          <w:szCs w:val="18"/>
        </w:rPr>
      </w:pPr>
      <w:r w:rsidDel="00000000" w:rsidR="00000000" w:rsidRPr="00000000">
        <w:rPr>
          <w:rFonts w:ascii="Poppins" w:cs="Poppins" w:eastAsia="Poppins" w:hAnsi="Poppins"/>
          <w:sz w:val="18"/>
          <w:szCs w:val="18"/>
          <w:highlight w:val="white"/>
          <w:rtl w:val="0"/>
        </w:rPr>
        <w:t xml:space="preserve">For any End Clients that become direct Celonis customers (via Co-sell or Resell) as a direct result of the C4C project, the partner shall be entitled to the following credits back:</w:t>
      </w:r>
    </w:p>
    <w:p w:rsidR="00000000" w:rsidDel="00000000" w:rsidP="00000000" w:rsidRDefault="00000000" w:rsidRPr="00000000" w14:paraId="000001AF">
      <w:pPr>
        <w:numPr>
          <w:ilvl w:val="2"/>
          <w:numId w:val="3"/>
        </w:numPr>
        <w:spacing w:after="0" w:line="276" w:lineRule="auto"/>
        <w:ind w:left="1800" w:hanging="18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For paid credit package partners: </w:t>
      </w:r>
    </w:p>
    <w:p w:rsidR="00000000" w:rsidDel="00000000" w:rsidP="00000000" w:rsidRDefault="00000000" w:rsidRPr="00000000" w14:paraId="000001B0">
      <w:pPr>
        <w:numPr>
          <w:ilvl w:val="3"/>
          <w:numId w:val="3"/>
        </w:numPr>
        <w:spacing w:after="0" w:line="276" w:lineRule="auto"/>
        <w:ind w:left="2520" w:hanging="360"/>
        <w:rPr>
          <w:rFonts w:ascii="Poppins" w:cs="Poppins" w:eastAsia="Poppins" w:hAnsi="Poppins"/>
          <w:sz w:val="18"/>
          <w:szCs w:val="18"/>
        </w:rPr>
      </w:pPr>
      <w:r w:rsidDel="00000000" w:rsidR="00000000" w:rsidRPr="00000000">
        <w:rPr>
          <w:rFonts w:ascii="Poppins" w:cs="Poppins" w:eastAsia="Poppins" w:hAnsi="Poppins"/>
          <w:sz w:val="18"/>
          <w:szCs w:val="18"/>
          <w:highlight w:val="white"/>
          <w:rtl w:val="0"/>
        </w:rPr>
        <w:t xml:space="preserve">A direct deal with a minimum Total Contract Value of $100,000 - $300,000 (</w:t>
      </w:r>
      <w:r w:rsidDel="00000000" w:rsidR="00000000" w:rsidRPr="00000000">
        <w:rPr>
          <w:rFonts w:ascii="Poppins" w:cs="Poppins" w:eastAsia="Poppins" w:hAnsi="Poppins"/>
          <w:sz w:val="18"/>
          <w:szCs w:val="18"/>
          <w:highlight w:val="white"/>
          <w:rtl w:val="0"/>
        </w:rPr>
        <w:t xml:space="preserve">USD)</w:t>
      </w:r>
      <w:r w:rsidDel="00000000" w:rsidR="00000000" w:rsidRPr="00000000">
        <w:rPr>
          <w:rFonts w:ascii="Poppins" w:cs="Poppins" w:eastAsia="Poppins" w:hAnsi="Poppins"/>
          <w:sz w:val="18"/>
          <w:szCs w:val="18"/>
          <w:highlight w:val="white"/>
          <w:rtl w:val="0"/>
        </w:rPr>
        <w:t xml:space="preserve">: Partner shall receive one (1) credit back free of charge at the start of the following</w:t>
      </w:r>
      <w:r w:rsidDel="00000000" w:rsidR="00000000" w:rsidRPr="00000000">
        <w:rPr>
          <w:rFonts w:ascii="Poppins" w:cs="Poppins" w:eastAsia="Poppins" w:hAnsi="Poppins"/>
          <w:sz w:val="18"/>
          <w:szCs w:val="18"/>
          <w:highlight w:val="white"/>
          <w:rtl w:val="0"/>
        </w:rPr>
        <w:t xml:space="preserve"> year of the Term</w:t>
      </w:r>
      <w:r w:rsidDel="00000000" w:rsidR="00000000" w:rsidRPr="00000000">
        <w:rPr>
          <w:rFonts w:ascii="Poppins" w:cs="Poppins" w:eastAsia="Poppins" w:hAnsi="Poppins"/>
          <w:sz w:val="18"/>
          <w:szCs w:val="18"/>
          <w:highlight w:val="white"/>
          <w:rtl w:val="0"/>
        </w:rPr>
        <w:t xml:space="preserve">. </w:t>
      </w:r>
      <w:r w:rsidDel="00000000" w:rsidR="00000000" w:rsidRPr="00000000">
        <w:rPr>
          <w:rtl w:val="0"/>
        </w:rPr>
      </w:r>
    </w:p>
    <w:p w:rsidR="00000000" w:rsidDel="00000000" w:rsidP="00000000" w:rsidRDefault="00000000" w:rsidRPr="00000000" w14:paraId="000001B1">
      <w:pPr>
        <w:numPr>
          <w:ilvl w:val="3"/>
          <w:numId w:val="3"/>
        </w:numPr>
        <w:spacing w:after="0" w:line="276" w:lineRule="auto"/>
        <w:ind w:left="252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A direct deal with a minimum Total Contract Value of $300,000 - $1,000,000 (USD): Partner shall be entitled to receive three (3) credits back free of charge at the start of the following year of the Term. </w:t>
      </w:r>
    </w:p>
    <w:p w:rsidR="00000000" w:rsidDel="00000000" w:rsidP="00000000" w:rsidRDefault="00000000" w:rsidRPr="00000000" w14:paraId="000001B2">
      <w:pPr>
        <w:numPr>
          <w:ilvl w:val="3"/>
          <w:numId w:val="3"/>
        </w:numPr>
        <w:spacing w:after="0" w:line="276" w:lineRule="auto"/>
        <w:ind w:left="252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A direct deal with a minimum Total Contract Value greater than $1,000,000 (</w:t>
      </w:r>
      <w:r w:rsidDel="00000000" w:rsidR="00000000" w:rsidRPr="00000000">
        <w:rPr>
          <w:rFonts w:ascii="Poppins" w:cs="Poppins" w:eastAsia="Poppins" w:hAnsi="Poppins"/>
          <w:sz w:val="18"/>
          <w:szCs w:val="18"/>
          <w:highlight w:val="white"/>
          <w:rtl w:val="0"/>
        </w:rPr>
        <w:t xml:space="preserve">USD)</w:t>
      </w:r>
      <w:r w:rsidDel="00000000" w:rsidR="00000000" w:rsidRPr="00000000">
        <w:rPr>
          <w:rFonts w:ascii="Poppins" w:cs="Poppins" w:eastAsia="Poppins" w:hAnsi="Poppins"/>
          <w:sz w:val="18"/>
          <w:szCs w:val="18"/>
          <w:highlight w:val="white"/>
          <w:rtl w:val="0"/>
        </w:rPr>
        <w:t xml:space="preserve">: Partner shall receive six (6) credits free of charge at the start of the following year of the Term. </w:t>
      </w:r>
    </w:p>
    <w:p w:rsidR="00000000" w:rsidDel="00000000" w:rsidP="00000000" w:rsidRDefault="00000000" w:rsidRPr="00000000" w14:paraId="000001B3">
      <w:pPr>
        <w:numPr>
          <w:ilvl w:val="3"/>
          <w:numId w:val="3"/>
        </w:numPr>
        <w:spacing w:after="0" w:line="276" w:lineRule="auto"/>
        <w:ind w:left="252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Credits accumulated during the last year of a Term under this credit back process will only be available for use by Partner if the existing Partner Order is renewed at the full value of the last year of the Term for a minimum of twelve (12) months.</w:t>
      </w:r>
    </w:p>
    <w:p w:rsidR="00000000" w:rsidDel="00000000" w:rsidP="00000000" w:rsidRDefault="00000000" w:rsidRPr="00000000" w14:paraId="000001B4">
      <w:pPr>
        <w:numPr>
          <w:ilvl w:val="3"/>
          <w:numId w:val="3"/>
        </w:numPr>
        <w:spacing w:after="0" w:line="276" w:lineRule="auto"/>
        <w:ind w:left="252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Partners will be eligible to receive 10 additional bonus credits in the next year of the Partner’s Subscription Term if they convert over $2,000,000 (USD) via C4C conversion within a single fiscal year, and can receive another 10 bonus credits on top of that in the next year after a $4,000,000 conversion TCV in a single fiscal year (up to a total of 20).</w:t>
      </w:r>
      <w:r w:rsidDel="00000000" w:rsidR="00000000" w:rsidRPr="00000000">
        <w:rPr>
          <w:rtl w:val="0"/>
        </w:rPr>
      </w:r>
    </w:p>
    <w:p w:rsidR="00000000" w:rsidDel="00000000" w:rsidP="00000000" w:rsidRDefault="00000000" w:rsidRPr="00000000" w14:paraId="000001B5">
      <w:pPr>
        <w:numPr>
          <w:ilvl w:val="2"/>
          <w:numId w:val="3"/>
        </w:numPr>
        <w:spacing w:after="0" w:line="276" w:lineRule="auto"/>
        <w:ind w:left="1800" w:hanging="18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For Freemium partners: </w:t>
      </w:r>
    </w:p>
    <w:p w:rsidR="00000000" w:rsidDel="00000000" w:rsidP="00000000" w:rsidRDefault="00000000" w:rsidRPr="00000000" w14:paraId="000001B6">
      <w:pPr>
        <w:numPr>
          <w:ilvl w:val="3"/>
          <w:numId w:val="3"/>
        </w:numPr>
        <w:spacing w:after="0" w:line="276" w:lineRule="auto"/>
        <w:ind w:left="2520" w:hanging="360"/>
        <w:rPr>
          <w:rFonts w:ascii="Poppins" w:cs="Poppins" w:eastAsia="Poppins" w:hAnsi="Poppins"/>
          <w:sz w:val="18"/>
          <w:szCs w:val="18"/>
        </w:rPr>
      </w:pPr>
      <w:r w:rsidDel="00000000" w:rsidR="00000000" w:rsidRPr="00000000">
        <w:rPr>
          <w:rFonts w:ascii="Poppins" w:cs="Poppins" w:eastAsia="Poppins" w:hAnsi="Poppins"/>
          <w:sz w:val="18"/>
          <w:szCs w:val="18"/>
          <w:highlight w:val="white"/>
          <w:rtl w:val="0"/>
        </w:rPr>
        <w:t xml:space="preserve">Partners are entitled to one (1) credit back if a Discover, Blueprint, or Scan project converts into a d</w:t>
      </w:r>
      <w:r w:rsidDel="00000000" w:rsidR="00000000" w:rsidRPr="00000000">
        <w:rPr>
          <w:rFonts w:ascii="Poppins" w:cs="Poppins" w:eastAsia="Poppins" w:hAnsi="Poppins"/>
          <w:sz w:val="18"/>
          <w:szCs w:val="18"/>
          <w:highlight w:val="white"/>
          <w:rtl w:val="0"/>
        </w:rPr>
        <w:t xml:space="preserve">irect deal with a minimum Total Contract Value of $100,000. The credit will be granted after conversion.</w:t>
      </w:r>
      <w:r w:rsidDel="00000000" w:rsidR="00000000" w:rsidRPr="00000000">
        <w:rPr>
          <w:rtl w:val="0"/>
        </w:rPr>
      </w:r>
    </w:p>
    <w:p w:rsidR="00000000" w:rsidDel="00000000" w:rsidP="00000000" w:rsidRDefault="00000000" w:rsidRPr="00000000" w14:paraId="000001B7">
      <w:pPr>
        <w:numPr>
          <w:ilvl w:val="3"/>
          <w:numId w:val="3"/>
        </w:numPr>
        <w:spacing w:after="0" w:line="276" w:lineRule="auto"/>
        <w:ind w:left="252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Partners are entitled to three (3) credits back if an Execute project converts into a d</w:t>
      </w:r>
      <w:r w:rsidDel="00000000" w:rsidR="00000000" w:rsidRPr="00000000">
        <w:rPr>
          <w:rFonts w:ascii="Poppins" w:cs="Poppins" w:eastAsia="Poppins" w:hAnsi="Poppins"/>
          <w:sz w:val="18"/>
          <w:szCs w:val="18"/>
          <w:highlight w:val="white"/>
          <w:rtl w:val="0"/>
        </w:rPr>
        <w:t xml:space="preserve">irect deal with a minimum Total Contract Value of $100,000. The credits will be granted after conversion. </w:t>
      </w:r>
      <w:r w:rsidDel="00000000" w:rsidR="00000000" w:rsidRPr="00000000">
        <w:rPr>
          <w:rtl w:val="0"/>
        </w:rPr>
      </w:r>
    </w:p>
    <w:p w:rsidR="00000000" w:rsidDel="00000000" w:rsidP="00000000" w:rsidRDefault="00000000" w:rsidRPr="00000000" w14:paraId="000001B8">
      <w:pPr>
        <w:numPr>
          <w:ilvl w:val="1"/>
          <w:numId w:val="3"/>
        </w:numPr>
        <w:spacing w:after="0" w:line="276" w:lineRule="auto"/>
        <w:ind w:left="1080" w:hanging="360"/>
        <w:rPr>
          <w:rFonts w:ascii="Poppins" w:cs="Poppins" w:eastAsia="Poppins" w:hAnsi="Poppins"/>
          <w:sz w:val="18"/>
          <w:szCs w:val="18"/>
        </w:rPr>
      </w:pPr>
      <w:r w:rsidDel="00000000" w:rsidR="00000000" w:rsidRPr="00000000">
        <w:rPr>
          <w:rFonts w:ascii="Poppins" w:cs="Poppins" w:eastAsia="Poppins" w:hAnsi="Poppins"/>
          <w:sz w:val="18"/>
          <w:szCs w:val="18"/>
          <w:highlight w:val="white"/>
          <w:rtl w:val="0"/>
        </w:rPr>
        <w:t xml:space="preserve">All conversion deals must close within three (3) months of the end of a project run by the Partner via a credit-based project motion to be eligible.</w:t>
      </w:r>
      <w:r w:rsidDel="00000000" w:rsidR="00000000" w:rsidRPr="00000000">
        <w:rPr>
          <w:rtl w:val="0"/>
        </w:rPr>
      </w:r>
    </w:p>
    <w:p w:rsidR="00000000" w:rsidDel="00000000" w:rsidP="00000000" w:rsidRDefault="00000000" w:rsidRPr="00000000" w14:paraId="000001B9">
      <w:pPr>
        <w:numPr>
          <w:ilvl w:val="1"/>
          <w:numId w:val="3"/>
        </w:numPr>
        <w:spacing w:after="0" w:line="276" w:lineRule="auto"/>
        <w:ind w:left="1080" w:hanging="360"/>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rtl w:val="0"/>
        </w:rPr>
        <w:t xml:space="preserve">All deals must have the End Client name disclosed by the Partner at the start of the project to be eligible for credits back.</w:t>
      </w:r>
      <w:r w:rsidDel="00000000" w:rsidR="00000000" w:rsidRPr="00000000">
        <w:rPr>
          <w:rtl w:val="0"/>
        </w:rPr>
      </w:r>
    </w:p>
    <w:p w:rsidR="00000000" w:rsidDel="00000000" w:rsidP="00000000" w:rsidRDefault="00000000" w:rsidRPr="00000000" w14:paraId="000001BA">
      <w:pPr>
        <w:widowControl w:val="0"/>
        <w:spacing w:after="0" w:before="320" w:line="240" w:lineRule="auto"/>
        <w:rPr>
          <w:rFonts w:ascii="Poppins" w:cs="Poppins" w:eastAsia="Poppins" w:hAnsi="Poppins"/>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B">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BC">
      <w:pPr>
        <w:spacing w:after="0" w:line="240" w:lineRule="auto"/>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u w:val="single"/>
          <w:rtl w:val="0"/>
        </w:rPr>
        <w:t xml:space="preserve">DEFINITIONS</w:t>
      </w:r>
      <w:r w:rsidDel="00000000" w:rsidR="00000000" w:rsidRPr="00000000">
        <w:rPr>
          <w:rFonts w:ascii="Poppins" w:cs="Poppins" w:eastAsia="Poppins" w:hAnsi="Poppins"/>
          <w:b w:val="1"/>
          <w:sz w:val="18"/>
          <w:szCs w:val="18"/>
          <w:rtl w:val="0"/>
        </w:rPr>
        <w:t xml:space="preserve">:</w:t>
      </w:r>
    </w:p>
    <w:p w:rsidR="00000000" w:rsidDel="00000000" w:rsidP="00000000" w:rsidRDefault="00000000" w:rsidRPr="00000000" w14:paraId="000001BD">
      <w:pPr>
        <w:widowControl w:val="0"/>
        <w:tabs>
          <w:tab w:val="left" w:leader="none" w:pos="850"/>
          <w:tab w:val="left" w:leader="none" w:pos="851"/>
        </w:tabs>
        <w:spacing w:after="0" w:before="62"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BE">
      <w:pPr>
        <w:widowControl w:val="0"/>
        <w:tabs>
          <w:tab w:val="left" w:leader="none" w:pos="850"/>
          <w:tab w:val="left" w:leader="none" w:pos="851"/>
        </w:tabs>
        <w:spacing w:after="0" w:before="62"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1. ) For the "C4C Operate" project, the </w:t>
      </w:r>
      <w:r w:rsidDel="00000000" w:rsidR="00000000" w:rsidRPr="00000000">
        <w:rPr>
          <w:rFonts w:ascii="Poppins" w:cs="Poppins" w:eastAsia="Poppins" w:hAnsi="Poppins"/>
          <w:sz w:val="18"/>
          <w:szCs w:val="18"/>
          <w:rtl w:val="0"/>
        </w:rPr>
        <w:t xml:space="preserve">Financial Metrics</w:t>
      </w:r>
      <w:r w:rsidDel="00000000" w:rsidR="00000000" w:rsidRPr="00000000">
        <w:rPr>
          <w:rFonts w:ascii="Poppins" w:cs="Poppins" w:eastAsia="Poppins" w:hAnsi="Poppins"/>
          <w:sz w:val="18"/>
          <w:szCs w:val="18"/>
          <w:rtl w:val="0"/>
        </w:rPr>
        <w:t xml:space="preserve"> specifically apply to the End Client on whom the project is being conducted. Financial Metrics refers to</w:t>
      </w:r>
      <w:r w:rsidDel="00000000" w:rsidR="00000000" w:rsidRPr="00000000">
        <w:rPr>
          <w:rFonts w:ascii="Poppins" w:cs="Poppins" w:eastAsia="Poppins" w:hAnsi="Poppins"/>
          <w:sz w:val="18"/>
          <w:szCs w:val="18"/>
          <w:rtl w:val="0"/>
        </w:rPr>
        <w:t xml:space="preserve"> the applicable metric based on the End Client’s industry, as laid out below.</w:t>
      </w:r>
      <w:r w:rsidDel="00000000" w:rsidR="00000000" w:rsidRPr="00000000">
        <w:rPr>
          <w:rFonts w:ascii="Poppins" w:cs="Poppins" w:eastAsia="Poppins" w:hAnsi="Poppins"/>
          <w:sz w:val="18"/>
          <w:szCs w:val="18"/>
          <w:rtl w:val="0"/>
        </w:rPr>
        <w:t xml:space="preserve">  Partner Financial Metrics are not considered in this context. "  If the specified Financial Metric is not publicly available, the relevant data will be provided to Celonis.</w:t>
      </w:r>
    </w:p>
    <w:p w:rsidR="00000000" w:rsidDel="00000000" w:rsidP="00000000" w:rsidRDefault="00000000" w:rsidRPr="00000000" w14:paraId="000001BF">
      <w:pPr>
        <w:widowControl w:val="0"/>
        <w:tabs>
          <w:tab w:val="left" w:leader="none" w:pos="850"/>
          <w:tab w:val="left" w:leader="none" w:pos="851"/>
        </w:tabs>
        <w:spacing w:after="0" w:before="62"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C0">
      <w:pPr>
        <w:widowControl w:val="0"/>
        <w:numPr>
          <w:ilvl w:val="0"/>
          <w:numId w:val="2"/>
        </w:numPr>
        <w:tabs>
          <w:tab w:val="left" w:leader="none" w:pos="850"/>
          <w:tab w:val="left" w:leader="none" w:pos="851"/>
        </w:tabs>
        <w:spacing w:after="0" w:afterAutospacing="0" w:before="62" w:line="240" w:lineRule="auto"/>
        <w:ind w:left="720" w:hanging="36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sz w:val="18"/>
          <w:szCs w:val="18"/>
          <w:u w:val="single"/>
          <w:rtl w:val="0"/>
        </w:rPr>
        <w:t xml:space="preserve">Customer Revenue</w:t>
      </w:r>
      <w:r w:rsidDel="00000000" w:rsidR="00000000" w:rsidRPr="00000000">
        <w:rPr>
          <w:rFonts w:ascii="Poppins" w:cs="Poppins" w:eastAsia="Poppins" w:hAnsi="Poppins"/>
          <w:sz w:val="18"/>
          <w:szCs w:val="18"/>
          <w:rtl w:val="0"/>
        </w:rPr>
        <w:t xml:space="preserve">”: the annual revenue reported on the End Client’s most recent audited financial statements, </w:t>
      </w:r>
      <w:r w:rsidDel="00000000" w:rsidR="00000000" w:rsidRPr="00000000">
        <w:rPr>
          <w:rFonts w:ascii="Poppins" w:cs="Poppins" w:eastAsia="Poppins" w:hAnsi="Poppins"/>
          <w:sz w:val="18"/>
          <w:szCs w:val="18"/>
          <w:highlight w:val="white"/>
          <w:rtl w:val="0"/>
        </w:rPr>
        <w:t xml:space="preserve">as made available by the relevant regulatory body (e.g., U.S. Securities and Exchange Commission, Companies House, etc.) or by the End Client (if the End Client is not publicly traded).</w:t>
      </w:r>
    </w:p>
    <w:p w:rsidR="00000000" w:rsidDel="00000000" w:rsidP="00000000" w:rsidRDefault="00000000" w:rsidRPr="00000000" w14:paraId="000001C1">
      <w:pPr>
        <w:widowControl w:val="0"/>
        <w:numPr>
          <w:ilvl w:val="0"/>
          <w:numId w:val="2"/>
        </w:numPr>
        <w:tabs>
          <w:tab w:val="left" w:leader="none" w:pos="850"/>
          <w:tab w:val="left" w:leader="none" w:pos="851"/>
        </w:tabs>
        <w:spacing w:after="0" w:afterAutospacing="0" w:before="0" w:beforeAutospacing="0" w:line="240" w:lineRule="auto"/>
        <w:ind w:left="720" w:hanging="360"/>
        <w:jc w:val="both"/>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u w:val="single"/>
          <w:rtl w:val="0"/>
        </w:rPr>
        <w:t xml:space="preserve">“Total Assets”</w:t>
      </w:r>
      <w:r w:rsidDel="00000000" w:rsidR="00000000" w:rsidRPr="00000000">
        <w:rPr>
          <w:rFonts w:ascii="Poppins" w:cs="Poppins" w:eastAsia="Poppins" w:hAnsi="Poppins"/>
          <w:sz w:val="18"/>
          <w:szCs w:val="18"/>
          <w:highlight w:val="white"/>
          <w:rtl w:val="0"/>
        </w:rPr>
        <w:t xml:space="preserve">:  the total annual assets encapsulate the aggregate value of all assets a business or individual holds. Encompassing both tangible and intangible assets, it includes current assets (e.g., cash, receivables), fixed assets (e.g., property, equipment), investments, and other long-term holdings reported on End Client’s most recent audited financial statements, as made available by the relevant regulatory body (e.g., U.S. Securities and Exchange Commission, Companies House, etc.) or by the End-Customer (if the End Client is not publicly traded).</w:t>
      </w:r>
    </w:p>
    <w:p w:rsidR="00000000" w:rsidDel="00000000" w:rsidP="00000000" w:rsidRDefault="00000000" w:rsidRPr="00000000" w14:paraId="000001C2">
      <w:pPr>
        <w:widowControl w:val="0"/>
        <w:numPr>
          <w:ilvl w:val="0"/>
          <w:numId w:val="2"/>
        </w:numPr>
        <w:tabs>
          <w:tab w:val="left" w:leader="none" w:pos="850"/>
          <w:tab w:val="left" w:leader="none" w:pos="851"/>
        </w:tabs>
        <w:spacing w:after="0" w:before="0" w:beforeAutospacing="0" w:line="240" w:lineRule="auto"/>
        <w:ind w:left="720" w:hanging="360"/>
        <w:jc w:val="both"/>
        <w:rPr>
          <w:rFonts w:ascii="Poppins" w:cs="Poppins" w:eastAsia="Poppins" w:hAnsi="Poppins"/>
          <w:sz w:val="18"/>
          <w:szCs w:val="18"/>
          <w:highlight w:val="white"/>
        </w:rPr>
      </w:pPr>
      <w:r w:rsidDel="00000000" w:rsidR="00000000" w:rsidRPr="00000000">
        <w:rPr>
          <w:rFonts w:ascii="Poppins" w:cs="Poppins" w:eastAsia="Poppins" w:hAnsi="Poppins"/>
          <w:sz w:val="18"/>
          <w:szCs w:val="18"/>
          <w:highlight w:val="white"/>
          <w:u w:val="single"/>
          <w:rtl w:val="0"/>
        </w:rPr>
        <w:t xml:space="preserve">“Net Premiums Written”</w:t>
      </w:r>
      <w:r w:rsidDel="00000000" w:rsidR="00000000" w:rsidRPr="00000000">
        <w:rPr>
          <w:rFonts w:ascii="Poppins" w:cs="Poppins" w:eastAsia="Poppins" w:hAnsi="Poppins"/>
          <w:sz w:val="18"/>
          <w:szCs w:val="18"/>
          <w:highlight w:val="white"/>
          <w:rtl w:val="0"/>
        </w:rPr>
        <w:t xml:space="preserve">: the annual net premiums written refer to the comprehensive financial metric representing the total revenue an insurance company generates from policy premiums after deducting reinsurance costs and adjustments reported on the End Client’s most recent audited financial statements, as made available by the relevant regulatory body (e.g., U.S. Securities and Exchange Commission, Companies House, etc.) or by the End Client (if the End Client is not publicly traded).</w:t>
      </w:r>
      <w:r w:rsidDel="00000000" w:rsidR="00000000" w:rsidRPr="00000000">
        <w:rPr>
          <w:rtl w:val="0"/>
        </w:rPr>
      </w:r>
    </w:p>
    <w:p w:rsidR="00000000" w:rsidDel="00000000" w:rsidP="00000000" w:rsidRDefault="00000000" w:rsidRPr="00000000" w14:paraId="000001C3">
      <w:pPr>
        <w:widowControl w:val="0"/>
        <w:tabs>
          <w:tab w:val="left" w:leader="none" w:pos="850"/>
          <w:tab w:val="left" w:leader="none" w:pos="851"/>
        </w:tabs>
        <w:spacing w:after="0" w:before="62"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C4">
      <w:pPr>
        <w:widowControl w:val="0"/>
        <w:tabs>
          <w:tab w:val="left" w:leader="none" w:pos="850"/>
          <w:tab w:val="left" w:leader="none" w:pos="851"/>
        </w:tabs>
        <w:spacing w:after="0" w:before="62"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2.) “</w:t>
      </w:r>
      <w:r w:rsidDel="00000000" w:rsidR="00000000" w:rsidRPr="00000000">
        <w:rPr>
          <w:rFonts w:ascii="Poppins" w:cs="Poppins" w:eastAsia="Poppins" w:hAnsi="Poppins"/>
          <w:sz w:val="18"/>
          <w:szCs w:val="18"/>
          <w:u w:val="single"/>
          <w:rtl w:val="0"/>
        </w:rPr>
        <w:t xml:space="preserve">Objects</w:t>
      </w:r>
      <w:r w:rsidDel="00000000" w:rsidR="00000000" w:rsidRPr="00000000">
        <w:rPr>
          <w:rFonts w:ascii="Poppins" w:cs="Poppins" w:eastAsia="Poppins" w:hAnsi="Poppins"/>
          <w:sz w:val="18"/>
          <w:szCs w:val="18"/>
          <w:rtl w:val="0"/>
        </w:rPr>
        <w:t xml:space="preserve">”: Items processed in relation to a Process Module (e.g., invoices, sales orders, or purchase orders). </w:t>
      </w:r>
    </w:p>
    <w:p w:rsidR="00000000" w:rsidDel="00000000" w:rsidP="00000000" w:rsidRDefault="00000000" w:rsidRPr="00000000" w14:paraId="000001C5">
      <w:pPr>
        <w:widowControl w:val="0"/>
        <w:tabs>
          <w:tab w:val="left" w:leader="none" w:pos="850"/>
          <w:tab w:val="left" w:leader="none" w:pos="851"/>
        </w:tabs>
        <w:spacing w:after="0" w:before="62"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C6">
      <w:pPr>
        <w:spacing w:after="0" w:line="240" w:lineRule="auto"/>
        <w:jc w:val="both"/>
        <w:rPr>
          <w:rFonts w:ascii="Poppins" w:cs="Poppins" w:eastAsia="Poppins" w:hAnsi="Poppins"/>
          <w:sz w:val="18"/>
          <w:szCs w:val="18"/>
          <w:highlight w:val="white"/>
        </w:rPr>
      </w:pPr>
      <w:r w:rsidDel="00000000" w:rsidR="00000000" w:rsidRPr="00000000">
        <w:rPr>
          <w:rFonts w:ascii="Poppins" w:cs="Poppins" w:eastAsia="Poppins" w:hAnsi="Poppins"/>
          <w:sz w:val="18"/>
          <w:szCs w:val="18"/>
          <w:rtl w:val="0"/>
        </w:rPr>
        <w:t xml:space="preserve">3.) “</w:t>
      </w:r>
      <w:r w:rsidDel="00000000" w:rsidR="00000000" w:rsidRPr="00000000">
        <w:rPr>
          <w:rFonts w:ascii="Poppins" w:cs="Poppins" w:eastAsia="Poppins" w:hAnsi="Poppins"/>
          <w:sz w:val="18"/>
          <w:szCs w:val="18"/>
          <w:u w:val="single"/>
          <w:rtl w:val="0"/>
        </w:rPr>
        <w:t xml:space="preserve">Process Module</w:t>
      </w:r>
      <w:r w:rsidDel="00000000" w:rsidR="00000000" w:rsidRPr="00000000">
        <w:rPr>
          <w:rFonts w:ascii="Poppins" w:cs="Poppins" w:eastAsia="Poppins" w:hAnsi="Poppins"/>
          <w:sz w:val="18"/>
          <w:szCs w:val="18"/>
          <w:rtl w:val="0"/>
        </w:rPr>
        <w:t xml:space="preserve">”: A Process Module enables Customers to mine, explore, model, simulate, build, or use apps and leverage automation within a specific process.  Your Subscription allows access to the standard tools described in the Documentation. Access to selected premium tools may require an additional license. </w:t>
      </w:r>
      <w:r w:rsidDel="00000000" w:rsidR="00000000" w:rsidRPr="00000000">
        <w:rPr>
          <w:rFonts w:ascii="Poppins" w:cs="Poppins" w:eastAsia="Poppins" w:hAnsi="Poppins"/>
          <w:sz w:val="18"/>
          <w:szCs w:val="18"/>
          <w:highlight w:val="white"/>
          <w:rtl w:val="0"/>
        </w:rPr>
        <w:t xml:space="preserve">The detailed parameters of each Process Module (i.e., the applicable Object types, Events, KPIs, etc.) are outlined in the </w:t>
      </w:r>
      <w:hyperlink r:id="rId13">
        <w:r w:rsidDel="00000000" w:rsidR="00000000" w:rsidRPr="00000000">
          <w:rPr>
            <w:rFonts w:ascii="Poppins" w:cs="Poppins" w:eastAsia="Poppins" w:hAnsi="Poppins"/>
            <w:color w:val="1155cc"/>
            <w:sz w:val="18"/>
            <w:szCs w:val="18"/>
            <w:highlight w:val="white"/>
            <w:u w:val="single"/>
            <w:rtl w:val="0"/>
          </w:rPr>
          <w:t xml:space="preserve">Process Catalog</w:t>
        </w:r>
      </w:hyperlink>
      <w:r w:rsidDel="00000000" w:rsidR="00000000" w:rsidRPr="00000000">
        <w:rPr>
          <w:rFonts w:ascii="Poppins" w:cs="Poppins" w:eastAsia="Poppins" w:hAnsi="Poppins"/>
          <w:sz w:val="18"/>
          <w:szCs w:val="18"/>
          <w:highlight w:val="white"/>
          <w:rtl w:val="0"/>
        </w:rPr>
        <w:t xml:space="preserve">.</w:t>
      </w:r>
    </w:p>
    <w:p w:rsidR="00000000" w:rsidDel="00000000" w:rsidP="00000000" w:rsidRDefault="00000000" w:rsidRPr="00000000" w14:paraId="000001C7">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C8">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4</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sz w:val="18"/>
          <w:szCs w:val="18"/>
          <w:u w:val="single"/>
          <w:rtl w:val="0"/>
        </w:rPr>
        <w:t xml:space="preserve">End User”:</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sz w:val="18"/>
          <w:szCs w:val="18"/>
          <w:rtl w:val="0"/>
        </w:rPr>
        <w:t xml:space="preserve">End Users can access and filter analyses in the Celonis Platform, interact with Executions from the Action Flow, and take actions based on signals. End Users can also create, receive, and interact with Executions and build and edit data models, machine learning models, skills, and analyses in the Celonis Platform. </w:t>
      </w:r>
      <w:r w:rsidDel="00000000" w:rsidR="00000000" w:rsidRPr="00000000">
        <w:rPr>
          <w:rFonts w:ascii="Poppins" w:cs="Poppins" w:eastAsia="Poppins" w:hAnsi="Poppins"/>
          <w:sz w:val="18"/>
          <w:szCs w:val="18"/>
          <w:rtl w:val="0"/>
        </w:rPr>
        <w:t xml:space="preserve">You are entirely responsible for End Users’ compliance with the terms and conditions of Your Order, including End Users at End Clients under the applicable project types</w:t>
      </w:r>
      <w:r w:rsidDel="00000000" w:rsidR="00000000" w:rsidRPr="00000000">
        <w:rPr>
          <w:rFonts w:ascii="Poppins" w:cs="Poppins" w:eastAsia="Poppins" w:hAnsi="Poppins"/>
          <w:sz w:val="18"/>
          <w:szCs w:val="18"/>
          <w:rtl w:val="0"/>
        </w:rPr>
        <w:t xml:space="preserve">.</w:t>
      </w:r>
    </w:p>
    <w:p w:rsidR="00000000" w:rsidDel="00000000" w:rsidP="00000000" w:rsidRDefault="00000000" w:rsidRPr="00000000" w14:paraId="000001C9">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CA">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5</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sz w:val="18"/>
          <w:szCs w:val="18"/>
          <w:u w:val="single"/>
          <w:rtl w:val="0"/>
        </w:rPr>
        <w:t xml:space="preserve">Administrator”</w:t>
      </w:r>
      <w:r w:rsidDel="00000000" w:rsidR="00000000" w:rsidRPr="00000000">
        <w:rPr>
          <w:rFonts w:ascii="Poppins" w:cs="Poppins" w:eastAsia="Poppins" w:hAnsi="Poppins"/>
          <w:sz w:val="18"/>
          <w:szCs w:val="18"/>
          <w:rtl w:val="0"/>
        </w:rPr>
        <w:t xml:space="preserve">: up to three End Users may be designated as an Administrator. Administrators have all the features of an End User plus the ability to invite other End Users to the Celonis Platform and set permissions for the End Users.</w:t>
      </w:r>
    </w:p>
    <w:p w:rsidR="00000000" w:rsidDel="00000000" w:rsidP="00000000" w:rsidRDefault="00000000" w:rsidRPr="00000000" w14:paraId="000001CB">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CC">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u w:val="single"/>
          <w:rtl w:val="0"/>
        </w:rPr>
        <w:t xml:space="preserve">6.) Celonis Process Management Bundle </w:t>
      </w:r>
      <w:r w:rsidDel="00000000" w:rsidR="00000000" w:rsidRPr="00000000">
        <w:rPr>
          <w:rFonts w:ascii="Poppins" w:cs="Poppins" w:eastAsia="Poppins" w:hAnsi="Poppins"/>
          <w:sz w:val="18"/>
          <w:szCs w:val="18"/>
          <w:u w:val="single"/>
          <w:rtl w:val="0"/>
        </w:rPr>
        <w:t xml:space="preserve">Named Users:</w:t>
      </w:r>
      <w:r w:rsidDel="00000000" w:rsidR="00000000" w:rsidRPr="00000000">
        <w:rPr>
          <w:rFonts w:ascii="Poppins" w:cs="Poppins" w:eastAsia="Poppins" w:hAnsi="Poppins"/>
          <w:sz w:val="18"/>
          <w:szCs w:val="18"/>
          <w:rtl w:val="0"/>
        </w:rPr>
        <w:t xml:space="preserve"> These Named Users possess comprehensive access to all process design, modeling, and governance capabilities within the Celonis Process Management Bundle. Administrators can assign specific user roles and permission limitations to Named Users according to organizational requirements and security protocols.</w:t>
      </w:r>
    </w:p>
    <w:p w:rsidR="00000000" w:rsidDel="00000000" w:rsidP="00000000" w:rsidRDefault="00000000" w:rsidRPr="00000000" w14:paraId="000001CD">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CE">
      <w:pPr>
        <w:spacing w:after="0" w:line="240" w:lineRule="auto"/>
        <w:ind w:left="720" w:firstLine="0"/>
        <w:jc w:val="both"/>
        <w:rPr>
          <w:rFonts w:ascii="Poppins" w:cs="Poppins" w:eastAsia="Poppins" w:hAnsi="Poppins"/>
          <w:sz w:val="18"/>
          <w:szCs w:val="18"/>
        </w:rPr>
      </w:pPr>
      <w:r w:rsidDel="00000000" w:rsidR="00000000" w:rsidRPr="00000000">
        <w:rPr>
          <w:rFonts w:ascii="Poppins" w:cs="Poppins" w:eastAsia="Poppins" w:hAnsi="Poppins"/>
          <w:i w:val="1"/>
          <w:sz w:val="18"/>
          <w:szCs w:val="18"/>
          <w:rtl w:val="0"/>
        </w:rPr>
        <w:t xml:space="preserve">End Users, Administrators, and Celonis Process Management Bundle Named Users may only be used by one single natural person designated by name. These may not be made accessible to any third person, including employees of the same company or affiliated companies. You are entitled to replace the person associated with the Named User by updating the by-name designated in the system.</w:t>
      </w:r>
      <w:r w:rsidDel="00000000" w:rsidR="00000000" w:rsidRPr="00000000">
        <w:rPr>
          <w:rtl w:val="0"/>
        </w:rPr>
      </w:r>
    </w:p>
    <w:p w:rsidR="00000000" w:rsidDel="00000000" w:rsidP="00000000" w:rsidRDefault="00000000" w:rsidRPr="00000000" w14:paraId="000001CF">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D0">
      <w:pPr>
        <w:spacing w:after="0" w:line="240" w:lineRule="auto"/>
        <w:jc w:val="both"/>
        <w:rPr>
          <w:rFonts w:ascii="Poppins" w:cs="Poppins" w:eastAsia="Poppins" w:hAnsi="Poppins"/>
          <w:sz w:val="18"/>
          <w:szCs w:val="18"/>
          <w:u w:val="single"/>
        </w:rPr>
      </w:pPr>
      <w:r w:rsidDel="00000000" w:rsidR="00000000" w:rsidRPr="00000000">
        <w:rPr>
          <w:rFonts w:ascii="Poppins" w:cs="Poppins" w:eastAsia="Poppins" w:hAnsi="Poppins"/>
          <w:sz w:val="18"/>
          <w:szCs w:val="18"/>
          <w:rtl w:val="0"/>
        </w:rPr>
        <w:t xml:space="preserve">8</w:t>
      </w: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sz w:val="18"/>
          <w:szCs w:val="18"/>
          <w:u w:val="single"/>
          <w:rtl w:val="0"/>
        </w:rPr>
        <w:t xml:space="preserve"> “APC”:</w:t>
      </w:r>
      <w:r w:rsidDel="00000000" w:rsidR="00000000" w:rsidRPr="00000000">
        <w:rPr>
          <w:rFonts w:ascii="Poppins" w:cs="Poppins" w:eastAsia="Poppins" w:hAnsi="Poppins"/>
          <w:sz w:val="18"/>
          <w:szCs w:val="18"/>
          <w:rtl w:val="0"/>
        </w:rPr>
        <w:t xml:space="preserve"> The APC (Analytical Processing Capacity) is the amount of uncompressed raw data that the customer ingests into theCelonis Platform concurrently at any given time for analysis.</w:t>
      </w:r>
      <w:r w:rsidDel="00000000" w:rsidR="00000000" w:rsidRPr="00000000">
        <w:rPr>
          <w:rtl w:val="0"/>
        </w:rPr>
      </w:r>
    </w:p>
    <w:p w:rsidR="00000000" w:rsidDel="00000000" w:rsidP="00000000" w:rsidRDefault="00000000" w:rsidRPr="00000000" w14:paraId="000001D1">
      <w:pPr>
        <w:spacing w:after="0"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1D2">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9.) </w:t>
      </w:r>
      <w:r w:rsidDel="00000000" w:rsidR="00000000" w:rsidRPr="00000000">
        <w:rPr>
          <w:rFonts w:ascii="Poppins" w:cs="Poppins" w:eastAsia="Poppins" w:hAnsi="Poppins"/>
          <w:sz w:val="18"/>
          <w:szCs w:val="18"/>
          <w:u w:val="single"/>
          <w:rtl w:val="0"/>
        </w:rPr>
        <w:t xml:space="preserve">”Celonis Compute Units (CCUs)”:</w:t>
      </w:r>
      <w:r w:rsidDel="00000000" w:rsidR="00000000" w:rsidRPr="00000000">
        <w:rPr>
          <w:rFonts w:ascii="Poppins" w:cs="Poppins" w:eastAsia="Poppins" w:hAnsi="Poppins"/>
          <w:sz w:val="18"/>
          <w:szCs w:val="18"/>
          <w:rtl w:val="0"/>
        </w:rPr>
        <w:t xml:space="preserve"> CCUs are the unit of measure for processing capacity within Celonis. Each CCU represents the equivalent compute power of a 16 virtual CPU (vCPU) instance. Each customer’s defined allocation of CCUs is provided each month for the duration of their contract, representing their processing resources within the Celonis platform.</w:t>
      </w:r>
      <w:r w:rsidDel="00000000" w:rsidR="00000000" w:rsidRPr="00000000">
        <w:rPr>
          <w:rtl w:val="0"/>
        </w:rPr>
      </w:r>
    </w:p>
    <w:p w:rsidR="00000000" w:rsidDel="00000000" w:rsidP="00000000" w:rsidRDefault="00000000" w:rsidRPr="00000000" w14:paraId="000001D3">
      <w:pPr>
        <w:spacing w:after="0" w:line="240" w:lineRule="auto"/>
        <w:jc w:val="both"/>
        <w:rPr>
          <w:rFonts w:ascii="Poppins" w:cs="Poppins" w:eastAsia="Poppins" w:hAnsi="Poppins"/>
          <w:sz w:val="18"/>
          <w:szCs w:val="18"/>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080" w:top="1800" w:left="1440" w:right="1440" w:header="720" w:footer="6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9525</wp:posOffset>
              </wp:positionV>
              <wp:extent cx="3795713" cy="312588"/>
              <wp:effectExtent b="0" l="0" r="0" t="0"/>
              <wp:wrapNone/>
              <wp:docPr id="979935922" name=""/>
              <a:graphic>
                <a:graphicData uri="http://schemas.microsoft.com/office/word/2010/wordprocessingShape">
                  <wps:wsp>
                    <wps:cNvSpPr/>
                    <wps:cNvPr id="2" name="Shape 2"/>
                    <wps:spPr>
                      <a:xfrm>
                        <a:off x="2189325" y="3589500"/>
                        <a:ext cx="4027500" cy="273300"/>
                      </a:xfrm>
                      <a:prstGeom prst="rect">
                        <a:avLst/>
                      </a:prstGeom>
                      <a:solidFill>
                        <a:schemeClr val="lt1"/>
                      </a:solid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Poppins Light" w:cs="Poppins Light" w:eastAsia="Poppins Light" w:hAnsi="Poppins Light"/>
                              <w:b w:val="0"/>
                              <w:i w:val="0"/>
                              <w:smallCaps w:val="0"/>
                              <w:strike w:val="0"/>
                              <w:color w:val="000000"/>
                              <w:sz w:val="20"/>
                              <w:vertAlign w:val="baseline"/>
                            </w:rPr>
                            <w:t xml:space="preserve">Celonis Metrics Description for C4C (June 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9525</wp:posOffset>
              </wp:positionV>
              <wp:extent cx="3795713" cy="312588"/>
              <wp:effectExtent b="0" l="0" r="0" t="0"/>
              <wp:wrapNone/>
              <wp:docPr id="97993592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795713" cy="312588"/>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-895333</wp:posOffset>
          </wp:positionH>
          <wp:positionV relativeFrom="paragraph">
            <wp:posOffset>8255</wp:posOffset>
          </wp:positionV>
          <wp:extent cx="1137956" cy="800100"/>
          <wp:effectExtent b="0" l="0" r="0" t="0"/>
          <wp:wrapSquare wrapText="bothSides" distB="0" distT="0" distL="0" distR="0"/>
          <wp:docPr id="979935924" name="image2.png"/>
          <a:graphic>
            <a:graphicData uri="http://schemas.openxmlformats.org/drawingml/2006/picture">
              <pic:pic>
                <pic:nvPicPr>
                  <pic:cNvPr id="0" name="image2.png"/>
                  <pic:cNvPicPr preferRelativeResize="0"/>
                </pic:nvPicPr>
                <pic:blipFill>
                  <a:blip r:embed="rId2"/>
                  <a:srcRect b="30492" l="0" r="2122" t="0"/>
                  <a:stretch>
                    <a:fillRect/>
                  </a:stretch>
                </pic:blipFill>
                <pic:spPr>
                  <a:xfrm rot="10800000">
                    <a:off x="0" y="0"/>
                    <a:ext cx="1137956" cy="800100"/>
                  </a:xfrm>
                  <a:prstGeom prst="rect"/>
                  <a:ln/>
                </pic:spPr>
              </pic:pic>
            </a:graphicData>
          </a:graphic>
        </wp:anchor>
      </w:drawing>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Poppins Light" w:cs="Poppins Light" w:eastAsia="Poppins Light" w:hAnsi="Poppins Light"/>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5238750</wp:posOffset>
          </wp:positionH>
          <wp:positionV relativeFrom="paragraph">
            <wp:posOffset>-428610</wp:posOffset>
          </wp:positionV>
          <wp:extent cx="1570990" cy="1104570"/>
          <wp:effectExtent b="0" l="0" r="0" t="0"/>
          <wp:wrapSquare wrapText="bothSides" distB="0" distT="0" distL="0" distR="0"/>
          <wp:docPr id="979935923" name="image2.png"/>
          <a:graphic>
            <a:graphicData uri="http://schemas.openxmlformats.org/drawingml/2006/picture">
              <pic:pic>
                <pic:nvPicPr>
                  <pic:cNvPr id="0" name="image2.png"/>
                  <pic:cNvPicPr preferRelativeResize="0"/>
                </pic:nvPicPr>
                <pic:blipFill>
                  <a:blip r:embed="rId1"/>
                  <a:srcRect b="30492" l="0" r="2122" t="0"/>
                  <a:stretch>
                    <a:fillRect/>
                  </a:stretch>
                </pic:blipFill>
                <pic:spPr>
                  <a:xfrm>
                    <a:off x="0" y="0"/>
                    <a:ext cx="1570990" cy="1104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-123814</wp:posOffset>
          </wp:positionH>
          <wp:positionV relativeFrom="paragraph">
            <wp:posOffset>-133341</wp:posOffset>
          </wp:positionV>
          <wp:extent cx="1362075" cy="563880"/>
          <wp:effectExtent b="0" l="0" r="0" t="0"/>
          <wp:wrapSquare wrapText="bothSides" distB="0" distT="0" distL="114300" distR="114300"/>
          <wp:docPr id="97993592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62075" cy="56388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360" w:hanging="360"/>
      </w:pPr>
      <w:rPr>
        <w:rFonts w:ascii="Arial" w:cs="Arial" w:eastAsia="Arial" w:hAnsi="Arial"/>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4010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10DF"/>
  </w:style>
  <w:style w:type="paragraph" w:styleId="Footer">
    <w:name w:val="footer"/>
    <w:basedOn w:val="Normal"/>
    <w:link w:val="FooterChar"/>
    <w:uiPriority w:val="99"/>
    <w:unhideWhenUsed w:val="1"/>
    <w:rsid w:val="004010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10DF"/>
  </w:style>
  <w:style w:type="paragraph" w:styleId="ListParagraph">
    <w:name w:val="List Paragraph"/>
    <w:basedOn w:val="Normal"/>
    <w:uiPriority w:val="34"/>
    <w:qFormat w:val="1"/>
    <w:rsid w:val="004010DF"/>
    <w:pPr>
      <w:spacing w:after="200" w:line="276" w:lineRule="auto"/>
      <w:ind w:left="720"/>
      <w:contextualSpacing w:val="1"/>
    </w:pPr>
    <w:rPr>
      <w:lang w:val="de-DE"/>
    </w:rPr>
  </w:style>
  <w:style w:type="table" w:styleId="PlainTable3">
    <w:name w:val="Plain Table 3"/>
    <w:basedOn w:val="TableNormal"/>
    <w:uiPriority w:val="43"/>
    <w:rsid w:val="004010DF"/>
    <w:pPr>
      <w:spacing w:after="0" w:line="240" w:lineRule="auto"/>
    </w:pPr>
    <w:rPr>
      <w:sz w:val="24"/>
      <w:szCs w:val="24"/>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NormalWeb">
    <w:name w:val="Normal (Web)"/>
    <w:basedOn w:val="Normal"/>
    <w:uiPriority w:val="99"/>
    <w:semiHidden w:val="1"/>
    <w:unhideWhenUsed w:val="1"/>
    <w:rsid w:val="00340CB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0"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1"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2"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3"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4"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KommentartextZchn" w:customStyle="1">
    <w:name w:val="Kommentartext Zchn"/>
    <w:basedOn w:val="DefaultParagraphFont"/>
    <w:uiPriority w:val="99"/>
    <w:semiHidden w:val="1"/>
    <w:rPr>
      <w:sz w:val="20"/>
      <w:szCs w:val="20"/>
    </w:rPr>
  </w:style>
  <w:style w:type="character" w:styleId="CommentReference">
    <w:name w:val="annotation reference"/>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A40D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A40D5"/>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KommentarthemaZchn" w:customStyle="1">
    <w:name w:val="Kommentarthema Zchn"/>
    <w:basedOn w:val="KommentartextZchn"/>
    <w:uiPriority w:val="99"/>
    <w:semiHidden w:val="1"/>
    <w:rsid w:val="00842756"/>
    <w:rPr>
      <w:b w:val="1"/>
      <w:bCs w:val="1"/>
      <w:sz w:val="20"/>
      <w:szCs w:val="20"/>
    </w:rPr>
  </w:style>
  <w:style w:type="table" w:styleId="a5"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6"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7"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8"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9"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a"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character" w:styleId="CommentSubjectChar" w:customStyle="1">
    <w:name w:val="Comment Subject Char"/>
    <w:basedOn w:val="CommentTextChar"/>
    <w:link w:val="CommentSubject"/>
    <w:uiPriority w:val="99"/>
    <w:semiHidden w:val="1"/>
    <w:rPr>
      <w:b w:val="1"/>
      <w:bCs w:val="1"/>
      <w:sz w:val="20"/>
      <w:szCs w:val="20"/>
    </w:rPr>
  </w:style>
  <w:style w:type="character" w:styleId="CommentTextChar" w:customStyle="1">
    <w:name w:val="Comment Text Char"/>
    <w:link w:val="CommentText"/>
    <w:uiPriority w:val="99"/>
    <w:semiHidden w:val="1"/>
    <w:rPr>
      <w:sz w:val="20"/>
      <w:szCs w:val="20"/>
    </w:rPr>
  </w:style>
  <w:style w:type="table" w:styleId="ab"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c"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d"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e"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0"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1"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2"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3"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4"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5"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6"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7"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8"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9"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a"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b"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c"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d"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e"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0"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1"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2"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3"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4"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5"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6"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7"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8"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9"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ffa" w:customStyle="1">
    <w:basedOn w:val="TableNormal"/>
    <w:pPr>
      <w:spacing w:after="0" w:line="240" w:lineRule="auto"/>
    </w:pPr>
    <w:rPr>
      <w:sz w:val="24"/>
      <w:szCs w:val="24"/>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4">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3">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4">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5">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4c.app.celonis.cloud/project-hub/ui/home" TargetMode="External"/><Relationship Id="rId10" Type="http://schemas.openxmlformats.org/officeDocument/2006/relationships/hyperlink" Target="https://www.celonis.com/terms-and-conditions/celonis-services/" TargetMode="External"/><Relationship Id="rId13" Type="http://schemas.openxmlformats.org/officeDocument/2006/relationships/hyperlink" Target="https://assets.ctfassets.net/zmrtlfup12q3/2xomwBkabY0f2delcNWeVU/46806a7fa97da4fa1c535cb6999b7ede/Celonis_Process_Catalog.pdf" TargetMode="External"/><Relationship Id="rId12" Type="http://schemas.openxmlformats.org/officeDocument/2006/relationships/hyperlink" Target="https://www.celopeers.com/s/partner-asset-library?fileNumber=a5gS7000000POf3IAG&amp;folderNumber=a5i07000000XaaQA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lonis.com/terms-and-conditions/celonis-services/"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s://www.celonis.com/terms-and-conditions/celonis-services/" TargetMode="External"/><Relationship Id="rId8" Type="http://schemas.openxmlformats.org/officeDocument/2006/relationships/hyperlink" Target="https://www.celonis.com/terms-and-conditions/celonis-serv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1" Type="http://schemas.openxmlformats.org/officeDocument/2006/relationships/font" Target="fonts/PoppinsMedium-italic.ttf"/><Relationship Id="rId10" Type="http://schemas.openxmlformats.org/officeDocument/2006/relationships/font" Target="fonts/PoppinsMedium-bold.ttf"/><Relationship Id="rId12" Type="http://schemas.openxmlformats.org/officeDocument/2006/relationships/font" Target="fonts/PoppinsMedium-boldItalic.ttf"/><Relationship Id="rId9" Type="http://schemas.openxmlformats.org/officeDocument/2006/relationships/font" Target="fonts/PoppinsMedium-regular.ttf"/><Relationship Id="rId5" Type="http://schemas.openxmlformats.org/officeDocument/2006/relationships/font" Target="fonts/PoppinsLight-regular.ttf"/><Relationship Id="rId6" Type="http://schemas.openxmlformats.org/officeDocument/2006/relationships/font" Target="fonts/PoppinsLight-bold.ttf"/><Relationship Id="rId7" Type="http://schemas.openxmlformats.org/officeDocument/2006/relationships/font" Target="fonts/PoppinsLight-italic.ttf"/><Relationship Id="rId8" Type="http://schemas.openxmlformats.org/officeDocument/2006/relationships/font" Target="fonts/Poppins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olizVtuTZ1CwculZpVjBUf4ow==">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2023-01-13T20:45:00Z</dcterms:created>
  <dc:creator>Nikol Gavranovic</dc:creator>
</cp:coreProperties>
</file>