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B3985" w14:textId="57DECF3A" w:rsidR="00FD75E9" w:rsidRDefault="00787D4E">
      <w:r w:rsidRPr="00787D4E">
        <w:rPr>
          <w:b/>
          <w:noProof/>
          <w:sz w:val="48"/>
          <w:szCs w:val="48"/>
        </w:rPr>
        <w:drawing>
          <wp:anchor distT="0" distB="0" distL="114300" distR="114300" simplePos="0" relativeHeight="251658240" behindDoc="1" locked="0" layoutInCell="1" allowOverlap="1" wp14:anchorId="24EF77B3" wp14:editId="47C86B71">
            <wp:simplePos x="0" y="0"/>
            <wp:positionH relativeFrom="margin">
              <wp:posOffset>5304125</wp:posOffset>
            </wp:positionH>
            <wp:positionV relativeFrom="paragraph">
              <wp:posOffset>-446198</wp:posOffset>
            </wp:positionV>
            <wp:extent cx="1346200" cy="502285"/>
            <wp:effectExtent l="0" t="0" r="6350" b="0"/>
            <wp:wrapNone/>
            <wp:docPr id="1026" name="Picture 2" descr="Cadbury | Logopedia | Fandom">
              <a:extLst xmlns:a="http://schemas.openxmlformats.org/drawingml/2006/main">
                <a:ext uri="{FF2B5EF4-FFF2-40B4-BE49-F238E27FC236}">
                  <a16:creationId xmlns:a16="http://schemas.microsoft.com/office/drawing/2014/main" id="{95EBE9D8-1E7C-CBCA-D133-F2AA73776A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adbury | Logopedia | Fandom">
                      <a:extLst>
                        <a:ext uri="{FF2B5EF4-FFF2-40B4-BE49-F238E27FC236}">
                          <a16:creationId xmlns:a16="http://schemas.microsoft.com/office/drawing/2014/main" id="{95EBE9D8-1E7C-CBCA-D133-F2AA73776A37}"/>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200" cy="502285"/>
                    </a:xfrm>
                    <a:prstGeom prst="rect">
                      <a:avLst/>
                    </a:prstGeom>
                    <a:noFill/>
                  </pic:spPr>
                </pic:pic>
              </a:graphicData>
            </a:graphic>
            <wp14:sizeRelH relativeFrom="page">
              <wp14:pctWidth>0</wp14:pctWidth>
            </wp14:sizeRelH>
            <wp14:sizeRelV relativeFrom="page">
              <wp14:pctHeight>0</wp14:pctHeight>
            </wp14:sizeRelV>
          </wp:anchor>
        </w:drawing>
      </w:r>
      <w:r w:rsidRPr="00787D4E">
        <w:rPr>
          <w:b/>
          <w:noProof/>
          <w:color w:val="461D7B"/>
          <w:sz w:val="44"/>
          <w:szCs w:val="40"/>
        </w:rPr>
        <mc:AlternateContent>
          <mc:Choice Requires="wps">
            <w:drawing>
              <wp:anchor distT="0" distB="0" distL="114300" distR="114300" simplePos="0" relativeHeight="251660288" behindDoc="0" locked="0" layoutInCell="1" allowOverlap="1" wp14:anchorId="562CB8E5" wp14:editId="0E3E9034">
                <wp:simplePos x="0" y="0"/>
                <wp:positionH relativeFrom="margin">
                  <wp:align>right</wp:align>
                </wp:positionH>
                <wp:positionV relativeFrom="page">
                  <wp:posOffset>446567</wp:posOffset>
                </wp:positionV>
                <wp:extent cx="6877050" cy="9867014"/>
                <wp:effectExtent l="0" t="0" r="19050" b="20320"/>
                <wp:wrapNone/>
                <wp:docPr id="198970364" name="Rectangle 198970364"/>
                <wp:cNvGraphicFramePr/>
                <a:graphic xmlns:a="http://schemas.openxmlformats.org/drawingml/2006/main">
                  <a:graphicData uri="http://schemas.microsoft.com/office/word/2010/wordprocessingShape">
                    <wps:wsp>
                      <wps:cNvSpPr/>
                      <wps:spPr>
                        <a:xfrm>
                          <a:off x="0" y="0"/>
                          <a:ext cx="6877050" cy="9867014"/>
                        </a:xfrm>
                        <a:prstGeom prst="rect">
                          <a:avLst/>
                        </a:prstGeom>
                        <a:noFill/>
                        <a:ln>
                          <a:solidFill>
                            <a:srgbClr val="461D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05B6D" id="Rectangle 198970364" o:spid="_x0000_s1026" style="position:absolute;margin-left:490.3pt;margin-top:35.15pt;width:541.5pt;height:776.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" filled="f" strokecolor="#461d7b" strokeweight="2pt">
                <w10:wrap anchorx="margin" anchory="page"/>
              </v:rect>
            </w:pict>
          </mc:Fallback>
        </mc:AlternateContent>
      </w:r>
    </w:p>
    <w:p w14:paraId="03F33409" w14:textId="77777777" w:rsidR="00FD75E9" w:rsidRDefault="00FD75E9"/>
    <w:p w14:paraId="769D757D" w14:textId="77777777" w:rsidR="00FD75E9" w:rsidRDefault="00FD75E9"/>
    <w:p w14:paraId="5735A75E" w14:textId="0F77BEE6" w:rsidR="00FD75E9" w:rsidRDefault="00FD75E9"/>
    <w:tbl>
      <w:tblPr>
        <w:tblW w:w="0" w:type="auto"/>
        <w:tblInd w:w="119" w:type="dxa"/>
        <w:tblLayout w:type="fixed"/>
        <w:tblCellMar>
          <w:left w:w="0" w:type="dxa"/>
          <w:right w:w="0" w:type="dxa"/>
        </w:tblCellMar>
        <w:tblLook w:val="01E0" w:firstRow="1" w:lastRow="1" w:firstColumn="1" w:lastColumn="1" w:noHBand="0" w:noVBand="0"/>
      </w:tblPr>
      <w:tblGrid>
        <w:gridCol w:w="10619"/>
      </w:tblGrid>
      <w:tr w:rsidR="00FD75E9" w:rsidRPr="009345F9" w14:paraId="7D8C0A6B" w14:textId="77777777" w:rsidTr="00787D4E">
        <w:trPr>
          <w:trHeight w:val="1153"/>
        </w:trPr>
        <w:tc>
          <w:tcPr>
            <w:tcW w:w="10619" w:type="dxa"/>
          </w:tcPr>
          <w:p w14:paraId="30C9B46D" w14:textId="77777777" w:rsidR="00787D4E" w:rsidRPr="00787D4E" w:rsidRDefault="00787D4E" w:rsidP="007E1BDF">
            <w:pPr>
              <w:pStyle w:val="TableParagraph"/>
              <w:spacing w:line="582" w:lineRule="exact"/>
              <w:ind w:right="419"/>
              <w:jc w:val="center"/>
              <w:rPr>
                <w:b/>
                <w:color w:val="461D7B"/>
                <w:sz w:val="48"/>
                <w:szCs w:val="48"/>
              </w:rPr>
            </w:pPr>
          </w:p>
          <w:p w14:paraId="4ACF2592" w14:textId="77777777" w:rsidR="00787D4E" w:rsidRPr="00787D4E" w:rsidRDefault="00787D4E" w:rsidP="007E1BDF">
            <w:pPr>
              <w:pStyle w:val="TableParagraph"/>
              <w:spacing w:line="582" w:lineRule="exact"/>
              <w:ind w:right="419"/>
              <w:jc w:val="center"/>
              <w:rPr>
                <w:b/>
                <w:color w:val="461D7B"/>
                <w:sz w:val="48"/>
                <w:szCs w:val="48"/>
              </w:rPr>
            </w:pPr>
          </w:p>
          <w:p w14:paraId="3B63C512" w14:textId="451B7E75" w:rsidR="00FD75E9" w:rsidRPr="00787D4E" w:rsidRDefault="00FD75E9" w:rsidP="007E1BDF">
            <w:pPr>
              <w:pStyle w:val="TableParagraph"/>
              <w:spacing w:line="582" w:lineRule="exact"/>
              <w:ind w:right="419"/>
              <w:jc w:val="center"/>
              <w:rPr>
                <w:b/>
                <w:color w:val="461D7B"/>
                <w:sz w:val="48"/>
                <w:szCs w:val="48"/>
              </w:rPr>
            </w:pPr>
            <w:r w:rsidRPr="00787D4E">
              <w:rPr>
                <w:b/>
                <w:color w:val="461D7B"/>
                <w:sz w:val="48"/>
                <w:szCs w:val="48"/>
              </w:rPr>
              <w:t>Cadbury Nigeria PLC</w:t>
            </w:r>
          </w:p>
        </w:tc>
      </w:tr>
      <w:tr w:rsidR="00FD75E9" w:rsidRPr="009345F9" w14:paraId="557BEEED" w14:textId="77777777" w:rsidTr="00787D4E">
        <w:trPr>
          <w:trHeight w:val="1523"/>
        </w:trPr>
        <w:tc>
          <w:tcPr>
            <w:tcW w:w="10619" w:type="dxa"/>
          </w:tcPr>
          <w:p w14:paraId="41683311" w14:textId="37C43C7E" w:rsidR="00FD75E9" w:rsidRPr="00787D4E" w:rsidRDefault="00FD75E9" w:rsidP="00FD75E9">
            <w:pPr>
              <w:pStyle w:val="TableParagraph"/>
              <w:rPr>
                <w:color w:val="461D7B"/>
                <w:sz w:val="20"/>
                <w:szCs w:val="20"/>
              </w:rPr>
            </w:pPr>
          </w:p>
        </w:tc>
      </w:tr>
      <w:tr w:rsidR="00FD75E9" w:rsidRPr="009345F9" w14:paraId="595D6781" w14:textId="77777777" w:rsidTr="00787D4E">
        <w:trPr>
          <w:trHeight w:val="2175"/>
        </w:trPr>
        <w:tc>
          <w:tcPr>
            <w:tcW w:w="10619" w:type="dxa"/>
          </w:tcPr>
          <w:p w14:paraId="0E89D0DE" w14:textId="77777777" w:rsidR="00FD75E9" w:rsidRPr="00787D4E" w:rsidRDefault="00FD75E9" w:rsidP="007E1BDF">
            <w:pPr>
              <w:pStyle w:val="TableParagraph"/>
              <w:spacing w:before="4"/>
              <w:jc w:val="center"/>
              <w:rPr>
                <w:b/>
                <w:color w:val="461D7B"/>
                <w:sz w:val="20"/>
                <w:szCs w:val="20"/>
              </w:rPr>
            </w:pPr>
          </w:p>
          <w:p w14:paraId="581E9529" w14:textId="77777777" w:rsidR="00FD75E9" w:rsidRPr="00787D4E" w:rsidRDefault="00FD75E9" w:rsidP="007E1BDF">
            <w:pPr>
              <w:pStyle w:val="TableParagraph"/>
              <w:ind w:right="419"/>
              <w:jc w:val="center"/>
              <w:rPr>
                <w:b/>
                <w:color w:val="461D7B"/>
                <w:sz w:val="28"/>
                <w:szCs w:val="28"/>
              </w:rPr>
            </w:pPr>
            <w:r w:rsidRPr="00787D4E">
              <w:rPr>
                <w:b/>
                <w:color w:val="461D7B"/>
                <w:sz w:val="28"/>
                <w:szCs w:val="28"/>
              </w:rPr>
              <w:t>Proposed Debt to Equity Conversion</w:t>
            </w:r>
          </w:p>
          <w:p w14:paraId="284D2ECC" w14:textId="77777777" w:rsidR="00FD75E9" w:rsidRPr="00787D4E" w:rsidRDefault="00FD75E9" w:rsidP="007E1BDF">
            <w:pPr>
              <w:pStyle w:val="TableParagraph"/>
              <w:ind w:right="419"/>
              <w:jc w:val="center"/>
              <w:rPr>
                <w:b/>
                <w:color w:val="461D7B"/>
                <w:sz w:val="28"/>
                <w:szCs w:val="28"/>
              </w:rPr>
            </w:pPr>
          </w:p>
          <w:p w14:paraId="340906FA" w14:textId="77777777" w:rsidR="00FD75E9" w:rsidRPr="00787D4E" w:rsidRDefault="00FD75E9" w:rsidP="007E1BDF">
            <w:pPr>
              <w:pStyle w:val="TableParagraph"/>
              <w:ind w:right="419"/>
              <w:jc w:val="center"/>
              <w:rPr>
                <w:b/>
                <w:color w:val="461D7B"/>
                <w:sz w:val="20"/>
                <w:szCs w:val="20"/>
              </w:rPr>
            </w:pPr>
            <w:r w:rsidRPr="00787D4E">
              <w:rPr>
                <w:b/>
                <w:color w:val="461D7B"/>
                <w:sz w:val="28"/>
                <w:szCs w:val="28"/>
              </w:rPr>
              <w:t>Frequently Asked Questions</w:t>
            </w:r>
          </w:p>
        </w:tc>
      </w:tr>
      <w:tr w:rsidR="00FD75E9" w:rsidRPr="009345F9" w14:paraId="351AC0A7" w14:textId="77777777" w:rsidTr="00787D4E">
        <w:trPr>
          <w:trHeight w:val="1300"/>
        </w:trPr>
        <w:tc>
          <w:tcPr>
            <w:tcW w:w="10619" w:type="dxa"/>
          </w:tcPr>
          <w:p w14:paraId="6F58B307" w14:textId="77777777" w:rsidR="00FD75E9" w:rsidRPr="00787D4E" w:rsidRDefault="00FD75E9" w:rsidP="007E1BDF">
            <w:pPr>
              <w:pStyle w:val="TableParagraph"/>
              <w:jc w:val="center"/>
              <w:rPr>
                <w:b/>
                <w:color w:val="461D7B"/>
                <w:sz w:val="20"/>
                <w:szCs w:val="20"/>
              </w:rPr>
            </w:pPr>
          </w:p>
          <w:p w14:paraId="38D8F45A" w14:textId="77777777" w:rsidR="00FD75E9" w:rsidRPr="00787D4E" w:rsidRDefault="00FD75E9" w:rsidP="007E1BDF">
            <w:pPr>
              <w:pStyle w:val="TableParagraph"/>
              <w:spacing w:before="1"/>
              <w:jc w:val="center"/>
              <w:rPr>
                <w:b/>
                <w:bCs/>
                <w:color w:val="461D7B"/>
                <w:sz w:val="28"/>
                <w:szCs w:val="28"/>
              </w:rPr>
            </w:pPr>
          </w:p>
          <w:p w14:paraId="7622EE3E" w14:textId="759B76D5" w:rsidR="00FD75E9" w:rsidRPr="00787D4E" w:rsidRDefault="00FD75E9" w:rsidP="007E1BDF">
            <w:pPr>
              <w:pStyle w:val="TableParagraph"/>
              <w:spacing w:line="256" w:lineRule="exact"/>
              <w:ind w:right="416"/>
              <w:jc w:val="center"/>
              <w:rPr>
                <w:color w:val="461D7B"/>
                <w:sz w:val="20"/>
                <w:szCs w:val="20"/>
              </w:rPr>
            </w:pPr>
            <w:r w:rsidRPr="00787D4E">
              <w:rPr>
                <w:b/>
                <w:bCs/>
                <w:color w:val="461D7B"/>
                <w:sz w:val="28"/>
                <w:szCs w:val="28"/>
              </w:rPr>
              <w:fldChar w:fldCharType="begin"/>
            </w:r>
            <w:r w:rsidRPr="00787D4E">
              <w:rPr>
                <w:b/>
                <w:bCs/>
                <w:color w:val="461D7B"/>
                <w:sz w:val="28"/>
                <w:szCs w:val="28"/>
              </w:rPr>
              <w:instrText xml:space="preserve"> DATE \@ "d MMMM yyyy" </w:instrText>
            </w:r>
            <w:r w:rsidRPr="00787D4E">
              <w:rPr>
                <w:b/>
                <w:bCs/>
                <w:color w:val="461D7B"/>
                <w:sz w:val="28"/>
                <w:szCs w:val="28"/>
              </w:rPr>
              <w:fldChar w:fldCharType="separate"/>
            </w:r>
            <w:r w:rsidR="006B6469">
              <w:rPr>
                <w:b/>
                <w:bCs/>
                <w:noProof/>
                <w:color w:val="461D7B"/>
                <w:sz w:val="28"/>
                <w:szCs w:val="28"/>
              </w:rPr>
              <w:t>5 February 2024</w:t>
            </w:r>
            <w:r w:rsidRPr="00787D4E">
              <w:rPr>
                <w:b/>
                <w:bCs/>
                <w:color w:val="461D7B"/>
                <w:sz w:val="28"/>
                <w:szCs w:val="28"/>
              </w:rPr>
              <w:fldChar w:fldCharType="end"/>
            </w:r>
          </w:p>
        </w:tc>
      </w:tr>
    </w:tbl>
    <w:p w14:paraId="154C8033" w14:textId="103E7875" w:rsidR="00FD75E9" w:rsidRDefault="00FD75E9">
      <w:pPr>
        <w:rPr>
          <w:i/>
          <w:iCs/>
          <w:u w:val="single"/>
        </w:rPr>
        <w:sectPr w:rsidR="00FD75E9" w:rsidSect="00F7332C">
          <w:footerReference w:type="default" r:id="rId12"/>
          <w:pgSz w:w="11910" w:h="16850"/>
          <w:pgMar w:top="1600" w:right="460" w:bottom="1020" w:left="600" w:header="0" w:footer="365" w:gutter="0"/>
          <w:cols w:space="720"/>
          <w:docGrid w:linePitch="299"/>
        </w:sectPr>
      </w:pPr>
    </w:p>
    <w:p w14:paraId="04710A87" w14:textId="464E2DAF" w:rsidR="00B406B9" w:rsidRPr="009345F9" w:rsidRDefault="00B406B9" w:rsidP="00B406B9">
      <w:pPr>
        <w:pStyle w:val="Heading1"/>
        <w:numPr>
          <w:ilvl w:val="0"/>
          <w:numId w:val="1"/>
        </w:numPr>
        <w:tabs>
          <w:tab w:val="left" w:pos="933"/>
          <w:tab w:val="left" w:pos="935"/>
        </w:tabs>
        <w:spacing w:before="1"/>
        <w:ind w:right="770" w:hanging="398"/>
        <w:jc w:val="both"/>
        <w:rPr>
          <w:i w:val="0"/>
          <w:iCs/>
          <w:sz w:val="22"/>
          <w:szCs w:val="22"/>
        </w:rPr>
      </w:pPr>
      <w:r w:rsidRPr="009345F9">
        <w:rPr>
          <w:i w:val="0"/>
          <w:iCs/>
          <w:sz w:val="22"/>
          <w:szCs w:val="22"/>
        </w:rPr>
        <w:lastRenderedPageBreak/>
        <w:t>What will the</w:t>
      </w:r>
      <w:r w:rsidR="005221D3">
        <w:rPr>
          <w:i w:val="0"/>
          <w:iCs/>
          <w:sz w:val="22"/>
          <w:szCs w:val="22"/>
        </w:rPr>
        <w:t xml:space="preserve"> </w:t>
      </w:r>
      <w:r w:rsidRPr="009345F9">
        <w:rPr>
          <w:i w:val="0"/>
          <w:iCs/>
          <w:sz w:val="22"/>
          <w:szCs w:val="22"/>
        </w:rPr>
        <w:t>Conversion entail?</w:t>
      </w:r>
    </w:p>
    <w:p w14:paraId="7FAD86D9" w14:textId="77777777" w:rsidR="00B406B9" w:rsidRPr="009345F9" w:rsidRDefault="00B406B9" w:rsidP="00B406B9">
      <w:pPr>
        <w:pStyle w:val="BodyText"/>
        <w:spacing w:before="8"/>
        <w:ind w:left="1390" w:right="770"/>
        <w:jc w:val="both"/>
        <w:rPr>
          <w:iCs/>
          <w:sz w:val="22"/>
          <w:szCs w:val="22"/>
        </w:rPr>
      </w:pPr>
    </w:p>
    <w:p w14:paraId="3F1B40AC" w14:textId="11DBA4E8" w:rsidR="00B406B9" w:rsidRPr="009345F9" w:rsidRDefault="00B406B9" w:rsidP="00B406B9">
      <w:pPr>
        <w:pStyle w:val="ListParagraph"/>
        <w:numPr>
          <w:ilvl w:val="1"/>
          <w:numId w:val="1"/>
        </w:numPr>
        <w:tabs>
          <w:tab w:val="left" w:pos="1389"/>
          <w:tab w:val="left" w:pos="1391"/>
        </w:tabs>
        <w:ind w:right="770"/>
        <w:jc w:val="both"/>
        <w:rPr>
          <w:iCs/>
        </w:rPr>
      </w:pPr>
      <w:r w:rsidRPr="009345F9">
        <w:rPr>
          <w:iCs/>
        </w:rPr>
        <w:t xml:space="preserve">The Conversion will involve the conversion of the outstanding </w:t>
      </w:r>
      <w:r w:rsidR="005221D3">
        <w:rPr>
          <w:iCs/>
        </w:rPr>
        <w:t>s</w:t>
      </w:r>
      <w:r>
        <w:rPr>
          <w:iCs/>
        </w:rPr>
        <w:t xml:space="preserve">hareholder </w:t>
      </w:r>
      <w:r w:rsidR="005221D3">
        <w:rPr>
          <w:iCs/>
        </w:rPr>
        <w:t>l</w:t>
      </w:r>
      <w:r w:rsidRPr="009345F9">
        <w:rPr>
          <w:iCs/>
        </w:rPr>
        <w:t xml:space="preserve">oan of US$7,718,118.44 (₦7,036,446,501.26) owed </w:t>
      </w:r>
      <w:r w:rsidR="005221D3">
        <w:rPr>
          <w:iCs/>
        </w:rPr>
        <w:t xml:space="preserve">by </w:t>
      </w:r>
      <w:r w:rsidR="005221D3" w:rsidRPr="005F7F0D">
        <w:rPr>
          <w:iCs/>
        </w:rPr>
        <w:t xml:space="preserve">Cadbury Nigeria PLC ("Cadbury Nigeria” or the “Company”) </w:t>
      </w:r>
      <w:r w:rsidRPr="009345F9">
        <w:rPr>
          <w:iCs/>
        </w:rPr>
        <w:t>to Cadbury Schweppes Overseas</w:t>
      </w:r>
      <w:r w:rsidR="005221D3">
        <w:rPr>
          <w:iCs/>
        </w:rPr>
        <w:t xml:space="preserve"> </w:t>
      </w:r>
      <w:r w:rsidR="005221D3" w:rsidRPr="005F7F0D">
        <w:rPr>
          <w:iCs/>
        </w:rPr>
        <w:t>Limited (“Cadbury Schweppes Overseas”)</w:t>
      </w:r>
      <w:r w:rsidRPr="009345F9">
        <w:rPr>
          <w:iCs/>
        </w:rPr>
        <w:t xml:space="preserve">, into equity. </w:t>
      </w:r>
    </w:p>
    <w:p w14:paraId="138CDA7B" w14:textId="7C2D4677" w:rsidR="00B406B9" w:rsidRPr="009345F9" w:rsidRDefault="00B406B9" w:rsidP="00B406B9">
      <w:pPr>
        <w:pStyle w:val="ListParagraph"/>
        <w:numPr>
          <w:ilvl w:val="1"/>
          <w:numId w:val="1"/>
        </w:numPr>
        <w:tabs>
          <w:tab w:val="left" w:pos="1389"/>
          <w:tab w:val="left" w:pos="1391"/>
        </w:tabs>
        <w:ind w:right="770"/>
        <w:jc w:val="both"/>
        <w:rPr>
          <w:iCs/>
        </w:rPr>
      </w:pPr>
      <w:r w:rsidRPr="009345F9">
        <w:rPr>
          <w:iCs/>
        </w:rPr>
        <w:t xml:space="preserve">The outstanding </w:t>
      </w:r>
      <w:r w:rsidR="00F01562">
        <w:rPr>
          <w:iCs/>
        </w:rPr>
        <w:t>s</w:t>
      </w:r>
      <w:r w:rsidRPr="009345F9">
        <w:rPr>
          <w:iCs/>
        </w:rPr>
        <w:t xml:space="preserve">hareholder </w:t>
      </w:r>
      <w:r w:rsidR="00F01562">
        <w:rPr>
          <w:iCs/>
        </w:rPr>
        <w:t>l</w:t>
      </w:r>
      <w:r w:rsidRPr="009345F9">
        <w:rPr>
          <w:iCs/>
        </w:rPr>
        <w:t xml:space="preserve">oan amount will be converted at a price of </w:t>
      </w:r>
      <w:r w:rsidRPr="009345F9">
        <w:rPr>
          <w:iCs/>
        </w:rPr>
        <w:fldChar w:fldCharType="begin"/>
      </w:r>
      <w:r w:rsidRPr="009345F9">
        <w:rPr>
          <w:iCs/>
        </w:rPr>
        <w:instrText xml:space="preserve"> EQ \o (N,=)</w:instrText>
      </w:r>
      <w:r w:rsidRPr="009345F9">
        <w:rPr>
          <w:iCs/>
        </w:rPr>
        <w:fldChar w:fldCharType="end"/>
      </w:r>
      <w:r w:rsidRPr="009345F9">
        <w:rPr>
          <w:iCs/>
        </w:rPr>
        <w:t>17.50 per share into 402,082,657 ordinary shares of 50 kobo each, to be issued to Cadbury Schweppes Overseas</w:t>
      </w:r>
      <w:r>
        <w:rPr>
          <w:iCs/>
        </w:rPr>
        <w:t>.</w:t>
      </w:r>
      <w:r w:rsidRPr="009345F9">
        <w:rPr>
          <w:iCs/>
        </w:rPr>
        <w:t xml:space="preserve"> </w:t>
      </w:r>
    </w:p>
    <w:p w14:paraId="1DA66BEA" w14:textId="77777777" w:rsidR="00B406B9" w:rsidRDefault="00B406B9" w:rsidP="00B406B9">
      <w:pPr>
        <w:pStyle w:val="ListParagraph"/>
        <w:numPr>
          <w:ilvl w:val="1"/>
          <w:numId w:val="1"/>
        </w:numPr>
        <w:tabs>
          <w:tab w:val="left" w:pos="1389"/>
          <w:tab w:val="left" w:pos="1391"/>
        </w:tabs>
        <w:ind w:right="770"/>
        <w:jc w:val="both"/>
        <w:rPr>
          <w:iCs/>
        </w:rPr>
      </w:pPr>
      <w:r w:rsidRPr="009345F9">
        <w:rPr>
          <w:iCs/>
        </w:rPr>
        <w:t>This will increase the total issued shares from 1,878,201,962 ordinary shares to 2,280,284,619 ordinary shares.</w:t>
      </w:r>
    </w:p>
    <w:p w14:paraId="422273A5" w14:textId="77777777" w:rsidR="00B406B9" w:rsidRDefault="00B406B9" w:rsidP="00175185">
      <w:pPr>
        <w:pStyle w:val="Heading1"/>
        <w:tabs>
          <w:tab w:val="left" w:pos="933"/>
          <w:tab w:val="left" w:pos="935"/>
        </w:tabs>
        <w:spacing w:before="1"/>
        <w:ind w:right="770" w:firstLine="0"/>
        <w:jc w:val="both"/>
        <w:rPr>
          <w:i w:val="0"/>
          <w:iCs/>
          <w:sz w:val="22"/>
          <w:szCs w:val="22"/>
        </w:rPr>
      </w:pPr>
    </w:p>
    <w:p w14:paraId="62DF8A21" w14:textId="5D76300D" w:rsidR="00956787" w:rsidRPr="005F7F0D" w:rsidRDefault="00956787" w:rsidP="005F7F0D">
      <w:pPr>
        <w:pStyle w:val="Heading1"/>
        <w:numPr>
          <w:ilvl w:val="0"/>
          <w:numId w:val="1"/>
        </w:numPr>
        <w:tabs>
          <w:tab w:val="left" w:pos="933"/>
          <w:tab w:val="left" w:pos="935"/>
        </w:tabs>
        <w:spacing w:before="1"/>
        <w:ind w:right="770" w:hanging="398"/>
        <w:jc w:val="both"/>
        <w:rPr>
          <w:i w:val="0"/>
          <w:iCs/>
          <w:sz w:val="22"/>
          <w:szCs w:val="22"/>
        </w:rPr>
      </w:pPr>
      <w:r w:rsidRPr="005F7F0D">
        <w:rPr>
          <w:i w:val="0"/>
          <w:iCs/>
          <w:sz w:val="22"/>
          <w:szCs w:val="22"/>
        </w:rPr>
        <w:t>How did the Company obtain the</w:t>
      </w:r>
      <w:r w:rsidR="004D16BD" w:rsidRPr="005F7F0D">
        <w:rPr>
          <w:i w:val="0"/>
          <w:iCs/>
          <w:sz w:val="22"/>
          <w:szCs w:val="22"/>
        </w:rPr>
        <w:t xml:space="preserve"> shareholder</w:t>
      </w:r>
      <w:r w:rsidRPr="005F7F0D">
        <w:rPr>
          <w:i w:val="0"/>
          <w:iCs/>
          <w:sz w:val="22"/>
          <w:szCs w:val="22"/>
        </w:rPr>
        <w:t xml:space="preserve"> loan?</w:t>
      </w:r>
    </w:p>
    <w:p w14:paraId="3B09221F" w14:textId="77777777" w:rsidR="004672D1" w:rsidRPr="009345F9" w:rsidRDefault="004672D1" w:rsidP="004672D1">
      <w:pPr>
        <w:pStyle w:val="Heading1"/>
        <w:tabs>
          <w:tab w:val="left" w:pos="933"/>
          <w:tab w:val="left" w:pos="935"/>
        </w:tabs>
        <w:spacing w:before="1"/>
        <w:ind w:right="770" w:firstLine="0"/>
        <w:jc w:val="both"/>
        <w:rPr>
          <w:i w:val="0"/>
          <w:iCs/>
          <w:sz w:val="22"/>
          <w:szCs w:val="22"/>
        </w:rPr>
      </w:pPr>
    </w:p>
    <w:p w14:paraId="501AEA11" w14:textId="476EDEA2" w:rsidR="000E245A" w:rsidRPr="009345F9" w:rsidRDefault="004D16BD" w:rsidP="00956787">
      <w:pPr>
        <w:pStyle w:val="ListParagraph"/>
        <w:numPr>
          <w:ilvl w:val="1"/>
          <w:numId w:val="1"/>
        </w:numPr>
        <w:tabs>
          <w:tab w:val="left" w:pos="1389"/>
          <w:tab w:val="left" w:pos="1391"/>
        </w:tabs>
        <w:ind w:right="770"/>
        <w:jc w:val="both"/>
        <w:rPr>
          <w:iCs/>
        </w:rPr>
      </w:pPr>
      <w:r w:rsidRPr="009345F9">
        <w:rPr>
          <w:iCs/>
        </w:rPr>
        <w:t>T</w:t>
      </w:r>
      <w:r w:rsidR="008903FB" w:rsidRPr="009345F9">
        <w:rPr>
          <w:iCs/>
        </w:rPr>
        <w:t xml:space="preserve">he Company </w:t>
      </w:r>
      <w:r w:rsidR="00956787" w:rsidRPr="009345F9">
        <w:rPr>
          <w:iCs/>
        </w:rPr>
        <w:t xml:space="preserve">typically funds </w:t>
      </w:r>
      <w:r w:rsidRPr="009345F9">
        <w:rPr>
          <w:iCs/>
        </w:rPr>
        <w:t>the import of its required raw materials</w:t>
      </w:r>
      <w:r w:rsidR="00956787" w:rsidRPr="009345F9">
        <w:rPr>
          <w:iCs/>
        </w:rPr>
        <w:t xml:space="preserve"> </w:t>
      </w:r>
      <w:r w:rsidRPr="009345F9">
        <w:rPr>
          <w:iCs/>
        </w:rPr>
        <w:t xml:space="preserve">by obtaining </w:t>
      </w:r>
      <w:r w:rsidR="00956787" w:rsidRPr="009345F9">
        <w:rPr>
          <w:iCs/>
        </w:rPr>
        <w:t xml:space="preserve">debt facilities from </w:t>
      </w:r>
      <w:r w:rsidRPr="009345F9">
        <w:rPr>
          <w:iCs/>
        </w:rPr>
        <w:t>different banks</w:t>
      </w:r>
      <w:r w:rsidR="000E245A" w:rsidRPr="009345F9">
        <w:rPr>
          <w:iCs/>
        </w:rPr>
        <w:t>.</w:t>
      </w:r>
    </w:p>
    <w:p w14:paraId="0C5C9718" w14:textId="63FE46EB" w:rsidR="005658B6" w:rsidRPr="009345F9" w:rsidRDefault="005F7F0D" w:rsidP="005658B6">
      <w:pPr>
        <w:pStyle w:val="ListParagraph"/>
        <w:numPr>
          <w:ilvl w:val="1"/>
          <w:numId w:val="1"/>
        </w:numPr>
        <w:tabs>
          <w:tab w:val="left" w:pos="1389"/>
          <w:tab w:val="left" w:pos="1391"/>
        </w:tabs>
        <w:ind w:right="770"/>
        <w:jc w:val="both"/>
      </w:pPr>
      <w:r w:rsidRPr="009345F9">
        <w:rPr>
          <w:iCs/>
        </w:rPr>
        <w:t xml:space="preserve">Outstanding </w:t>
      </w:r>
      <w:r w:rsidR="005658B6" w:rsidRPr="009345F9">
        <w:rPr>
          <w:iCs/>
        </w:rPr>
        <w:t xml:space="preserve">loans </w:t>
      </w:r>
      <w:r>
        <w:rPr>
          <w:iCs/>
        </w:rPr>
        <w:t xml:space="preserve">obtained from </w:t>
      </w:r>
      <w:r w:rsidR="001E436B">
        <w:rPr>
          <w:iCs/>
        </w:rPr>
        <w:t xml:space="preserve">the </w:t>
      </w:r>
      <w:r w:rsidR="005658B6" w:rsidRPr="009345F9">
        <w:rPr>
          <w:iCs/>
        </w:rPr>
        <w:t>local banks had fallen due</w:t>
      </w:r>
      <w:r w:rsidR="005221D3">
        <w:rPr>
          <w:iCs/>
        </w:rPr>
        <w:t>,</w:t>
      </w:r>
      <w:r w:rsidR="005658B6" w:rsidRPr="009345F9">
        <w:rPr>
          <w:iCs/>
        </w:rPr>
        <w:t xml:space="preserve"> and the Company could not source FX to pay for it.</w:t>
      </w:r>
    </w:p>
    <w:p w14:paraId="1FDB27B6" w14:textId="4842580E" w:rsidR="00956787" w:rsidRPr="00FC405A" w:rsidRDefault="004D16BD" w:rsidP="000E245A">
      <w:pPr>
        <w:pStyle w:val="ListParagraph"/>
        <w:numPr>
          <w:ilvl w:val="1"/>
          <w:numId w:val="1"/>
        </w:numPr>
        <w:tabs>
          <w:tab w:val="left" w:pos="1389"/>
          <w:tab w:val="left" w:pos="1391"/>
        </w:tabs>
        <w:ind w:right="770"/>
        <w:jc w:val="both"/>
      </w:pPr>
      <w:r w:rsidRPr="009345F9">
        <w:rPr>
          <w:iCs/>
        </w:rPr>
        <w:t>Given the difficulty of procuring the required foreign exchange, the Company obtained intercompany loans totaling US$23 million</w:t>
      </w:r>
      <w:r w:rsidR="005F7F0D">
        <w:rPr>
          <w:iCs/>
        </w:rPr>
        <w:t xml:space="preserve"> </w:t>
      </w:r>
      <w:r w:rsidRPr="009345F9">
        <w:rPr>
          <w:iCs/>
        </w:rPr>
        <w:t>from Cadbury Schweppes Overseas</w:t>
      </w:r>
      <w:r w:rsidR="008903FB" w:rsidRPr="009345F9">
        <w:rPr>
          <w:iCs/>
        </w:rPr>
        <w:t xml:space="preserve"> </w:t>
      </w:r>
      <w:r w:rsidR="00956787" w:rsidRPr="009345F9">
        <w:rPr>
          <w:iCs/>
        </w:rPr>
        <w:t xml:space="preserve">to settle </w:t>
      </w:r>
      <w:r w:rsidRPr="009345F9">
        <w:rPr>
          <w:iCs/>
        </w:rPr>
        <w:t xml:space="preserve">some of these </w:t>
      </w:r>
      <w:r w:rsidR="00956787" w:rsidRPr="009345F9">
        <w:rPr>
          <w:iCs/>
        </w:rPr>
        <w:t xml:space="preserve">outstanding </w:t>
      </w:r>
      <w:r w:rsidRPr="009345F9">
        <w:rPr>
          <w:iCs/>
        </w:rPr>
        <w:t xml:space="preserve">bank </w:t>
      </w:r>
      <w:r w:rsidR="00256029" w:rsidRPr="009345F9">
        <w:rPr>
          <w:iCs/>
        </w:rPr>
        <w:t>loans</w:t>
      </w:r>
      <w:r w:rsidR="000E245A" w:rsidRPr="009345F9">
        <w:rPr>
          <w:iCs/>
        </w:rPr>
        <w:t>.</w:t>
      </w:r>
    </w:p>
    <w:p w14:paraId="7BD7227C" w14:textId="77777777" w:rsidR="005658B6" w:rsidRPr="005658B6" w:rsidRDefault="005658B6" w:rsidP="00175185">
      <w:pPr>
        <w:pStyle w:val="ListParagraph"/>
        <w:tabs>
          <w:tab w:val="left" w:pos="1389"/>
          <w:tab w:val="left" w:pos="1391"/>
        </w:tabs>
        <w:ind w:right="770" w:firstLine="0"/>
        <w:jc w:val="both"/>
      </w:pPr>
    </w:p>
    <w:p w14:paraId="16FE5FCC" w14:textId="6619EDCC" w:rsidR="005658B6" w:rsidRDefault="005658B6" w:rsidP="005658B6">
      <w:pPr>
        <w:pStyle w:val="ListParagraph"/>
        <w:numPr>
          <w:ilvl w:val="0"/>
          <w:numId w:val="1"/>
        </w:numPr>
        <w:tabs>
          <w:tab w:val="left" w:pos="1389"/>
          <w:tab w:val="left" w:pos="1391"/>
        </w:tabs>
        <w:ind w:right="770"/>
        <w:jc w:val="both"/>
        <w:rPr>
          <w:b/>
          <w:bCs/>
        </w:rPr>
      </w:pPr>
      <w:r w:rsidRPr="00175185">
        <w:rPr>
          <w:b/>
          <w:bCs/>
        </w:rPr>
        <w:t>How much of the</w:t>
      </w:r>
      <w:r w:rsidR="00FC405A">
        <w:rPr>
          <w:b/>
          <w:bCs/>
        </w:rPr>
        <w:t xml:space="preserve"> </w:t>
      </w:r>
      <w:r w:rsidR="00F01562">
        <w:rPr>
          <w:b/>
          <w:bCs/>
        </w:rPr>
        <w:t>s</w:t>
      </w:r>
      <w:r w:rsidR="00FC405A">
        <w:rPr>
          <w:b/>
          <w:bCs/>
        </w:rPr>
        <w:t xml:space="preserve">hareholder </w:t>
      </w:r>
      <w:r w:rsidR="00F01562">
        <w:rPr>
          <w:b/>
          <w:bCs/>
        </w:rPr>
        <w:t>l</w:t>
      </w:r>
      <w:r w:rsidR="00FC405A">
        <w:rPr>
          <w:b/>
          <w:bCs/>
        </w:rPr>
        <w:t>oan</w:t>
      </w:r>
      <w:r w:rsidRPr="00175185">
        <w:rPr>
          <w:b/>
          <w:bCs/>
        </w:rPr>
        <w:t xml:space="preserve"> has Cadbury Nigeria paid down and how much is outstanding?</w:t>
      </w:r>
    </w:p>
    <w:p w14:paraId="50D34F2A" w14:textId="77777777" w:rsidR="005221D3" w:rsidRPr="00175185" w:rsidRDefault="005221D3" w:rsidP="00175185">
      <w:pPr>
        <w:pStyle w:val="ListParagraph"/>
        <w:tabs>
          <w:tab w:val="left" w:pos="1389"/>
          <w:tab w:val="left" w:pos="1391"/>
        </w:tabs>
        <w:ind w:left="934" w:right="770" w:firstLine="0"/>
        <w:jc w:val="both"/>
        <w:rPr>
          <w:b/>
          <w:bCs/>
        </w:rPr>
      </w:pPr>
    </w:p>
    <w:p w14:paraId="7F5FEAE6" w14:textId="3C479A19" w:rsidR="005221D3" w:rsidRPr="003D1566" w:rsidRDefault="005658B6" w:rsidP="005221D3">
      <w:pPr>
        <w:pStyle w:val="ListParagraph"/>
        <w:numPr>
          <w:ilvl w:val="1"/>
          <w:numId w:val="1"/>
        </w:numPr>
        <w:tabs>
          <w:tab w:val="left" w:pos="1389"/>
          <w:tab w:val="left" w:pos="1391"/>
        </w:tabs>
        <w:ind w:right="770"/>
        <w:jc w:val="both"/>
        <w:rPr>
          <w:iCs/>
        </w:rPr>
      </w:pPr>
      <w:r>
        <w:rPr>
          <w:iCs/>
        </w:rPr>
        <w:t>T</w:t>
      </w:r>
      <w:r w:rsidRPr="009345F9">
        <w:rPr>
          <w:iCs/>
        </w:rPr>
        <w:t>he</w:t>
      </w:r>
      <w:r w:rsidR="005221D3">
        <w:rPr>
          <w:iCs/>
        </w:rPr>
        <w:t xml:space="preserve"> </w:t>
      </w:r>
      <w:r w:rsidRPr="009345F9">
        <w:rPr>
          <w:iCs/>
        </w:rPr>
        <w:t xml:space="preserve">Company has been able to repay Cadbury Schweppes Overseas, a total of US$18.6 million of the principal and accrued interest, </w:t>
      </w:r>
      <w:r w:rsidR="001E436B">
        <w:rPr>
          <w:iCs/>
        </w:rPr>
        <w:t>and has an</w:t>
      </w:r>
      <w:r w:rsidRPr="009345F9">
        <w:rPr>
          <w:iCs/>
        </w:rPr>
        <w:t xml:space="preserve"> outstanding balance of US$7.7 million as </w:t>
      </w:r>
      <w:proofErr w:type="gramStart"/>
      <w:r w:rsidRPr="009345F9">
        <w:rPr>
          <w:iCs/>
        </w:rPr>
        <w:t>at</w:t>
      </w:r>
      <w:proofErr w:type="gramEnd"/>
      <w:r w:rsidRPr="009345F9">
        <w:rPr>
          <w:iCs/>
        </w:rPr>
        <w:t xml:space="preserve"> 31 December 2023. </w:t>
      </w:r>
      <w:r w:rsidR="005221D3" w:rsidRPr="003D1566">
        <w:rPr>
          <w:iCs/>
        </w:rPr>
        <w:t xml:space="preserve">The settlement of the paid down portion of the </w:t>
      </w:r>
      <w:r w:rsidR="00F01562">
        <w:rPr>
          <w:iCs/>
        </w:rPr>
        <w:t>s</w:t>
      </w:r>
      <w:r w:rsidR="005221D3" w:rsidRPr="003D1566">
        <w:rPr>
          <w:iCs/>
        </w:rPr>
        <w:t xml:space="preserve">hareholder </w:t>
      </w:r>
      <w:r w:rsidR="00F01562">
        <w:rPr>
          <w:iCs/>
        </w:rPr>
        <w:t>l</w:t>
      </w:r>
      <w:r w:rsidR="005221D3" w:rsidRPr="003D1566">
        <w:rPr>
          <w:iCs/>
        </w:rPr>
        <w:t xml:space="preserve">oan, </w:t>
      </w:r>
      <w:proofErr w:type="spellStart"/>
      <w:r w:rsidR="005221D3" w:rsidRPr="003D1566">
        <w:rPr>
          <w:iCs/>
        </w:rPr>
        <w:t>crystalised</w:t>
      </w:r>
      <w:proofErr w:type="spellEnd"/>
      <w:r w:rsidR="005221D3" w:rsidRPr="003D1566">
        <w:rPr>
          <w:iCs/>
        </w:rPr>
        <w:t xml:space="preserve"> an estimated foreign exchange loss of ₦13.5 billion.</w:t>
      </w:r>
    </w:p>
    <w:p w14:paraId="77C22057" w14:textId="77777777" w:rsidR="001E436B" w:rsidRPr="009345F9" w:rsidRDefault="001E436B" w:rsidP="00175185">
      <w:pPr>
        <w:pStyle w:val="ListParagraph"/>
        <w:tabs>
          <w:tab w:val="left" w:pos="1389"/>
          <w:tab w:val="left" w:pos="1391"/>
        </w:tabs>
        <w:ind w:right="770" w:firstLine="0"/>
        <w:jc w:val="both"/>
        <w:rPr>
          <w:iCs/>
        </w:rPr>
      </w:pPr>
    </w:p>
    <w:p w14:paraId="224177E7" w14:textId="21EF988F" w:rsidR="00956787" w:rsidRPr="009345F9" w:rsidRDefault="00956787" w:rsidP="00956787">
      <w:pPr>
        <w:pStyle w:val="Heading1"/>
        <w:numPr>
          <w:ilvl w:val="0"/>
          <w:numId w:val="1"/>
        </w:numPr>
        <w:tabs>
          <w:tab w:val="left" w:pos="933"/>
          <w:tab w:val="left" w:pos="935"/>
        </w:tabs>
        <w:spacing w:before="1"/>
        <w:ind w:right="770" w:hanging="398"/>
        <w:jc w:val="both"/>
        <w:rPr>
          <w:i w:val="0"/>
          <w:iCs/>
          <w:sz w:val="22"/>
          <w:szCs w:val="22"/>
        </w:rPr>
      </w:pPr>
      <w:r w:rsidRPr="009345F9">
        <w:rPr>
          <w:i w:val="0"/>
          <w:iCs/>
          <w:sz w:val="22"/>
          <w:szCs w:val="22"/>
        </w:rPr>
        <w:t xml:space="preserve">What is the rationale for the </w:t>
      </w:r>
      <w:r w:rsidR="009A3C5E" w:rsidRPr="009345F9">
        <w:rPr>
          <w:i w:val="0"/>
          <w:iCs/>
          <w:sz w:val="22"/>
          <w:szCs w:val="22"/>
        </w:rPr>
        <w:t>Conversion</w:t>
      </w:r>
      <w:r w:rsidRPr="009345F9">
        <w:rPr>
          <w:i w:val="0"/>
          <w:iCs/>
          <w:sz w:val="22"/>
          <w:szCs w:val="22"/>
        </w:rPr>
        <w:t>? </w:t>
      </w:r>
    </w:p>
    <w:p w14:paraId="55381456" w14:textId="77777777" w:rsidR="00956787" w:rsidRPr="009345F9" w:rsidRDefault="00956787" w:rsidP="00695CC2">
      <w:pPr>
        <w:pStyle w:val="BodyText"/>
        <w:spacing w:before="8"/>
        <w:ind w:left="1390" w:right="770"/>
        <w:jc w:val="both"/>
        <w:rPr>
          <w:iCs/>
          <w:sz w:val="22"/>
          <w:szCs w:val="22"/>
        </w:rPr>
      </w:pPr>
    </w:p>
    <w:p w14:paraId="44A1AE43" w14:textId="19F9E43C" w:rsidR="00956787" w:rsidRPr="003D1566" w:rsidRDefault="00956787" w:rsidP="00956787">
      <w:pPr>
        <w:pStyle w:val="ListParagraph"/>
        <w:numPr>
          <w:ilvl w:val="1"/>
          <w:numId w:val="1"/>
        </w:numPr>
        <w:tabs>
          <w:tab w:val="left" w:pos="1389"/>
          <w:tab w:val="left" w:pos="1391"/>
        </w:tabs>
        <w:ind w:right="770"/>
        <w:jc w:val="both"/>
        <w:rPr>
          <w:iCs/>
        </w:rPr>
      </w:pPr>
      <w:r w:rsidRPr="009345F9">
        <w:rPr>
          <w:iCs/>
        </w:rPr>
        <w:t>In recent years, the Company</w:t>
      </w:r>
      <w:r w:rsidR="000E245A" w:rsidRPr="009345F9">
        <w:rPr>
          <w:iCs/>
        </w:rPr>
        <w:t>, alongside other local manufacture</w:t>
      </w:r>
      <w:r w:rsidR="00476FFF" w:rsidRPr="009345F9">
        <w:rPr>
          <w:iCs/>
        </w:rPr>
        <w:t>r</w:t>
      </w:r>
      <w:r w:rsidR="000E245A" w:rsidRPr="009345F9">
        <w:rPr>
          <w:iCs/>
        </w:rPr>
        <w:t>s</w:t>
      </w:r>
      <w:r w:rsidR="003B3C88" w:rsidRPr="009345F9">
        <w:rPr>
          <w:iCs/>
        </w:rPr>
        <w:t>,</w:t>
      </w:r>
      <w:r w:rsidRPr="009345F9">
        <w:rPr>
          <w:iCs/>
        </w:rPr>
        <w:t xml:space="preserve"> ha</w:t>
      </w:r>
      <w:r w:rsidR="001C722B" w:rsidRPr="009345F9">
        <w:rPr>
          <w:iCs/>
        </w:rPr>
        <w:t>s</w:t>
      </w:r>
      <w:r w:rsidRPr="009345F9">
        <w:rPr>
          <w:iCs/>
        </w:rPr>
        <w:t xml:space="preserve"> faced challenges </w:t>
      </w:r>
      <w:r w:rsidRPr="003D1566">
        <w:rPr>
          <w:iCs/>
        </w:rPr>
        <w:t>with servicing its foreign currency denominated loans due to Nigeria’s persistent foreign currency scarcity</w:t>
      </w:r>
      <w:r w:rsidR="003B3C88" w:rsidRPr="003D1566">
        <w:rPr>
          <w:iCs/>
        </w:rPr>
        <w:t>.</w:t>
      </w:r>
    </w:p>
    <w:p w14:paraId="6BB1F3AD" w14:textId="77777777" w:rsidR="005658B6" w:rsidRPr="003D1566" w:rsidRDefault="00956787" w:rsidP="005658B6">
      <w:pPr>
        <w:pStyle w:val="ListParagraph"/>
        <w:numPr>
          <w:ilvl w:val="1"/>
          <w:numId w:val="1"/>
        </w:numPr>
        <w:tabs>
          <w:tab w:val="left" w:pos="1389"/>
          <w:tab w:val="left" w:pos="1391"/>
        </w:tabs>
        <w:ind w:right="770"/>
        <w:jc w:val="both"/>
        <w:rPr>
          <w:iCs/>
        </w:rPr>
      </w:pPr>
      <w:r w:rsidRPr="003D1566">
        <w:rPr>
          <w:iCs/>
        </w:rPr>
        <w:t>The devaluation of the currency</w:t>
      </w:r>
      <w:r w:rsidR="000E245A" w:rsidRPr="003D1566">
        <w:rPr>
          <w:iCs/>
        </w:rPr>
        <w:t xml:space="preserve"> in</w:t>
      </w:r>
      <w:r w:rsidRPr="003D1566">
        <w:rPr>
          <w:iCs/>
        </w:rPr>
        <w:t xml:space="preserve"> </w:t>
      </w:r>
      <w:r w:rsidR="000E245A" w:rsidRPr="003D1566">
        <w:rPr>
          <w:iCs/>
        </w:rPr>
        <w:t xml:space="preserve">June 2023 </w:t>
      </w:r>
      <w:r w:rsidRPr="003D1566">
        <w:rPr>
          <w:iCs/>
        </w:rPr>
        <w:t>put further pressure on the Company as the Naira value of its foreign currency denominated loans increased significantly</w:t>
      </w:r>
      <w:r w:rsidR="000E245A" w:rsidRPr="003D1566">
        <w:rPr>
          <w:iCs/>
        </w:rPr>
        <w:t xml:space="preserve">, resulting </w:t>
      </w:r>
      <w:r w:rsidRPr="003D1566">
        <w:rPr>
          <w:iCs/>
        </w:rPr>
        <w:t xml:space="preserve">in an </w:t>
      </w:r>
      <w:proofErr w:type="spellStart"/>
      <w:r w:rsidRPr="003D1566">
        <w:rPr>
          <w:iCs/>
        </w:rPr>
        <w:t>unrealised</w:t>
      </w:r>
      <w:proofErr w:type="spellEnd"/>
      <w:r w:rsidRPr="003D1566">
        <w:rPr>
          <w:iCs/>
        </w:rPr>
        <w:t xml:space="preserve"> exchange loss of ₦20.6 billion and a loss after tax of ₦10.2 billion for the period ended, 30 September 2023.</w:t>
      </w:r>
      <w:r w:rsidR="005658B6" w:rsidRPr="003D1566">
        <w:rPr>
          <w:iCs/>
        </w:rPr>
        <w:t xml:space="preserve"> </w:t>
      </w:r>
    </w:p>
    <w:p w14:paraId="08612588" w14:textId="08700C05" w:rsidR="000E245A" w:rsidRPr="009345F9" w:rsidRDefault="00956787" w:rsidP="008903FB">
      <w:pPr>
        <w:pStyle w:val="ListParagraph"/>
        <w:numPr>
          <w:ilvl w:val="1"/>
          <w:numId w:val="1"/>
        </w:numPr>
        <w:tabs>
          <w:tab w:val="left" w:pos="1389"/>
          <w:tab w:val="left" w:pos="1391"/>
        </w:tabs>
        <w:ind w:right="770"/>
        <w:jc w:val="both"/>
        <w:rPr>
          <w:iCs/>
        </w:rPr>
      </w:pPr>
      <w:r w:rsidRPr="003D1566">
        <w:rPr>
          <w:iCs/>
        </w:rPr>
        <w:t>The Board of Directors of Cadbury Nigeria</w:t>
      </w:r>
      <w:r w:rsidR="001C722B" w:rsidRPr="009345F9">
        <w:rPr>
          <w:iCs/>
        </w:rPr>
        <w:t xml:space="preserve"> </w:t>
      </w:r>
      <w:r w:rsidRPr="009345F9">
        <w:rPr>
          <w:iCs/>
        </w:rPr>
        <w:t xml:space="preserve">has considered various options for settling the outstanding </w:t>
      </w:r>
      <w:r w:rsidR="00892E75">
        <w:rPr>
          <w:iCs/>
        </w:rPr>
        <w:t>s</w:t>
      </w:r>
      <w:r w:rsidR="00FC405A" w:rsidRPr="009345F9">
        <w:rPr>
          <w:iCs/>
        </w:rPr>
        <w:t xml:space="preserve">hareholder </w:t>
      </w:r>
      <w:r w:rsidR="00892E75">
        <w:rPr>
          <w:iCs/>
        </w:rPr>
        <w:t>l</w:t>
      </w:r>
      <w:r w:rsidR="00FC405A" w:rsidRPr="009345F9">
        <w:rPr>
          <w:iCs/>
        </w:rPr>
        <w:t xml:space="preserve">oan </w:t>
      </w:r>
      <w:r w:rsidRPr="009345F9">
        <w:rPr>
          <w:iCs/>
        </w:rPr>
        <w:t>obligation and reducing the Company’s exposure to foreign currency risk.</w:t>
      </w:r>
      <w:r w:rsidR="008903FB" w:rsidRPr="009345F9">
        <w:rPr>
          <w:iCs/>
        </w:rPr>
        <w:t xml:space="preserve"> </w:t>
      </w:r>
      <w:r w:rsidRPr="009345F9">
        <w:rPr>
          <w:iCs/>
        </w:rPr>
        <w:t xml:space="preserve">The </w:t>
      </w:r>
      <w:r w:rsidR="003D1566" w:rsidRPr="009345F9">
        <w:rPr>
          <w:iCs/>
        </w:rPr>
        <w:t xml:space="preserve">conversion </w:t>
      </w:r>
      <w:r w:rsidRPr="009345F9">
        <w:rPr>
          <w:iCs/>
        </w:rPr>
        <w:t xml:space="preserve">of the outstanding </w:t>
      </w:r>
      <w:r w:rsidR="00F03165">
        <w:rPr>
          <w:iCs/>
        </w:rPr>
        <w:t>s</w:t>
      </w:r>
      <w:r w:rsidR="00FC405A" w:rsidRPr="009345F9">
        <w:rPr>
          <w:iCs/>
        </w:rPr>
        <w:t xml:space="preserve">hareholder </w:t>
      </w:r>
      <w:r w:rsidR="00F03165">
        <w:rPr>
          <w:iCs/>
        </w:rPr>
        <w:t>l</w:t>
      </w:r>
      <w:r w:rsidR="00FC405A" w:rsidRPr="009345F9">
        <w:rPr>
          <w:iCs/>
        </w:rPr>
        <w:t xml:space="preserve">oan </w:t>
      </w:r>
      <w:r w:rsidRPr="009345F9">
        <w:rPr>
          <w:iCs/>
        </w:rPr>
        <w:t>into equity was selected as the optimal option for the Company</w:t>
      </w:r>
      <w:r w:rsidR="000E245A" w:rsidRPr="009345F9">
        <w:rPr>
          <w:iCs/>
        </w:rPr>
        <w:t xml:space="preserve">. </w:t>
      </w:r>
    </w:p>
    <w:p w14:paraId="5EC813EC" w14:textId="1CC264A6" w:rsidR="00956787" w:rsidRPr="009345F9" w:rsidRDefault="000E245A" w:rsidP="008903FB">
      <w:pPr>
        <w:pStyle w:val="ListParagraph"/>
        <w:numPr>
          <w:ilvl w:val="1"/>
          <w:numId w:val="1"/>
        </w:numPr>
        <w:tabs>
          <w:tab w:val="left" w:pos="1389"/>
          <w:tab w:val="left" w:pos="1391"/>
        </w:tabs>
        <w:ind w:right="770"/>
        <w:jc w:val="both"/>
        <w:rPr>
          <w:iCs/>
        </w:rPr>
      </w:pPr>
      <w:r w:rsidRPr="009345F9">
        <w:rPr>
          <w:iCs/>
        </w:rPr>
        <w:t>The Conversion</w:t>
      </w:r>
      <w:r w:rsidR="00956787" w:rsidRPr="009345F9">
        <w:rPr>
          <w:iCs/>
        </w:rPr>
        <w:t xml:space="preserve"> is expected to deleverage </w:t>
      </w:r>
      <w:r w:rsidRPr="009345F9">
        <w:rPr>
          <w:iCs/>
        </w:rPr>
        <w:t xml:space="preserve">the Company’s </w:t>
      </w:r>
      <w:r w:rsidR="00956787" w:rsidRPr="009345F9">
        <w:rPr>
          <w:iCs/>
        </w:rPr>
        <w:t>balance sheet and save the Company further foreign exchange losses</w:t>
      </w:r>
      <w:r w:rsidR="00FD5431" w:rsidRPr="009345F9">
        <w:rPr>
          <w:iCs/>
        </w:rPr>
        <w:t xml:space="preserve"> on this debt</w:t>
      </w:r>
      <w:r w:rsidRPr="009345F9">
        <w:rPr>
          <w:iCs/>
        </w:rPr>
        <w:t>.</w:t>
      </w:r>
    </w:p>
    <w:p w14:paraId="4EDBDEFF" w14:textId="77777777" w:rsidR="00B56725" w:rsidRPr="009345F9" w:rsidRDefault="00B56725" w:rsidP="000E245A">
      <w:pPr>
        <w:pStyle w:val="BodyText"/>
        <w:spacing w:before="8"/>
        <w:ind w:left="1390" w:right="770"/>
        <w:jc w:val="both"/>
        <w:rPr>
          <w:iCs/>
          <w:sz w:val="22"/>
          <w:szCs w:val="22"/>
        </w:rPr>
      </w:pPr>
    </w:p>
    <w:p w14:paraId="4D05E321" w14:textId="30198E0B" w:rsidR="006270AF" w:rsidRPr="009345F9" w:rsidRDefault="006270AF" w:rsidP="006270AF">
      <w:pPr>
        <w:pStyle w:val="Heading1"/>
        <w:numPr>
          <w:ilvl w:val="0"/>
          <w:numId w:val="1"/>
        </w:numPr>
        <w:tabs>
          <w:tab w:val="left" w:pos="933"/>
          <w:tab w:val="left" w:pos="935"/>
        </w:tabs>
        <w:spacing w:before="1"/>
        <w:ind w:right="770" w:hanging="398"/>
        <w:jc w:val="both"/>
        <w:rPr>
          <w:i w:val="0"/>
          <w:iCs/>
          <w:sz w:val="22"/>
          <w:szCs w:val="22"/>
        </w:rPr>
      </w:pPr>
      <w:r w:rsidRPr="009345F9">
        <w:rPr>
          <w:i w:val="0"/>
          <w:iCs/>
          <w:sz w:val="22"/>
          <w:szCs w:val="22"/>
        </w:rPr>
        <w:t>What is the benefit of the Conversion? </w:t>
      </w:r>
    </w:p>
    <w:p w14:paraId="75E74E21" w14:textId="77777777" w:rsidR="006270AF" w:rsidRPr="009345F9" w:rsidRDefault="006270AF" w:rsidP="006270AF">
      <w:pPr>
        <w:pStyle w:val="BodyText"/>
        <w:spacing w:before="8"/>
        <w:ind w:left="1390" w:right="770"/>
        <w:jc w:val="both"/>
        <w:rPr>
          <w:iCs/>
          <w:sz w:val="22"/>
          <w:szCs w:val="22"/>
        </w:rPr>
      </w:pPr>
    </w:p>
    <w:p w14:paraId="45AD4126" w14:textId="5E864CC2" w:rsidR="006270AF" w:rsidRPr="009345F9" w:rsidRDefault="006270AF" w:rsidP="006270AF">
      <w:pPr>
        <w:pStyle w:val="ListParagraph"/>
        <w:numPr>
          <w:ilvl w:val="1"/>
          <w:numId w:val="1"/>
        </w:numPr>
        <w:tabs>
          <w:tab w:val="left" w:pos="1389"/>
          <w:tab w:val="left" w:pos="1391"/>
        </w:tabs>
        <w:ind w:right="770"/>
        <w:jc w:val="both"/>
        <w:rPr>
          <w:iCs/>
        </w:rPr>
      </w:pPr>
      <w:r w:rsidRPr="009345F9">
        <w:rPr>
          <w:iCs/>
        </w:rPr>
        <w:t>It will deleverage the Company’s balance sheet, ultimately reducing pressure on the Company's cash flows and leading to improved liquidity which could be channeled into better uses by the Company.</w:t>
      </w:r>
    </w:p>
    <w:p w14:paraId="22A91DB5" w14:textId="77777777" w:rsidR="006270AF" w:rsidRPr="009345F9" w:rsidRDefault="006270AF" w:rsidP="006270AF">
      <w:pPr>
        <w:pStyle w:val="ListParagraph"/>
        <w:numPr>
          <w:ilvl w:val="1"/>
          <w:numId w:val="1"/>
        </w:numPr>
        <w:tabs>
          <w:tab w:val="left" w:pos="1389"/>
          <w:tab w:val="left" w:pos="1391"/>
        </w:tabs>
        <w:ind w:right="770"/>
        <w:jc w:val="both"/>
        <w:rPr>
          <w:iCs/>
        </w:rPr>
      </w:pPr>
      <w:r w:rsidRPr="009345F9">
        <w:rPr>
          <w:iCs/>
        </w:rPr>
        <w:t>It will reduce the Company's exposure to foreign exchange risk and its impact on earnings.</w:t>
      </w:r>
    </w:p>
    <w:p w14:paraId="4CE5667F" w14:textId="77777777" w:rsidR="006270AF" w:rsidRPr="009345F9" w:rsidRDefault="006270AF" w:rsidP="006270AF">
      <w:pPr>
        <w:pStyle w:val="ListParagraph"/>
        <w:numPr>
          <w:ilvl w:val="1"/>
          <w:numId w:val="1"/>
        </w:numPr>
        <w:tabs>
          <w:tab w:val="left" w:pos="1389"/>
          <w:tab w:val="left" w:pos="1391"/>
        </w:tabs>
        <w:ind w:right="770"/>
        <w:jc w:val="both"/>
        <w:rPr>
          <w:iCs/>
        </w:rPr>
      </w:pPr>
      <w:r w:rsidRPr="009345F9">
        <w:rPr>
          <w:iCs/>
        </w:rPr>
        <w:t>It will reduce finance costs and lead to improved profitability.</w:t>
      </w:r>
    </w:p>
    <w:p w14:paraId="1799E364" w14:textId="5A306933" w:rsidR="006270AF" w:rsidRPr="009345F9" w:rsidRDefault="006270AF" w:rsidP="006270AF">
      <w:pPr>
        <w:pStyle w:val="ListParagraph"/>
        <w:numPr>
          <w:ilvl w:val="1"/>
          <w:numId w:val="1"/>
        </w:numPr>
        <w:tabs>
          <w:tab w:val="left" w:pos="1389"/>
          <w:tab w:val="left" w:pos="1391"/>
        </w:tabs>
        <w:ind w:right="770"/>
        <w:jc w:val="both"/>
        <w:rPr>
          <w:iCs/>
        </w:rPr>
      </w:pPr>
      <w:r w:rsidRPr="009345F9">
        <w:rPr>
          <w:iCs/>
        </w:rPr>
        <w:t>It will improve the Company's financial ratios, such as debt-to-equity and coverage ratios, potentially enhancing the Company's financial standing and creditworthiness.</w:t>
      </w:r>
    </w:p>
    <w:p w14:paraId="07E55071" w14:textId="77777777" w:rsidR="00C552A7" w:rsidRDefault="00C552A7" w:rsidP="00C552A7">
      <w:pPr>
        <w:tabs>
          <w:tab w:val="left" w:pos="1389"/>
          <w:tab w:val="left" w:pos="1391"/>
        </w:tabs>
        <w:ind w:right="770"/>
        <w:jc w:val="both"/>
        <w:rPr>
          <w:iCs/>
        </w:rPr>
      </w:pPr>
    </w:p>
    <w:p w14:paraId="68B49E68" w14:textId="241236E7" w:rsidR="00C552A7" w:rsidRDefault="00C552A7" w:rsidP="00C552A7">
      <w:pPr>
        <w:pStyle w:val="Heading1"/>
        <w:numPr>
          <w:ilvl w:val="0"/>
          <w:numId w:val="1"/>
        </w:numPr>
        <w:tabs>
          <w:tab w:val="left" w:pos="933"/>
          <w:tab w:val="left" w:pos="935"/>
        </w:tabs>
        <w:spacing w:before="1"/>
        <w:ind w:right="770" w:hanging="398"/>
        <w:jc w:val="both"/>
        <w:rPr>
          <w:i w:val="0"/>
          <w:iCs/>
          <w:sz w:val="22"/>
          <w:szCs w:val="22"/>
        </w:rPr>
      </w:pPr>
      <w:r w:rsidRPr="00175185">
        <w:rPr>
          <w:i w:val="0"/>
          <w:iCs/>
          <w:sz w:val="22"/>
          <w:szCs w:val="22"/>
        </w:rPr>
        <w:lastRenderedPageBreak/>
        <w:t>How was the Conversion price de</w:t>
      </w:r>
      <w:r w:rsidR="00B406B9" w:rsidRPr="00175185">
        <w:rPr>
          <w:i w:val="0"/>
          <w:iCs/>
          <w:sz w:val="22"/>
          <w:szCs w:val="22"/>
        </w:rPr>
        <w:t>termined</w:t>
      </w:r>
      <w:r w:rsidRPr="00175185">
        <w:rPr>
          <w:i w:val="0"/>
          <w:iCs/>
          <w:sz w:val="22"/>
          <w:szCs w:val="22"/>
        </w:rPr>
        <w:t>?</w:t>
      </w:r>
    </w:p>
    <w:p w14:paraId="18913101" w14:textId="77777777" w:rsidR="005221D3" w:rsidRDefault="005221D3" w:rsidP="00175185">
      <w:pPr>
        <w:pStyle w:val="ListParagraph"/>
        <w:tabs>
          <w:tab w:val="left" w:pos="1389"/>
          <w:tab w:val="left" w:pos="1391"/>
        </w:tabs>
        <w:ind w:right="770" w:firstLine="0"/>
        <w:jc w:val="both"/>
        <w:rPr>
          <w:iCs/>
        </w:rPr>
      </w:pPr>
    </w:p>
    <w:p w14:paraId="742DF16A" w14:textId="69D0FE87" w:rsidR="00C552A7" w:rsidRPr="00175185" w:rsidRDefault="00C552A7" w:rsidP="00C552A7">
      <w:pPr>
        <w:pStyle w:val="ListParagraph"/>
        <w:numPr>
          <w:ilvl w:val="1"/>
          <w:numId w:val="1"/>
        </w:numPr>
        <w:tabs>
          <w:tab w:val="left" w:pos="1389"/>
          <w:tab w:val="left" w:pos="1391"/>
        </w:tabs>
        <w:ind w:right="770"/>
        <w:jc w:val="both"/>
        <w:rPr>
          <w:iCs/>
        </w:rPr>
      </w:pPr>
      <w:r w:rsidRPr="00175185">
        <w:rPr>
          <w:iCs/>
        </w:rPr>
        <w:t>The price was determined by using the share price of Cadbury Nigeria as at close of trading on 27 December 2023, the date of the Board Meeting to approve the Conversion.</w:t>
      </w:r>
    </w:p>
    <w:p w14:paraId="101B33C5" w14:textId="6D0F3604" w:rsidR="00173BB7" w:rsidRPr="009345F9" w:rsidRDefault="00173BB7" w:rsidP="00175185"/>
    <w:p w14:paraId="0A513B93" w14:textId="167CDDBC" w:rsidR="004672D1" w:rsidRPr="009345F9" w:rsidRDefault="001E436B" w:rsidP="004672D1">
      <w:pPr>
        <w:pStyle w:val="Heading1"/>
        <w:numPr>
          <w:ilvl w:val="0"/>
          <w:numId w:val="1"/>
        </w:numPr>
        <w:tabs>
          <w:tab w:val="left" w:pos="933"/>
          <w:tab w:val="left" w:pos="935"/>
        </w:tabs>
        <w:spacing w:before="1"/>
        <w:ind w:right="770" w:hanging="398"/>
        <w:jc w:val="both"/>
        <w:rPr>
          <w:i w:val="0"/>
          <w:iCs/>
          <w:sz w:val="22"/>
          <w:szCs w:val="22"/>
        </w:rPr>
      </w:pPr>
      <w:r>
        <w:rPr>
          <w:i w:val="0"/>
          <w:iCs/>
          <w:sz w:val="22"/>
          <w:szCs w:val="22"/>
        </w:rPr>
        <w:t>What will be the effect of the Conversion?</w:t>
      </w:r>
    </w:p>
    <w:p w14:paraId="1599C2CF" w14:textId="3325DC29" w:rsidR="004672D1" w:rsidRPr="009345F9" w:rsidRDefault="004672D1" w:rsidP="00695CC2">
      <w:pPr>
        <w:pStyle w:val="BodyText"/>
        <w:spacing w:before="8"/>
        <w:ind w:left="1390" w:right="770"/>
        <w:jc w:val="both"/>
        <w:rPr>
          <w:iCs/>
          <w:sz w:val="22"/>
          <w:szCs w:val="22"/>
        </w:rPr>
      </w:pPr>
    </w:p>
    <w:p w14:paraId="543596FE" w14:textId="107671AA" w:rsidR="001E436B" w:rsidRPr="001E436B" w:rsidRDefault="001E436B" w:rsidP="001E436B">
      <w:pPr>
        <w:pStyle w:val="ListParagraph"/>
        <w:numPr>
          <w:ilvl w:val="1"/>
          <w:numId w:val="1"/>
        </w:numPr>
        <w:tabs>
          <w:tab w:val="left" w:pos="1389"/>
          <w:tab w:val="left" w:pos="1391"/>
        </w:tabs>
        <w:ind w:right="770"/>
        <w:jc w:val="both"/>
        <w:rPr>
          <w:iCs/>
        </w:rPr>
      </w:pPr>
      <w:r>
        <w:rPr>
          <w:iCs/>
        </w:rPr>
        <w:t>Following the Conversion, the shareholding of Cadbury Schweppes Overseas</w:t>
      </w:r>
      <w:r w:rsidR="00C552A7">
        <w:rPr>
          <w:iCs/>
        </w:rPr>
        <w:t xml:space="preserve"> in the Company</w:t>
      </w:r>
      <w:r>
        <w:rPr>
          <w:iCs/>
        </w:rPr>
        <w:t xml:space="preserve"> will change from</w:t>
      </w:r>
      <w:r w:rsidR="00D4600C">
        <w:rPr>
          <w:iCs/>
        </w:rPr>
        <w:t xml:space="preserve"> 1,408,131,653 shares (74.97%)</w:t>
      </w:r>
      <w:r>
        <w:rPr>
          <w:iCs/>
        </w:rPr>
        <w:t xml:space="preserve"> to </w:t>
      </w:r>
      <w:r w:rsidR="00D4600C">
        <w:rPr>
          <w:iCs/>
        </w:rPr>
        <w:t xml:space="preserve">1,810,214,310 </w:t>
      </w:r>
      <w:proofErr w:type="gramStart"/>
      <w:r w:rsidR="00D4600C">
        <w:rPr>
          <w:iCs/>
        </w:rPr>
        <w:t>shares</w:t>
      </w:r>
      <w:r w:rsidR="00D4600C" w:rsidDel="00D4600C">
        <w:rPr>
          <w:iCs/>
        </w:rPr>
        <w:t xml:space="preserve"> </w:t>
      </w:r>
      <w:r w:rsidR="005221D3">
        <w:rPr>
          <w:iCs/>
        </w:rPr>
        <w:t xml:space="preserve"> </w:t>
      </w:r>
      <w:r w:rsidR="00D4600C">
        <w:rPr>
          <w:iCs/>
        </w:rPr>
        <w:t>(</w:t>
      </w:r>
      <w:proofErr w:type="gramEnd"/>
      <w:r w:rsidR="00D4600C">
        <w:rPr>
          <w:iCs/>
        </w:rPr>
        <w:t>79.39%),</w:t>
      </w:r>
      <w:r>
        <w:rPr>
          <w:iCs/>
        </w:rPr>
        <w:t xml:space="preserve"> while th</w:t>
      </w:r>
      <w:r w:rsidR="00C4593A">
        <w:rPr>
          <w:iCs/>
        </w:rPr>
        <w:t>at of the</w:t>
      </w:r>
      <w:r>
        <w:rPr>
          <w:iCs/>
        </w:rPr>
        <w:t xml:space="preserve"> </w:t>
      </w:r>
      <w:r w:rsidR="005221D3">
        <w:rPr>
          <w:iCs/>
        </w:rPr>
        <w:t>other</w:t>
      </w:r>
      <w:r>
        <w:rPr>
          <w:iCs/>
        </w:rPr>
        <w:t xml:space="preserve"> shareholders </w:t>
      </w:r>
      <w:r w:rsidRPr="003D1566">
        <w:rPr>
          <w:iCs/>
        </w:rPr>
        <w:t xml:space="preserve">will </w:t>
      </w:r>
      <w:r w:rsidR="00C552A7" w:rsidRPr="003D1566">
        <w:rPr>
          <w:iCs/>
        </w:rPr>
        <w:t>change</w:t>
      </w:r>
      <w:r w:rsidR="00C552A7">
        <w:rPr>
          <w:iCs/>
        </w:rPr>
        <w:t xml:space="preserve"> from </w:t>
      </w:r>
      <w:r w:rsidR="00D4600C">
        <w:rPr>
          <w:iCs/>
        </w:rPr>
        <w:t>470,070,309 shares (25.03%)</w:t>
      </w:r>
      <w:r w:rsidR="00C552A7">
        <w:rPr>
          <w:iCs/>
        </w:rPr>
        <w:t xml:space="preserve"> to </w:t>
      </w:r>
      <w:r w:rsidR="00D4600C">
        <w:rPr>
          <w:iCs/>
        </w:rPr>
        <w:t>470,070,309 shares (</w:t>
      </w:r>
      <w:r w:rsidR="00C552A7">
        <w:rPr>
          <w:iCs/>
        </w:rPr>
        <w:t>20.61%</w:t>
      </w:r>
      <w:r w:rsidR="00D4600C">
        <w:rPr>
          <w:iCs/>
        </w:rPr>
        <w:t>).</w:t>
      </w:r>
    </w:p>
    <w:p w14:paraId="73676938" w14:textId="77777777" w:rsidR="004672D1" w:rsidRPr="009345F9" w:rsidRDefault="004672D1" w:rsidP="000E245A">
      <w:pPr>
        <w:pStyle w:val="BodyText"/>
        <w:spacing w:before="8"/>
        <w:ind w:left="1390" w:right="770"/>
        <w:jc w:val="both"/>
        <w:rPr>
          <w:iCs/>
          <w:sz w:val="22"/>
          <w:szCs w:val="22"/>
        </w:rPr>
      </w:pPr>
    </w:p>
    <w:p w14:paraId="16A8F71D" w14:textId="77777777" w:rsidR="004672D1" w:rsidRPr="009345F9" w:rsidRDefault="004672D1" w:rsidP="004672D1">
      <w:pPr>
        <w:pStyle w:val="Heading1"/>
        <w:numPr>
          <w:ilvl w:val="0"/>
          <w:numId w:val="1"/>
        </w:numPr>
        <w:tabs>
          <w:tab w:val="left" w:pos="933"/>
          <w:tab w:val="left" w:pos="935"/>
        </w:tabs>
        <w:spacing w:before="1"/>
        <w:ind w:right="770" w:hanging="398"/>
        <w:jc w:val="both"/>
        <w:rPr>
          <w:i w:val="0"/>
          <w:iCs/>
          <w:sz w:val="22"/>
          <w:szCs w:val="22"/>
        </w:rPr>
      </w:pPr>
      <w:r w:rsidRPr="009345F9">
        <w:rPr>
          <w:i w:val="0"/>
          <w:iCs/>
          <w:sz w:val="22"/>
          <w:szCs w:val="22"/>
        </w:rPr>
        <w:t>What approvals will this transaction require?</w:t>
      </w:r>
    </w:p>
    <w:p w14:paraId="4C3A27E2" w14:textId="2FE9D45B" w:rsidR="004672D1" w:rsidRPr="009345F9" w:rsidRDefault="004672D1" w:rsidP="004672D1">
      <w:pPr>
        <w:pStyle w:val="ListParagraph"/>
        <w:tabs>
          <w:tab w:val="left" w:pos="1389"/>
          <w:tab w:val="left" w:pos="1391"/>
        </w:tabs>
        <w:ind w:right="770" w:firstLine="0"/>
        <w:jc w:val="both"/>
        <w:rPr>
          <w:iCs/>
        </w:rPr>
      </w:pPr>
    </w:p>
    <w:p w14:paraId="4D83C7CD" w14:textId="5B41FC34" w:rsidR="004672D1" w:rsidRPr="009345F9" w:rsidRDefault="004672D1" w:rsidP="004672D1">
      <w:pPr>
        <w:pStyle w:val="ListParagraph"/>
        <w:numPr>
          <w:ilvl w:val="1"/>
          <w:numId w:val="1"/>
        </w:numPr>
        <w:tabs>
          <w:tab w:val="left" w:pos="1389"/>
          <w:tab w:val="left" w:pos="1391"/>
        </w:tabs>
        <w:ind w:right="770"/>
        <w:jc w:val="both"/>
        <w:rPr>
          <w:iCs/>
        </w:rPr>
      </w:pPr>
      <w:r w:rsidRPr="009345F9">
        <w:rPr>
          <w:iCs/>
        </w:rPr>
        <w:t>Following the receipt of shareholders</w:t>
      </w:r>
      <w:r w:rsidR="006759A8" w:rsidRPr="009345F9">
        <w:rPr>
          <w:iCs/>
        </w:rPr>
        <w:t>’</w:t>
      </w:r>
      <w:r w:rsidRPr="009345F9">
        <w:rPr>
          <w:iCs/>
        </w:rPr>
        <w:t xml:space="preserve"> approval, the Company will also require the approval of Securities and Exchange Commission </w:t>
      </w:r>
      <w:r w:rsidR="006270AF" w:rsidRPr="009345F9">
        <w:rPr>
          <w:iCs/>
        </w:rPr>
        <w:t>for the Conversion and for the registration of the new shares.</w:t>
      </w:r>
      <w:r w:rsidR="00831731" w:rsidRPr="009345F9">
        <w:rPr>
          <w:iCs/>
        </w:rPr>
        <w:t xml:space="preserve"> The new shares will also be listed on the main board of the NGX. </w:t>
      </w:r>
    </w:p>
    <w:p w14:paraId="38528BF2" w14:textId="77777777" w:rsidR="004672D1" w:rsidRPr="009345F9" w:rsidRDefault="004672D1" w:rsidP="00695CC2">
      <w:pPr>
        <w:pStyle w:val="BodyText"/>
        <w:spacing w:before="8"/>
        <w:ind w:left="1390" w:right="770"/>
        <w:jc w:val="both"/>
        <w:rPr>
          <w:iCs/>
          <w:sz w:val="22"/>
          <w:szCs w:val="22"/>
        </w:rPr>
      </w:pPr>
    </w:p>
    <w:p w14:paraId="5394D585" w14:textId="77777777" w:rsidR="004672D1" w:rsidRPr="009345F9" w:rsidRDefault="004672D1" w:rsidP="004672D1">
      <w:pPr>
        <w:pStyle w:val="Heading1"/>
        <w:numPr>
          <w:ilvl w:val="0"/>
          <w:numId w:val="1"/>
        </w:numPr>
        <w:tabs>
          <w:tab w:val="left" w:pos="933"/>
          <w:tab w:val="left" w:pos="935"/>
        </w:tabs>
        <w:spacing w:before="1"/>
        <w:ind w:right="770" w:hanging="398"/>
        <w:jc w:val="both"/>
        <w:rPr>
          <w:i w:val="0"/>
          <w:iCs/>
          <w:sz w:val="22"/>
          <w:szCs w:val="22"/>
        </w:rPr>
      </w:pPr>
      <w:r w:rsidRPr="009345F9">
        <w:rPr>
          <w:i w:val="0"/>
          <w:iCs/>
          <w:sz w:val="22"/>
          <w:szCs w:val="22"/>
        </w:rPr>
        <w:t>When will the Conversion take effect?</w:t>
      </w:r>
    </w:p>
    <w:p w14:paraId="4DBF26CA" w14:textId="77777777" w:rsidR="004672D1" w:rsidRPr="009345F9" w:rsidRDefault="004672D1" w:rsidP="00695CC2">
      <w:pPr>
        <w:pStyle w:val="BodyText"/>
        <w:spacing w:before="8"/>
        <w:ind w:left="1390" w:right="770"/>
        <w:jc w:val="both"/>
        <w:rPr>
          <w:iCs/>
          <w:sz w:val="22"/>
          <w:szCs w:val="22"/>
        </w:rPr>
      </w:pPr>
    </w:p>
    <w:p w14:paraId="0FD02530" w14:textId="77008FB1" w:rsidR="004672D1" w:rsidRPr="009345F9" w:rsidRDefault="004672D1" w:rsidP="004672D1">
      <w:pPr>
        <w:pStyle w:val="ListParagraph"/>
        <w:numPr>
          <w:ilvl w:val="1"/>
          <w:numId w:val="1"/>
        </w:numPr>
        <w:tabs>
          <w:tab w:val="left" w:pos="1389"/>
          <w:tab w:val="left" w:pos="1391"/>
        </w:tabs>
        <w:ind w:right="770"/>
        <w:jc w:val="both"/>
        <w:rPr>
          <w:iCs/>
        </w:rPr>
      </w:pPr>
      <w:r w:rsidRPr="009345F9">
        <w:rPr>
          <w:iCs/>
        </w:rPr>
        <w:t xml:space="preserve">The </w:t>
      </w:r>
      <w:r w:rsidR="006759A8" w:rsidRPr="009345F9">
        <w:rPr>
          <w:iCs/>
        </w:rPr>
        <w:t xml:space="preserve">Conversion </w:t>
      </w:r>
      <w:r w:rsidRPr="009345F9">
        <w:rPr>
          <w:iCs/>
        </w:rPr>
        <w:t>will take effect when the new ordinary shares are allotted to Cadbury Schweppes Overseas</w:t>
      </w:r>
      <w:r w:rsidR="005644CF" w:rsidRPr="009345F9">
        <w:rPr>
          <w:iCs/>
        </w:rPr>
        <w:t xml:space="preserve"> </w:t>
      </w:r>
      <w:r w:rsidRPr="009345F9">
        <w:rPr>
          <w:iCs/>
        </w:rPr>
        <w:t>and the register of members is updated to reflect the post</w:t>
      </w:r>
      <w:r w:rsidR="005822FE" w:rsidRPr="009345F9">
        <w:rPr>
          <w:iCs/>
        </w:rPr>
        <w:t>-</w:t>
      </w:r>
      <w:r w:rsidR="006759A8" w:rsidRPr="009345F9">
        <w:rPr>
          <w:iCs/>
        </w:rPr>
        <w:t xml:space="preserve">Conversion </w:t>
      </w:r>
      <w:r w:rsidRPr="009345F9">
        <w:rPr>
          <w:iCs/>
        </w:rPr>
        <w:t>shares</w:t>
      </w:r>
      <w:r w:rsidR="00CB7354" w:rsidRPr="009345F9">
        <w:rPr>
          <w:iCs/>
        </w:rPr>
        <w:t xml:space="preserve"> held by Cadbury Schweppes Overseas</w:t>
      </w:r>
      <w:r w:rsidR="005822FE" w:rsidRPr="009345F9">
        <w:rPr>
          <w:iCs/>
        </w:rPr>
        <w:t>.</w:t>
      </w:r>
    </w:p>
    <w:p w14:paraId="3F2F5C0F" w14:textId="141AB87B" w:rsidR="004672D1" w:rsidRPr="009345F9" w:rsidRDefault="004672D1" w:rsidP="004672D1">
      <w:pPr>
        <w:pStyle w:val="ListParagraph"/>
        <w:numPr>
          <w:ilvl w:val="1"/>
          <w:numId w:val="1"/>
        </w:numPr>
        <w:tabs>
          <w:tab w:val="left" w:pos="1389"/>
          <w:tab w:val="left" w:pos="1391"/>
        </w:tabs>
        <w:ind w:right="770"/>
        <w:jc w:val="both"/>
        <w:rPr>
          <w:iCs/>
        </w:rPr>
      </w:pPr>
      <w:r w:rsidRPr="009345F9">
        <w:rPr>
          <w:iCs/>
        </w:rPr>
        <w:t xml:space="preserve">The expectation is that the </w:t>
      </w:r>
      <w:r w:rsidR="006759A8" w:rsidRPr="009345F9">
        <w:rPr>
          <w:iCs/>
        </w:rPr>
        <w:t xml:space="preserve">Conversion </w:t>
      </w:r>
      <w:r w:rsidRPr="009345F9">
        <w:rPr>
          <w:iCs/>
        </w:rPr>
        <w:t>process will be concluded within the first quarter of 2024, subject to receiving shareholders</w:t>
      </w:r>
      <w:r w:rsidR="00831731" w:rsidRPr="009345F9">
        <w:rPr>
          <w:iCs/>
        </w:rPr>
        <w:t>’</w:t>
      </w:r>
      <w:r w:rsidRPr="009345F9">
        <w:rPr>
          <w:iCs/>
        </w:rPr>
        <w:t xml:space="preserve"> and regulatory approvals</w:t>
      </w:r>
      <w:r w:rsidR="005822FE" w:rsidRPr="009345F9">
        <w:rPr>
          <w:iCs/>
        </w:rPr>
        <w:t>.</w:t>
      </w:r>
    </w:p>
    <w:p w14:paraId="4B343BE2" w14:textId="1D2F4DCF" w:rsidR="00716555" w:rsidRPr="009345F9" w:rsidRDefault="00716555" w:rsidP="00175185">
      <w:pPr>
        <w:pStyle w:val="ListParagraph"/>
        <w:tabs>
          <w:tab w:val="left" w:pos="1389"/>
          <w:tab w:val="left" w:pos="1391"/>
        </w:tabs>
        <w:ind w:right="770" w:firstLine="0"/>
        <w:jc w:val="both"/>
      </w:pPr>
    </w:p>
    <w:sectPr w:rsidR="00716555" w:rsidRPr="009345F9" w:rsidSect="00F7332C">
      <w:headerReference w:type="default" r:id="rId13"/>
      <w:footerReference w:type="default" r:id="rId14"/>
      <w:pgSz w:w="11910" w:h="16850"/>
      <w:pgMar w:top="1600" w:right="460" w:bottom="1020" w:left="600" w:header="0" w:footer="3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1482" w14:textId="77777777" w:rsidR="00F7332C" w:rsidRDefault="00F7332C">
      <w:r>
        <w:separator/>
      </w:r>
    </w:p>
  </w:endnote>
  <w:endnote w:type="continuationSeparator" w:id="0">
    <w:p w14:paraId="0E6E1616" w14:textId="77777777" w:rsidR="00F7332C" w:rsidRDefault="00F7332C">
      <w:r>
        <w:continuationSeparator/>
      </w:r>
    </w:p>
  </w:endnote>
  <w:endnote w:type="continuationNotice" w:id="1">
    <w:p w14:paraId="52988BBC" w14:textId="77777777" w:rsidR="00F7332C" w:rsidRDefault="00F73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E3B0" w14:textId="61C3B061" w:rsidR="003F5CA6" w:rsidRDefault="008903FB">
    <w:pPr>
      <w:pStyle w:val="BodyText"/>
      <w:spacing w:line="14" w:lineRule="auto"/>
    </w:pPr>
    <w:r>
      <w:rPr>
        <w:noProof/>
      </w:rPr>
      <mc:AlternateContent>
        <mc:Choice Requires="wps">
          <w:drawing>
            <wp:anchor distT="0" distB="0" distL="114300" distR="114300" simplePos="0" relativeHeight="251658241" behindDoc="1" locked="0" layoutInCell="1" allowOverlap="1" wp14:anchorId="61EB15A4" wp14:editId="2B5252C7">
              <wp:simplePos x="0" y="0"/>
              <wp:positionH relativeFrom="page">
                <wp:posOffset>6786245</wp:posOffset>
              </wp:positionH>
              <wp:positionV relativeFrom="page">
                <wp:posOffset>10250501</wp:posOffset>
              </wp:positionV>
              <wp:extent cx="146685" cy="167005"/>
              <wp:effectExtent l="0" t="0" r="571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wps:spPr>
                    <wps:txbx>
                      <w:txbxContent>
                        <w:p w14:paraId="3C1CAF39" w14:textId="77777777" w:rsidR="00787D4E" w:rsidRDefault="00787D4E">
                          <w:pPr>
                            <w:pStyle w:val="BodyText"/>
                            <w:spacing w:before="12"/>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B15A4" id="_x0000_t202" coordsize="21600,21600" o:spt="202" path="m,l,21600r21600,l21600,xe">
              <v:stroke joinstyle="miter"/>
              <v:path gradientshapeok="t" o:connecttype="rect"/>
            </v:shapetype>
            <v:shape id="Text Box 2" o:spid="_x0000_s1026" type="#_x0000_t202" style="position:absolute;margin-left:534.35pt;margin-top:807.15pt;width:11.55pt;height:13.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" filled="f" stroked="f">
              <v:textbox inset="0,0,0,0">
                <w:txbxContent>
                  <w:p w14:paraId="3C1CAF39" w14:textId="77777777" w:rsidR="00787D4E" w:rsidRDefault="00787D4E">
                    <w:pPr>
                      <w:pStyle w:val="BodyText"/>
                      <w:spacing w:before="12"/>
                      <w:ind w:left="6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57B4" w14:textId="77777777" w:rsidR="00FD75E9" w:rsidRDefault="00FD75E9">
    <w:pPr>
      <w:pStyle w:val="BodyText"/>
      <w:spacing w:line="14" w:lineRule="auto"/>
    </w:pPr>
    <w:r>
      <w:rPr>
        <w:noProof/>
      </w:rPr>
      <mc:AlternateContent>
        <mc:Choice Requires="wps">
          <w:drawing>
            <wp:anchor distT="0" distB="0" distL="114300" distR="114300" simplePos="0" relativeHeight="251660289" behindDoc="1" locked="0" layoutInCell="1" allowOverlap="1" wp14:anchorId="4E1F6C81" wp14:editId="26928215">
              <wp:simplePos x="0" y="0"/>
              <wp:positionH relativeFrom="page">
                <wp:posOffset>372032</wp:posOffset>
              </wp:positionH>
              <wp:positionV relativeFrom="page">
                <wp:posOffset>10121900</wp:posOffset>
              </wp:positionV>
              <wp:extent cx="6715469" cy="12065"/>
              <wp:effectExtent l="0" t="0" r="0" b="0"/>
              <wp:wrapNone/>
              <wp:docPr id="1520489706" name="Rectangle 1520489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469" cy="12065"/>
                      </a:xfrm>
                      <a:prstGeom prst="rect">
                        <a:avLst/>
                      </a:prstGeom>
                      <a:solidFill>
                        <a:srgbClr val="00336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09089" id="Rectangle 1520489706" o:spid="_x0000_s1026" style="position:absolute;margin-left:29.3pt;margin-top:797pt;width:528.8pt;height:.95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" fillcolor="#036" stroked="f">
              <w10:wrap anchorx="page" anchory="page"/>
            </v:rect>
          </w:pict>
        </mc:Fallback>
      </mc:AlternateContent>
    </w:r>
    <w:r>
      <w:rPr>
        <w:noProof/>
      </w:rPr>
      <mc:AlternateContent>
        <mc:Choice Requires="wps">
          <w:drawing>
            <wp:anchor distT="0" distB="0" distL="114300" distR="114300" simplePos="0" relativeHeight="251661313" behindDoc="1" locked="0" layoutInCell="1" allowOverlap="1" wp14:anchorId="5D9524B6" wp14:editId="3DAE4617">
              <wp:simplePos x="0" y="0"/>
              <wp:positionH relativeFrom="page">
                <wp:posOffset>6786245</wp:posOffset>
              </wp:positionH>
              <wp:positionV relativeFrom="page">
                <wp:posOffset>10250501</wp:posOffset>
              </wp:positionV>
              <wp:extent cx="146685" cy="167005"/>
              <wp:effectExtent l="0" t="0" r="5715" b="4445"/>
              <wp:wrapNone/>
              <wp:docPr id="305879882" name="Text Box 305879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wps:spPr>
                    <wps:txbx>
                      <w:txbxContent>
                        <w:p w14:paraId="5E213F2B" w14:textId="77777777" w:rsidR="00FD75E9" w:rsidRDefault="00FD75E9">
                          <w:pPr>
                            <w:pStyle w:val="BodyText"/>
                            <w:spacing w:before="12"/>
                            <w:ind w:left="60"/>
                          </w:pPr>
                          <w:r>
                            <w:fldChar w:fldCharType="begin"/>
                          </w:r>
                          <w:r>
                            <w:rPr>
                              <w:w w:val="99"/>
                            </w:rPr>
                            <w:instrText xml:space="preserve"> PAGE </w:instrText>
                          </w:r>
                          <w:r>
                            <w:fldChar w:fldCharType="separate"/>
                          </w:r>
                          <w:r>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524B6" id="_x0000_t202" coordsize="21600,21600" o:spt="202" path="m,l,21600r21600,l21600,xe">
              <v:stroke joinstyle="miter"/>
              <v:path gradientshapeok="t" o:connecttype="rect"/>
            </v:shapetype>
            <v:shape id="Text Box 305879882" o:spid="_x0000_s1027" type="#_x0000_t202" style="position:absolute;margin-left:534.35pt;margin-top:807.15pt;width:11.55pt;height:13.15pt;z-index:-2516551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" filled="f" stroked="f">
              <v:textbox inset="0,0,0,0">
                <w:txbxContent>
                  <w:p w14:paraId="5E213F2B" w14:textId="77777777" w:rsidR="00FD75E9" w:rsidRDefault="00FD75E9">
                    <w:pPr>
                      <w:pStyle w:val="BodyText"/>
                      <w:spacing w:before="12"/>
                      <w:ind w:left="60"/>
                    </w:pPr>
                    <w:r>
                      <w:fldChar w:fldCharType="begin"/>
                    </w:r>
                    <w:r>
                      <w:rPr>
                        <w:w w:val="99"/>
                      </w:rPr>
                      <w:instrText xml:space="preserve"> PAGE </w:instrText>
                    </w:r>
                    <w:r>
                      <w:fldChar w:fldCharType="separate"/>
                    </w:r>
                    <w:r>
                      <w:rPr>
                        <w:noProof/>
                        <w:w w:val="9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578D2" w14:textId="77777777" w:rsidR="00F7332C" w:rsidRDefault="00F7332C">
      <w:r>
        <w:separator/>
      </w:r>
    </w:p>
  </w:footnote>
  <w:footnote w:type="continuationSeparator" w:id="0">
    <w:p w14:paraId="302D441C" w14:textId="77777777" w:rsidR="00F7332C" w:rsidRDefault="00F7332C">
      <w:r>
        <w:continuationSeparator/>
      </w:r>
    </w:p>
  </w:footnote>
  <w:footnote w:type="continuationNotice" w:id="1">
    <w:p w14:paraId="710A58AD" w14:textId="77777777" w:rsidR="00F7332C" w:rsidRDefault="00F733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964E" w14:textId="77777777" w:rsidR="00FD75E9" w:rsidRDefault="00FD7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8B9"/>
    <w:multiLevelType w:val="hybridMultilevel"/>
    <w:tmpl w:val="5DEA40C2"/>
    <w:lvl w:ilvl="0" w:tplc="D6EEE7A0">
      <w:start w:val="1"/>
      <w:numFmt w:val="decimal"/>
      <w:lvlText w:val="%1."/>
      <w:lvlJc w:val="left"/>
      <w:pPr>
        <w:ind w:left="934" w:hanging="397"/>
      </w:pPr>
      <w:rPr>
        <w:rFonts w:ascii="Arial" w:eastAsia="Arial" w:hAnsi="Arial" w:cs="Arial" w:hint="default"/>
        <w:color w:val="auto"/>
        <w:spacing w:val="-1"/>
        <w:w w:val="99"/>
        <w:sz w:val="22"/>
        <w:szCs w:val="22"/>
        <w:lang w:val="en-US" w:eastAsia="en-US" w:bidi="ar-SA"/>
      </w:rPr>
    </w:lvl>
    <w:lvl w:ilvl="1" w:tplc="CDB08610">
      <w:numFmt w:val="bullet"/>
      <w:lvlText w:val=""/>
      <w:lvlJc w:val="left"/>
      <w:pPr>
        <w:ind w:left="1390" w:hanging="360"/>
      </w:pPr>
      <w:rPr>
        <w:rFonts w:ascii="Symbol" w:eastAsia="Symbol" w:hAnsi="Symbol" w:cs="Symbol" w:hint="default"/>
        <w:color w:val="auto"/>
        <w:w w:val="99"/>
        <w:sz w:val="20"/>
        <w:szCs w:val="20"/>
        <w:lang w:val="en-US" w:eastAsia="en-US" w:bidi="ar-SA"/>
      </w:rPr>
    </w:lvl>
    <w:lvl w:ilvl="2" w:tplc="06C4E24C">
      <w:numFmt w:val="bullet"/>
      <w:lvlText w:val="•"/>
      <w:lvlJc w:val="left"/>
      <w:pPr>
        <w:ind w:left="1660" w:hanging="360"/>
      </w:pPr>
      <w:rPr>
        <w:rFonts w:hint="default"/>
        <w:lang w:val="en-US" w:eastAsia="en-US" w:bidi="ar-SA"/>
      </w:rPr>
    </w:lvl>
    <w:lvl w:ilvl="3" w:tplc="11CE5C9C">
      <w:numFmt w:val="bullet"/>
      <w:lvlText w:val="•"/>
      <w:lvlJc w:val="left"/>
      <w:pPr>
        <w:ind w:left="2808" w:hanging="360"/>
      </w:pPr>
      <w:rPr>
        <w:rFonts w:hint="default"/>
        <w:lang w:val="en-US" w:eastAsia="en-US" w:bidi="ar-SA"/>
      </w:rPr>
    </w:lvl>
    <w:lvl w:ilvl="4" w:tplc="591E39C0">
      <w:numFmt w:val="bullet"/>
      <w:lvlText w:val="•"/>
      <w:lvlJc w:val="left"/>
      <w:pPr>
        <w:ind w:left="3956" w:hanging="360"/>
      </w:pPr>
      <w:rPr>
        <w:rFonts w:hint="default"/>
        <w:lang w:val="en-US" w:eastAsia="en-US" w:bidi="ar-SA"/>
      </w:rPr>
    </w:lvl>
    <w:lvl w:ilvl="5" w:tplc="FAC060EA">
      <w:numFmt w:val="bullet"/>
      <w:lvlText w:val="•"/>
      <w:lvlJc w:val="left"/>
      <w:pPr>
        <w:ind w:left="5104" w:hanging="360"/>
      </w:pPr>
      <w:rPr>
        <w:rFonts w:hint="default"/>
        <w:lang w:val="en-US" w:eastAsia="en-US" w:bidi="ar-SA"/>
      </w:rPr>
    </w:lvl>
    <w:lvl w:ilvl="6" w:tplc="730C0476">
      <w:numFmt w:val="bullet"/>
      <w:lvlText w:val="•"/>
      <w:lvlJc w:val="left"/>
      <w:pPr>
        <w:ind w:left="6253" w:hanging="360"/>
      </w:pPr>
      <w:rPr>
        <w:rFonts w:hint="default"/>
        <w:lang w:val="en-US" w:eastAsia="en-US" w:bidi="ar-SA"/>
      </w:rPr>
    </w:lvl>
    <w:lvl w:ilvl="7" w:tplc="617E9480">
      <w:numFmt w:val="bullet"/>
      <w:lvlText w:val="•"/>
      <w:lvlJc w:val="left"/>
      <w:pPr>
        <w:ind w:left="7401" w:hanging="360"/>
      </w:pPr>
      <w:rPr>
        <w:rFonts w:hint="default"/>
        <w:lang w:val="en-US" w:eastAsia="en-US" w:bidi="ar-SA"/>
      </w:rPr>
    </w:lvl>
    <w:lvl w:ilvl="8" w:tplc="91C0DF0A">
      <w:numFmt w:val="bullet"/>
      <w:lvlText w:val="•"/>
      <w:lvlJc w:val="left"/>
      <w:pPr>
        <w:ind w:left="8549" w:hanging="360"/>
      </w:pPr>
      <w:rPr>
        <w:rFonts w:hint="default"/>
        <w:lang w:val="en-US" w:eastAsia="en-US" w:bidi="ar-SA"/>
      </w:rPr>
    </w:lvl>
  </w:abstractNum>
  <w:abstractNum w:abstractNumId="1" w15:restartNumberingAfterBreak="0">
    <w:nsid w:val="31CB06AD"/>
    <w:multiLevelType w:val="hybridMultilevel"/>
    <w:tmpl w:val="89D67DD8"/>
    <w:lvl w:ilvl="0" w:tplc="6694B17C">
      <w:start w:val="8"/>
      <w:numFmt w:val="decimal"/>
      <w:lvlText w:val="%1."/>
      <w:lvlJc w:val="left"/>
      <w:pPr>
        <w:tabs>
          <w:tab w:val="num" w:pos="720"/>
        </w:tabs>
        <w:ind w:left="720" w:hanging="360"/>
      </w:pPr>
    </w:lvl>
    <w:lvl w:ilvl="1" w:tplc="9140D8FE" w:tentative="1">
      <w:start w:val="1"/>
      <w:numFmt w:val="decimal"/>
      <w:lvlText w:val="%2."/>
      <w:lvlJc w:val="left"/>
      <w:pPr>
        <w:tabs>
          <w:tab w:val="num" w:pos="1440"/>
        </w:tabs>
        <w:ind w:left="1440" w:hanging="360"/>
      </w:pPr>
    </w:lvl>
    <w:lvl w:ilvl="2" w:tplc="11428D5A" w:tentative="1">
      <w:start w:val="1"/>
      <w:numFmt w:val="decimal"/>
      <w:lvlText w:val="%3."/>
      <w:lvlJc w:val="left"/>
      <w:pPr>
        <w:tabs>
          <w:tab w:val="num" w:pos="2160"/>
        </w:tabs>
        <w:ind w:left="2160" w:hanging="360"/>
      </w:pPr>
    </w:lvl>
    <w:lvl w:ilvl="3" w:tplc="34843A34" w:tentative="1">
      <w:start w:val="1"/>
      <w:numFmt w:val="decimal"/>
      <w:lvlText w:val="%4."/>
      <w:lvlJc w:val="left"/>
      <w:pPr>
        <w:tabs>
          <w:tab w:val="num" w:pos="2880"/>
        </w:tabs>
        <w:ind w:left="2880" w:hanging="360"/>
      </w:pPr>
    </w:lvl>
    <w:lvl w:ilvl="4" w:tplc="6E5094D2">
      <w:numFmt w:val="bullet"/>
      <w:lvlText w:val=""/>
      <w:lvlJc w:val="left"/>
      <w:pPr>
        <w:tabs>
          <w:tab w:val="num" w:pos="3600"/>
        </w:tabs>
        <w:ind w:left="3600" w:hanging="360"/>
      </w:pPr>
      <w:rPr>
        <w:rFonts w:ascii="Wingdings" w:hAnsi="Wingdings" w:hint="default"/>
      </w:rPr>
    </w:lvl>
    <w:lvl w:ilvl="5" w:tplc="B7F4819C" w:tentative="1">
      <w:start w:val="1"/>
      <w:numFmt w:val="decimal"/>
      <w:lvlText w:val="%6."/>
      <w:lvlJc w:val="left"/>
      <w:pPr>
        <w:tabs>
          <w:tab w:val="num" w:pos="4320"/>
        </w:tabs>
        <w:ind w:left="4320" w:hanging="360"/>
      </w:pPr>
    </w:lvl>
    <w:lvl w:ilvl="6" w:tplc="9D1A9196" w:tentative="1">
      <w:start w:val="1"/>
      <w:numFmt w:val="decimal"/>
      <w:lvlText w:val="%7."/>
      <w:lvlJc w:val="left"/>
      <w:pPr>
        <w:tabs>
          <w:tab w:val="num" w:pos="5040"/>
        </w:tabs>
        <w:ind w:left="5040" w:hanging="360"/>
      </w:pPr>
    </w:lvl>
    <w:lvl w:ilvl="7" w:tplc="ABD0FE36" w:tentative="1">
      <w:start w:val="1"/>
      <w:numFmt w:val="decimal"/>
      <w:lvlText w:val="%8."/>
      <w:lvlJc w:val="left"/>
      <w:pPr>
        <w:tabs>
          <w:tab w:val="num" w:pos="5760"/>
        </w:tabs>
        <w:ind w:left="5760" w:hanging="360"/>
      </w:pPr>
    </w:lvl>
    <w:lvl w:ilvl="8" w:tplc="F37EA8CC" w:tentative="1">
      <w:start w:val="1"/>
      <w:numFmt w:val="decimal"/>
      <w:lvlText w:val="%9."/>
      <w:lvlJc w:val="left"/>
      <w:pPr>
        <w:tabs>
          <w:tab w:val="num" w:pos="6480"/>
        </w:tabs>
        <w:ind w:left="6480" w:hanging="360"/>
      </w:pPr>
    </w:lvl>
  </w:abstractNum>
  <w:abstractNum w:abstractNumId="2" w15:restartNumberingAfterBreak="0">
    <w:nsid w:val="45B14CEA"/>
    <w:multiLevelType w:val="hybridMultilevel"/>
    <w:tmpl w:val="CE087E70"/>
    <w:lvl w:ilvl="0" w:tplc="1EC8302E">
      <w:start w:val="6"/>
      <w:numFmt w:val="decimal"/>
      <w:lvlText w:val="%1."/>
      <w:lvlJc w:val="left"/>
      <w:pPr>
        <w:tabs>
          <w:tab w:val="num" w:pos="720"/>
        </w:tabs>
        <w:ind w:left="720" w:hanging="360"/>
      </w:pPr>
    </w:lvl>
    <w:lvl w:ilvl="1" w:tplc="B19E99B2" w:tentative="1">
      <w:start w:val="1"/>
      <w:numFmt w:val="decimal"/>
      <w:lvlText w:val="%2."/>
      <w:lvlJc w:val="left"/>
      <w:pPr>
        <w:tabs>
          <w:tab w:val="num" w:pos="1440"/>
        </w:tabs>
        <w:ind w:left="1440" w:hanging="360"/>
      </w:pPr>
    </w:lvl>
    <w:lvl w:ilvl="2" w:tplc="D5F00874" w:tentative="1">
      <w:start w:val="1"/>
      <w:numFmt w:val="decimal"/>
      <w:lvlText w:val="%3."/>
      <w:lvlJc w:val="left"/>
      <w:pPr>
        <w:tabs>
          <w:tab w:val="num" w:pos="2160"/>
        </w:tabs>
        <w:ind w:left="2160" w:hanging="360"/>
      </w:pPr>
    </w:lvl>
    <w:lvl w:ilvl="3" w:tplc="A4140632" w:tentative="1">
      <w:start w:val="1"/>
      <w:numFmt w:val="decimal"/>
      <w:lvlText w:val="%4."/>
      <w:lvlJc w:val="left"/>
      <w:pPr>
        <w:tabs>
          <w:tab w:val="num" w:pos="2880"/>
        </w:tabs>
        <w:ind w:left="2880" w:hanging="360"/>
      </w:pPr>
    </w:lvl>
    <w:lvl w:ilvl="4" w:tplc="109A2168">
      <w:numFmt w:val="bullet"/>
      <w:lvlText w:val=""/>
      <w:lvlJc w:val="left"/>
      <w:pPr>
        <w:tabs>
          <w:tab w:val="num" w:pos="3600"/>
        </w:tabs>
        <w:ind w:left="3600" w:hanging="360"/>
      </w:pPr>
      <w:rPr>
        <w:rFonts w:ascii="Wingdings" w:hAnsi="Wingdings" w:hint="default"/>
      </w:rPr>
    </w:lvl>
    <w:lvl w:ilvl="5" w:tplc="07B86928" w:tentative="1">
      <w:start w:val="1"/>
      <w:numFmt w:val="decimal"/>
      <w:lvlText w:val="%6."/>
      <w:lvlJc w:val="left"/>
      <w:pPr>
        <w:tabs>
          <w:tab w:val="num" w:pos="4320"/>
        </w:tabs>
        <w:ind w:left="4320" w:hanging="360"/>
      </w:pPr>
    </w:lvl>
    <w:lvl w:ilvl="6" w:tplc="B74C6A52" w:tentative="1">
      <w:start w:val="1"/>
      <w:numFmt w:val="decimal"/>
      <w:lvlText w:val="%7."/>
      <w:lvlJc w:val="left"/>
      <w:pPr>
        <w:tabs>
          <w:tab w:val="num" w:pos="5040"/>
        </w:tabs>
        <w:ind w:left="5040" w:hanging="360"/>
      </w:pPr>
    </w:lvl>
    <w:lvl w:ilvl="7" w:tplc="64FA433E" w:tentative="1">
      <w:start w:val="1"/>
      <w:numFmt w:val="decimal"/>
      <w:lvlText w:val="%8."/>
      <w:lvlJc w:val="left"/>
      <w:pPr>
        <w:tabs>
          <w:tab w:val="num" w:pos="5760"/>
        </w:tabs>
        <w:ind w:left="5760" w:hanging="360"/>
      </w:pPr>
    </w:lvl>
    <w:lvl w:ilvl="8" w:tplc="0D1EB5BE" w:tentative="1">
      <w:start w:val="1"/>
      <w:numFmt w:val="decimal"/>
      <w:lvlText w:val="%9."/>
      <w:lvlJc w:val="left"/>
      <w:pPr>
        <w:tabs>
          <w:tab w:val="num" w:pos="6480"/>
        </w:tabs>
        <w:ind w:left="6480" w:hanging="360"/>
      </w:pPr>
    </w:lvl>
  </w:abstractNum>
  <w:abstractNum w:abstractNumId="3" w15:restartNumberingAfterBreak="0">
    <w:nsid w:val="48093B01"/>
    <w:multiLevelType w:val="hybridMultilevel"/>
    <w:tmpl w:val="E7541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7130EE"/>
    <w:multiLevelType w:val="hybridMultilevel"/>
    <w:tmpl w:val="A5AE8448"/>
    <w:lvl w:ilvl="0" w:tplc="5810D87E">
      <w:start w:val="5"/>
      <w:numFmt w:val="decimal"/>
      <w:lvlText w:val="%1."/>
      <w:lvlJc w:val="left"/>
      <w:pPr>
        <w:tabs>
          <w:tab w:val="num" w:pos="720"/>
        </w:tabs>
        <w:ind w:left="720" w:hanging="360"/>
      </w:pPr>
    </w:lvl>
    <w:lvl w:ilvl="1" w:tplc="F7D08ECC" w:tentative="1">
      <w:start w:val="1"/>
      <w:numFmt w:val="decimal"/>
      <w:lvlText w:val="%2."/>
      <w:lvlJc w:val="left"/>
      <w:pPr>
        <w:tabs>
          <w:tab w:val="num" w:pos="1440"/>
        </w:tabs>
        <w:ind w:left="1440" w:hanging="360"/>
      </w:pPr>
    </w:lvl>
    <w:lvl w:ilvl="2" w:tplc="AD2ABBE4" w:tentative="1">
      <w:start w:val="1"/>
      <w:numFmt w:val="decimal"/>
      <w:lvlText w:val="%3."/>
      <w:lvlJc w:val="left"/>
      <w:pPr>
        <w:tabs>
          <w:tab w:val="num" w:pos="2160"/>
        </w:tabs>
        <w:ind w:left="2160" w:hanging="360"/>
      </w:pPr>
    </w:lvl>
    <w:lvl w:ilvl="3" w:tplc="C3C61D3E" w:tentative="1">
      <w:start w:val="1"/>
      <w:numFmt w:val="decimal"/>
      <w:lvlText w:val="%4."/>
      <w:lvlJc w:val="left"/>
      <w:pPr>
        <w:tabs>
          <w:tab w:val="num" w:pos="2880"/>
        </w:tabs>
        <w:ind w:left="2880" w:hanging="360"/>
      </w:pPr>
    </w:lvl>
    <w:lvl w:ilvl="4" w:tplc="5A2CC00E">
      <w:numFmt w:val="bullet"/>
      <w:lvlText w:val=""/>
      <w:lvlJc w:val="left"/>
      <w:pPr>
        <w:tabs>
          <w:tab w:val="num" w:pos="3600"/>
        </w:tabs>
        <w:ind w:left="3600" w:hanging="360"/>
      </w:pPr>
      <w:rPr>
        <w:rFonts w:ascii="Wingdings" w:hAnsi="Wingdings" w:hint="default"/>
      </w:rPr>
    </w:lvl>
    <w:lvl w:ilvl="5" w:tplc="8EB098F8" w:tentative="1">
      <w:start w:val="1"/>
      <w:numFmt w:val="decimal"/>
      <w:lvlText w:val="%6."/>
      <w:lvlJc w:val="left"/>
      <w:pPr>
        <w:tabs>
          <w:tab w:val="num" w:pos="4320"/>
        </w:tabs>
        <w:ind w:left="4320" w:hanging="360"/>
      </w:pPr>
    </w:lvl>
    <w:lvl w:ilvl="6" w:tplc="F1DA0174" w:tentative="1">
      <w:start w:val="1"/>
      <w:numFmt w:val="decimal"/>
      <w:lvlText w:val="%7."/>
      <w:lvlJc w:val="left"/>
      <w:pPr>
        <w:tabs>
          <w:tab w:val="num" w:pos="5040"/>
        </w:tabs>
        <w:ind w:left="5040" w:hanging="360"/>
      </w:pPr>
    </w:lvl>
    <w:lvl w:ilvl="7" w:tplc="3118EBEC" w:tentative="1">
      <w:start w:val="1"/>
      <w:numFmt w:val="decimal"/>
      <w:lvlText w:val="%8."/>
      <w:lvlJc w:val="left"/>
      <w:pPr>
        <w:tabs>
          <w:tab w:val="num" w:pos="5760"/>
        </w:tabs>
        <w:ind w:left="5760" w:hanging="360"/>
      </w:pPr>
    </w:lvl>
    <w:lvl w:ilvl="8" w:tplc="62E67820" w:tentative="1">
      <w:start w:val="1"/>
      <w:numFmt w:val="decimal"/>
      <w:lvlText w:val="%9."/>
      <w:lvlJc w:val="left"/>
      <w:pPr>
        <w:tabs>
          <w:tab w:val="num" w:pos="6480"/>
        </w:tabs>
        <w:ind w:left="6480" w:hanging="360"/>
      </w:pPr>
    </w:lvl>
  </w:abstractNum>
  <w:abstractNum w:abstractNumId="5" w15:restartNumberingAfterBreak="0">
    <w:nsid w:val="69FD67CC"/>
    <w:multiLevelType w:val="hybridMultilevel"/>
    <w:tmpl w:val="A51224DE"/>
    <w:lvl w:ilvl="0" w:tplc="04090003">
      <w:start w:val="1"/>
      <w:numFmt w:val="bullet"/>
      <w:lvlText w:val="o"/>
      <w:lvlJc w:val="left"/>
      <w:pPr>
        <w:ind w:left="2020" w:hanging="360"/>
      </w:pPr>
      <w:rPr>
        <w:rFonts w:ascii="Courier New" w:hAnsi="Courier New" w:cs="Courier New" w:hint="default"/>
      </w:rPr>
    </w:lvl>
    <w:lvl w:ilvl="1" w:tplc="04090003" w:tentative="1">
      <w:start w:val="1"/>
      <w:numFmt w:val="bullet"/>
      <w:lvlText w:val="o"/>
      <w:lvlJc w:val="left"/>
      <w:pPr>
        <w:ind w:left="2740" w:hanging="360"/>
      </w:pPr>
      <w:rPr>
        <w:rFonts w:ascii="Courier New" w:hAnsi="Courier New" w:cs="Courier New" w:hint="default"/>
      </w:rPr>
    </w:lvl>
    <w:lvl w:ilvl="2" w:tplc="04090005" w:tentative="1">
      <w:start w:val="1"/>
      <w:numFmt w:val="bullet"/>
      <w:lvlText w:val=""/>
      <w:lvlJc w:val="left"/>
      <w:pPr>
        <w:ind w:left="3460" w:hanging="360"/>
      </w:pPr>
      <w:rPr>
        <w:rFonts w:ascii="Wingdings" w:hAnsi="Wingdings"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cs="Courier New" w:hint="default"/>
      </w:rPr>
    </w:lvl>
    <w:lvl w:ilvl="5" w:tplc="04090005" w:tentative="1">
      <w:start w:val="1"/>
      <w:numFmt w:val="bullet"/>
      <w:lvlText w:val=""/>
      <w:lvlJc w:val="left"/>
      <w:pPr>
        <w:ind w:left="5620" w:hanging="360"/>
      </w:pPr>
      <w:rPr>
        <w:rFonts w:ascii="Wingdings" w:hAnsi="Wingdings"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cs="Courier New" w:hint="default"/>
      </w:rPr>
    </w:lvl>
    <w:lvl w:ilvl="8" w:tplc="04090005" w:tentative="1">
      <w:start w:val="1"/>
      <w:numFmt w:val="bullet"/>
      <w:lvlText w:val=""/>
      <w:lvlJc w:val="left"/>
      <w:pPr>
        <w:ind w:left="7780" w:hanging="360"/>
      </w:pPr>
      <w:rPr>
        <w:rFonts w:ascii="Wingdings" w:hAnsi="Wingdings" w:hint="default"/>
      </w:rPr>
    </w:lvl>
  </w:abstractNum>
  <w:abstractNum w:abstractNumId="6" w15:restartNumberingAfterBreak="0">
    <w:nsid w:val="6DB760DA"/>
    <w:multiLevelType w:val="hybridMultilevel"/>
    <w:tmpl w:val="79AAE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E81122"/>
    <w:multiLevelType w:val="hybridMultilevel"/>
    <w:tmpl w:val="1612F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0C461E"/>
    <w:multiLevelType w:val="hybridMultilevel"/>
    <w:tmpl w:val="EBB89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41558396">
    <w:abstractNumId w:val="0"/>
  </w:num>
  <w:num w:numId="2" w16cid:durableId="1107890655">
    <w:abstractNumId w:val="6"/>
  </w:num>
  <w:num w:numId="3" w16cid:durableId="1334988879">
    <w:abstractNumId w:val="7"/>
  </w:num>
  <w:num w:numId="4" w16cid:durableId="1874492495">
    <w:abstractNumId w:val="3"/>
  </w:num>
  <w:num w:numId="5" w16cid:durableId="700596687">
    <w:abstractNumId w:val="8"/>
  </w:num>
  <w:num w:numId="6" w16cid:durableId="574779866">
    <w:abstractNumId w:val="4"/>
  </w:num>
  <w:num w:numId="7" w16cid:durableId="853108777">
    <w:abstractNumId w:val="2"/>
  </w:num>
  <w:num w:numId="8" w16cid:durableId="435830462">
    <w:abstractNumId w:val="1"/>
  </w:num>
  <w:num w:numId="9" w16cid:durableId="1768470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E0NTIzMzS3tDQxNjNS0lEKTi0uzszPAykwrgUAW5czVSwAAAA="/>
  </w:docVars>
  <w:rsids>
    <w:rsidRoot w:val="003F5CA6"/>
    <w:rsid w:val="00000713"/>
    <w:rsid w:val="000059D1"/>
    <w:rsid w:val="0000790B"/>
    <w:rsid w:val="00007B27"/>
    <w:rsid w:val="00011B32"/>
    <w:rsid w:val="000268B6"/>
    <w:rsid w:val="000322D2"/>
    <w:rsid w:val="00052914"/>
    <w:rsid w:val="00061C96"/>
    <w:rsid w:val="00062187"/>
    <w:rsid w:val="00070B70"/>
    <w:rsid w:val="00077CF7"/>
    <w:rsid w:val="000936FA"/>
    <w:rsid w:val="000A0F79"/>
    <w:rsid w:val="000A3771"/>
    <w:rsid w:val="000B25B6"/>
    <w:rsid w:val="000C349B"/>
    <w:rsid w:val="000C40CF"/>
    <w:rsid w:val="000E2412"/>
    <w:rsid w:val="000E245A"/>
    <w:rsid w:val="000F5972"/>
    <w:rsid w:val="00101099"/>
    <w:rsid w:val="00117F8E"/>
    <w:rsid w:val="001265C0"/>
    <w:rsid w:val="00127D24"/>
    <w:rsid w:val="001357B8"/>
    <w:rsid w:val="00145B74"/>
    <w:rsid w:val="001553C4"/>
    <w:rsid w:val="001576C0"/>
    <w:rsid w:val="00167C4D"/>
    <w:rsid w:val="001724C2"/>
    <w:rsid w:val="001734C6"/>
    <w:rsid w:val="00173BB7"/>
    <w:rsid w:val="00175185"/>
    <w:rsid w:val="001A3535"/>
    <w:rsid w:val="001A4BFF"/>
    <w:rsid w:val="001B2736"/>
    <w:rsid w:val="001B305F"/>
    <w:rsid w:val="001B5D32"/>
    <w:rsid w:val="001C2536"/>
    <w:rsid w:val="001C722B"/>
    <w:rsid w:val="001D12CE"/>
    <w:rsid w:val="001D3484"/>
    <w:rsid w:val="001E436B"/>
    <w:rsid w:val="001F7412"/>
    <w:rsid w:val="00201B69"/>
    <w:rsid w:val="00225F6E"/>
    <w:rsid w:val="002269BF"/>
    <w:rsid w:val="00240AE9"/>
    <w:rsid w:val="00241A40"/>
    <w:rsid w:val="0024475B"/>
    <w:rsid w:val="00244B2C"/>
    <w:rsid w:val="002454CD"/>
    <w:rsid w:val="002464AD"/>
    <w:rsid w:val="002536D3"/>
    <w:rsid w:val="00255038"/>
    <w:rsid w:val="00256029"/>
    <w:rsid w:val="0026322B"/>
    <w:rsid w:val="00263F55"/>
    <w:rsid w:val="0028080B"/>
    <w:rsid w:val="002831BC"/>
    <w:rsid w:val="00284392"/>
    <w:rsid w:val="00285092"/>
    <w:rsid w:val="002A0981"/>
    <w:rsid w:val="002B3C7A"/>
    <w:rsid w:val="002D2F98"/>
    <w:rsid w:val="002E3E4C"/>
    <w:rsid w:val="002F75E4"/>
    <w:rsid w:val="00320B4D"/>
    <w:rsid w:val="00350B8A"/>
    <w:rsid w:val="00350C83"/>
    <w:rsid w:val="00365326"/>
    <w:rsid w:val="00372873"/>
    <w:rsid w:val="00377829"/>
    <w:rsid w:val="00386768"/>
    <w:rsid w:val="00391A35"/>
    <w:rsid w:val="0039372B"/>
    <w:rsid w:val="003B3C88"/>
    <w:rsid w:val="003C1C94"/>
    <w:rsid w:val="003C1FCC"/>
    <w:rsid w:val="003D1566"/>
    <w:rsid w:val="003D678C"/>
    <w:rsid w:val="003E217A"/>
    <w:rsid w:val="003E2AB3"/>
    <w:rsid w:val="003E44E6"/>
    <w:rsid w:val="003E5537"/>
    <w:rsid w:val="003F0A81"/>
    <w:rsid w:val="003F5CA6"/>
    <w:rsid w:val="00405136"/>
    <w:rsid w:val="00411F31"/>
    <w:rsid w:val="004125E5"/>
    <w:rsid w:val="00462799"/>
    <w:rsid w:val="004672D1"/>
    <w:rsid w:val="00473FDE"/>
    <w:rsid w:val="00476FFF"/>
    <w:rsid w:val="00482052"/>
    <w:rsid w:val="00483159"/>
    <w:rsid w:val="00483A11"/>
    <w:rsid w:val="00485F88"/>
    <w:rsid w:val="00490144"/>
    <w:rsid w:val="0049237B"/>
    <w:rsid w:val="004B3392"/>
    <w:rsid w:val="004B7072"/>
    <w:rsid w:val="004C04C0"/>
    <w:rsid w:val="004C5AE8"/>
    <w:rsid w:val="004C68B5"/>
    <w:rsid w:val="004C6F21"/>
    <w:rsid w:val="004D16BD"/>
    <w:rsid w:val="004D4B8E"/>
    <w:rsid w:val="004F6811"/>
    <w:rsid w:val="0050385C"/>
    <w:rsid w:val="005128DF"/>
    <w:rsid w:val="005221D3"/>
    <w:rsid w:val="00543E00"/>
    <w:rsid w:val="00553D81"/>
    <w:rsid w:val="00560E05"/>
    <w:rsid w:val="005644CF"/>
    <w:rsid w:val="005658B6"/>
    <w:rsid w:val="00566486"/>
    <w:rsid w:val="00572370"/>
    <w:rsid w:val="00575AE7"/>
    <w:rsid w:val="005777C2"/>
    <w:rsid w:val="005822FE"/>
    <w:rsid w:val="00593075"/>
    <w:rsid w:val="0059405D"/>
    <w:rsid w:val="005A2E0D"/>
    <w:rsid w:val="005A3C9C"/>
    <w:rsid w:val="005A686C"/>
    <w:rsid w:val="005B1333"/>
    <w:rsid w:val="005C2359"/>
    <w:rsid w:val="005C67F0"/>
    <w:rsid w:val="005E270F"/>
    <w:rsid w:val="005F102B"/>
    <w:rsid w:val="005F7F0D"/>
    <w:rsid w:val="00604004"/>
    <w:rsid w:val="00610451"/>
    <w:rsid w:val="006270AF"/>
    <w:rsid w:val="00630EDF"/>
    <w:rsid w:val="00647E2B"/>
    <w:rsid w:val="00656157"/>
    <w:rsid w:val="006667F9"/>
    <w:rsid w:val="006736D9"/>
    <w:rsid w:val="006759A8"/>
    <w:rsid w:val="006825BC"/>
    <w:rsid w:val="00695CC2"/>
    <w:rsid w:val="006B6469"/>
    <w:rsid w:val="006C2BB6"/>
    <w:rsid w:val="006C3D7F"/>
    <w:rsid w:val="006C7F9A"/>
    <w:rsid w:val="006D1702"/>
    <w:rsid w:val="006E0A0A"/>
    <w:rsid w:val="006F4A0D"/>
    <w:rsid w:val="006F4B64"/>
    <w:rsid w:val="00705528"/>
    <w:rsid w:val="00706AD9"/>
    <w:rsid w:val="0071477A"/>
    <w:rsid w:val="00716555"/>
    <w:rsid w:val="00721775"/>
    <w:rsid w:val="00740DF4"/>
    <w:rsid w:val="00746680"/>
    <w:rsid w:val="00756FF4"/>
    <w:rsid w:val="007626D1"/>
    <w:rsid w:val="00765D5A"/>
    <w:rsid w:val="0077574E"/>
    <w:rsid w:val="00783AFF"/>
    <w:rsid w:val="00787D4E"/>
    <w:rsid w:val="00790C55"/>
    <w:rsid w:val="007A0336"/>
    <w:rsid w:val="007A2791"/>
    <w:rsid w:val="007B752E"/>
    <w:rsid w:val="007C2F4E"/>
    <w:rsid w:val="007D02A1"/>
    <w:rsid w:val="007D2A5A"/>
    <w:rsid w:val="007E4CC4"/>
    <w:rsid w:val="007F52A7"/>
    <w:rsid w:val="007F66EB"/>
    <w:rsid w:val="00803894"/>
    <w:rsid w:val="00805AFB"/>
    <w:rsid w:val="00807096"/>
    <w:rsid w:val="00814238"/>
    <w:rsid w:val="008167AE"/>
    <w:rsid w:val="0082034B"/>
    <w:rsid w:val="0082242D"/>
    <w:rsid w:val="00824347"/>
    <w:rsid w:val="008244CD"/>
    <w:rsid w:val="0082548B"/>
    <w:rsid w:val="00831731"/>
    <w:rsid w:val="00836531"/>
    <w:rsid w:val="008370A9"/>
    <w:rsid w:val="008456CD"/>
    <w:rsid w:val="00845BA4"/>
    <w:rsid w:val="00846CF1"/>
    <w:rsid w:val="00854507"/>
    <w:rsid w:val="00857363"/>
    <w:rsid w:val="00867D2B"/>
    <w:rsid w:val="0088099F"/>
    <w:rsid w:val="00882212"/>
    <w:rsid w:val="00886546"/>
    <w:rsid w:val="008903FB"/>
    <w:rsid w:val="00892E75"/>
    <w:rsid w:val="008B1066"/>
    <w:rsid w:val="008C53CC"/>
    <w:rsid w:val="008E50E7"/>
    <w:rsid w:val="0091239C"/>
    <w:rsid w:val="009345F9"/>
    <w:rsid w:val="009349B4"/>
    <w:rsid w:val="0093762E"/>
    <w:rsid w:val="00937DEC"/>
    <w:rsid w:val="00944A70"/>
    <w:rsid w:val="00956787"/>
    <w:rsid w:val="00965DFA"/>
    <w:rsid w:val="009701D8"/>
    <w:rsid w:val="00972FBF"/>
    <w:rsid w:val="00973242"/>
    <w:rsid w:val="00975E3A"/>
    <w:rsid w:val="009A3C5E"/>
    <w:rsid w:val="009A6D90"/>
    <w:rsid w:val="009C27A1"/>
    <w:rsid w:val="009F46B3"/>
    <w:rsid w:val="00A13118"/>
    <w:rsid w:val="00A14D72"/>
    <w:rsid w:val="00A31BDC"/>
    <w:rsid w:val="00A43A6E"/>
    <w:rsid w:val="00A4736F"/>
    <w:rsid w:val="00A617B5"/>
    <w:rsid w:val="00A65334"/>
    <w:rsid w:val="00A712F5"/>
    <w:rsid w:val="00A83BC6"/>
    <w:rsid w:val="00A8658E"/>
    <w:rsid w:val="00A90B36"/>
    <w:rsid w:val="00A97457"/>
    <w:rsid w:val="00AA1736"/>
    <w:rsid w:val="00AA594C"/>
    <w:rsid w:val="00AB220F"/>
    <w:rsid w:val="00AB63B8"/>
    <w:rsid w:val="00AC06F0"/>
    <w:rsid w:val="00AC4BBB"/>
    <w:rsid w:val="00AD0E37"/>
    <w:rsid w:val="00AD671E"/>
    <w:rsid w:val="00AD6BEA"/>
    <w:rsid w:val="00AE13B6"/>
    <w:rsid w:val="00AF3F55"/>
    <w:rsid w:val="00B1225E"/>
    <w:rsid w:val="00B36E35"/>
    <w:rsid w:val="00B406B9"/>
    <w:rsid w:val="00B45600"/>
    <w:rsid w:val="00B56725"/>
    <w:rsid w:val="00B80C54"/>
    <w:rsid w:val="00B8514F"/>
    <w:rsid w:val="00B90C3F"/>
    <w:rsid w:val="00BA50DB"/>
    <w:rsid w:val="00BB1CE7"/>
    <w:rsid w:val="00BB7CE1"/>
    <w:rsid w:val="00BD1A9D"/>
    <w:rsid w:val="00BD7D03"/>
    <w:rsid w:val="00BE4F3C"/>
    <w:rsid w:val="00BE55C9"/>
    <w:rsid w:val="00BF2F6F"/>
    <w:rsid w:val="00BF525F"/>
    <w:rsid w:val="00BF65F7"/>
    <w:rsid w:val="00C003C3"/>
    <w:rsid w:val="00C0335B"/>
    <w:rsid w:val="00C03D56"/>
    <w:rsid w:val="00C07E97"/>
    <w:rsid w:val="00C100B5"/>
    <w:rsid w:val="00C24EE7"/>
    <w:rsid w:val="00C3196C"/>
    <w:rsid w:val="00C32650"/>
    <w:rsid w:val="00C35280"/>
    <w:rsid w:val="00C35399"/>
    <w:rsid w:val="00C4175B"/>
    <w:rsid w:val="00C4593A"/>
    <w:rsid w:val="00C510DE"/>
    <w:rsid w:val="00C53CBC"/>
    <w:rsid w:val="00C552A7"/>
    <w:rsid w:val="00C72184"/>
    <w:rsid w:val="00C94AC4"/>
    <w:rsid w:val="00CA2981"/>
    <w:rsid w:val="00CB2DA2"/>
    <w:rsid w:val="00CB6B9A"/>
    <w:rsid w:val="00CB7354"/>
    <w:rsid w:val="00CC4840"/>
    <w:rsid w:val="00CC6B97"/>
    <w:rsid w:val="00CD2DC0"/>
    <w:rsid w:val="00CD4FD3"/>
    <w:rsid w:val="00CD5382"/>
    <w:rsid w:val="00CD5F31"/>
    <w:rsid w:val="00CE558A"/>
    <w:rsid w:val="00D11144"/>
    <w:rsid w:val="00D2115C"/>
    <w:rsid w:val="00D3774C"/>
    <w:rsid w:val="00D431EE"/>
    <w:rsid w:val="00D4600C"/>
    <w:rsid w:val="00D47471"/>
    <w:rsid w:val="00D51887"/>
    <w:rsid w:val="00D60456"/>
    <w:rsid w:val="00D64A75"/>
    <w:rsid w:val="00D66C36"/>
    <w:rsid w:val="00D74B85"/>
    <w:rsid w:val="00D81212"/>
    <w:rsid w:val="00D90332"/>
    <w:rsid w:val="00DB16AF"/>
    <w:rsid w:val="00DB39B5"/>
    <w:rsid w:val="00DC179A"/>
    <w:rsid w:val="00DC2DC0"/>
    <w:rsid w:val="00DD0473"/>
    <w:rsid w:val="00DD72CF"/>
    <w:rsid w:val="00DE0993"/>
    <w:rsid w:val="00DE28E9"/>
    <w:rsid w:val="00DF0CBC"/>
    <w:rsid w:val="00DF4DED"/>
    <w:rsid w:val="00E00692"/>
    <w:rsid w:val="00E033EC"/>
    <w:rsid w:val="00E03B65"/>
    <w:rsid w:val="00E10860"/>
    <w:rsid w:val="00E151EA"/>
    <w:rsid w:val="00E415CA"/>
    <w:rsid w:val="00E420DC"/>
    <w:rsid w:val="00E4736F"/>
    <w:rsid w:val="00E95D03"/>
    <w:rsid w:val="00EA0E64"/>
    <w:rsid w:val="00EB2DF2"/>
    <w:rsid w:val="00EC44DD"/>
    <w:rsid w:val="00EC6747"/>
    <w:rsid w:val="00ED1FD1"/>
    <w:rsid w:val="00EE3A73"/>
    <w:rsid w:val="00F01562"/>
    <w:rsid w:val="00F03165"/>
    <w:rsid w:val="00F052B6"/>
    <w:rsid w:val="00F16A43"/>
    <w:rsid w:val="00F24B3A"/>
    <w:rsid w:val="00F31722"/>
    <w:rsid w:val="00F33266"/>
    <w:rsid w:val="00F412CB"/>
    <w:rsid w:val="00F56D02"/>
    <w:rsid w:val="00F71CC1"/>
    <w:rsid w:val="00F7332C"/>
    <w:rsid w:val="00F833E0"/>
    <w:rsid w:val="00F85151"/>
    <w:rsid w:val="00F97101"/>
    <w:rsid w:val="00FA59AF"/>
    <w:rsid w:val="00FC405A"/>
    <w:rsid w:val="00FD1EE2"/>
    <w:rsid w:val="00FD5431"/>
    <w:rsid w:val="00FD5854"/>
    <w:rsid w:val="00FD75E9"/>
    <w:rsid w:val="00FE00FC"/>
    <w:rsid w:val="00FE6F19"/>
    <w:rsid w:val="00FF0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969775"/>
  <w15:docId w15:val="{7908602C-AC82-49E2-A8B0-5FC83F45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34" w:hanging="398"/>
      <w:outlineLvl w:val="0"/>
    </w:pPr>
    <w:rPr>
      <w:b/>
      <w:bCs/>
      <w:i/>
      <w:sz w:val="20"/>
      <w:szCs w:val="20"/>
    </w:rPr>
  </w:style>
  <w:style w:type="paragraph" w:styleId="Heading2">
    <w:name w:val="heading 2"/>
    <w:basedOn w:val="Normal"/>
    <w:next w:val="Normal"/>
    <w:link w:val="Heading2Char"/>
    <w:uiPriority w:val="9"/>
    <w:semiHidden/>
    <w:unhideWhenUsed/>
    <w:qFormat/>
    <w:rsid w:val="000C34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4"/>
      <w:ind w:right="671"/>
      <w:jc w:val="right"/>
    </w:pPr>
    <w:rPr>
      <w:b/>
      <w:bCs/>
    </w:rPr>
  </w:style>
  <w:style w:type="paragraph" w:styleId="ListParagraph">
    <w:name w:val="List Paragraph"/>
    <w:basedOn w:val="Normal"/>
    <w:uiPriority w:val="34"/>
    <w:qFormat/>
    <w:pPr>
      <w:spacing w:before="1"/>
      <w:ind w:left="139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2F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FBF"/>
    <w:rPr>
      <w:rFonts w:ascii="Segoe UI" w:eastAsia="Arial" w:hAnsi="Segoe UI" w:cs="Segoe UI"/>
      <w:sz w:val="18"/>
      <w:szCs w:val="18"/>
    </w:rPr>
  </w:style>
  <w:style w:type="paragraph" w:styleId="Header">
    <w:name w:val="header"/>
    <w:basedOn w:val="Normal"/>
    <w:link w:val="HeaderChar"/>
    <w:uiPriority w:val="99"/>
    <w:unhideWhenUsed/>
    <w:rsid w:val="00972FBF"/>
    <w:pPr>
      <w:tabs>
        <w:tab w:val="center" w:pos="4680"/>
        <w:tab w:val="right" w:pos="9360"/>
      </w:tabs>
    </w:pPr>
  </w:style>
  <w:style w:type="character" w:customStyle="1" w:styleId="HeaderChar">
    <w:name w:val="Header Char"/>
    <w:basedOn w:val="DefaultParagraphFont"/>
    <w:link w:val="Header"/>
    <w:uiPriority w:val="99"/>
    <w:rsid w:val="00972FBF"/>
    <w:rPr>
      <w:rFonts w:ascii="Arial" w:eastAsia="Arial" w:hAnsi="Arial" w:cs="Arial"/>
    </w:rPr>
  </w:style>
  <w:style w:type="paragraph" w:styleId="Footer">
    <w:name w:val="footer"/>
    <w:basedOn w:val="Normal"/>
    <w:link w:val="FooterChar"/>
    <w:uiPriority w:val="99"/>
    <w:unhideWhenUsed/>
    <w:rsid w:val="00972FBF"/>
    <w:pPr>
      <w:tabs>
        <w:tab w:val="center" w:pos="4680"/>
        <w:tab w:val="right" w:pos="9360"/>
      </w:tabs>
    </w:pPr>
  </w:style>
  <w:style w:type="character" w:customStyle="1" w:styleId="FooterChar">
    <w:name w:val="Footer Char"/>
    <w:basedOn w:val="DefaultParagraphFont"/>
    <w:link w:val="Footer"/>
    <w:uiPriority w:val="99"/>
    <w:rsid w:val="00972FBF"/>
    <w:rPr>
      <w:rFonts w:ascii="Arial" w:eastAsia="Arial" w:hAnsi="Arial" w:cs="Arial"/>
    </w:rPr>
  </w:style>
  <w:style w:type="character" w:styleId="CommentReference">
    <w:name w:val="annotation reference"/>
    <w:basedOn w:val="DefaultParagraphFont"/>
    <w:uiPriority w:val="99"/>
    <w:semiHidden/>
    <w:unhideWhenUsed/>
    <w:rsid w:val="00E415CA"/>
    <w:rPr>
      <w:sz w:val="16"/>
      <w:szCs w:val="16"/>
    </w:rPr>
  </w:style>
  <w:style w:type="paragraph" w:styleId="CommentText">
    <w:name w:val="annotation text"/>
    <w:basedOn w:val="Normal"/>
    <w:link w:val="CommentTextChar"/>
    <w:uiPriority w:val="99"/>
    <w:unhideWhenUsed/>
    <w:rsid w:val="00E415CA"/>
    <w:rPr>
      <w:sz w:val="20"/>
      <w:szCs w:val="20"/>
    </w:rPr>
  </w:style>
  <w:style w:type="character" w:customStyle="1" w:styleId="CommentTextChar">
    <w:name w:val="Comment Text Char"/>
    <w:basedOn w:val="DefaultParagraphFont"/>
    <w:link w:val="CommentText"/>
    <w:uiPriority w:val="99"/>
    <w:rsid w:val="00E415C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415CA"/>
    <w:rPr>
      <w:b/>
      <w:bCs/>
    </w:rPr>
  </w:style>
  <w:style w:type="character" w:customStyle="1" w:styleId="CommentSubjectChar">
    <w:name w:val="Comment Subject Char"/>
    <w:basedOn w:val="CommentTextChar"/>
    <w:link w:val="CommentSubject"/>
    <w:uiPriority w:val="99"/>
    <w:semiHidden/>
    <w:rsid w:val="00E415CA"/>
    <w:rPr>
      <w:rFonts w:ascii="Arial" w:eastAsia="Arial" w:hAnsi="Arial" w:cs="Arial"/>
      <w:b/>
      <w:bCs/>
      <w:sz w:val="20"/>
      <w:szCs w:val="20"/>
    </w:rPr>
  </w:style>
  <w:style w:type="paragraph" w:styleId="Revision">
    <w:name w:val="Revision"/>
    <w:hidden/>
    <w:uiPriority w:val="99"/>
    <w:semiHidden/>
    <w:rsid w:val="00CE558A"/>
    <w:pPr>
      <w:widowControl/>
      <w:autoSpaceDE/>
      <w:autoSpaceDN/>
    </w:pPr>
    <w:rPr>
      <w:rFonts w:ascii="Arial" w:eastAsia="Arial" w:hAnsi="Arial" w:cs="Arial"/>
    </w:rPr>
  </w:style>
  <w:style w:type="character" w:customStyle="1" w:styleId="Heading2Char">
    <w:name w:val="Heading 2 Char"/>
    <w:basedOn w:val="DefaultParagraphFont"/>
    <w:link w:val="Heading2"/>
    <w:uiPriority w:val="9"/>
    <w:semiHidden/>
    <w:rsid w:val="000C349B"/>
    <w:rPr>
      <w:rFonts w:asciiTheme="majorHAnsi" w:eastAsiaTheme="majorEastAsia" w:hAnsiTheme="majorHAnsi" w:cstheme="majorBidi"/>
      <w:color w:val="365F91" w:themeColor="accent1" w:themeShade="BF"/>
      <w:sz w:val="26"/>
      <w:szCs w:val="26"/>
    </w:rPr>
  </w:style>
  <w:style w:type="character" w:styleId="FootnoteReference">
    <w:name w:val="footnote reference"/>
    <w:basedOn w:val="DefaultParagraphFont"/>
    <w:uiPriority w:val="99"/>
    <w:semiHidden/>
    <w:unhideWhenUsed/>
    <w:rsid w:val="004672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912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15e8f0b-99f4-4568-bb2f-b64bb9b41dc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E1CFF2F6DA6964D880B969B1E4AC35B" ma:contentTypeVersion="16" ma:contentTypeDescription="Create a new document." ma:contentTypeScope="" ma:versionID="4afb9e5a9c2d00530dd828f655a2a7ed">
  <xsd:schema xmlns:xsd="http://www.w3.org/2001/XMLSchema" xmlns:xs="http://www.w3.org/2001/XMLSchema" xmlns:p="http://schemas.microsoft.com/office/2006/metadata/properties" xmlns:ns3="315e8f0b-99f4-4568-bb2f-b64bb9b41dc8" xmlns:ns4="3a7a830b-7fd9-4812-bd39-e5ba7b0a8319" targetNamespace="http://schemas.microsoft.com/office/2006/metadata/properties" ma:root="true" ma:fieldsID="a477f8132a615cd986f743cea4750861" ns3:_="" ns4:_="">
    <xsd:import namespace="315e8f0b-99f4-4568-bb2f-b64bb9b41dc8"/>
    <xsd:import namespace="3a7a830b-7fd9-4812-bd39-e5ba7b0a83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e8f0b-99f4-4568-bb2f-b64bb9b41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7a830b-7fd9-4812-bd39-e5ba7b0a83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C69C60-D9DE-46E4-8E37-1DE4AA1EEAEC}">
  <ds:schemaRefs>
    <ds:schemaRef ds:uri="http://schemas.microsoft.com/office/2006/metadata/properties"/>
    <ds:schemaRef ds:uri="http://schemas.microsoft.com/office/infopath/2007/PartnerControls"/>
    <ds:schemaRef ds:uri="315e8f0b-99f4-4568-bb2f-b64bb9b41dc8"/>
  </ds:schemaRefs>
</ds:datastoreItem>
</file>

<file path=customXml/itemProps2.xml><?xml version="1.0" encoding="utf-8"?>
<ds:datastoreItem xmlns:ds="http://schemas.openxmlformats.org/officeDocument/2006/customXml" ds:itemID="{25FF92F5-A39B-411E-AC67-DE30CFA57DDD}">
  <ds:schemaRefs>
    <ds:schemaRef ds:uri="http://schemas.openxmlformats.org/officeDocument/2006/bibliography"/>
  </ds:schemaRefs>
</ds:datastoreItem>
</file>

<file path=customXml/itemProps3.xml><?xml version="1.0" encoding="utf-8"?>
<ds:datastoreItem xmlns:ds="http://schemas.openxmlformats.org/officeDocument/2006/customXml" ds:itemID="{1D33711C-2E1B-4A1E-BD04-4F71805CE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e8f0b-99f4-4568-bb2f-b64bb9b41dc8"/>
    <ds:schemaRef ds:uri="3a7a830b-7fd9-4812-bd39-e5ba7b0a8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3C3868-66A5-4DEB-99AE-947DDB8CA6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3815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SCMB User</dc:creator>
  <cp:keywords/>
  <dc:description/>
  <cp:lastModifiedBy>Akande, Fola F</cp:lastModifiedBy>
  <cp:revision>2</cp:revision>
  <cp:lastPrinted>2024-02-05T09:30:00Z</cp:lastPrinted>
  <dcterms:created xsi:type="dcterms:W3CDTF">2024-02-05T09:53:00Z</dcterms:created>
  <dcterms:modified xsi:type="dcterms:W3CDTF">2024-02-05T09:53:00Z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Creator">
    <vt:lpwstr>Microsoft® Word for Office 365</vt:lpwstr>
  </property>
  <property fmtid="{D5CDD505-2E9C-101B-9397-08002B2CF9AE}" pid="4" name="LastSaved">
    <vt:filetime>2020-05-14T00:00:00Z</vt:filetime>
  </property>
  <property fmtid="{D5CDD505-2E9C-101B-9397-08002B2CF9AE}" pid="5" name="ContentTypeId">
    <vt:lpwstr>0x0101001E1CFF2F6DA6964D880B969B1E4AC35B</vt:lpwstr>
  </property>
  <property fmtid="{D5CDD505-2E9C-101B-9397-08002B2CF9AE}" pid="6" name="GrammarlyDocumentId">
    <vt:lpwstr>d37f45eab27542d5b703029d2fac8fa9a352c68ac0af930b46f15262dfc323d1</vt:lpwstr>
  </property>
  <property fmtid="{D5CDD505-2E9C-101B-9397-08002B2CF9AE}" pid="7" name="MSIP_Label_e71a66cc-39e3-4bb4-bafe-5431a191be95_Enabled">
    <vt:lpwstr>true</vt:lpwstr>
  </property>
  <property fmtid="{D5CDD505-2E9C-101B-9397-08002B2CF9AE}" pid="8" name="MSIP_Label_e71a66cc-39e3-4bb4-bafe-5431a191be95_SetDate">
    <vt:lpwstr>2023-11-23T19:35:07Z</vt:lpwstr>
  </property>
  <property fmtid="{D5CDD505-2E9C-101B-9397-08002B2CF9AE}" pid="9" name="MSIP_Label_e71a66cc-39e3-4bb4-bafe-5431a191be95_Method">
    <vt:lpwstr>Standard</vt:lpwstr>
  </property>
  <property fmtid="{D5CDD505-2E9C-101B-9397-08002B2CF9AE}" pid="10" name="MSIP_Label_e71a66cc-39e3-4bb4-bafe-5431a191be95_Name">
    <vt:lpwstr>General</vt:lpwstr>
  </property>
  <property fmtid="{D5CDD505-2E9C-101B-9397-08002B2CF9AE}" pid="11" name="MSIP_Label_e71a66cc-39e3-4bb4-bafe-5431a191be95_SiteId">
    <vt:lpwstr>2b857ea8-61e6-441f-92c0-727c4448d735</vt:lpwstr>
  </property>
  <property fmtid="{D5CDD505-2E9C-101B-9397-08002B2CF9AE}" pid="12" name="MSIP_Label_e71a66cc-39e3-4bb4-bafe-5431a191be95_ActionId">
    <vt:lpwstr>08a010d9-68f3-4319-b7bf-ba1d91a7efa1</vt:lpwstr>
  </property>
  <property fmtid="{D5CDD505-2E9C-101B-9397-08002B2CF9AE}" pid="13" name="MSIP_Label_e71a66cc-39e3-4bb4-bafe-5431a191be95_ContentBits">
    <vt:lpwstr>0</vt:lpwstr>
  </property>
  <property fmtid="{D5CDD505-2E9C-101B-9397-08002B2CF9AE}" pid="14" name="MediaServiceImageTags">
    <vt:lpwstr/>
  </property>
  <property fmtid="{D5CDD505-2E9C-101B-9397-08002B2CF9AE}" pid="15" name="MetaKeywords">
    <vt:lpwstr/>
  </property>
  <property fmtid="{D5CDD505-2E9C-101B-9397-08002B2CF9AE}" pid="16" name="MSIP_Label_027a3850-2850-457c-8efb-fdd5fa4d27d3_Enabled">
    <vt:lpwstr>true</vt:lpwstr>
  </property>
  <property fmtid="{D5CDD505-2E9C-101B-9397-08002B2CF9AE}" pid="17" name="MSIP_Label_027a3850-2850-457c-8efb-fdd5fa4d27d3_SetDate">
    <vt:lpwstr>2024-01-16T16:09:14Z</vt:lpwstr>
  </property>
  <property fmtid="{D5CDD505-2E9C-101B-9397-08002B2CF9AE}" pid="18" name="MSIP_Label_027a3850-2850-457c-8efb-fdd5fa4d27d3_Method">
    <vt:lpwstr>Standard</vt:lpwstr>
  </property>
  <property fmtid="{D5CDD505-2E9C-101B-9397-08002B2CF9AE}" pid="19" name="MSIP_Label_027a3850-2850-457c-8efb-fdd5fa4d27d3_Name">
    <vt:lpwstr>027a3850-2850-457c-8efb-fdd5fa4d27d3</vt:lpwstr>
  </property>
  <property fmtid="{D5CDD505-2E9C-101B-9397-08002B2CF9AE}" pid="20" name="MSIP_Label_027a3850-2850-457c-8efb-fdd5fa4d27d3_SiteId">
    <vt:lpwstr>7369e6ec-faa6-42fa-bc0e-4f332da5b1db</vt:lpwstr>
  </property>
  <property fmtid="{D5CDD505-2E9C-101B-9397-08002B2CF9AE}" pid="21" name="MSIP_Label_027a3850-2850-457c-8efb-fdd5fa4d27d3_ActionId">
    <vt:lpwstr>ecfe7bc8-fd53-4262-872e-649f800af00a</vt:lpwstr>
  </property>
  <property fmtid="{D5CDD505-2E9C-101B-9397-08002B2CF9AE}" pid="22" name="MSIP_Label_027a3850-2850-457c-8efb-fdd5fa4d27d3_ContentBits">
    <vt:lpwstr>0</vt:lpwstr>
  </property>
</Properties>
</file>