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EE1EAB" w:rsidRPr="00AD7D59" w14:paraId="20D19C38" w14:textId="77777777" w:rsidTr="00064792">
        <w:trPr>
          <w:trHeight w:val="709"/>
          <w:jc w:val="center"/>
        </w:trPr>
        <w:tc>
          <w:tcPr>
            <w:tcW w:w="5000" w:type="pct"/>
          </w:tcPr>
          <w:p w14:paraId="2D22F400" w14:textId="6C14541E" w:rsidR="00EE1EAB" w:rsidRPr="00AD7D59" w:rsidRDefault="00EE1EAB" w:rsidP="00064792">
            <w:pPr>
              <w:pStyle w:val="NoSpacing"/>
              <w:ind w:left="1418" w:right="1110"/>
              <w:jc w:val="center"/>
              <w:rPr>
                <w:rFonts w:ascii="Cambria" w:hAnsi="Cambria" w:cs="Cambria"/>
                <w:b/>
                <w:bCs/>
                <w:caps/>
                <w:lang w:val="en-GB"/>
              </w:rPr>
            </w:pPr>
            <w:r w:rsidRPr="00AD7D59">
              <w:rPr>
                <w:rFonts w:ascii="Cambria" w:hAnsi="Cambria" w:cs="Cambria"/>
                <w:b/>
                <w:bCs/>
                <w:caps/>
                <w:lang w:val="en-GB"/>
              </w:rPr>
              <w:t xml:space="preserve">LOCKton NORWAY AS  </w:t>
            </w:r>
          </w:p>
          <w:p w14:paraId="30F7785F" w14:textId="77777777" w:rsidR="00EE1EAB" w:rsidRPr="00AD7D59" w:rsidRDefault="00EE1EAB" w:rsidP="00064792">
            <w:pPr>
              <w:spacing w:after="0" w:line="240" w:lineRule="auto"/>
              <w:jc w:val="center"/>
              <w:rPr>
                <w:rFonts w:ascii="Cambria" w:eastAsia="Times New Roman" w:hAnsi="Cambria" w:cs="Cambria"/>
                <w:i/>
                <w:iCs/>
                <w:caps/>
              </w:rPr>
            </w:pPr>
          </w:p>
        </w:tc>
      </w:tr>
      <w:tr w:rsidR="00EE1EAB" w:rsidRPr="00AD7D59" w14:paraId="1886224B" w14:textId="77777777" w:rsidTr="00064792">
        <w:trPr>
          <w:trHeight w:val="1440"/>
          <w:jc w:val="center"/>
        </w:trPr>
        <w:tc>
          <w:tcPr>
            <w:tcW w:w="5000" w:type="pct"/>
            <w:tcBorders>
              <w:bottom w:val="single" w:sz="4" w:space="0" w:color="4F81BD"/>
            </w:tcBorders>
            <w:vAlign w:val="center"/>
          </w:tcPr>
          <w:p w14:paraId="2462E3AB" w14:textId="5AB1791B" w:rsidR="00EE1EAB" w:rsidRPr="00AD7D59" w:rsidRDefault="00D15E90" w:rsidP="00064792">
            <w:pPr>
              <w:spacing w:after="0" w:line="240" w:lineRule="auto"/>
              <w:jc w:val="center"/>
              <w:rPr>
                <w:rFonts w:ascii="Cambria" w:eastAsia="Times New Roman" w:hAnsi="Cambria" w:cs="Cambria"/>
                <w:sz w:val="48"/>
                <w:szCs w:val="80"/>
              </w:rPr>
            </w:pPr>
            <w:r w:rsidRPr="00AD7D59">
              <w:rPr>
                <w:rFonts w:ascii="Cambria" w:eastAsia="Times New Roman" w:hAnsi="Cambria" w:cs="Cambria"/>
                <w:sz w:val="48"/>
                <w:szCs w:val="80"/>
              </w:rPr>
              <w:t>Procedure for Compla</w:t>
            </w:r>
            <w:r w:rsidR="00E567D8">
              <w:rPr>
                <w:rFonts w:ascii="Cambria" w:eastAsia="Times New Roman" w:hAnsi="Cambria" w:cs="Cambria"/>
                <w:sz w:val="48"/>
                <w:szCs w:val="80"/>
              </w:rPr>
              <w:t>i</w:t>
            </w:r>
            <w:r w:rsidRPr="00AD7D59">
              <w:rPr>
                <w:rFonts w:ascii="Cambria" w:eastAsia="Times New Roman" w:hAnsi="Cambria" w:cs="Cambria"/>
                <w:sz w:val="48"/>
                <w:szCs w:val="80"/>
              </w:rPr>
              <w:t>nt Handling</w:t>
            </w:r>
          </w:p>
          <w:p w14:paraId="00C4CA00" w14:textId="77777777" w:rsidR="00EE1EAB" w:rsidRPr="00AD7D59" w:rsidRDefault="00EE1EAB" w:rsidP="00064792">
            <w:pPr>
              <w:spacing w:after="0" w:line="240" w:lineRule="auto"/>
              <w:jc w:val="center"/>
              <w:rPr>
                <w:rFonts w:ascii="Cambria" w:eastAsia="Times New Roman" w:hAnsi="Cambria" w:cs="Cambria"/>
                <w:sz w:val="56"/>
                <w:szCs w:val="40"/>
              </w:rPr>
            </w:pPr>
          </w:p>
        </w:tc>
      </w:tr>
    </w:tbl>
    <w:p w14:paraId="162348ED" w14:textId="76F6DCAE" w:rsidR="00A90B0C" w:rsidRPr="00AD7D59" w:rsidRDefault="008F0BA7" w:rsidP="00EE1EAB">
      <w:pPr>
        <w:pStyle w:val="Heading1"/>
        <w:numPr>
          <w:ilvl w:val="0"/>
          <w:numId w:val="1"/>
        </w:numPr>
        <w:ind w:left="567" w:hanging="567"/>
      </w:pPr>
      <w:bookmarkStart w:id="0" w:name="_Toc126240729"/>
      <w:r w:rsidRPr="00AD7D59">
        <w:t xml:space="preserve">Purpose and </w:t>
      </w:r>
      <w:r w:rsidR="00086139">
        <w:t>S</w:t>
      </w:r>
      <w:r w:rsidRPr="00AD7D59">
        <w:t>cope</w:t>
      </w:r>
      <w:bookmarkEnd w:id="0"/>
      <w:r w:rsidR="00EE1EAB" w:rsidRPr="00AD7D59">
        <w:t xml:space="preserve"> </w:t>
      </w:r>
      <w:r w:rsidRPr="00AD7D59">
        <w:t xml:space="preserve"> </w:t>
      </w:r>
    </w:p>
    <w:p w14:paraId="0BBC1551" w14:textId="435A9E62" w:rsidR="00D771B4" w:rsidRPr="00AD7D59" w:rsidRDefault="008F0BA7" w:rsidP="00D771B4">
      <w:r w:rsidRPr="00AD7D59">
        <w:t xml:space="preserve">The purpose of this procedure is to ensure equal treatment of complaints in Lockton Norway AS and to ensure that complaints are dealt with thoroughly, </w:t>
      </w:r>
      <w:proofErr w:type="gramStart"/>
      <w:r w:rsidRPr="00AD7D59">
        <w:t>correctly</w:t>
      </w:r>
      <w:proofErr w:type="gramEnd"/>
      <w:r w:rsidRPr="00AD7D59">
        <w:t xml:space="preserve"> and fairly in line with</w:t>
      </w:r>
      <w:r w:rsidR="00086139">
        <w:t xml:space="preserve"> </w:t>
      </w:r>
      <w:r w:rsidRPr="00AD7D59">
        <w:t>legal requirements and the company's philosophy.</w:t>
      </w:r>
    </w:p>
    <w:p w14:paraId="49675F2E" w14:textId="18E8A84C" w:rsidR="00A90B0C" w:rsidRPr="00AD7D59" w:rsidRDefault="00202D56" w:rsidP="004848D7">
      <w:pPr>
        <w:pStyle w:val="Heading1"/>
        <w:numPr>
          <w:ilvl w:val="0"/>
          <w:numId w:val="1"/>
        </w:numPr>
        <w:ind w:left="567" w:hanging="567"/>
      </w:pPr>
      <w:bookmarkStart w:id="1" w:name="_Toc126240730"/>
      <w:r w:rsidRPr="00AD7D59">
        <w:t xml:space="preserve">Legal and </w:t>
      </w:r>
      <w:r w:rsidR="00086139">
        <w:t>R</w:t>
      </w:r>
      <w:r w:rsidRPr="00AD7D59">
        <w:t xml:space="preserve">egulatory </w:t>
      </w:r>
      <w:r w:rsidR="00086139">
        <w:t>R</w:t>
      </w:r>
      <w:r w:rsidRPr="00AD7D59">
        <w:t>equi</w:t>
      </w:r>
      <w:r w:rsidR="00744F12" w:rsidRPr="00AD7D59">
        <w:t>r</w:t>
      </w:r>
      <w:r w:rsidRPr="00AD7D59">
        <w:t>ements</w:t>
      </w:r>
      <w:bookmarkEnd w:id="1"/>
    </w:p>
    <w:p w14:paraId="5B037CE1" w14:textId="41357EF8" w:rsidR="004848D7" w:rsidRPr="00AD7D59" w:rsidRDefault="00F56D1F">
      <w:r w:rsidRPr="00AD7D59">
        <w:t>The legal and regulatory requirements for complaint handling are set out in:</w:t>
      </w:r>
    </w:p>
    <w:p w14:paraId="6D276DA9" w14:textId="142E4764" w:rsidR="00A90B0C" w:rsidRPr="00AD7D59" w:rsidRDefault="00E922CA" w:rsidP="00BF20B6">
      <w:pPr>
        <w:pStyle w:val="ListParagraph"/>
        <w:numPr>
          <w:ilvl w:val="0"/>
          <w:numId w:val="2"/>
        </w:numPr>
        <w:ind w:left="567" w:hanging="283"/>
      </w:pPr>
      <w:r>
        <w:t xml:space="preserve">The </w:t>
      </w:r>
      <w:r w:rsidR="00F56D1F" w:rsidRPr="00AD7D59">
        <w:t xml:space="preserve">Insurance Distribution Act Section </w:t>
      </w:r>
      <w:r w:rsidR="00A90B0C" w:rsidRPr="00AD7D59">
        <w:t>9-2 «</w:t>
      </w:r>
      <w:r w:rsidR="00F56D1F" w:rsidRPr="00AD7D59">
        <w:t xml:space="preserve">Insurance distribution companies must have routines to ensure that complaints from customers or other affected parties are handled in a proper </w:t>
      </w:r>
      <w:proofErr w:type="gramStart"/>
      <w:r w:rsidR="00F56D1F" w:rsidRPr="00AD7D59">
        <w:t>manner</w:t>
      </w:r>
      <w:r w:rsidR="00A90B0C" w:rsidRPr="00AD7D59">
        <w:t>.»</w:t>
      </w:r>
      <w:proofErr w:type="gramEnd"/>
      <w:r w:rsidR="00BF20B6" w:rsidRPr="00AD7D59">
        <w:t xml:space="preserve"> </w:t>
      </w:r>
      <w:hyperlink r:id="rId5" w:history="1">
        <w:r w:rsidR="001060C7" w:rsidRPr="00AD7D59">
          <w:rPr>
            <w:rStyle w:val="Hyperlink"/>
          </w:rPr>
          <w:t>lovdata.no/</w:t>
        </w:r>
        <w:proofErr w:type="spellStart"/>
        <w:r w:rsidR="001060C7" w:rsidRPr="00AD7D59">
          <w:rPr>
            <w:rStyle w:val="Hyperlink"/>
          </w:rPr>
          <w:t>forsikringsformidlingsloven</w:t>
        </w:r>
        <w:proofErr w:type="spellEnd"/>
      </w:hyperlink>
      <w:r w:rsidR="00F56D1F" w:rsidRPr="00AD7D59">
        <w:rPr>
          <w:rStyle w:val="Hyperlink"/>
        </w:rPr>
        <w:t xml:space="preserve"> </w:t>
      </w:r>
      <w:r w:rsidR="00F56D1F" w:rsidRPr="00AD7D59">
        <w:t>(Norwegian only)</w:t>
      </w:r>
    </w:p>
    <w:p w14:paraId="335DA576" w14:textId="23FB0A9E" w:rsidR="00A749E0" w:rsidRPr="00AD7D59" w:rsidRDefault="00083CE3" w:rsidP="00BF20B6">
      <w:pPr>
        <w:pStyle w:val="ListParagraph"/>
        <w:numPr>
          <w:ilvl w:val="0"/>
          <w:numId w:val="2"/>
        </w:numPr>
        <w:ind w:left="567" w:hanging="283"/>
      </w:pPr>
      <w:r w:rsidRPr="00AD7D59">
        <w:t>Circular</w:t>
      </w:r>
      <w:r w:rsidR="00A749E0" w:rsidRPr="00AD7D59">
        <w:t xml:space="preserve"> 4/2019 </w:t>
      </w:r>
      <w:r w:rsidR="00744F12" w:rsidRPr="00AD7D59">
        <w:t>from The Financial Supervisory Authority of Norway (</w:t>
      </w:r>
      <w:proofErr w:type="spellStart"/>
      <w:r w:rsidR="00744F12" w:rsidRPr="00AD7D59">
        <w:t>Finanstilsynet</w:t>
      </w:r>
      <w:proofErr w:type="spellEnd"/>
      <w:r w:rsidR="00744F12" w:rsidRPr="00AD7D59">
        <w:t xml:space="preserve">) </w:t>
      </w:r>
      <w:r w:rsidRPr="00AD7D59">
        <w:t xml:space="preserve">Guidelines for handling complaints in banking, finance, insurance and securities business </w:t>
      </w:r>
      <w:hyperlink r:id="rId6" w:anchor="I%C2%A0Retningslinjene%20gjeld%20for%20desse%20verksemdene" w:history="1">
        <w:r w:rsidR="001060C7" w:rsidRPr="00AD7D59">
          <w:rPr>
            <w:rStyle w:val="Hyperlink"/>
          </w:rPr>
          <w:t>finanstilsynet.no/rundskriv/2019/retningslinjer-for-klagebehandling</w:t>
        </w:r>
      </w:hyperlink>
      <w:r w:rsidR="00A749E0" w:rsidRPr="00AD7D59">
        <w:t xml:space="preserve"> </w:t>
      </w:r>
      <w:r w:rsidRPr="00AD7D59">
        <w:t>(Norwegian only)</w:t>
      </w:r>
    </w:p>
    <w:p w14:paraId="4322AE99" w14:textId="2FCCC875" w:rsidR="004848D7" w:rsidRPr="00AD7D59" w:rsidRDefault="004848D7" w:rsidP="00BF20B6">
      <w:pPr>
        <w:pStyle w:val="ListParagraph"/>
        <w:numPr>
          <w:ilvl w:val="0"/>
          <w:numId w:val="2"/>
        </w:numPr>
        <w:ind w:left="567" w:hanging="283"/>
      </w:pPr>
      <w:r w:rsidRPr="00AD7D59">
        <w:t>EIOPA Guidelines on complaints</w:t>
      </w:r>
      <w:r w:rsidR="00887E75" w:rsidRPr="00AD7D59">
        <w:t xml:space="preserve"> </w:t>
      </w:r>
      <w:r w:rsidRPr="00AD7D59">
        <w:t xml:space="preserve">handling by insurance </w:t>
      </w:r>
      <w:proofErr w:type="gramStart"/>
      <w:r w:rsidRPr="00AD7D59">
        <w:t>intermediaries</w:t>
      </w:r>
      <w:proofErr w:type="gramEnd"/>
      <w:r w:rsidRPr="00AD7D59">
        <w:t xml:space="preserve"> </w:t>
      </w:r>
    </w:p>
    <w:p w14:paraId="4FA6BB0B" w14:textId="6273EAC3" w:rsidR="004848D7" w:rsidRPr="00AD7D59" w:rsidRDefault="00280A0E" w:rsidP="00BF20B6">
      <w:pPr>
        <w:pStyle w:val="ListParagraph"/>
        <w:ind w:left="567"/>
      </w:pPr>
      <w:hyperlink r:id="rId7" w:history="1">
        <w:r w:rsidR="004848D7" w:rsidRPr="00AD7D59">
          <w:rPr>
            <w:rStyle w:val="Hyperlink"/>
          </w:rPr>
          <w:t xml:space="preserve">Guidelines on complaints-handling by insurance intermediaries </w:t>
        </w:r>
      </w:hyperlink>
      <w:r w:rsidR="004848D7" w:rsidRPr="00AD7D59">
        <w:t xml:space="preserve"> </w:t>
      </w:r>
    </w:p>
    <w:p w14:paraId="045103EA" w14:textId="449DD79C" w:rsidR="00B43DB1" w:rsidRPr="00AD7D59" w:rsidRDefault="00B43DB1" w:rsidP="00B43DB1">
      <w:r w:rsidRPr="00AD7D59">
        <w:t>Relevant intern</w:t>
      </w:r>
      <w:r w:rsidR="00083CE3" w:rsidRPr="00AD7D59">
        <w:t>al</w:t>
      </w:r>
      <w:r w:rsidRPr="00AD7D59">
        <w:t xml:space="preserve"> polic</w:t>
      </w:r>
      <w:r w:rsidR="00083CE3" w:rsidRPr="00AD7D59">
        <w:t>ies an</w:t>
      </w:r>
      <w:r w:rsidR="0047732C" w:rsidRPr="00AD7D59">
        <w:t>d</w:t>
      </w:r>
      <w:r w:rsidR="00083CE3" w:rsidRPr="00AD7D59">
        <w:t xml:space="preserve"> </w:t>
      </w:r>
      <w:r w:rsidR="0047732C" w:rsidRPr="00AD7D59">
        <w:t>procedures</w:t>
      </w:r>
      <w:r w:rsidRPr="00AD7D59">
        <w:t>:</w:t>
      </w:r>
    </w:p>
    <w:p w14:paraId="14021D73" w14:textId="36E8273B" w:rsidR="00B43DB1" w:rsidRPr="00AD7D59" w:rsidRDefault="00B43DB1" w:rsidP="00B43DB1">
      <w:pPr>
        <w:pStyle w:val="ListParagraph"/>
        <w:numPr>
          <w:ilvl w:val="0"/>
          <w:numId w:val="5"/>
        </w:numPr>
      </w:pPr>
      <w:r w:rsidRPr="00AD7D59">
        <w:t>Lockton</w:t>
      </w:r>
      <w:r w:rsidR="0047732C" w:rsidRPr="00AD7D59">
        <w:t>’</w:t>
      </w:r>
      <w:r w:rsidRPr="00AD7D59">
        <w:t xml:space="preserve">s Error &amp; Omissions Avoidance Guidelines. </w:t>
      </w:r>
    </w:p>
    <w:p w14:paraId="7175AB81" w14:textId="725D5D66" w:rsidR="00A749E0" w:rsidRPr="00AD7D59" w:rsidRDefault="0047732C" w:rsidP="00A749E0">
      <w:pPr>
        <w:pStyle w:val="Heading1"/>
        <w:numPr>
          <w:ilvl w:val="0"/>
          <w:numId w:val="1"/>
        </w:numPr>
        <w:ind w:left="567" w:hanging="567"/>
      </w:pPr>
      <w:bookmarkStart w:id="2" w:name="_Toc126240731"/>
      <w:r w:rsidRPr="00AD7D59">
        <w:t>Complaint Handling</w:t>
      </w:r>
      <w:bookmarkEnd w:id="2"/>
    </w:p>
    <w:p w14:paraId="76C81D33" w14:textId="60E027D5" w:rsidR="00BF20B6" w:rsidRPr="00AD7D59" w:rsidRDefault="001E7869" w:rsidP="00FD2160">
      <w:pPr>
        <w:pStyle w:val="Heading2"/>
        <w:numPr>
          <w:ilvl w:val="1"/>
          <w:numId w:val="1"/>
        </w:numPr>
      </w:pPr>
      <w:bookmarkStart w:id="3" w:name="_Toc126240732"/>
      <w:r w:rsidRPr="00AD7D59">
        <w:t>Receipt</w:t>
      </w:r>
      <w:r w:rsidR="0047732C" w:rsidRPr="00AD7D59">
        <w:t xml:space="preserve"> of Compla</w:t>
      </w:r>
      <w:r w:rsidR="00587992">
        <w:t>i</w:t>
      </w:r>
      <w:r w:rsidR="0047732C" w:rsidRPr="00AD7D59">
        <w:t>nt</w:t>
      </w:r>
      <w:bookmarkEnd w:id="3"/>
    </w:p>
    <w:p w14:paraId="59369E3C" w14:textId="03755A88" w:rsidR="00887E75" w:rsidRPr="00AD7D59" w:rsidRDefault="0047732C" w:rsidP="00BF20B6">
      <w:r w:rsidRPr="00AD7D59">
        <w:t>The company has set up an e-mail address</w:t>
      </w:r>
      <w:r w:rsidR="00BF20B6" w:rsidRPr="00AD7D59">
        <w:t xml:space="preserve"> </w:t>
      </w:r>
      <w:hyperlink r:id="rId8" w:history="1">
        <w:r w:rsidR="00587992" w:rsidRPr="00E811EB">
          <w:rPr>
            <w:rStyle w:val="Hyperlink"/>
          </w:rPr>
          <w:t>complaints.no@lockton.com</w:t>
        </w:r>
      </w:hyperlink>
      <w:r w:rsidR="00587992">
        <w:t xml:space="preserve"> </w:t>
      </w:r>
      <w:r w:rsidRPr="00AD7D59">
        <w:t xml:space="preserve">which customers </w:t>
      </w:r>
      <w:r w:rsidR="00587992">
        <w:t xml:space="preserve">and other affected parties </w:t>
      </w:r>
      <w:r w:rsidRPr="00AD7D59">
        <w:t>can send complaints to</w:t>
      </w:r>
      <w:r w:rsidR="001744E3" w:rsidRPr="00AD7D59">
        <w:t>.</w:t>
      </w:r>
      <w:r w:rsidRPr="00AD7D59">
        <w:t xml:space="preserve"> </w:t>
      </w:r>
      <w:r w:rsidR="001744E3" w:rsidRPr="00AD7D59">
        <w:t>This e-mail address also appears in the company's service agreement (marine: business principles) which is sent to all customers. The Chief Compliance Officer and Chief Executive Officer (CEO) have access to this</w:t>
      </w:r>
      <w:r w:rsidR="00BF20B6" w:rsidRPr="00AD7D59">
        <w:t xml:space="preserve">. </w:t>
      </w:r>
    </w:p>
    <w:p w14:paraId="4E2647F7" w14:textId="3886A158" w:rsidR="00FF5E4E" w:rsidRPr="00AD7D59" w:rsidRDefault="001744E3" w:rsidP="00BF20B6">
      <w:r w:rsidRPr="00AD7D59">
        <w:t>If an employee receives a complaint to their personal e-mail address, the Chief Compliance Officer and CEO must be informed as soon as possible</w:t>
      </w:r>
      <w:r w:rsidR="00BF20B6" w:rsidRPr="00AD7D59">
        <w:t>.</w:t>
      </w:r>
      <w:r w:rsidR="00FD2160" w:rsidRPr="00AD7D59">
        <w:t xml:space="preserve"> </w:t>
      </w:r>
    </w:p>
    <w:p w14:paraId="3D4D9A9B" w14:textId="6BF0E6F3" w:rsidR="00887E75" w:rsidRPr="00AD7D59" w:rsidRDefault="001744E3" w:rsidP="00887E75">
      <w:pPr>
        <w:pStyle w:val="Heading2"/>
        <w:numPr>
          <w:ilvl w:val="1"/>
          <w:numId w:val="1"/>
        </w:numPr>
      </w:pPr>
      <w:bookmarkStart w:id="4" w:name="_Toc126240733"/>
      <w:r w:rsidRPr="00AD7D59">
        <w:t xml:space="preserve">Assessment of </w:t>
      </w:r>
      <w:r w:rsidR="00544523">
        <w:t>C</w:t>
      </w:r>
      <w:r w:rsidRPr="00AD7D59">
        <w:t>ompla</w:t>
      </w:r>
      <w:r w:rsidR="00587992">
        <w:t>i</w:t>
      </w:r>
      <w:r w:rsidRPr="00AD7D59">
        <w:t>nt</w:t>
      </w:r>
      <w:bookmarkEnd w:id="4"/>
    </w:p>
    <w:p w14:paraId="7613E970" w14:textId="06976370" w:rsidR="00E673E5" w:rsidRPr="00AD7D59" w:rsidRDefault="001744E3" w:rsidP="00BF20B6">
      <w:r w:rsidRPr="00AD7D59">
        <w:t>The Chief Compliance Officer shall, as soon as possible after receiving a complaint, initiate a meeting with the person/those responsible for the matter to which the complaint relates and the CEO. In advance of the meeting, the responsible insurance intermediary must collect all relevant information and evidence (including correspondence) to ensure a comprehensive assessment of the complaint</w:t>
      </w:r>
      <w:r w:rsidR="00FD2160" w:rsidRPr="00AD7D59">
        <w:t xml:space="preserve">. </w:t>
      </w:r>
    </w:p>
    <w:p w14:paraId="5F8E1110" w14:textId="194746EA" w:rsidR="00FD2160" w:rsidRPr="00AD7D59" w:rsidRDefault="00162B0A" w:rsidP="00BF20B6">
      <w:r w:rsidRPr="00AD7D59">
        <w:t>In the meeting, the following points must be considered</w:t>
      </w:r>
      <w:r w:rsidR="00FD2160" w:rsidRPr="00AD7D59">
        <w:t>:</w:t>
      </w:r>
    </w:p>
    <w:p w14:paraId="6B404B66" w14:textId="5FCFE722" w:rsidR="003236A4" w:rsidRPr="00AD7D59" w:rsidRDefault="009A6A23" w:rsidP="00FD2160">
      <w:pPr>
        <w:pStyle w:val="ListParagraph"/>
        <w:numPr>
          <w:ilvl w:val="0"/>
          <w:numId w:val="3"/>
        </w:numPr>
      </w:pPr>
      <w:r w:rsidRPr="00AD7D59">
        <w:lastRenderedPageBreak/>
        <w:t xml:space="preserve">The content of the complaint and the customer's possible claims, including possible financial </w:t>
      </w:r>
      <w:r w:rsidR="00587992">
        <w:t>and/</w:t>
      </w:r>
      <w:r w:rsidRPr="00AD7D59">
        <w:t>or other consequences for the customer, financial and/or reputational consequences for Lockton Norway</w:t>
      </w:r>
      <w:r w:rsidR="003236A4" w:rsidRPr="00AD7D59">
        <w:t>.</w:t>
      </w:r>
    </w:p>
    <w:p w14:paraId="1A18C39C" w14:textId="4438E33C" w:rsidR="005A6A4C" w:rsidRPr="00AD7D59" w:rsidRDefault="009A6A23" w:rsidP="00FD2160">
      <w:pPr>
        <w:pStyle w:val="ListParagraph"/>
        <w:numPr>
          <w:ilvl w:val="0"/>
          <w:numId w:val="3"/>
        </w:numPr>
      </w:pPr>
      <w:r w:rsidRPr="00AD7D59">
        <w:t>If there is a need for immediate measures, including notification in accordance with Lockton's Error &amp; Omissions Avoidance Guidelines.</w:t>
      </w:r>
    </w:p>
    <w:p w14:paraId="697FF605" w14:textId="12248B46" w:rsidR="00A749E0" w:rsidRPr="00AD7D59" w:rsidRDefault="009A6A23" w:rsidP="00FD2160">
      <w:pPr>
        <w:pStyle w:val="ListParagraph"/>
        <w:numPr>
          <w:ilvl w:val="0"/>
          <w:numId w:val="3"/>
        </w:numPr>
      </w:pPr>
      <w:r w:rsidRPr="00AD7D59">
        <w:t xml:space="preserve">Is Lockton Norway the right recipient of the complaint? If this is not the case, the responsible insurance intermediary must, as soon as possible after the meeting, inform the customer of this </w:t>
      </w:r>
      <w:r w:rsidR="00E21EAF" w:rsidRPr="00AD7D59">
        <w:t>and</w:t>
      </w:r>
      <w:r w:rsidRPr="00AD7D59">
        <w:t xml:space="preserve"> as far as possible, guide them as to who the correct recipient is</w:t>
      </w:r>
      <w:r w:rsidR="00544523" w:rsidRPr="00AD7D59">
        <w:t xml:space="preserve">. </w:t>
      </w:r>
      <w:r w:rsidR="00FD2160" w:rsidRPr="00AD7D59">
        <w:t xml:space="preserve"> </w:t>
      </w:r>
    </w:p>
    <w:p w14:paraId="32445541" w14:textId="4EAFFDCD" w:rsidR="00FD2160" w:rsidRPr="00AD7D59" w:rsidRDefault="00E21EAF" w:rsidP="00FD2160">
      <w:pPr>
        <w:pStyle w:val="ListParagraph"/>
        <w:numPr>
          <w:ilvl w:val="0"/>
          <w:numId w:val="3"/>
        </w:numPr>
      </w:pPr>
      <w:r w:rsidRPr="00AD7D59">
        <w:t>Are there potential conflicts of interest</w:t>
      </w:r>
      <w:r w:rsidR="00FD2160" w:rsidRPr="00AD7D59">
        <w:t xml:space="preserve">? </w:t>
      </w:r>
    </w:p>
    <w:p w14:paraId="0C378902" w14:textId="51908E83" w:rsidR="00887E75" w:rsidRPr="00AD7D59" w:rsidRDefault="00E21EAF" w:rsidP="00887E75">
      <w:pPr>
        <w:pStyle w:val="ListParagraph"/>
        <w:numPr>
          <w:ilvl w:val="0"/>
          <w:numId w:val="3"/>
        </w:numPr>
      </w:pPr>
      <w:r w:rsidRPr="00AD7D59">
        <w:t xml:space="preserve">Whether there is a need for external </w:t>
      </w:r>
      <w:r w:rsidR="00E567D8" w:rsidRPr="00AD7D59">
        <w:t>reporting or</w:t>
      </w:r>
      <w:r w:rsidRPr="00AD7D59">
        <w:t xml:space="preserve"> reporting to the board</w:t>
      </w:r>
      <w:r w:rsidR="00544523" w:rsidRPr="00AD7D59">
        <w:t xml:space="preserve">. </w:t>
      </w:r>
    </w:p>
    <w:p w14:paraId="421744B6" w14:textId="14534660" w:rsidR="00403528" w:rsidRPr="00AD7D59" w:rsidRDefault="00AD6158" w:rsidP="00FD2160">
      <w:pPr>
        <w:pStyle w:val="ListParagraph"/>
        <w:numPr>
          <w:ilvl w:val="0"/>
          <w:numId w:val="3"/>
        </w:numPr>
      </w:pPr>
      <w:r w:rsidRPr="00AD7D59">
        <w:t>Is there a need to obtain further evidence and information regarding the complaint</w:t>
      </w:r>
      <w:r w:rsidR="00403528" w:rsidRPr="00AD7D59">
        <w:t>?</w:t>
      </w:r>
    </w:p>
    <w:p w14:paraId="4AEA1BBA" w14:textId="7244F5DF" w:rsidR="008F2FF2" w:rsidRPr="00AD7D59" w:rsidRDefault="00AD6158" w:rsidP="00FD2160">
      <w:pPr>
        <w:pStyle w:val="ListParagraph"/>
        <w:numPr>
          <w:ilvl w:val="0"/>
          <w:numId w:val="3"/>
        </w:numPr>
      </w:pPr>
      <w:r w:rsidRPr="00AD7D59">
        <w:t>How can the error to which the complaint relates be rectified</w:t>
      </w:r>
      <w:r w:rsidR="008F2FF2" w:rsidRPr="00AD7D59">
        <w:t xml:space="preserve">? </w:t>
      </w:r>
    </w:p>
    <w:p w14:paraId="440606FE" w14:textId="5CEB6EB2" w:rsidR="00E25E76" w:rsidRPr="00AD7D59" w:rsidRDefault="00AD6158" w:rsidP="00FD2160">
      <w:pPr>
        <w:pStyle w:val="ListParagraph"/>
        <w:numPr>
          <w:ilvl w:val="0"/>
          <w:numId w:val="3"/>
        </w:numPr>
      </w:pPr>
      <w:r w:rsidRPr="00AD7D59">
        <w:t>If no error has been identified, is there a need to provide guidance to the customer</w:t>
      </w:r>
      <w:r w:rsidR="00E25E76" w:rsidRPr="00AD7D59">
        <w:t>?</w:t>
      </w:r>
    </w:p>
    <w:p w14:paraId="3F04C341" w14:textId="5D7BD2D4" w:rsidR="008F2FF2" w:rsidRPr="00AD7D59" w:rsidRDefault="00AD6158" w:rsidP="00FD2160">
      <w:pPr>
        <w:pStyle w:val="ListParagraph"/>
        <w:numPr>
          <w:ilvl w:val="0"/>
          <w:numId w:val="3"/>
        </w:numPr>
      </w:pPr>
      <w:r w:rsidRPr="00AD7D59">
        <w:t xml:space="preserve">Is there a need to inform external parties, </w:t>
      </w:r>
      <w:proofErr w:type="gramStart"/>
      <w:r w:rsidRPr="00AD7D59">
        <w:t>e.g.</w:t>
      </w:r>
      <w:proofErr w:type="gramEnd"/>
      <w:r w:rsidRPr="00AD7D59">
        <w:t xml:space="preserve"> the insurance company</w:t>
      </w:r>
      <w:r w:rsidR="008F2FF2" w:rsidRPr="00AD7D59">
        <w:t xml:space="preserve">? </w:t>
      </w:r>
    </w:p>
    <w:p w14:paraId="536618E2" w14:textId="6F8F3536" w:rsidR="00012359" w:rsidRPr="00AD7D59" w:rsidRDefault="00AD6158" w:rsidP="00FD2160">
      <w:pPr>
        <w:pStyle w:val="ListParagraph"/>
        <w:numPr>
          <w:ilvl w:val="0"/>
          <w:numId w:val="3"/>
        </w:numPr>
      </w:pPr>
      <w:r w:rsidRPr="00AD7D59">
        <w:t>Will we be able to give the customer a final response within 15 working days, or is there a need for a temporary response? See section 3.4 (Deadlines)</w:t>
      </w:r>
      <w:r w:rsidR="00012359" w:rsidRPr="00AD7D59">
        <w:t>.</w:t>
      </w:r>
    </w:p>
    <w:p w14:paraId="36353A68" w14:textId="338A1A8C" w:rsidR="00403528" w:rsidRPr="00AD7D59" w:rsidRDefault="00AD6158" w:rsidP="00FD2160">
      <w:pPr>
        <w:pStyle w:val="ListParagraph"/>
        <w:numPr>
          <w:ilvl w:val="0"/>
          <w:numId w:val="3"/>
        </w:numPr>
      </w:pPr>
      <w:r w:rsidRPr="00AD7D59">
        <w:t>If we do not manage the 15-day deadline, how long do we expect the complaint processing to take? See section 3.4 (Deadlines)</w:t>
      </w:r>
      <w:r w:rsidR="00403528" w:rsidRPr="00AD7D59">
        <w:t xml:space="preserve">. </w:t>
      </w:r>
    </w:p>
    <w:p w14:paraId="4E6555AB" w14:textId="5EFDF09B" w:rsidR="00012359" w:rsidRPr="00AD7D59" w:rsidRDefault="00AD6158" w:rsidP="00FD2160">
      <w:pPr>
        <w:pStyle w:val="ListParagraph"/>
        <w:numPr>
          <w:ilvl w:val="0"/>
          <w:numId w:val="3"/>
        </w:numPr>
      </w:pPr>
      <w:r w:rsidRPr="00AD7D59">
        <w:t xml:space="preserve">Who </w:t>
      </w:r>
      <w:r w:rsidR="008F2FD5" w:rsidRPr="00AD7D59">
        <w:t>will write the response to the customer</w:t>
      </w:r>
      <w:r w:rsidR="00012359" w:rsidRPr="00AD7D59">
        <w:t>?</w:t>
      </w:r>
    </w:p>
    <w:p w14:paraId="61E7C4A1" w14:textId="2423F8F5" w:rsidR="00FD2160" w:rsidRPr="00AD7D59" w:rsidRDefault="008F2FD5" w:rsidP="00403528">
      <w:r w:rsidRPr="00AD7D59">
        <w:t>If there is a need for further meetings, the Chief Compliance Officer will follow this up</w:t>
      </w:r>
      <w:r w:rsidR="00403528" w:rsidRPr="00AD7D59">
        <w:t xml:space="preserve">. </w:t>
      </w:r>
    </w:p>
    <w:p w14:paraId="41C25D03" w14:textId="1E9BBC1E" w:rsidR="00012359" w:rsidRPr="00AD7D59" w:rsidRDefault="008F2FD5" w:rsidP="00403528">
      <w:r w:rsidRPr="00AD7D59">
        <w:t>Decisions that do not fully support the complainant must be justified in writing, include any guidance to the complainant and provide information about the possibility of bringing the case before the Complaints Board for Insurance and Reinsurance Brokerage Business</w:t>
      </w:r>
      <w:r w:rsidR="00544523">
        <w:t xml:space="preserve"> (Norwegian: </w:t>
      </w:r>
      <w:proofErr w:type="spellStart"/>
      <w:r w:rsidR="00544523" w:rsidRPr="00544523">
        <w:t>Klagenemnda</w:t>
      </w:r>
      <w:proofErr w:type="spellEnd"/>
      <w:r w:rsidR="00544523" w:rsidRPr="00544523">
        <w:t xml:space="preserve"> for </w:t>
      </w:r>
      <w:proofErr w:type="spellStart"/>
      <w:r w:rsidR="00544523" w:rsidRPr="00544523">
        <w:t>forsikrings</w:t>
      </w:r>
      <w:proofErr w:type="spellEnd"/>
      <w:r w:rsidR="00544523" w:rsidRPr="00544523">
        <w:t xml:space="preserve">- og </w:t>
      </w:r>
      <w:proofErr w:type="spellStart"/>
      <w:r w:rsidR="00544523" w:rsidRPr="00544523">
        <w:t>gjenforsikringsmeglingsvirksomhet</w:t>
      </w:r>
      <w:proofErr w:type="spellEnd"/>
      <w:r w:rsidR="00544523">
        <w:t>)</w:t>
      </w:r>
      <w:r w:rsidR="00012359" w:rsidRPr="00AD7D59">
        <w:t>.</w:t>
      </w:r>
      <w:r w:rsidR="00E25E76" w:rsidRPr="00AD7D59">
        <w:t xml:space="preserve"> </w:t>
      </w:r>
    </w:p>
    <w:p w14:paraId="363BF8B6" w14:textId="4F27A42D" w:rsidR="00FD2160" w:rsidRPr="00AD7D59" w:rsidRDefault="008F2FD5" w:rsidP="00FD2160">
      <w:pPr>
        <w:pStyle w:val="Heading2"/>
        <w:numPr>
          <w:ilvl w:val="1"/>
          <w:numId w:val="1"/>
        </w:numPr>
      </w:pPr>
      <w:bookmarkStart w:id="5" w:name="_Toc126240734"/>
      <w:r w:rsidRPr="00AD7D59">
        <w:t>Communication</w:t>
      </w:r>
      <w:bookmarkEnd w:id="5"/>
    </w:p>
    <w:p w14:paraId="4E441E49" w14:textId="14EAEF79" w:rsidR="00A749E0" w:rsidRPr="00AD7D59" w:rsidRDefault="008F2FD5" w:rsidP="00FD2160">
      <w:r w:rsidRPr="00AD7D59">
        <w:t xml:space="preserve">All communication about the complaint must be in writing (e-mail is permitted) and in clear and unambiguous language, with as little use of </w:t>
      </w:r>
      <w:r w:rsidR="00544523">
        <w:t>business jargon</w:t>
      </w:r>
      <w:r w:rsidRPr="00AD7D59">
        <w:t xml:space="preserve"> as possible. Verbal discussions with the customer must be followed up with a </w:t>
      </w:r>
      <w:r w:rsidR="00544523">
        <w:t xml:space="preserve">written </w:t>
      </w:r>
      <w:r w:rsidRPr="00AD7D59">
        <w:t>note that is shared with the customer by e-mail</w:t>
      </w:r>
      <w:r w:rsidR="00F969C3" w:rsidRPr="00AD7D59">
        <w:t>.</w:t>
      </w:r>
    </w:p>
    <w:p w14:paraId="575C23F9" w14:textId="438D3569" w:rsidR="00403528" w:rsidRPr="00AD7D59" w:rsidRDefault="00BC743B" w:rsidP="00FB1343">
      <w:pPr>
        <w:pStyle w:val="Heading2"/>
        <w:numPr>
          <w:ilvl w:val="1"/>
          <w:numId w:val="1"/>
        </w:numPr>
      </w:pPr>
      <w:bookmarkStart w:id="6" w:name="_Toc126240735"/>
      <w:r w:rsidRPr="00AD7D59">
        <w:t>Filing of Documentation</w:t>
      </w:r>
      <w:bookmarkEnd w:id="6"/>
    </w:p>
    <w:p w14:paraId="6A6718FD" w14:textId="711D4B09" w:rsidR="00BC743B" w:rsidRPr="00AD7D59" w:rsidRDefault="00BC743B" w:rsidP="00BC743B">
      <w:r w:rsidRPr="00AD7D59">
        <w:t>All documentation, including important correspondence with the customer, must be stored in the customer folder in the company drive. The documentation is our most important defence in the event of a complaint.</w:t>
      </w:r>
    </w:p>
    <w:p w14:paraId="3B06F89F" w14:textId="1036A244" w:rsidR="00FB1343" w:rsidRPr="00AD7D59" w:rsidRDefault="00BC743B" w:rsidP="00BC743B">
      <w:r w:rsidRPr="00AD7D59">
        <w:t>All documentation relating to the complaint must be kept for five years after the complaint has been processed</w:t>
      </w:r>
      <w:r w:rsidR="00344CCC" w:rsidRPr="00AD7D59">
        <w:t xml:space="preserve">. </w:t>
      </w:r>
    </w:p>
    <w:p w14:paraId="513EF82E" w14:textId="48936CD0" w:rsidR="00A749E0" w:rsidRPr="00AD7D59" w:rsidRDefault="00BC743B" w:rsidP="008F2FF2">
      <w:pPr>
        <w:pStyle w:val="Heading2"/>
        <w:numPr>
          <w:ilvl w:val="1"/>
          <w:numId w:val="1"/>
        </w:numPr>
      </w:pPr>
      <w:bookmarkStart w:id="7" w:name="_Toc126240736"/>
      <w:r w:rsidRPr="00AD7D59">
        <w:t>Deadlines</w:t>
      </w:r>
      <w:bookmarkEnd w:id="7"/>
    </w:p>
    <w:p w14:paraId="58BCAA2E" w14:textId="3B5D8296" w:rsidR="00AC5276" w:rsidRPr="00AD7D59" w:rsidRDefault="00AC5276" w:rsidP="00AC5276">
      <w:r w:rsidRPr="00AD7D59">
        <w:t>The customer must receive a final response to the complaint without unnecessary delay and as a main rule within 15 working days.</w:t>
      </w:r>
    </w:p>
    <w:p w14:paraId="732EE7CF" w14:textId="6F5FC152" w:rsidR="00A749E0" w:rsidRPr="00AD7D59" w:rsidRDefault="00AC5276" w:rsidP="00AC5276">
      <w:r w:rsidRPr="00AD7D59">
        <w:t>Where it is not possible to give a final answer to the complaint</w:t>
      </w:r>
      <w:r w:rsidR="00744F12" w:rsidRPr="00AD7D59">
        <w:t xml:space="preserve"> within 15 days</w:t>
      </w:r>
      <w:r w:rsidRPr="00AD7D59">
        <w:t xml:space="preserve">, we must give the customer a temporary response </w:t>
      </w:r>
      <w:r w:rsidR="00744F12" w:rsidRPr="00AD7D59">
        <w:t xml:space="preserve">as soon as possible, </w:t>
      </w:r>
      <w:r w:rsidRPr="00AD7D59">
        <w:t xml:space="preserve">in which we inform about the reason for </w:t>
      </w:r>
      <w:r w:rsidR="00061F05">
        <w:t>the delay</w:t>
      </w:r>
      <w:r w:rsidRPr="00AD7D59">
        <w:t xml:space="preserve"> and when the matter is expected to be fully dealt with</w:t>
      </w:r>
      <w:r w:rsidR="008F2FF2" w:rsidRPr="00AD7D59">
        <w:t xml:space="preserve">. </w:t>
      </w:r>
    </w:p>
    <w:p w14:paraId="2AEB7BC4" w14:textId="30CF38F6" w:rsidR="00A90B0C" w:rsidRPr="00AD7D59" w:rsidRDefault="00A90B0C" w:rsidP="00A749E0">
      <w:pPr>
        <w:pStyle w:val="Heading1"/>
        <w:numPr>
          <w:ilvl w:val="0"/>
          <w:numId w:val="1"/>
        </w:numPr>
        <w:ind w:left="567" w:hanging="567"/>
      </w:pPr>
      <w:bookmarkStart w:id="8" w:name="_Toc126240737"/>
      <w:r w:rsidRPr="00AD7D59">
        <w:lastRenderedPageBreak/>
        <w:t>Regist</w:t>
      </w:r>
      <w:r w:rsidR="00C779EC" w:rsidRPr="00AD7D59">
        <w:t>r</w:t>
      </w:r>
      <w:r w:rsidR="00AC5276" w:rsidRPr="00AD7D59">
        <w:t>ation and Reporting</w:t>
      </w:r>
      <w:bookmarkEnd w:id="8"/>
      <w:r w:rsidR="00AC5276" w:rsidRPr="00AD7D59">
        <w:t xml:space="preserve">  </w:t>
      </w:r>
    </w:p>
    <w:p w14:paraId="05B9EB10" w14:textId="3916D51C" w:rsidR="00744F12" w:rsidRPr="00AD7D59" w:rsidRDefault="00744F12" w:rsidP="00744F12">
      <w:r w:rsidRPr="00AD7D59">
        <w:t>Upon request, Lockton Norway must be able to provide The Financial Supervisory Authority of Norway (</w:t>
      </w:r>
      <w:r w:rsidR="00663F21">
        <w:t xml:space="preserve">Norwegian: </w:t>
      </w:r>
      <w:proofErr w:type="spellStart"/>
      <w:r w:rsidRPr="00AD7D59">
        <w:t>Finanstilsynet</w:t>
      </w:r>
      <w:proofErr w:type="spellEnd"/>
      <w:r w:rsidRPr="00AD7D59">
        <w:t>) with information on the number of complaints and complaint handling.</w:t>
      </w:r>
    </w:p>
    <w:p w14:paraId="399F4A44" w14:textId="452D67AE" w:rsidR="00FB1343" w:rsidRPr="00AD7D59" w:rsidRDefault="00744F12" w:rsidP="00744F12">
      <w:r w:rsidRPr="00AD7D59">
        <w:t>The Chief Compliance Officer shall ensure that at least the following information about the individual complaint is registered in Lockton's complaint handling register</w:t>
      </w:r>
      <w:r w:rsidR="00FB1343" w:rsidRPr="00AD7D59">
        <w:t>:</w:t>
      </w:r>
    </w:p>
    <w:p w14:paraId="30BB7FF2" w14:textId="0FFC6188" w:rsidR="00FB1343" w:rsidRPr="00AD7D59" w:rsidRDefault="00CF6F3E" w:rsidP="00FB1343">
      <w:pPr>
        <w:pStyle w:val="ListParagraph"/>
        <w:numPr>
          <w:ilvl w:val="0"/>
          <w:numId w:val="4"/>
        </w:numPr>
      </w:pPr>
      <w:r w:rsidRPr="00AD7D59">
        <w:t xml:space="preserve">Reason for complaint  </w:t>
      </w:r>
    </w:p>
    <w:p w14:paraId="7998542F" w14:textId="77777777" w:rsidR="00CF6F3E" w:rsidRPr="00AD7D59" w:rsidRDefault="00CF6F3E" w:rsidP="00FB1343">
      <w:pPr>
        <w:pStyle w:val="ListParagraph"/>
        <w:numPr>
          <w:ilvl w:val="0"/>
          <w:numId w:val="4"/>
        </w:numPr>
      </w:pPr>
      <w:r w:rsidRPr="00AD7D59">
        <w:t xml:space="preserve">The complainant's identity </w:t>
      </w:r>
    </w:p>
    <w:p w14:paraId="78ACD9F7" w14:textId="0A3778F4" w:rsidR="00FB1343" w:rsidRPr="00AD7D59" w:rsidRDefault="00FB1343" w:rsidP="00FB1343">
      <w:pPr>
        <w:pStyle w:val="ListParagraph"/>
        <w:numPr>
          <w:ilvl w:val="0"/>
          <w:numId w:val="4"/>
        </w:numPr>
      </w:pPr>
      <w:r w:rsidRPr="00AD7D59">
        <w:t>Dat</w:t>
      </w:r>
      <w:r w:rsidR="00CF6F3E" w:rsidRPr="00AD7D59">
        <w:t xml:space="preserve">e of receipt of complaint and date of completion of handling  </w:t>
      </w:r>
    </w:p>
    <w:p w14:paraId="40B7F02E" w14:textId="44C85B3F" w:rsidR="00FB1343" w:rsidRPr="00AD7D59" w:rsidRDefault="00CF6F3E" w:rsidP="00FB1343">
      <w:pPr>
        <w:pStyle w:val="ListParagraph"/>
        <w:numPr>
          <w:ilvl w:val="0"/>
          <w:numId w:val="4"/>
        </w:numPr>
      </w:pPr>
      <w:r w:rsidRPr="00AD7D59">
        <w:t>Type of insurance</w:t>
      </w:r>
      <w:r w:rsidR="00FB1343" w:rsidRPr="00AD7D59">
        <w:t xml:space="preserve"> </w:t>
      </w:r>
    </w:p>
    <w:p w14:paraId="32F15A32" w14:textId="10F53801" w:rsidR="00A90B0C" w:rsidRPr="00AD7D59" w:rsidRDefault="00CF6F3E" w:rsidP="00FB1343">
      <w:pPr>
        <w:pStyle w:val="ListParagraph"/>
        <w:numPr>
          <w:ilvl w:val="0"/>
          <w:numId w:val="4"/>
        </w:numPr>
      </w:pPr>
      <w:r w:rsidRPr="00AD7D59">
        <w:t>Result/</w:t>
      </w:r>
      <w:r w:rsidR="00FC77F1" w:rsidRPr="00AD7D59">
        <w:t>decision</w:t>
      </w:r>
      <w:r w:rsidRPr="00AD7D59">
        <w:t xml:space="preserve"> </w:t>
      </w:r>
    </w:p>
    <w:p w14:paraId="7F74E0D7" w14:textId="3C1C01DD" w:rsidR="00D771B4" w:rsidRPr="00AD7D59" w:rsidRDefault="00D771B4" w:rsidP="00A749E0">
      <w:pPr>
        <w:pStyle w:val="Heading1"/>
        <w:numPr>
          <w:ilvl w:val="0"/>
          <w:numId w:val="1"/>
        </w:numPr>
        <w:ind w:left="567" w:hanging="567"/>
      </w:pPr>
      <w:bookmarkStart w:id="9" w:name="_Toc126240738"/>
      <w:r w:rsidRPr="00AD7D59">
        <w:t>Analys</w:t>
      </w:r>
      <w:r w:rsidR="00CF6F3E" w:rsidRPr="00AD7D59">
        <w:t xml:space="preserve">is of </w:t>
      </w:r>
      <w:r w:rsidR="00544523">
        <w:t>C</w:t>
      </w:r>
      <w:r w:rsidR="00CF6F3E" w:rsidRPr="00AD7D59">
        <w:t>omplaints</w:t>
      </w:r>
      <w:bookmarkEnd w:id="9"/>
      <w:r w:rsidR="00CF6F3E" w:rsidRPr="00AD7D59">
        <w:t xml:space="preserve">  </w:t>
      </w:r>
    </w:p>
    <w:p w14:paraId="449E822C" w14:textId="1D3CAA6C" w:rsidR="00CF6F3E" w:rsidRPr="00AD7D59" w:rsidRDefault="00CF6F3E" w:rsidP="00CF6F3E">
      <w:r w:rsidRPr="00AD7D59">
        <w:t xml:space="preserve">The Chief Compliance Officer </w:t>
      </w:r>
      <w:r w:rsidR="002F5DD7" w:rsidRPr="00AD7D59">
        <w:t>shall</w:t>
      </w:r>
      <w:r w:rsidRPr="00AD7D59">
        <w:t xml:space="preserve"> continuously </w:t>
      </w:r>
      <w:r w:rsidR="002F5DD7" w:rsidRPr="00AD7D59">
        <w:t>analyse</w:t>
      </w:r>
      <w:r w:rsidRPr="00AD7D59">
        <w:t xml:space="preserve"> the information received in the complaints to </w:t>
      </w:r>
      <w:r w:rsidR="002F5DD7" w:rsidRPr="00AD7D59">
        <w:t>assess</w:t>
      </w:r>
      <w:r w:rsidRPr="00AD7D59">
        <w:t xml:space="preserve"> whether the cause of the complaints relates to systematic or fundamental problems at Lockton Norway.</w:t>
      </w:r>
    </w:p>
    <w:p w14:paraId="5EE39AB5" w14:textId="5E49AB22" w:rsidR="00D771B4" w:rsidRPr="00AD7D59" w:rsidRDefault="00CF6F3E" w:rsidP="00CF6F3E">
      <w:r w:rsidRPr="00AD7D59">
        <w:t xml:space="preserve">The assessments </w:t>
      </w:r>
      <w:r w:rsidR="002F5DD7" w:rsidRPr="00AD7D59">
        <w:t>shall</w:t>
      </w:r>
      <w:r w:rsidRPr="00AD7D59">
        <w:t xml:space="preserve"> be included in the quarterly report to the Executive Management Committee and the board. The Executive Management Committee shall, before the report is presented to the board, provide </w:t>
      </w:r>
      <w:proofErr w:type="gramStart"/>
      <w:r w:rsidRPr="00AD7D59">
        <w:t>input</w:t>
      </w:r>
      <w:proofErr w:type="gramEnd"/>
      <w:r w:rsidRPr="00AD7D59">
        <w:t xml:space="preserve"> and assess whether identified root causes may also affect other processes or products, including those not directly complained about, and assess the need for corrective measures where it is reasonable to do so</w:t>
      </w:r>
      <w:r w:rsidR="002C7D14" w:rsidRPr="00AD7D59">
        <w:t xml:space="preserve">. </w:t>
      </w:r>
    </w:p>
    <w:p w14:paraId="0EEA2937" w14:textId="03DB3AF4" w:rsidR="0035021E" w:rsidRPr="00AD7D59" w:rsidRDefault="002F5DD7" w:rsidP="00671478">
      <w:pPr>
        <w:pStyle w:val="Heading1"/>
        <w:numPr>
          <w:ilvl w:val="0"/>
          <w:numId w:val="1"/>
        </w:numPr>
        <w:ind w:left="567" w:hanging="567"/>
      </w:pPr>
      <w:bookmarkStart w:id="10" w:name="_Toc126240739"/>
      <w:r w:rsidRPr="00AD7D59">
        <w:t>Information to Customers</w:t>
      </w:r>
      <w:bookmarkEnd w:id="10"/>
    </w:p>
    <w:p w14:paraId="76CA2F77" w14:textId="04E7ACB0" w:rsidR="00671478" w:rsidRPr="00AD7D59" w:rsidRDefault="00671478" w:rsidP="00671478">
      <w:r w:rsidRPr="00AD7D59">
        <w:t xml:space="preserve">Lockton Norway’s </w:t>
      </w:r>
      <w:r w:rsidR="002F5DD7" w:rsidRPr="00AD7D59">
        <w:t>service agreement</w:t>
      </w:r>
      <w:r w:rsidRPr="00AD7D59">
        <w:t xml:space="preserve"> (</w:t>
      </w:r>
      <w:r w:rsidRPr="00AD7D59">
        <w:rPr>
          <w:i/>
          <w:iCs/>
        </w:rPr>
        <w:t>marine: business principles</w:t>
      </w:r>
      <w:r w:rsidRPr="00AD7D59">
        <w:t xml:space="preserve">) </w:t>
      </w:r>
      <w:r w:rsidR="002F5DD7" w:rsidRPr="00AD7D59">
        <w:t xml:space="preserve">contains information for customers about the company's complaint handling. That information, together with this routine, </w:t>
      </w:r>
      <w:r w:rsidR="004029E5" w:rsidRPr="00AD7D59">
        <w:t>shall</w:t>
      </w:r>
      <w:r w:rsidR="002F5DD7" w:rsidRPr="00AD7D59">
        <w:t xml:space="preserve"> be reviewed at least annually and in the event of any changes in legal or regulatory requirements.</w:t>
      </w:r>
    </w:p>
    <w:sectPr w:rsidR="00671478" w:rsidRPr="00AD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E61"/>
    <w:multiLevelType w:val="hybridMultilevel"/>
    <w:tmpl w:val="2BD4DE00"/>
    <w:lvl w:ilvl="0" w:tplc="63E270A8">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C709D"/>
    <w:multiLevelType w:val="hybridMultilevel"/>
    <w:tmpl w:val="34762034"/>
    <w:lvl w:ilvl="0" w:tplc="AAC251E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C4FB6"/>
    <w:multiLevelType w:val="multilevel"/>
    <w:tmpl w:val="8F24F2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E574DB"/>
    <w:multiLevelType w:val="hybridMultilevel"/>
    <w:tmpl w:val="C4CE8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D7792B"/>
    <w:multiLevelType w:val="hybridMultilevel"/>
    <w:tmpl w:val="DE560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144870">
    <w:abstractNumId w:val="2"/>
  </w:num>
  <w:num w:numId="2" w16cid:durableId="1320040688">
    <w:abstractNumId w:val="0"/>
  </w:num>
  <w:num w:numId="3" w16cid:durableId="1593781293">
    <w:abstractNumId w:val="3"/>
  </w:num>
  <w:num w:numId="4" w16cid:durableId="87848708">
    <w:abstractNumId w:val="4"/>
  </w:num>
  <w:num w:numId="5" w16cid:durableId="1690989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0C"/>
    <w:rsid w:val="00012359"/>
    <w:rsid w:val="00061F05"/>
    <w:rsid w:val="00083CE3"/>
    <w:rsid w:val="00086139"/>
    <w:rsid w:val="000A1737"/>
    <w:rsid w:val="000B7668"/>
    <w:rsid w:val="000D1E2D"/>
    <w:rsid w:val="000E36F9"/>
    <w:rsid w:val="001060C7"/>
    <w:rsid w:val="001205A6"/>
    <w:rsid w:val="00162B0A"/>
    <w:rsid w:val="001744E3"/>
    <w:rsid w:val="001E7869"/>
    <w:rsid w:val="00202D56"/>
    <w:rsid w:val="00280A0E"/>
    <w:rsid w:val="002851D5"/>
    <w:rsid w:val="002C7D14"/>
    <w:rsid w:val="002F5DD7"/>
    <w:rsid w:val="00303D7B"/>
    <w:rsid w:val="003236A4"/>
    <w:rsid w:val="00344CCC"/>
    <w:rsid w:val="00350215"/>
    <w:rsid w:val="0035021E"/>
    <w:rsid w:val="003C612B"/>
    <w:rsid w:val="004029E5"/>
    <w:rsid w:val="00403528"/>
    <w:rsid w:val="0047732C"/>
    <w:rsid w:val="004848D7"/>
    <w:rsid w:val="004A7EFB"/>
    <w:rsid w:val="004E4B22"/>
    <w:rsid w:val="00522D1E"/>
    <w:rsid w:val="00544523"/>
    <w:rsid w:val="00571E12"/>
    <w:rsid w:val="00587992"/>
    <w:rsid w:val="005A6A4C"/>
    <w:rsid w:val="00663F21"/>
    <w:rsid w:val="00671478"/>
    <w:rsid w:val="006C7A48"/>
    <w:rsid w:val="006D3751"/>
    <w:rsid w:val="006F2931"/>
    <w:rsid w:val="00744F12"/>
    <w:rsid w:val="00884191"/>
    <w:rsid w:val="00887E75"/>
    <w:rsid w:val="008B11E0"/>
    <w:rsid w:val="008E655F"/>
    <w:rsid w:val="008F0BA7"/>
    <w:rsid w:val="008F2FD5"/>
    <w:rsid w:val="008F2FF2"/>
    <w:rsid w:val="00921388"/>
    <w:rsid w:val="00957B2C"/>
    <w:rsid w:val="009A6A23"/>
    <w:rsid w:val="00A17B8D"/>
    <w:rsid w:val="00A749E0"/>
    <w:rsid w:val="00A90B0C"/>
    <w:rsid w:val="00AC5276"/>
    <w:rsid w:val="00AD6158"/>
    <w:rsid w:val="00AD7D59"/>
    <w:rsid w:val="00AE7025"/>
    <w:rsid w:val="00B43DB1"/>
    <w:rsid w:val="00BA4913"/>
    <w:rsid w:val="00BC743B"/>
    <w:rsid w:val="00BF20B6"/>
    <w:rsid w:val="00BF527C"/>
    <w:rsid w:val="00C37403"/>
    <w:rsid w:val="00C779EC"/>
    <w:rsid w:val="00CA3D46"/>
    <w:rsid w:val="00CF6F3E"/>
    <w:rsid w:val="00D14944"/>
    <w:rsid w:val="00D15E90"/>
    <w:rsid w:val="00D641AA"/>
    <w:rsid w:val="00D771B4"/>
    <w:rsid w:val="00E125B1"/>
    <w:rsid w:val="00E129F6"/>
    <w:rsid w:val="00E21EAF"/>
    <w:rsid w:val="00E25E76"/>
    <w:rsid w:val="00E447AC"/>
    <w:rsid w:val="00E567D8"/>
    <w:rsid w:val="00E673E5"/>
    <w:rsid w:val="00E922CA"/>
    <w:rsid w:val="00EE1EAB"/>
    <w:rsid w:val="00F11704"/>
    <w:rsid w:val="00F56D1F"/>
    <w:rsid w:val="00F969C3"/>
    <w:rsid w:val="00FB1343"/>
    <w:rsid w:val="00FC77F1"/>
    <w:rsid w:val="00FD2160"/>
    <w:rsid w:val="00FE2AF3"/>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CB1B"/>
  <w15:chartTrackingRefBased/>
  <w15:docId w15:val="{2DCC101B-03AF-4D88-A1DB-AA9ED527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EE1EAB"/>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EE1EAB"/>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99"/>
    <w:rsid w:val="00EE1EAB"/>
    <w:rPr>
      <w:rFonts w:ascii="Calibri" w:eastAsia="Times New Roman" w:hAnsi="Calibri" w:cs="Calibri"/>
      <w:lang w:val="en-US"/>
    </w:rPr>
  </w:style>
  <w:style w:type="table" w:styleId="TableGrid">
    <w:name w:val="Table Grid"/>
    <w:basedOn w:val="TableNormal"/>
    <w:uiPriority w:val="39"/>
    <w:rsid w:val="00EE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1E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48D7"/>
    <w:pPr>
      <w:ind w:left="720"/>
      <w:contextualSpacing/>
    </w:pPr>
  </w:style>
  <w:style w:type="character" w:styleId="Hyperlink">
    <w:name w:val="Hyperlink"/>
    <w:basedOn w:val="DefaultParagraphFont"/>
    <w:uiPriority w:val="99"/>
    <w:unhideWhenUsed/>
    <w:rsid w:val="004848D7"/>
    <w:rPr>
      <w:color w:val="0563C1" w:themeColor="hyperlink"/>
      <w:u w:val="single"/>
    </w:rPr>
  </w:style>
  <w:style w:type="character" w:styleId="UnresolvedMention">
    <w:name w:val="Unresolved Mention"/>
    <w:basedOn w:val="DefaultParagraphFont"/>
    <w:uiPriority w:val="99"/>
    <w:semiHidden/>
    <w:unhideWhenUsed/>
    <w:rsid w:val="004848D7"/>
    <w:rPr>
      <w:color w:val="605E5C"/>
      <w:shd w:val="clear" w:color="auto" w:fill="E1DFDD"/>
    </w:rPr>
  </w:style>
  <w:style w:type="character" w:customStyle="1" w:styleId="Heading2Char">
    <w:name w:val="Heading 2 Char"/>
    <w:basedOn w:val="DefaultParagraphFont"/>
    <w:link w:val="Heading2"/>
    <w:uiPriority w:val="9"/>
    <w:rsid w:val="00BF20B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71478"/>
    <w:rPr>
      <w:sz w:val="16"/>
      <w:szCs w:val="16"/>
    </w:rPr>
  </w:style>
  <w:style w:type="paragraph" w:styleId="CommentText">
    <w:name w:val="annotation text"/>
    <w:basedOn w:val="Normal"/>
    <w:link w:val="CommentTextChar"/>
    <w:uiPriority w:val="99"/>
    <w:semiHidden/>
    <w:unhideWhenUsed/>
    <w:rsid w:val="00671478"/>
    <w:pPr>
      <w:spacing w:line="240" w:lineRule="auto"/>
    </w:pPr>
    <w:rPr>
      <w:sz w:val="20"/>
      <w:szCs w:val="20"/>
    </w:rPr>
  </w:style>
  <w:style w:type="character" w:customStyle="1" w:styleId="CommentTextChar">
    <w:name w:val="Comment Text Char"/>
    <w:basedOn w:val="DefaultParagraphFont"/>
    <w:link w:val="CommentText"/>
    <w:uiPriority w:val="99"/>
    <w:semiHidden/>
    <w:rsid w:val="00671478"/>
    <w:rPr>
      <w:sz w:val="20"/>
      <w:szCs w:val="20"/>
    </w:rPr>
  </w:style>
  <w:style w:type="paragraph" w:styleId="CommentSubject">
    <w:name w:val="annotation subject"/>
    <w:basedOn w:val="CommentText"/>
    <w:next w:val="CommentText"/>
    <w:link w:val="CommentSubjectChar"/>
    <w:uiPriority w:val="99"/>
    <w:semiHidden/>
    <w:unhideWhenUsed/>
    <w:rsid w:val="00671478"/>
    <w:rPr>
      <w:b/>
      <w:bCs/>
    </w:rPr>
  </w:style>
  <w:style w:type="character" w:customStyle="1" w:styleId="CommentSubjectChar">
    <w:name w:val="Comment Subject Char"/>
    <w:basedOn w:val="CommentTextChar"/>
    <w:link w:val="CommentSubject"/>
    <w:uiPriority w:val="99"/>
    <w:semiHidden/>
    <w:rsid w:val="00671478"/>
    <w:rPr>
      <w:b/>
      <w:bCs/>
      <w:sz w:val="20"/>
      <w:szCs w:val="20"/>
    </w:rPr>
  </w:style>
  <w:style w:type="paragraph" w:styleId="TOCHeading">
    <w:name w:val="TOC Heading"/>
    <w:basedOn w:val="Heading1"/>
    <w:next w:val="Normal"/>
    <w:uiPriority w:val="39"/>
    <w:unhideWhenUsed/>
    <w:qFormat/>
    <w:rsid w:val="006F2931"/>
    <w:pPr>
      <w:outlineLvl w:val="9"/>
    </w:pPr>
    <w:rPr>
      <w:lang w:val="en-US"/>
    </w:rPr>
  </w:style>
  <w:style w:type="paragraph" w:styleId="TOC1">
    <w:name w:val="toc 1"/>
    <w:basedOn w:val="Normal"/>
    <w:next w:val="Normal"/>
    <w:autoRedefine/>
    <w:uiPriority w:val="39"/>
    <w:unhideWhenUsed/>
    <w:rsid w:val="006F2931"/>
    <w:pPr>
      <w:spacing w:after="100"/>
    </w:pPr>
  </w:style>
  <w:style w:type="paragraph" w:styleId="TOC2">
    <w:name w:val="toc 2"/>
    <w:basedOn w:val="Normal"/>
    <w:next w:val="Normal"/>
    <w:autoRedefine/>
    <w:uiPriority w:val="39"/>
    <w:unhideWhenUsed/>
    <w:rsid w:val="006F29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o@lockton.com" TargetMode="External"/><Relationship Id="rId3" Type="http://schemas.openxmlformats.org/officeDocument/2006/relationships/settings" Target="settings.xml"/><Relationship Id="rId7" Type="http://schemas.openxmlformats.org/officeDocument/2006/relationships/hyperlink" Target="https://www.eiopa.europa.eu/sites/default/files/publications/eiopa_guidelines/gls_complaints_handling_iintermediaries_original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stilsynet.no/nyhetsarkiv/rundskriv/2019/retningslinjer-for-klagebehandling-i-bank--finans--forsikrings--og-verdipapirverksemd/" TargetMode="External"/><Relationship Id="rId5" Type="http://schemas.openxmlformats.org/officeDocument/2006/relationships/hyperlink" Target="https://lovdata.no/forsikringsformidlingslov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Gerdin, Anita</dc:creator>
  <cp:keywords/>
  <dc:description/>
  <cp:lastModifiedBy>Wedervang Andersson, Nathalie</cp:lastModifiedBy>
  <cp:revision>2</cp:revision>
  <cp:lastPrinted>2023-02-02T13:01:00Z</cp:lastPrinted>
  <dcterms:created xsi:type="dcterms:W3CDTF">2023-02-10T13:22:00Z</dcterms:created>
  <dcterms:modified xsi:type="dcterms:W3CDTF">2023-02-10T13:22:00Z</dcterms:modified>
</cp:coreProperties>
</file>